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36418" w14:paraId="414E78E7" w14:textId="77777777">
        <w:trPr>
          <w:cantSplit/>
        </w:trPr>
        <w:tc>
          <w:tcPr>
            <w:tcW w:w="6912" w:type="dxa"/>
          </w:tcPr>
          <w:p w14:paraId="3691C64D" w14:textId="722A441B" w:rsidR="00520F36" w:rsidRPr="00236418" w:rsidRDefault="00520F36" w:rsidP="009B3D24">
            <w:pPr>
              <w:spacing w:before="360"/>
            </w:pPr>
            <w:bookmarkStart w:id="0" w:name="dc06"/>
            <w:bookmarkEnd w:id="0"/>
            <w:r w:rsidRPr="00236418">
              <w:rPr>
                <w:b/>
                <w:bCs/>
                <w:sz w:val="30"/>
                <w:szCs w:val="30"/>
              </w:rPr>
              <w:t>Conseil 20</w:t>
            </w:r>
            <w:r w:rsidR="009C353C" w:rsidRPr="00236418">
              <w:rPr>
                <w:b/>
                <w:bCs/>
                <w:sz w:val="30"/>
                <w:szCs w:val="30"/>
              </w:rPr>
              <w:t>20</w:t>
            </w:r>
            <w:r w:rsidRPr="00236418">
              <w:rPr>
                <w:rFonts w:ascii="Verdana" w:hAnsi="Verdana"/>
                <w:b/>
                <w:bCs/>
                <w:sz w:val="26"/>
                <w:szCs w:val="26"/>
              </w:rPr>
              <w:br/>
            </w:r>
          </w:p>
        </w:tc>
        <w:tc>
          <w:tcPr>
            <w:tcW w:w="3261" w:type="dxa"/>
          </w:tcPr>
          <w:p w14:paraId="1171441B" w14:textId="77777777" w:rsidR="00520F36" w:rsidRPr="00236418" w:rsidRDefault="009C353C" w:rsidP="009B3D24">
            <w:pPr>
              <w:spacing w:before="0"/>
            </w:pPr>
            <w:bookmarkStart w:id="1" w:name="ditulogo"/>
            <w:bookmarkEnd w:id="1"/>
            <w:r w:rsidRPr="00236418">
              <w:rPr>
                <w:noProof/>
                <w:lang w:val="en-US"/>
              </w:rPr>
              <w:drawing>
                <wp:inline distT="0" distB="0" distL="0" distR="0" wp14:anchorId="7F21C6AE" wp14:editId="4DCFF0C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36418" w14:paraId="4F4D033C" w14:textId="77777777" w:rsidTr="006538EB">
        <w:trPr>
          <w:cantSplit/>
          <w:trHeight w:val="20"/>
        </w:trPr>
        <w:tc>
          <w:tcPr>
            <w:tcW w:w="6912" w:type="dxa"/>
            <w:tcBorders>
              <w:bottom w:val="single" w:sz="12" w:space="0" w:color="auto"/>
            </w:tcBorders>
            <w:vAlign w:val="center"/>
          </w:tcPr>
          <w:p w14:paraId="7A811F7D" w14:textId="77777777" w:rsidR="00520F36" w:rsidRPr="00236418" w:rsidRDefault="00520F36" w:rsidP="009B3D24">
            <w:pPr>
              <w:spacing w:before="0"/>
              <w:rPr>
                <w:b/>
                <w:bCs/>
                <w:sz w:val="26"/>
                <w:szCs w:val="26"/>
              </w:rPr>
            </w:pPr>
          </w:p>
        </w:tc>
        <w:tc>
          <w:tcPr>
            <w:tcW w:w="3261" w:type="dxa"/>
            <w:tcBorders>
              <w:bottom w:val="single" w:sz="12" w:space="0" w:color="auto"/>
            </w:tcBorders>
          </w:tcPr>
          <w:p w14:paraId="46A1FBFD" w14:textId="77777777" w:rsidR="00520F36" w:rsidRPr="00236418" w:rsidRDefault="00520F36" w:rsidP="009B3D24">
            <w:pPr>
              <w:spacing w:before="0"/>
              <w:rPr>
                <w:b/>
                <w:bCs/>
              </w:rPr>
            </w:pPr>
          </w:p>
        </w:tc>
      </w:tr>
      <w:tr w:rsidR="00520F36" w:rsidRPr="00236418" w14:paraId="6A28E5F5" w14:textId="77777777">
        <w:trPr>
          <w:cantSplit/>
          <w:trHeight w:val="20"/>
        </w:trPr>
        <w:tc>
          <w:tcPr>
            <w:tcW w:w="6912" w:type="dxa"/>
            <w:tcBorders>
              <w:top w:val="single" w:sz="12" w:space="0" w:color="auto"/>
            </w:tcBorders>
          </w:tcPr>
          <w:p w14:paraId="5881E4F8" w14:textId="77777777" w:rsidR="00520F36" w:rsidRPr="00236418" w:rsidRDefault="00520F36" w:rsidP="009B3D24">
            <w:pPr>
              <w:spacing w:before="0"/>
              <w:rPr>
                <w:smallCaps/>
                <w:sz w:val="22"/>
              </w:rPr>
            </w:pPr>
          </w:p>
        </w:tc>
        <w:tc>
          <w:tcPr>
            <w:tcW w:w="3261" w:type="dxa"/>
            <w:tcBorders>
              <w:top w:val="single" w:sz="12" w:space="0" w:color="auto"/>
            </w:tcBorders>
          </w:tcPr>
          <w:p w14:paraId="0A39E593" w14:textId="77777777" w:rsidR="00520F36" w:rsidRPr="00236418" w:rsidRDefault="00520F36" w:rsidP="009B3D24">
            <w:pPr>
              <w:spacing w:before="0"/>
              <w:rPr>
                <w:b/>
                <w:bCs/>
              </w:rPr>
            </w:pPr>
          </w:p>
        </w:tc>
      </w:tr>
      <w:tr w:rsidR="00520F36" w:rsidRPr="00236418" w14:paraId="5327DEFA" w14:textId="77777777">
        <w:trPr>
          <w:cantSplit/>
          <w:trHeight w:val="20"/>
        </w:trPr>
        <w:tc>
          <w:tcPr>
            <w:tcW w:w="6912" w:type="dxa"/>
            <w:vMerge w:val="restart"/>
          </w:tcPr>
          <w:p w14:paraId="3E0AD2A1" w14:textId="32BF5699" w:rsidR="00520F36" w:rsidRPr="00236418" w:rsidRDefault="00265224" w:rsidP="009B3D24">
            <w:pPr>
              <w:spacing w:before="0"/>
              <w:rPr>
                <w:rFonts w:cs="Times"/>
                <w:b/>
                <w:bCs/>
                <w:szCs w:val="24"/>
              </w:rPr>
            </w:pPr>
            <w:bookmarkStart w:id="2" w:name="dnum" w:colFirst="1" w:colLast="1"/>
            <w:bookmarkStart w:id="3" w:name="dmeeting" w:colFirst="0" w:colLast="0"/>
            <w:r w:rsidRPr="00236418">
              <w:rPr>
                <w:rFonts w:cs="Times"/>
                <w:b/>
                <w:bCs/>
                <w:szCs w:val="24"/>
              </w:rPr>
              <w:t>Point de l'ordre du jour: ADM 15</w:t>
            </w:r>
          </w:p>
        </w:tc>
        <w:tc>
          <w:tcPr>
            <w:tcW w:w="3261" w:type="dxa"/>
          </w:tcPr>
          <w:p w14:paraId="403F302C" w14:textId="79F97F6B" w:rsidR="00520F36" w:rsidRPr="00236418" w:rsidRDefault="00F54734" w:rsidP="009B3D24">
            <w:pPr>
              <w:spacing w:before="0"/>
              <w:rPr>
                <w:b/>
                <w:bCs/>
              </w:rPr>
            </w:pPr>
            <w:r w:rsidRPr="00236418">
              <w:rPr>
                <w:b/>
                <w:bCs/>
              </w:rPr>
              <w:t>Révision 1 du</w:t>
            </w:r>
            <w:r w:rsidRPr="00236418">
              <w:rPr>
                <w:b/>
                <w:bCs/>
              </w:rPr>
              <w:br/>
            </w:r>
            <w:r w:rsidR="00520F36" w:rsidRPr="00236418">
              <w:rPr>
                <w:b/>
                <w:bCs/>
              </w:rPr>
              <w:t>Document C</w:t>
            </w:r>
            <w:r w:rsidR="009C353C" w:rsidRPr="00236418">
              <w:rPr>
                <w:b/>
                <w:bCs/>
              </w:rPr>
              <w:t>20</w:t>
            </w:r>
            <w:r w:rsidR="00520F36" w:rsidRPr="00236418">
              <w:rPr>
                <w:b/>
                <w:bCs/>
              </w:rPr>
              <w:t>/</w:t>
            </w:r>
            <w:r w:rsidR="00265224" w:rsidRPr="00236418">
              <w:rPr>
                <w:b/>
                <w:bCs/>
              </w:rPr>
              <w:t>42</w:t>
            </w:r>
            <w:r w:rsidR="00520F36" w:rsidRPr="00236418">
              <w:rPr>
                <w:b/>
                <w:bCs/>
              </w:rPr>
              <w:t>-F</w:t>
            </w:r>
          </w:p>
        </w:tc>
      </w:tr>
      <w:tr w:rsidR="00520F36" w:rsidRPr="00236418" w14:paraId="25F69505" w14:textId="77777777">
        <w:trPr>
          <w:cantSplit/>
          <w:trHeight w:val="20"/>
        </w:trPr>
        <w:tc>
          <w:tcPr>
            <w:tcW w:w="6912" w:type="dxa"/>
            <w:vMerge/>
          </w:tcPr>
          <w:p w14:paraId="3BA1F23D" w14:textId="77777777" w:rsidR="00520F36" w:rsidRPr="00236418" w:rsidRDefault="00520F36" w:rsidP="009B3D24">
            <w:pPr>
              <w:shd w:val="solid" w:color="FFFFFF" w:fill="FFFFFF"/>
              <w:spacing w:before="180"/>
              <w:rPr>
                <w:smallCaps/>
              </w:rPr>
            </w:pPr>
            <w:bookmarkStart w:id="4" w:name="ddate" w:colFirst="1" w:colLast="1"/>
            <w:bookmarkEnd w:id="2"/>
            <w:bookmarkEnd w:id="3"/>
          </w:p>
        </w:tc>
        <w:tc>
          <w:tcPr>
            <w:tcW w:w="3261" w:type="dxa"/>
          </w:tcPr>
          <w:p w14:paraId="4ED6EAB2" w14:textId="261AEE07" w:rsidR="00520F36" w:rsidRPr="00236418" w:rsidRDefault="00F54734" w:rsidP="009B3D24">
            <w:pPr>
              <w:spacing w:before="0"/>
              <w:rPr>
                <w:b/>
                <w:bCs/>
              </w:rPr>
            </w:pPr>
            <w:r w:rsidRPr="00236418">
              <w:rPr>
                <w:b/>
                <w:bCs/>
              </w:rPr>
              <w:t>30 octobre</w:t>
            </w:r>
            <w:r w:rsidR="00520F36" w:rsidRPr="00236418">
              <w:rPr>
                <w:b/>
                <w:bCs/>
              </w:rPr>
              <w:t xml:space="preserve"> 20</w:t>
            </w:r>
            <w:r w:rsidR="009C353C" w:rsidRPr="00236418">
              <w:rPr>
                <w:b/>
                <w:bCs/>
              </w:rPr>
              <w:t>20</w:t>
            </w:r>
          </w:p>
        </w:tc>
      </w:tr>
      <w:tr w:rsidR="00520F36" w:rsidRPr="00236418" w14:paraId="63BDFFFB" w14:textId="77777777">
        <w:trPr>
          <w:cantSplit/>
          <w:trHeight w:val="20"/>
        </w:trPr>
        <w:tc>
          <w:tcPr>
            <w:tcW w:w="6912" w:type="dxa"/>
            <w:vMerge/>
          </w:tcPr>
          <w:p w14:paraId="7FBF98EF" w14:textId="77777777" w:rsidR="00520F36" w:rsidRPr="00236418" w:rsidRDefault="00520F36" w:rsidP="009B3D24">
            <w:pPr>
              <w:shd w:val="solid" w:color="FFFFFF" w:fill="FFFFFF"/>
              <w:spacing w:before="180"/>
              <w:rPr>
                <w:smallCaps/>
              </w:rPr>
            </w:pPr>
            <w:bookmarkStart w:id="5" w:name="dorlang" w:colFirst="1" w:colLast="1"/>
            <w:bookmarkEnd w:id="4"/>
          </w:p>
        </w:tc>
        <w:tc>
          <w:tcPr>
            <w:tcW w:w="3261" w:type="dxa"/>
          </w:tcPr>
          <w:p w14:paraId="745B0AE6" w14:textId="77777777" w:rsidR="00520F36" w:rsidRPr="00236418" w:rsidRDefault="00520F36" w:rsidP="009B3D24">
            <w:pPr>
              <w:spacing w:before="0"/>
              <w:rPr>
                <w:b/>
                <w:bCs/>
              </w:rPr>
            </w:pPr>
            <w:r w:rsidRPr="00236418">
              <w:rPr>
                <w:b/>
                <w:bCs/>
              </w:rPr>
              <w:t>Original: anglais</w:t>
            </w:r>
          </w:p>
        </w:tc>
      </w:tr>
      <w:tr w:rsidR="00520F36" w:rsidRPr="00236418" w14:paraId="523D95AD" w14:textId="77777777">
        <w:trPr>
          <w:cantSplit/>
        </w:trPr>
        <w:tc>
          <w:tcPr>
            <w:tcW w:w="10173" w:type="dxa"/>
            <w:gridSpan w:val="2"/>
          </w:tcPr>
          <w:p w14:paraId="0B1225B7" w14:textId="646A2603" w:rsidR="00520F36" w:rsidRPr="00236418" w:rsidRDefault="00265224" w:rsidP="009B3D24">
            <w:pPr>
              <w:pStyle w:val="Source"/>
            </w:pPr>
            <w:bookmarkStart w:id="6" w:name="dsource" w:colFirst="0" w:colLast="0"/>
            <w:bookmarkEnd w:id="5"/>
            <w:r w:rsidRPr="00236418">
              <w:t>Rapport du Secrétaire général</w:t>
            </w:r>
          </w:p>
        </w:tc>
      </w:tr>
      <w:tr w:rsidR="00520F36" w:rsidRPr="00236418" w14:paraId="6F4F4D59" w14:textId="77777777">
        <w:trPr>
          <w:cantSplit/>
        </w:trPr>
        <w:tc>
          <w:tcPr>
            <w:tcW w:w="10173" w:type="dxa"/>
            <w:gridSpan w:val="2"/>
          </w:tcPr>
          <w:p w14:paraId="1FA3F088" w14:textId="0BE5EBD5" w:rsidR="00520F36" w:rsidRPr="00236418" w:rsidRDefault="00265224" w:rsidP="009B3D24">
            <w:pPr>
              <w:pStyle w:val="Title1"/>
            </w:pPr>
            <w:bookmarkStart w:id="7" w:name="_Toc387166326"/>
            <w:bookmarkStart w:id="8" w:name="_Toc387166604"/>
            <w:bookmarkStart w:id="9" w:name="_Toc395260890"/>
            <w:bookmarkStart w:id="10" w:name="_Toc395261091"/>
            <w:bookmarkStart w:id="11" w:name="dtitle1" w:colFirst="0" w:colLast="0"/>
            <w:bookmarkEnd w:id="6"/>
            <w:r w:rsidRPr="00236418">
              <w:t>RAPPORT DE GESTION FINANCIÈRE POUR L'EXERCICE ANNUEL 201</w:t>
            </w:r>
            <w:bookmarkEnd w:id="7"/>
            <w:bookmarkEnd w:id="8"/>
            <w:bookmarkEnd w:id="9"/>
            <w:bookmarkEnd w:id="10"/>
            <w:r w:rsidRPr="00236418">
              <w:t>9</w:t>
            </w:r>
          </w:p>
        </w:tc>
      </w:tr>
      <w:bookmarkEnd w:id="11"/>
    </w:tbl>
    <w:p w14:paraId="50573529" w14:textId="77777777" w:rsidR="00520F36" w:rsidRPr="00236418" w:rsidRDefault="00520F36" w:rsidP="009B3D2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36418" w14:paraId="1CC320E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C9F3A0A" w14:textId="77777777" w:rsidR="00520F36" w:rsidRPr="00236418" w:rsidRDefault="00520F36" w:rsidP="009B3D24">
            <w:pPr>
              <w:pStyle w:val="Headingb"/>
            </w:pPr>
            <w:bookmarkStart w:id="12" w:name="_Toc41566292"/>
            <w:bookmarkStart w:id="13" w:name="_Toc41814911"/>
            <w:r w:rsidRPr="00236418">
              <w:t>Résumé</w:t>
            </w:r>
            <w:bookmarkEnd w:id="12"/>
            <w:bookmarkEnd w:id="13"/>
          </w:p>
          <w:p w14:paraId="6EDBE425" w14:textId="77ED8179" w:rsidR="00265224" w:rsidRPr="00236418" w:rsidRDefault="00265224" w:rsidP="009B3D24">
            <w:r w:rsidRPr="00236418">
              <w:t>Aux termes du numéro 101</w:t>
            </w:r>
            <w:r w:rsidR="003152BE" w:rsidRPr="00236418">
              <w:t xml:space="preserve"> </w:t>
            </w:r>
            <w:r w:rsidRPr="00236418">
              <w:t>de la Convention de l'Union internationale des télécommunications et de l'Article 30</w:t>
            </w:r>
            <w:r w:rsidR="003152BE" w:rsidRPr="00236418">
              <w:t xml:space="preserve"> </w:t>
            </w:r>
            <w:r w:rsidRPr="00236418">
              <w:t>du Règlement financier de l'Union, le Secrétaire général est prié de soumettre, chaque année au Conseil, un rapport de gestion financière.</w:t>
            </w:r>
          </w:p>
          <w:p w14:paraId="04CC5AB4" w14:textId="6FBF8BDE" w:rsidR="00265224" w:rsidRPr="00236418" w:rsidRDefault="00265224" w:rsidP="009B3D24">
            <w:r w:rsidRPr="00236418">
              <w:t>Le Rapport de gestion financière pour l'exercice annuel 2019 présente:</w:t>
            </w:r>
          </w:p>
          <w:p w14:paraId="2EC0573A" w14:textId="35790F8C" w:rsidR="00265224" w:rsidRPr="00236418" w:rsidRDefault="00265224" w:rsidP="009B3D24">
            <w:r w:rsidRPr="00236418">
              <w:t>•</w:t>
            </w:r>
            <w:r w:rsidRPr="00236418">
              <w:tab/>
              <w:t>Les comptes vérifiés de l'exercice annuel 2019 du Budget de l'Union.</w:t>
            </w:r>
          </w:p>
          <w:p w14:paraId="23DF0983" w14:textId="06436FA6" w:rsidR="00265224" w:rsidRPr="00236418" w:rsidRDefault="00265224" w:rsidP="009B3D24">
            <w:pPr>
              <w:ind w:left="567" w:hanging="567"/>
              <w:rPr>
                <w:bCs/>
              </w:rPr>
            </w:pPr>
            <w:r w:rsidRPr="00236418">
              <w:t>•</w:t>
            </w:r>
            <w:r w:rsidRPr="00236418">
              <w:tab/>
            </w:r>
            <w:r w:rsidRPr="00236418">
              <w:rPr>
                <w:bCs/>
              </w:rPr>
              <w:t>Les comptes vérifiés de 2019 pour les projets de coopération technique, les contributions volontaires et la Caisse d'assurance du personnel de l'UIT.</w:t>
            </w:r>
          </w:p>
          <w:p w14:paraId="43826ACC" w14:textId="0DC82663" w:rsidR="00520F36" w:rsidRPr="00236418" w:rsidRDefault="00265224" w:rsidP="009B3D24">
            <w:r w:rsidRPr="00236418">
              <w:rPr>
                <w:bCs/>
              </w:rPr>
              <w:t>•</w:t>
            </w:r>
            <w:r w:rsidRPr="00236418">
              <w:rPr>
                <w:bCs/>
              </w:rPr>
              <w:tab/>
            </w:r>
            <w:r w:rsidRPr="00236418">
              <w:t>Les comptes vérifiés relatifs à la manifestation ITU Telecom World 2019.</w:t>
            </w:r>
          </w:p>
          <w:p w14:paraId="7D47F3CA" w14:textId="77777777" w:rsidR="00520F36" w:rsidRPr="00236418" w:rsidRDefault="00520F36" w:rsidP="009B3D24">
            <w:pPr>
              <w:pStyle w:val="Headingb"/>
            </w:pPr>
            <w:bookmarkStart w:id="14" w:name="_Toc41566293"/>
            <w:bookmarkStart w:id="15" w:name="_Toc41814912"/>
            <w:r w:rsidRPr="00236418">
              <w:t>Suite à donner</w:t>
            </w:r>
            <w:bookmarkEnd w:id="14"/>
            <w:bookmarkEnd w:id="15"/>
          </w:p>
          <w:p w14:paraId="6FD548FB" w14:textId="77777777" w:rsidR="00265224" w:rsidRPr="00236418" w:rsidRDefault="00265224" w:rsidP="009B3D24">
            <w:r w:rsidRPr="00236418">
              <w:t xml:space="preserve">Le rapport de gestion financière sur les comptes vérifiés ainsi que le projet de Résolution figurant à l'Annexe A sont soumis au Conseil pour </w:t>
            </w:r>
            <w:r w:rsidRPr="00236418">
              <w:rPr>
                <w:b/>
                <w:bCs/>
              </w:rPr>
              <w:t xml:space="preserve">examen </w:t>
            </w:r>
            <w:r w:rsidRPr="00236418">
              <w:t xml:space="preserve">et </w:t>
            </w:r>
            <w:r w:rsidRPr="00236418">
              <w:rPr>
                <w:b/>
                <w:bCs/>
              </w:rPr>
              <w:t>approbation</w:t>
            </w:r>
            <w:r w:rsidRPr="00236418">
              <w:t>.</w:t>
            </w:r>
          </w:p>
          <w:p w14:paraId="4C608ADD" w14:textId="645DA8B0" w:rsidR="00520F36" w:rsidRPr="00236418" w:rsidRDefault="00265224" w:rsidP="009B3D24">
            <w:r w:rsidRPr="00236418">
              <w:t>Une fois examiné et approuvé par le Conseil, le rapport sera communiqué aux États Membres et aux Membres de Secteur.</w:t>
            </w:r>
          </w:p>
          <w:p w14:paraId="2EBC0B24" w14:textId="77777777" w:rsidR="00520F36" w:rsidRPr="00236418" w:rsidRDefault="00520F36" w:rsidP="009B3D24">
            <w:pPr>
              <w:pStyle w:val="Table"/>
              <w:keepNext w:val="0"/>
              <w:spacing w:before="0" w:after="0"/>
              <w:rPr>
                <w:rFonts w:ascii="Calibri" w:hAnsi="Calibri"/>
                <w:caps w:val="0"/>
                <w:sz w:val="22"/>
                <w:lang w:val="fr-FR"/>
              </w:rPr>
            </w:pPr>
            <w:r w:rsidRPr="00236418">
              <w:rPr>
                <w:rFonts w:ascii="Calibri" w:hAnsi="Calibri"/>
                <w:caps w:val="0"/>
                <w:sz w:val="22"/>
                <w:lang w:val="fr-FR"/>
              </w:rPr>
              <w:t>____________</w:t>
            </w:r>
          </w:p>
          <w:p w14:paraId="7F042929" w14:textId="77777777" w:rsidR="00520F36" w:rsidRPr="00236418" w:rsidRDefault="00520F36" w:rsidP="009B3D24">
            <w:pPr>
              <w:pStyle w:val="Headingb"/>
            </w:pPr>
            <w:bookmarkStart w:id="16" w:name="_Toc41566294"/>
            <w:bookmarkStart w:id="17" w:name="_Toc41814913"/>
            <w:r w:rsidRPr="00236418">
              <w:t>Références</w:t>
            </w:r>
            <w:bookmarkEnd w:id="16"/>
            <w:bookmarkEnd w:id="17"/>
          </w:p>
          <w:p w14:paraId="290415C0" w14:textId="08BF773F" w:rsidR="00520F36" w:rsidRPr="00236418" w:rsidRDefault="00265224" w:rsidP="009B3D24">
            <w:pPr>
              <w:spacing w:after="120"/>
              <w:rPr>
                <w:i/>
                <w:iCs/>
              </w:rPr>
            </w:pPr>
            <w:r w:rsidRPr="00236418">
              <w:rPr>
                <w:i/>
                <w:iCs/>
              </w:rPr>
              <w:t xml:space="preserve">Numéro </w:t>
            </w:r>
            <w:hyperlink r:id="rId9" w:history="1">
              <w:r w:rsidRPr="00236418">
                <w:rPr>
                  <w:rStyle w:val="Hyperlink"/>
                  <w:i/>
                  <w:iCs/>
                </w:rPr>
                <w:t>101</w:t>
              </w:r>
            </w:hyperlink>
            <w:r w:rsidRPr="00236418">
              <w:rPr>
                <w:i/>
                <w:iCs/>
              </w:rPr>
              <w:t xml:space="preserve"> de la Convention</w:t>
            </w:r>
            <w:r w:rsidRPr="00236418">
              <w:rPr>
                <w:i/>
                <w:iCs/>
              </w:rPr>
              <w:br/>
            </w:r>
            <w:hyperlink r:id="rId10" w:history="1">
              <w:r w:rsidRPr="00236418">
                <w:rPr>
                  <w:rStyle w:val="Hyperlink"/>
                  <w:i/>
                  <w:iCs/>
                </w:rPr>
                <w:t>Article 30</w:t>
              </w:r>
            </w:hyperlink>
            <w:r w:rsidRPr="00236418">
              <w:rPr>
                <w:i/>
                <w:iCs/>
              </w:rPr>
              <w:t> du Règlement financier de l'Union</w:t>
            </w:r>
          </w:p>
        </w:tc>
      </w:tr>
    </w:tbl>
    <w:p w14:paraId="04D1C93C" w14:textId="1BEEA336" w:rsidR="009C353C" w:rsidRPr="00236418" w:rsidRDefault="00265224" w:rsidP="009B3D24">
      <w:pPr>
        <w:spacing w:before="1200"/>
      </w:pPr>
      <w:r w:rsidRPr="00236418">
        <w:rPr>
          <w:b/>
          <w:bCs/>
        </w:rPr>
        <w:t>Annexes</w:t>
      </w:r>
      <w:r w:rsidRPr="00236418">
        <w:t>: 12</w:t>
      </w:r>
    </w:p>
    <w:p w14:paraId="2CF80E15" w14:textId="3204183A" w:rsidR="00265224" w:rsidRPr="00236418" w:rsidRDefault="00265224" w:rsidP="009B3D24">
      <w:pPr>
        <w:spacing w:before="360"/>
      </w:pPr>
      <w:r w:rsidRPr="00236418">
        <w:br w:type="page"/>
      </w:r>
    </w:p>
    <w:p w14:paraId="5D6CBFCA" w14:textId="77777777" w:rsidR="00265224" w:rsidRPr="00236418" w:rsidRDefault="00265224" w:rsidP="009B3D24">
      <w:pPr>
        <w:pStyle w:val="Title"/>
        <w:spacing w:before="840"/>
        <w:rPr>
          <w:sz w:val="28"/>
          <w:szCs w:val="28"/>
        </w:rPr>
      </w:pPr>
      <w:r w:rsidRPr="00236418">
        <w:rPr>
          <w:noProof/>
          <w:lang w:val="en-US" w:eastAsia="en-US"/>
        </w:rPr>
        <w:lastRenderedPageBreak/>
        <w:drawing>
          <wp:inline distT="0" distB="0" distL="0" distR="0" wp14:anchorId="053EB7C2" wp14:editId="521C2E25">
            <wp:extent cx="684000" cy="738000"/>
            <wp:effectExtent l="0" t="0" r="1905" b="5080"/>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30068765" w14:textId="77777777" w:rsidR="00265224" w:rsidRPr="00236418" w:rsidRDefault="00265224" w:rsidP="009B3D24">
      <w:pPr>
        <w:pStyle w:val="Title"/>
        <w:spacing w:before="600"/>
        <w:rPr>
          <w:sz w:val="28"/>
          <w:szCs w:val="28"/>
        </w:rPr>
      </w:pPr>
      <w:r w:rsidRPr="00236418">
        <w:rPr>
          <w:sz w:val="28"/>
          <w:szCs w:val="28"/>
        </w:rPr>
        <w:t>Rapport de gestion financière</w:t>
      </w:r>
    </w:p>
    <w:p w14:paraId="0584ED76" w14:textId="0054584A" w:rsidR="00265224" w:rsidRPr="00236418" w:rsidRDefault="00265224" w:rsidP="009B3D24">
      <w:pPr>
        <w:spacing w:before="600"/>
      </w:pPr>
      <w:r w:rsidRPr="00236418">
        <w:t xml:space="preserve">Le présent Rapport de gestion financière </w:t>
      </w:r>
      <w:r w:rsidRPr="00236418">
        <w:rPr>
          <w:color w:val="000000" w:themeColor="text1"/>
        </w:rPr>
        <w:t>sur les comptes vérifiés</w:t>
      </w:r>
      <w:r w:rsidRPr="00236418">
        <w:t xml:space="preserve"> donne les résultats financiers au 31 décembre 2019 des comptes tenus par l'Union internationale des télécommunications (UIT), conformément aux dispositions de l'Article 30 du Règlement financier de l'Union (édition de 2018).</w:t>
      </w:r>
    </w:p>
    <w:p w14:paraId="57966B15" w14:textId="4E0F6AC2" w:rsidR="00265224" w:rsidRPr="00236418" w:rsidRDefault="00265224" w:rsidP="009B3D24">
      <w:pPr>
        <w:jc w:val="both"/>
      </w:pPr>
      <w:r w:rsidRPr="00236418">
        <w:t xml:space="preserve">Les états financiers </w:t>
      </w:r>
      <w:r w:rsidR="00646FC2" w:rsidRPr="00236418">
        <w:t>s</w:t>
      </w:r>
      <w:r w:rsidRPr="00236418">
        <w:rPr>
          <w:color w:val="000000"/>
        </w:rPr>
        <w:t>ont établis conformément aux Normes comptables internationales pour le secteur public (IPSAS)</w:t>
      </w:r>
      <w:r w:rsidR="00646FC2" w:rsidRPr="00236418">
        <w:rPr>
          <w:color w:val="000000"/>
        </w:rPr>
        <w:t xml:space="preserve"> depuis 2010</w:t>
      </w:r>
      <w:r w:rsidRPr="00236418">
        <w:rPr>
          <w:color w:val="000000"/>
        </w:rPr>
        <w:t xml:space="preserve"> et couvrent les points suivants</w:t>
      </w:r>
      <w:r w:rsidRPr="00236418">
        <w:t>:</w:t>
      </w:r>
    </w:p>
    <w:p w14:paraId="4096ECB4" w14:textId="22B653D0" w:rsidR="00265224" w:rsidRPr="00236418" w:rsidRDefault="00265224" w:rsidP="009B3D24">
      <w:pPr>
        <w:pStyle w:val="enumlev1"/>
      </w:pPr>
      <w:r w:rsidRPr="00236418">
        <w:t>–</w:t>
      </w:r>
      <w:r w:rsidRPr="00236418">
        <w:tab/>
        <w:t xml:space="preserve">L'exercice financier </w:t>
      </w:r>
      <w:r w:rsidRPr="00236418">
        <w:rPr>
          <w:rFonts w:asciiTheme="minorHAnsi" w:hAnsiTheme="minorHAnsi"/>
          <w:szCs w:val="24"/>
        </w:rPr>
        <w:t>2019</w:t>
      </w:r>
      <w:r w:rsidRPr="00236418">
        <w:t xml:space="preserve"> de l'Union.</w:t>
      </w:r>
    </w:p>
    <w:p w14:paraId="79039AB1" w14:textId="478C1389" w:rsidR="00265224" w:rsidRPr="00236418" w:rsidRDefault="00265224" w:rsidP="009B3D24">
      <w:pPr>
        <w:pStyle w:val="enumlev1"/>
      </w:pPr>
      <w:r w:rsidRPr="00236418">
        <w:t>–</w:t>
      </w:r>
      <w:r w:rsidRPr="00236418">
        <w:tab/>
        <w:t xml:space="preserve">La Caisse d'assurance du personnel de l'UIT pour l'exercice </w:t>
      </w:r>
      <w:r w:rsidRPr="00236418">
        <w:rPr>
          <w:rFonts w:asciiTheme="minorHAnsi" w:hAnsiTheme="minorHAnsi"/>
          <w:szCs w:val="24"/>
        </w:rPr>
        <w:t>2019</w:t>
      </w:r>
      <w:r w:rsidRPr="00236418">
        <w:t>.</w:t>
      </w:r>
    </w:p>
    <w:p w14:paraId="1A526852" w14:textId="2FE5AC40" w:rsidR="00265224" w:rsidRPr="00236418" w:rsidRDefault="00265224" w:rsidP="009B3D24">
      <w:pPr>
        <w:pStyle w:val="enumlev1"/>
      </w:pPr>
      <w:r w:rsidRPr="00236418">
        <w:t>–</w:t>
      </w:r>
      <w:r w:rsidRPr="00236418">
        <w:tab/>
        <w:t xml:space="preserve">La Caisse commune des pensions du personnel des Nations Unies pour l'exercice </w:t>
      </w:r>
      <w:r w:rsidRPr="00236418">
        <w:rPr>
          <w:rFonts w:asciiTheme="minorHAnsi" w:hAnsiTheme="minorHAnsi"/>
          <w:szCs w:val="24"/>
        </w:rPr>
        <w:t>2019</w:t>
      </w:r>
      <w:r w:rsidRPr="00236418">
        <w:t>.</w:t>
      </w:r>
    </w:p>
    <w:p w14:paraId="6678DA8B" w14:textId="4228ACC0" w:rsidR="00265224" w:rsidRPr="00236418" w:rsidRDefault="00265224" w:rsidP="009B3D24">
      <w:pPr>
        <w:pStyle w:val="enumlev1"/>
      </w:pPr>
      <w:r w:rsidRPr="00236418">
        <w:t>–</w:t>
      </w:r>
      <w:r w:rsidRPr="00236418">
        <w:tab/>
        <w:t xml:space="preserve">Les projets de coopération technique financés par le Programme des Nations Unies pour le développement (PNUD) pour l'exercice </w:t>
      </w:r>
      <w:r w:rsidRPr="00236418">
        <w:rPr>
          <w:rFonts w:asciiTheme="minorHAnsi" w:hAnsiTheme="minorHAnsi"/>
          <w:szCs w:val="24"/>
        </w:rPr>
        <w:t>2019</w:t>
      </w:r>
      <w:r w:rsidRPr="00236418">
        <w:t>.</w:t>
      </w:r>
    </w:p>
    <w:p w14:paraId="4564EEA5" w14:textId="71A23A3A" w:rsidR="00265224" w:rsidRPr="00236418" w:rsidRDefault="00265224" w:rsidP="009B3D24">
      <w:pPr>
        <w:pStyle w:val="enumlev1"/>
      </w:pPr>
      <w:r w:rsidRPr="00236418">
        <w:t>–</w:t>
      </w:r>
      <w:r w:rsidRPr="00236418">
        <w:tab/>
        <w:t>Les fonds d'affectation spéciale pour l'exercice 2019.</w:t>
      </w:r>
    </w:p>
    <w:p w14:paraId="4C241C36" w14:textId="6A98E6F8" w:rsidR="00265224" w:rsidRPr="00236418" w:rsidRDefault="00265224" w:rsidP="009B3D24">
      <w:pPr>
        <w:pStyle w:val="enumlev1"/>
      </w:pPr>
      <w:r w:rsidRPr="00236418">
        <w:t>–</w:t>
      </w:r>
      <w:r w:rsidRPr="00236418">
        <w:tab/>
        <w:t>Les contributions volontaires pour l'exercice 2019.</w:t>
      </w:r>
    </w:p>
    <w:p w14:paraId="205B2F84" w14:textId="19B62C52" w:rsidR="00265224" w:rsidRPr="00236418" w:rsidRDefault="00265224" w:rsidP="009B3D24">
      <w:pPr>
        <w:pStyle w:val="enumlev1"/>
      </w:pPr>
      <w:r w:rsidRPr="00236418">
        <w:t>–</w:t>
      </w:r>
      <w:r w:rsidRPr="00236418">
        <w:tab/>
        <w:t>Le Fonds pour le développement des technologies de l'information et de la communication pour l'exercice 2019.</w:t>
      </w:r>
    </w:p>
    <w:p w14:paraId="653AA402" w14:textId="2FAA046C" w:rsidR="00265224" w:rsidRPr="00236418" w:rsidRDefault="00265224" w:rsidP="009B3D24">
      <w:pPr>
        <w:pStyle w:val="enumlev1"/>
      </w:pPr>
      <w:r w:rsidRPr="00236418">
        <w:t>–</w:t>
      </w:r>
      <w:r w:rsidRPr="00236418">
        <w:tab/>
        <w:t>La manifestation ITU TELECOM World 2019.</w:t>
      </w:r>
    </w:p>
    <w:p w14:paraId="62222682" w14:textId="28787030" w:rsidR="00265224" w:rsidRPr="00236418" w:rsidRDefault="00265224" w:rsidP="009B3D24">
      <w:pPr>
        <w:pStyle w:val="enumlev1"/>
      </w:pPr>
      <w:r w:rsidRPr="00236418">
        <w:t>–</w:t>
      </w:r>
      <w:r w:rsidRPr="00236418">
        <w:tab/>
        <w:t>Le projet de nouveau bâtiment.</w:t>
      </w:r>
    </w:p>
    <w:p w14:paraId="2F74A9D2" w14:textId="00631E32" w:rsidR="00D401F6" w:rsidRPr="00236418" w:rsidRDefault="00D401F6" w:rsidP="009B3D24">
      <w:pPr>
        <w:pStyle w:val="enumlev1"/>
      </w:pPr>
      <w:r w:rsidRPr="00236418">
        <w:br w:type="page"/>
      </w:r>
    </w:p>
    <w:p w14:paraId="758A2739" w14:textId="5200F64A" w:rsidR="00265224" w:rsidRPr="00236418" w:rsidRDefault="00D401F6" w:rsidP="008F0534">
      <w:pPr>
        <w:pStyle w:val="Title3"/>
        <w:rPr>
          <w:b/>
          <w:bCs/>
        </w:rPr>
      </w:pPr>
      <w:r w:rsidRPr="00236418">
        <w:rPr>
          <w:b/>
          <w:bCs/>
        </w:rPr>
        <w:lastRenderedPageBreak/>
        <w:t>Table des matières</w:t>
      </w:r>
    </w:p>
    <w:p w14:paraId="09F54FB3" w14:textId="4CF54560" w:rsidR="00D401F6" w:rsidRPr="00236418" w:rsidRDefault="00D401F6" w:rsidP="009B3D24">
      <w:pPr>
        <w:pStyle w:val="toc0"/>
        <w:jc w:val="right"/>
      </w:pPr>
      <w:r w:rsidRPr="00236418">
        <w:t>Page</w:t>
      </w:r>
    </w:p>
    <w:p w14:paraId="538EE7C9" w14:textId="3E8FBD4F" w:rsidR="004D63AA" w:rsidRPr="00236418" w:rsidRDefault="004D63AA">
      <w:pPr>
        <w:pStyle w:val="TOC1"/>
        <w:rPr>
          <w:rFonts w:asciiTheme="minorHAnsi" w:eastAsiaTheme="minorEastAsia" w:hAnsiTheme="minorHAnsi" w:cstheme="minorBidi"/>
          <w:sz w:val="22"/>
          <w:szCs w:val="22"/>
          <w:lang w:eastAsia="fr-CH"/>
        </w:rPr>
      </w:pPr>
      <w:r w:rsidRPr="00236418">
        <w:fldChar w:fldCharType="begin"/>
      </w:r>
      <w:r w:rsidRPr="00236418">
        <w:instrText xml:space="preserve"> TOC \o "1-1" \h \z \t "Annex_No,1" </w:instrText>
      </w:r>
      <w:r w:rsidRPr="00236418">
        <w:fldChar w:fldCharType="separate"/>
      </w:r>
      <w:hyperlink w:anchor="_Toc41814914" w:history="1">
        <w:r w:rsidRPr="00236418">
          <w:rPr>
            <w:rStyle w:val="Hyperlink"/>
          </w:rPr>
          <w:t>Avant-propos du Secrétaire général</w:t>
        </w:r>
        <w:r w:rsidRPr="00236418">
          <w:rPr>
            <w:webHidden/>
          </w:rPr>
          <w:tab/>
        </w:r>
        <w:r w:rsidR="00C468CA" w:rsidRPr="00236418">
          <w:rPr>
            <w:webHidden/>
          </w:rPr>
          <w:tab/>
        </w:r>
        <w:r w:rsidRPr="00236418">
          <w:rPr>
            <w:webHidden/>
          </w:rPr>
          <w:fldChar w:fldCharType="begin"/>
        </w:r>
        <w:r w:rsidRPr="00236418">
          <w:rPr>
            <w:webHidden/>
          </w:rPr>
          <w:instrText xml:space="preserve"> PAGEREF _Toc41814914 \h </w:instrText>
        </w:r>
        <w:r w:rsidRPr="00236418">
          <w:rPr>
            <w:webHidden/>
          </w:rPr>
        </w:r>
        <w:r w:rsidRPr="00236418">
          <w:rPr>
            <w:webHidden/>
          </w:rPr>
          <w:fldChar w:fldCharType="separate"/>
        </w:r>
        <w:r w:rsidR="00416481" w:rsidRPr="00236418">
          <w:rPr>
            <w:webHidden/>
          </w:rPr>
          <w:t>5</w:t>
        </w:r>
        <w:r w:rsidRPr="00236418">
          <w:rPr>
            <w:webHidden/>
          </w:rPr>
          <w:fldChar w:fldCharType="end"/>
        </w:r>
      </w:hyperlink>
    </w:p>
    <w:p w14:paraId="0D6118C3" w14:textId="5CC91E60" w:rsidR="004D63AA" w:rsidRPr="00236418" w:rsidRDefault="003D539C">
      <w:pPr>
        <w:pStyle w:val="TOC1"/>
        <w:rPr>
          <w:rFonts w:asciiTheme="minorHAnsi" w:eastAsiaTheme="minorEastAsia" w:hAnsiTheme="minorHAnsi" w:cstheme="minorBidi"/>
          <w:sz w:val="22"/>
          <w:szCs w:val="22"/>
          <w:lang w:eastAsia="fr-CH"/>
        </w:rPr>
      </w:pPr>
      <w:hyperlink w:anchor="_Toc41814926" w:history="1">
        <w:r w:rsidR="004D63AA" w:rsidRPr="00236418">
          <w:rPr>
            <w:rStyle w:val="Hyperlink"/>
            <w:w w:val="105"/>
          </w:rPr>
          <w:t>Rapport de gestion 2019</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_Toc41814926 \h </w:instrText>
        </w:r>
        <w:r w:rsidR="004D63AA" w:rsidRPr="00236418">
          <w:rPr>
            <w:webHidden/>
          </w:rPr>
        </w:r>
        <w:r w:rsidR="004D63AA" w:rsidRPr="00236418">
          <w:rPr>
            <w:webHidden/>
          </w:rPr>
          <w:fldChar w:fldCharType="separate"/>
        </w:r>
        <w:r w:rsidR="00416481" w:rsidRPr="00236418">
          <w:rPr>
            <w:webHidden/>
          </w:rPr>
          <w:t>16</w:t>
        </w:r>
        <w:r w:rsidR="004D63AA" w:rsidRPr="00236418">
          <w:rPr>
            <w:webHidden/>
          </w:rPr>
          <w:fldChar w:fldCharType="end"/>
        </w:r>
      </w:hyperlink>
    </w:p>
    <w:p w14:paraId="4D5A860D" w14:textId="35A79C4B" w:rsidR="004D63AA" w:rsidRPr="00236418" w:rsidRDefault="003D539C">
      <w:pPr>
        <w:pStyle w:val="TOC1"/>
        <w:rPr>
          <w:rFonts w:asciiTheme="minorHAnsi" w:eastAsiaTheme="minorEastAsia" w:hAnsiTheme="minorHAnsi" w:cstheme="minorBidi"/>
          <w:sz w:val="22"/>
          <w:szCs w:val="22"/>
          <w:lang w:eastAsia="fr-CH"/>
        </w:rPr>
      </w:pPr>
      <w:hyperlink w:anchor="_Toc41814928" w:history="1">
        <w:r w:rsidR="004D63AA" w:rsidRPr="00236418">
          <w:rPr>
            <w:rStyle w:val="Hyperlink"/>
          </w:rPr>
          <w:t>Déclaration sur le contrôle interne pour 2019</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_Toc41814928 \h </w:instrText>
        </w:r>
        <w:r w:rsidR="004D63AA" w:rsidRPr="00236418">
          <w:rPr>
            <w:webHidden/>
          </w:rPr>
        </w:r>
        <w:r w:rsidR="004D63AA" w:rsidRPr="00236418">
          <w:rPr>
            <w:webHidden/>
          </w:rPr>
          <w:fldChar w:fldCharType="separate"/>
        </w:r>
        <w:r w:rsidR="00416481" w:rsidRPr="00236418">
          <w:rPr>
            <w:webHidden/>
          </w:rPr>
          <w:t>19</w:t>
        </w:r>
        <w:r w:rsidR="004D63AA" w:rsidRPr="00236418">
          <w:rPr>
            <w:webHidden/>
          </w:rPr>
          <w:fldChar w:fldCharType="end"/>
        </w:r>
      </w:hyperlink>
    </w:p>
    <w:p w14:paraId="493C2078" w14:textId="45B2DAB0" w:rsidR="004D63AA" w:rsidRPr="00236418" w:rsidRDefault="003D539C">
      <w:pPr>
        <w:pStyle w:val="TOC1"/>
        <w:rPr>
          <w:rFonts w:asciiTheme="minorHAnsi" w:eastAsiaTheme="minorEastAsia" w:hAnsiTheme="minorHAnsi" w:cstheme="minorBidi"/>
          <w:sz w:val="22"/>
          <w:szCs w:val="22"/>
          <w:lang w:eastAsia="fr-CH"/>
        </w:rPr>
      </w:pPr>
      <w:hyperlink w:anchor="_Toc41814935" w:history="1">
        <w:r w:rsidR="004D63AA" w:rsidRPr="00236418">
          <w:rPr>
            <w:rStyle w:val="Hyperlink"/>
          </w:rPr>
          <w:t>Certification des états financiers pour l'année s'arrêtant au 31 décembre 2019</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_Toc41814935 \h </w:instrText>
        </w:r>
        <w:r w:rsidR="004D63AA" w:rsidRPr="00236418">
          <w:rPr>
            <w:webHidden/>
          </w:rPr>
        </w:r>
        <w:r w:rsidR="004D63AA" w:rsidRPr="00236418">
          <w:rPr>
            <w:webHidden/>
          </w:rPr>
          <w:fldChar w:fldCharType="separate"/>
        </w:r>
        <w:r w:rsidR="00416481" w:rsidRPr="00236418">
          <w:rPr>
            <w:webHidden/>
          </w:rPr>
          <w:t>23</w:t>
        </w:r>
        <w:r w:rsidR="004D63AA" w:rsidRPr="00236418">
          <w:rPr>
            <w:webHidden/>
          </w:rPr>
          <w:fldChar w:fldCharType="end"/>
        </w:r>
      </w:hyperlink>
    </w:p>
    <w:p w14:paraId="22B66D45" w14:textId="32C71F6B" w:rsidR="004D63AA" w:rsidRPr="00236418" w:rsidRDefault="003D539C">
      <w:pPr>
        <w:pStyle w:val="TOC1"/>
        <w:rPr>
          <w:rFonts w:asciiTheme="minorHAnsi" w:eastAsiaTheme="minorEastAsia" w:hAnsiTheme="minorHAnsi" w:cstheme="minorBidi"/>
          <w:sz w:val="22"/>
          <w:szCs w:val="22"/>
          <w:lang w:eastAsia="fr-CH"/>
        </w:rPr>
      </w:pPr>
      <w:hyperlink w:anchor="_Toc41814936" w:history="1">
        <w:r w:rsidR="004D63AA" w:rsidRPr="00236418">
          <w:rPr>
            <w:rStyle w:val="Hyperlink"/>
            <w:lang w:eastAsia="zh-CN"/>
          </w:rPr>
          <w:t>ÉTATS FINANCIERS</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_Toc41814936 \h </w:instrText>
        </w:r>
        <w:r w:rsidR="004D63AA" w:rsidRPr="00236418">
          <w:rPr>
            <w:webHidden/>
          </w:rPr>
        </w:r>
        <w:r w:rsidR="004D63AA" w:rsidRPr="00236418">
          <w:rPr>
            <w:webHidden/>
          </w:rPr>
          <w:fldChar w:fldCharType="separate"/>
        </w:r>
        <w:r w:rsidR="00416481" w:rsidRPr="00236418">
          <w:rPr>
            <w:webHidden/>
          </w:rPr>
          <w:t>24</w:t>
        </w:r>
        <w:r w:rsidR="004D63AA" w:rsidRPr="00236418">
          <w:rPr>
            <w:webHidden/>
          </w:rPr>
          <w:fldChar w:fldCharType="end"/>
        </w:r>
      </w:hyperlink>
    </w:p>
    <w:p w14:paraId="4B8AA318" w14:textId="3D44A19F" w:rsidR="004D63AA" w:rsidRPr="00236418" w:rsidRDefault="003D539C">
      <w:pPr>
        <w:pStyle w:val="TOC1"/>
        <w:rPr>
          <w:rFonts w:asciiTheme="minorHAnsi" w:eastAsiaTheme="minorEastAsia" w:hAnsiTheme="minorHAnsi" w:cstheme="minorBidi"/>
          <w:sz w:val="22"/>
          <w:szCs w:val="22"/>
          <w:lang w:eastAsia="fr-CH"/>
        </w:rPr>
      </w:pPr>
      <w:hyperlink w:anchor="_Toc41814937" w:history="1">
        <w:r w:rsidR="004D63AA" w:rsidRPr="00236418">
          <w:rPr>
            <w:rStyle w:val="Hyperlink"/>
          </w:rPr>
          <w:t>I</w:t>
        </w:r>
        <w:r w:rsidR="00846AEB" w:rsidRPr="00236418">
          <w:rPr>
            <w:rStyle w:val="Hyperlink"/>
          </w:rPr>
          <w:tab/>
        </w:r>
        <w:r w:rsidR="004D63AA" w:rsidRPr="00236418">
          <w:rPr>
            <w:rStyle w:val="Hyperlink"/>
          </w:rPr>
          <w:t xml:space="preserve">État de la situation financière – Bilan au 31 décembre 2019 avec chiffres comparatifs </w:t>
        </w:r>
        <w:r w:rsidR="00C468CA" w:rsidRPr="00236418">
          <w:rPr>
            <w:rStyle w:val="Hyperlink"/>
          </w:rPr>
          <w:br/>
        </w:r>
        <w:r w:rsidR="004D63AA" w:rsidRPr="00236418">
          <w:rPr>
            <w:rStyle w:val="Hyperlink"/>
          </w:rPr>
          <w:t>au 31 décembre 2018</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_Toc41814937 \h </w:instrText>
        </w:r>
        <w:r w:rsidR="004D63AA" w:rsidRPr="00236418">
          <w:rPr>
            <w:webHidden/>
          </w:rPr>
        </w:r>
        <w:r w:rsidR="004D63AA" w:rsidRPr="00236418">
          <w:rPr>
            <w:webHidden/>
          </w:rPr>
          <w:fldChar w:fldCharType="separate"/>
        </w:r>
        <w:r w:rsidR="00416481" w:rsidRPr="00236418">
          <w:rPr>
            <w:webHidden/>
          </w:rPr>
          <w:t>26</w:t>
        </w:r>
        <w:r w:rsidR="004D63AA" w:rsidRPr="00236418">
          <w:rPr>
            <w:webHidden/>
          </w:rPr>
          <w:fldChar w:fldCharType="end"/>
        </w:r>
      </w:hyperlink>
    </w:p>
    <w:p w14:paraId="209F9DF2" w14:textId="4BAB0139" w:rsidR="004D63AA" w:rsidRPr="00236418" w:rsidRDefault="003D539C">
      <w:pPr>
        <w:pStyle w:val="TOC1"/>
        <w:rPr>
          <w:rFonts w:asciiTheme="minorHAnsi" w:eastAsiaTheme="minorEastAsia" w:hAnsiTheme="minorHAnsi" w:cstheme="minorBidi"/>
          <w:sz w:val="22"/>
          <w:szCs w:val="22"/>
          <w:lang w:eastAsia="fr-CH"/>
        </w:rPr>
      </w:pPr>
      <w:hyperlink w:anchor="_Toc41814938" w:history="1">
        <w:r w:rsidR="004D63AA" w:rsidRPr="00236418">
          <w:rPr>
            <w:rStyle w:val="Hyperlink"/>
          </w:rPr>
          <w:t>II</w:t>
        </w:r>
        <w:r w:rsidR="00846AEB" w:rsidRPr="00236418">
          <w:rPr>
            <w:rStyle w:val="Hyperlink"/>
          </w:rPr>
          <w:tab/>
        </w:r>
        <w:r w:rsidR="004D63AA" w:rsidRPr="00236418">
          <w:rPr>
            <w:rStyle w:val="Hyperlink"/>
          </w:rPr>
          <w:t>État de la performance financière pour l'exercice clos le 31 décembre 2019 avec chiffres</w:t>
        </w:r>
        <w:r w:rsidR="00846AEB" w:rsidRPr="00236418">
          <w:rPr>
            <w:rStyle w:val="Hyperlink"/>
          </w:rPr>
          <w:t> </w:t>
        </w:r>
        <w:r w:rsidR="004D63AA" w:rsidRPr="00236418">
          <w:rPr>
            <w:rStyle w:val="Hyperlink"/>
          </w:rPr>
          <w:t>comparatifs au 31 décembre 2018</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_Toc41814938 \h </w:instrText>
        </w:r>
        <w:r w:rsidR="004D63AA" w:rsidRPr="00236418">
          <w:rPr>
            <w:webHidden/>
          </w:rPr>
        </w:r>
        <w:r w:rsidR="004D63AA" w:rsidRPr="00236418">
          <w:rPr>
            <w:webHidden/>
          </w:rPr>
          <w:fldChar w:fldCharType="separate"/>
        </w:r>
        <w:r w:rsidR="00416481" w:rsidRPr="00236418">
          <w:rPr>
            <w:webHidden/>
          </w:rPr>
          <w:t>27</w:t>
        </w:r>
        <w:r w:rsidR="004D63AA" w:rsidRPr="00236418">
          <w:rPr>
            <w:webHidden/>
          </w:rPr>
          <w:fldChar w:fldCharType="end"/>
        </w:r>
      </w:hyperlink>
    </w:p>
    <w:p w14:paraId="267B18AB" w14:textId="083B5877" w:rsidR="004D63AA" w:rsidRPr="00236418" w:rsidRDefault="003D539C">
      <w:pPr>
        <w:pStyle w:val="TOC1"/>
        <w:rPr>
          <w:rFonts w:asciiTheme="minorHAnsi" w:eastAsiaTheme="minorEastAsia" w:hAnsiTheme="minorHAnsi" w:cstheme="minorBidi"/>
          <w:sz w:val="22"/>
          <w:szCs w:val="22"/>
          <w:lang w:eastAsia="fr-CH"/>
        </w:rPr>
      </w:pPr>
      <w:hyperlink w:anchor="_Toc41814939" w:history="1">
        <w:r w:rsidR="004D63AA" w:rsidRPr="00236418">
          <w:rPr>
            <w:rStyle w:val="Hyperlink"/>
          </w:rPr>
          <w:t>III</w:t>
        </w:r>
        <w:r w:rsidR="00846AEB" w:rsidRPr="00236418">
          <w:rPr>
            <w:rStyle w:val="Hyperlink"/>
          </w:rPr>
          <w:tab/>
        </w:r>
        <w:r w:rsidR="004D63AA" w:rsidRPr="00236418">
          <w:rPr>
            <w:rStyle w:val="Hyperlink"/>
          </w:rPr>
          <w:t>État des variations de l'actif net pour l'exercice clos  le 31 décembre 2019</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_Toc41814939 \h </w:instrText>
        </w:r>
        <w:r w:rsidR="004D63AA" w:rsidRPr="00236418">
          <w:rPr>
            <w:webHidden/>
          </w:rPr>
        </w:r>
        <w:r w:rsidR="004D63AA" w:rsidRPr="00236418">
          <w:rPr>
            <w:webHidden/>
          </w:rPr>
          <w:fldChar w:fldCharType="separate"/>
        </w:r>
        <w:r w:rsidR="00416481" w:rsidRPr="00236418">
          <w:rPr>
            <w:webHidden/>
          </w:rPr>
          <w:t>28</w:t>
        </w:r>
        <w:r w:rsidR="004D63AA" w:rsidRPr="00236418">
          <w:rPr>
            <w:webHidden/>
          </w:rPr>
          <w:fldChar w:fldCharType="end"/>
        </w:r>
      </w:hyperlink>
    </w:p>
    <w:p w14:paraId="5B6E2419" w14:textId="6AEB7DD7" w:rsidR="004D63AA" w:rsidRPr="00236418" w:rsidRDefault="003D539C">
      <w:pPr>
        <w:pStyle w:val="TOC1"/>
        <w:rPr>
          <w:rFonts w:asciiTheme="minorHAnsi" w:eastAsiaTheme="minorEastAsia" w:hAnsiTheme="minorHAnsi" w:cstheme="minorBidi"/>
          <w:sz w:val="22"/>
          <w:szCs w:val="22"/>
          <w:lang w:eastAsia="fr-CH"/>
        </w:rPr>
      </w:pPr>
      <w:hyperlink w:anchor="_Toc41814940" w:history="1">
        <w:r w:rsidR="004D63AA" w:rsidRPr="00236418">
          <w:rPr>
            <w:rStyle w:val="Hyperlink"/>
          </w:rPr>
          <w:t>IV</w:t>
        </w:r>
        <w:r w:rsidR="00846AEB" w:rsidRPr="00236418">
          <w:rPr>
            <w:rStyle w:val="Hyperlink"/>
          </w:rPr>
          <w:tab/>
        </w:r>
        <w:r w:rsidR="004D63AA" w:rsidRPr="00236418">
          <w:rPr>
            <w:rStyle w:val="Hyperlink"/>
          </w:rPr>
          <w:t>État des flux de trésorerie pour l'exercice clos le 31 décembre 2019</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_Toc41814940 \h </w:instrText>
        </w:r>
        <w:r w:rsidR="004D63AA" w:rsidRPr="00236418">
          <w:rPr>
            <w:webHidden/>
          </w:rPr>
        </w:r>
        <w:r w:rsidR="004D63AA" w:rsidRPr="00236418">
          <w:rPr>
            <w:webHidden/>
          </w:rPr>
          <w:fldChar w:fldCharType="separate"/>
        </w:r>
        <w:r w:rsidR="00416481" w:rsidRPr="00236418">
          <w:rPr>
            <w:webHidden/>
          </w:rPr>
          <w:t>29</w:t>
        </w:r>
        <w:r w:rsidR="004D63AA" w:rsidRPr="00236418">
          <w:rPr>
            <w:webHidden/>
          </w:rPr>
          <w:fldChar w:fldCharType="end"/>
        </w:r>
      </w:hyperlink>
    </w:p>
    <w:p w14:paraId="2B6BB3F7" w14:textId="3DFF13BF" w:rsidR="004D63AA" w:rsidRPr="00236418" w:rsidRDefault="003D539C">
      <w:pPr>
        <w:pStyle w:val="TOC1"/>
        <w:rPr>
          <w:rFonts w:asciiTheme="minorHAnsi" w:eastAsiaTheme="minorEastAsia" w:hAnsiTheme="minorHAnsi" w:cstheme="minorBidi"/>
          <w:sz w:val="22"/>
          <w:szCs w:val="22"/>
          <w:lang w:eastAsia="fr-CH"/>
        </w:rPr>
      </w:pPr>
      <w:hyperlink w:anchor="_Toc41814941" w:history="1">
        <w:r w:rsidR="004D63AA" w:rsidRPr="00236418">
          <w:rPr>
            <w:rStyle w:val="Hyperlink"/>
          </w:rPr>
          <w:t>V</w:t>
        </w:r>
        <w:r w:rsidR="00846AEB" w:rsidRPr="00236418">
          <w:rPr>
            <w:rStyle w:val="Hyperlink"/>
          </w:rPr>
          <w:tab/>
        </w:r>
        <w:r w:rsidR="004D63AA" w:rsidRPr="00236418">
          <w:rPr>
            <w:rStyle w:val="Hyperlink"/>
          </w:rPr>
          <w:t>État de la comparaison des montants budgétés et des montants  effectifs pour l'exercice</w:t>
        </w:r>
        <w:r w:rsidR="00846AEB" w:rsidRPr="00236418">
          <w:rPr>
            <w:rStyle w:val="Hyperlink"/>
          </w:rPr>
          <w:t> </w:t>
        </w:r>
        <w:r w:rsidR="004D63AA" w:rsidRPr="00236418">
          <w:rPr>
            <w:rStyle w:val="Hyperlink"/>
          </w:rPr>
          <w:t>2019</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_Toc41814941 \h </w:instrText>
        </w:r>
        <w:r w:rsidR="004D63AA" w:rsidRPr="00236418">
          <w:rPr>
            <w:webHidden/>
          </w:rPr>
        </w:r>
        <w:r w:rsidR="004D63AA" w:rsidRPr="00236418">
          <w:rPr>
            <w:webHidden/>
          </w:rPr>
          <w:fldChar w:fldCharType="separate"/>
        </w:r>
        <w:r w:rsidR="00416481" w:rsidRPr="00236418">
          <w:rPr>
            <w:webHidden/>
          </w:rPr>
          <w:t>30</w:t>
        </w:r>
        <w:r w:rsidR="004D63AA" w:rsidRPr="00236418">
          <w:rPr>
            <w:webHidden/>
          </w:rPr>
          <w:fldChar w:fldCharType="end"/>
        </w:r>
      </w:hyperlink>
    </w:p>
    <w:p w14:paraId="2FFD9D6D" w14:textId="4A445B71" w:rsidR="004D63AA" w:rsidRPr="00236418" w:rsidRDefault="003D539C">
      <w:pPr>
        <w:pStyle w:val="TOC1"/>
        <w:rPr>
          <w:rFonts w:asciiTheme="minorHAnsi" w:eastAsiaTheme="minorEastAsia" w:hAnsiTheme="minorHAnsi" w:cstheme="minorBidi"/>
          <w:sz w:val="22"/>
          <w:szCs w:val="22"/>
          <w:lang w:eastAsia="fr-CH"/>
        </w:rPr>
      </w:pPr>
      <w:hyperlink w:anchor="_Toc41814996" w:history="1">
        <w:r w:rsidR="004D63AA" w:rsidRPr="00236418">
          <w:rPr>
            <w:rStyle w:val="Hyperlink"/>
          </w:rPr>
          <w:t>VI</w:t>
        </w:r>
        <w:r w:rsidR="004D63AA" w:rsidRPr="00236418">
          <w:rPr>
            <w:rFonts w:asciiTheme="minorHAnsi" w:eastAsiaTheme="minorEastAsia" w:hAnsiTheme="minorHAnsi" w:cstheme="minorBidi"/>
            <w:sz w:val="22"/>
            <w:szCs w:val="22"/>
            <w:lang w:eastAsia="fr-CH"/>
          </w:rPr>
          <w:tab/>
        </w:r>
        <w:r w:rsidR="004D63AA" w:rsidRPr="00236418">
          <w:rPr>
            <w:rStyle w:val="Hyperlink"/>
          </w:rPr>
          <w:t>CONTRIBUTIONS VOLONTAIRES (ANNEXE B5)</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_Toc41814996 \h </w:instrText>
        </w:r>
        <w:r w:rsidR="004D63AA" w:rsidRPr="00236418">
          <w:rPr>
            <w:webHidden/>
          </w:rPr>
        </w:r>
        <w:r w:rsidR="004D63AA" w:rsidRPr="00236418">
          <w:rPr>
            <w:webHidden/>
          </w:rPr>
          <w:fldChar w:fldCharType="separate"/>
        </w:r>
        <w:r w:rsidR="00416481" w:rsidRPr="00236418">
          <w:rPr>
            <w:webHidden/>
          </w:rPr>
          <w:t>82</w:t>
        </w:r>
        <w:r w:rsidR="004D63AA" w:rsidRPr="00236418">
          <w:rPr>
            <w:webHidden/>
          </w:rPr>
          <w:fldChar w:fldCharType="end"/>
        </w:r>
      </w:hyperlink>
    </w:p>
    <w:p w14:paraId="2F8D2DA6" w14:textId="0F7675E1" w:rsidR="004D63AA" w:rsidRPr="00236418" w:rsidRDefault="003D539C">
      <w:pPr>
        <w:pStyle w:val="TOC1"/>
        <w:rPr>
          <w:rFonts w:asciiTheme="minorHAnsi" w:eastAsiaTheme="minorEastAsia" w:hAnsiTheme="minorHAnsi" w:cstheme="minorBidi"/>
          <w:sz w:val="22"/>
          <w:szCs w:val="22"/>
          <w:lang w:eastAsia="fr-CH"/>
        </w:rPr>
      </w:pPr>
      <w:hyperlink w:anchor="_Toc41814997" w:history="1">
        <w:r w:rsidR="004D63AA" w:rsidRPr="00236418">
          <w:rPr>
            <w:rStyle w:val="Hyperlink"/>
          </w:rPr>
          <w:t>VII</w:t>
        </w:r>
        <w:r w:rsidR="004D63AA" w:rsidRPr="00236418">
          <w:rPr>
            <w:rFonts w:asciiTheme="minorHAnsi" w:eastAsiaTheme="minorEastAsia" w:hAnsiTheme="minorHAnsi" w:cstheme="minorBidi"/>
            <w:sz w:val="22"/>
            <w:szCs w:val="22"/>
            <w:lang w:eastAsia="fr-CH"/>
          </w:rPr>
          <w:tab/>
        </w:r>
        <w:r w:rsidR="004D63AA" w:rsidRPr="00236418">
          <w:rPr>
            <w:rStyle w:val="Hyperlink"/>
          </w:rPr>
          <w:t>FONDS POUR LE DÉVELOPPEMENT DES TIC (FDTIC) (ANNEXE B6)</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_Toc41814997 \h </w:instrText>
        </w:r>
        <w:r w:rsidR="004D63AA" w:rsidRPr="00236418">
          <w:rPr>
            <w:webHidden/>
          </w:rPr>
        </w:r>
        <w:r w:rsidR="004D63AA" w:rsidRPr="00236418">
          <w:rPr>
            <w:webHidden/>
          </w:rPr>
          <w:fldChar w:fldCharType="separate"/>
        </w:r>
        <w:r w:rsidR="00416481" w:rsidRPr="00236418">
          <w:rPr>
            <w:webHidden/>
          </w:rPr>
          <w:t>82</w:t>
        </w:r>
        <w:r w:rsidR="004D63AA" w:rsidRPr="00236418">
          <w:rPr>
            <w:webHidden/>
          </w:rPr>
          <w:fldChar w:fldCharType="end"/>
        </w:r>
      </w:hyperlink>
    </w:p>
    <w:p w14:paraId="561D04FB" w14:textId="428D07C6" w:rsidR="004D63AA" w:rsidRPr="00236418" w:rsidRDefault="003D539C">
      <w:pPr>
        <w:pStyle w:val="TOC1"/>
        <w:rPr>
          <w:rFonts w:asciiTheme="minorHAnsi" w:eastAsiaTheme="minorEastAsia" w:hAnsiTheme="minorHAnsi" w:cstheme="minorBidi"/>
          <w:sz w:val="22"/>
          <w:szCs w:val="22"/>
          <w:lang w:eastAsia="fr-CH"/>
        </w:rPr>
      </w:pPr>
      <w:hyperlink w:anchor="_Toc41814998" w:history="1">
        <w:r w:rsidR="004D63AA" w:rsidRPr="00236418">
          <w:rPr>
            <w:rStyle w:val="Hyperlink"/>
            <w:w w:val="105"/>
          </w:rPr>
          <w:t>VIII</w:t>
        </w:r>
        <w:r w:rsidR="004D63AA" w:rsidRPr="00236418">
          <w:rPr>
            <w:rFonts w:asciiTheme="minorHAnsi" w:eastAsiaTheme="minorEastAsia" w:hAnsiTheme="minorHAnsi" w:cstheme="minorBidi"/>
            <w:sz w:val="22"/>
            <w:szCs w:val="22"/>
            <w:lang w:eastAsia="fr-CH"/>
          </w:rPr>
          <w:tab/>
        </w:r>
        <w:r w:rsidR="004D63AA" w:rsidRPr="00236418">
          <w:rPr>
            <w:rStyle w:val="Hyperlink"/>
            <w:w w:val="105"/>
          </w:rPr>
          <w:t>ITU TELECOM WORLD 2019 (ANNEXE B7)</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_Toc41814998 \h </w:instrText>
        </w:r>
        <w:r w:rsidR="004D63AA" w:rsidRPr="00236418">
          <w:rPr>
            <w:webHidden/>
          </w:rPr>
        </w:r>
        <w:r w:rsidR="004D63AA" w:rsidRPr="00236418">
          <w:rPr>
            <w:webHidden/>
          </w:rPr>
          <w:fldChar w:fldCharType="separate"/>
        </w:r>
        <w:r w:rsidR="00416481" w:rsidRPr="00236418">
          <w:rPr>
            <w:webHidden/>
          </w:rPr>
          <w:t>82</w:t>
        </w:r>
        <w:r w:rsidR="004D63AA" w:rsidRPr="00236418">
          <w:rPr>
            <w:webHidden/>
          </w:rPr>
          <w:fldChar w:fldCharType="end"/>
        </w:r>
      </w:hyperlink>
    </w:p>
    <w:p w14:paraId="3254FC8F" w14:textId="5FE736C1" w:rsidR="004D63AA" w:rsidRPr="00236418" w:rsidRDefault="003D539C">
      <w:pPr>
        <w:pStyle w:val="TOC1"/>
        <w:rPr>
          <w:rFonts w:asciiTheme="minorHAnsi" w:eastAsiaTheme="minorEastAsia" w:hAnsiTheme="minorHAnsi" w:cstheme="minorBidi"/>
          <w:sz w:val="22"/>
          <w:szCs w:val="22"/>
          <w:lang w:eastAsia="fr-CH"/>
        </w:rPr>
      </w:pPr>
      <w:hyperlink w:anchor="_Toc41814999" w:history="1">
        <w:r w:rsidR="004D63AA" w:rsidRPr="00236418">
          <w:rPr>
            <w:rStyle w:val="Hyperlink"/>
          </w:rPr>
          <w:t>IX</w:t>
        </w:r>
        <w:r w:rsidR="004D63AA" w:rsidRPr="00236418">
          <w:rPr>
            <w:rFonts w:asciiTheme="minorHAnsi" w:eastAsiaTheme="minorEastAsia" w:hAnsiTheme="minorHAnsi" w:cstheme="minorBidi"/>
            <w:sz w:val="22"/>
            <w:szCs w:val="22"/>
            <w:lang w:eastAsia="fr-CH"/>
          </w:rPr>
          <w:tab/>
        </w:r>
        <w:r w:rsidR="004D63AA" w:rsidRPr="00236418">
          <w:rPr>
            <w:rStyle w:val="Hyperlink"/>
          </w:rPr>
          <w:t>DÉCLARATION DE LA SITUATION FINANCIÈRE</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_Toc41814999 \h </w:instrText>
        </w:r>
        <w:r w:rsidR="004D63AA" w:rsidRPr="00236418">
          <w:rPr>
            <w:webHidden/>
          </w:rPr>
        </w:r>
        <w:r w:rsidR="004D63AA" w:rsidRPr="00236418">
          <w:rPr>
            <w:webHidden/>
          </w:rPr>
          <w:fldChar w:fldCharType="separate"/>
        </w:r>
        <w:r w:rsidR="00416481" w:rsidRPr="00236418">
          <w:rPr>
            <w:webHidden/>
          </w:rPr>
          <w:t>83</w:t>
        </w:r>
        <w:r w:rsidR="004D63AA" w:rsidRPr="00236418">
          <w:rPr>
            <w:webHidden/>
          </w:rPr>
          <w:fldChar w:fldCharType="end"/>
        </w:r>
      </w:hyperlink>
    </w:p>
    <w:p w14:paraId="0169B898" w14:textId="7B10DF1D" w:rsidR="004D63AA" w:rsidRPr="00236418" w:rsidRDefault="003D539C">
      <w:pPr>
        <w:pStyle w:val="TOC1"/>
        <w:rPr>
          <w:rFonts w:asciiTheme="minorHAnsi" w:eastAsiaTheme="minorEastAsia" w:hAnsiTheme="minorHAnsi" w:cstheme="minorBidi"/>
          <w:sz w:val="22"/>
          <w:szCs w:val="22"/>
          <w:lang w:eastAsia="fr-CH"/>
        </w:rPr>
      </w:pPr>
      <w:hyperlink w:anchor="_Toc41815000" w:history="1">
        <w:r w:rsidR="004D63AA" w:rsidRPr="00236418">
          <w:rPr>
            <w:rStyle w:val="Hyperlink"/>
            <w:rFonts w:cstheme="minorHAnsi"/>
          </w:rPr>
          <w:t>X</w:t>
        </w:r>
        <w:r w:rsidR="004D63AA" w:rsidRPr="00236418">
          <w:rPr>
            <w:rFonts w:asciiTheme="minorHAnsi" w:eastAsiaTheme="minorEastAsia" w:hAnsiTheme="minorHAnsi" w:cstheme="minorBidi"/>
            <w:sz w:val="22"/>
            <w:szCs w:val="22"/>
            <w:lang w:eastAsia="fr-CH"/>
          </w:rPr>
          <w:tab/>
        </w:r>
        <w:r w:rsidR="004D63AA" w:rsidRPr="00236418">
          <w:rPr>
            <w:rStyle w:val="Hyperlink"/>
          </w:rPr>
          <w:t>VÉRIFICATION EXTÉRIEURE DES COMPTES DE L'UNION</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_Toc41815000 \h </w:instrText>
        </w:r>
        <w:r w:rsidR="004D63AA" w:rsidRPr="00236418">
          <w:rPr>
            <w:webHidden/>
          </w:rPr>
        </w:r>
        <w:r w:rsidR="004D63AA" w:rsidRPr="00236418">
          <w:rPr>
            <w:webHidden/>
          </w:rPr>
          <w:fldChar w:fldCharType="separate"/>
        </w:r>
        <w:r w:rsidR="00416481" w:rsidRPr="00236418">
          <w:rPr>
            <w:webHidden/>
          </w:rPr>
          <w:t>84</w:t>
        </w:r>
        <w:r w:rsidR="004D63AA" w:rsidRPr="00236418">
          <w:rPr>
            <w:webHidden/>
          </w:rPr>
          <w:fldChar w:fldCharType="end"/>
        </w:r>
      </w:hyperlink>
    </w:p>
    <w:p w14:paraId="4FDB4D00" w14:textId="7762CAAF" w:rsidR="004D63AA" w:rsidRPr="00236418" w:rsidRDefault="003D539C">
      <w:pPr>
        <w:pStyle w:val="TOC1"/>
        <w:rPr>
          <w:rFonts w:asciiTheme="minorHAnsi" w:eastAsiaTheme="minorEastAsia" w:hAnsiTheme="minorHAnsi" w:cstheme="minorBidi"/>
          <w:sz w:val="22"/>
          <w:szCs w:val="22"/>
          <w:lang w:eastAsia="fr-CH"/>
        </w:rPr>
      </w:pPr>
      <w:hyperlink w:anchor="_Toc41815001" w:history="1">
        <w:r w:rsidR="004D63AA" w:rsidRPr="00236418">
          <w:rPr>
            <w:rStyle w:val="Hyperlink"/>
          </w:rPr>
          <w:t>ANNEXE A</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_Toc41815001 \h </w:instrText>
        </w:r>
        <w:r w:rsidR="004D63AA" w:rsidRPr="00236418">
          <w:rPr>
            <w:webHidden/>
          </w:rPr>
        </w:r>
        <w:r w:rsidR="004D63AA" w:rsidRPr="00236418">
          <w:rPr>
            <w:webHidden/>
          </w:rPr>
          <w:fldChar w:fldCharType="separate"/>
        </w:r>
        <w:r w:rsidR="00416481" w:rsidRPr="00236418">
          <w:rPr>
            <w:webHidden/>
          </w:rPr>
          <w:t>85</w:t>
        </w:r>
        <w:r w:rsidR="004D63AA" w:rsidRPr="00236418">
          <w:rPr>
            <w:webHidden/>
          </w:rPr>
          <w:fldChar w:fldCharType="end"/>
        </w:r>
      </w:hyperlink>
    </w:p>
    <w:p w14:paraId="2B25D22B" w14:textId="29BBB3D6" w:rsidR="004D63AA" w:rsidRPr="00236418" w:rsidRDefault="003D539C">
      <w:pPr>
        <w:pStyle w:val="TOC1"/>
        <w:rPr>
          <w:rFonts w:asciiTheme="minorHAnsi" w:eastAsiaTheme="minorEastAsia" w:hAnsiTheme="minorHAnsi" w:cstheme="minorBidi"/>
          <w:sz w:val="22"/>
          <w:szCs w:val="22"/>
          <w:lang w:eastAsia="fr-CH"/>
        </w:rPr>
      </w:pPr>
      <w:hyperlink w:anchor="_Toc41815002" w:history="1">
        <w:r w:rsidR="004D63AA" w:rsidRPr="00236418">
          <w:rPr>
            <w:rStyle w:val="Hyperlink"/>
          </w:rPr>
          <w:t>ANNEXE B1</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_Toc41815002 \h </w:instrText>
        </w:r>
        <w:r w:rsidR="004D63AA" w:rsidRPr="00236418">
          <w:rPr>
            <w:webHidden/>
          </w:rPr>
        </w:r>
        <w:r w:rsidR="004D63AA" w:rsidRPr="00236418">
          <w:rPr>
            <w:webHidden/>
          </w:rPr>
          <w:fldChar w:fldCharType="separate"/>
        </w:r>
        <w:r w:rsidR="00416481" w:rsidRPr="00236418">
          <w:rPr>
            <w:webHidden/>
          </w:rPr>
          <w:t>86</w:t>
        </w:r>
        <w:r w:rsidR="004D63AA" w:rsidRPr="00236418">
          <w:rPr>
            <w:webHidden/>
          </w:rPr>
          <w:fldChar w:fldCharType="end"/>
        </w:r>
      </w:hyperlink>
    </w:p>
    <w:p w14:paraId="64FC8067" w14:textId="07284EF9" w:rsidR="004D63AA" w:rsidRPr="00236418" w:rsidRDefault="003D539C">
      <w:pPr>
        <w:pStyle w:val="TOC1"/>
        <w:rPr>
          <w:rFonts w:asciiTheme="minorHAnsi" w:eastAsiaTheme="minorEastAsia" w:hAnsiTheme="minorHAnsi" w:cstheme="minorBidi"/>
          <w:sz w:val="22"/>
          <w:szCs w:val="22"/>
          <w:lang w:eastAsia="fr-CH"/>
        </w:rPr>
      </w:pPr>
      <w:hyperlink w:anchor="_Toc41815003" w:history="1">
        <w:r w:rsidR="004D63AA" w:rsidRPr="00236418">
          <w:rPr>
            <w:rStyle w:val="Hyperlink"/>
          </w:rPr>
          <w:t>ANNEXE B2</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_Toc41815003 \h </w:instrText>
        </w:r>
        <w:r w:rsidR="004D63AA" w:rsidRPr="00236418">
          <w:rPr>
            <w:webHidden/>
          </w:rPr>
        </w:r>
        <w:r w:rsidR="004D63AA" w:rsidRPr="00236418">
          <w:rPr>
            <w:webHidden/>
          </w:rPr>
          <w:fldChar w:fldCharType="separate"/>
        </w:r>
        <w:r w:rsidR="00416481" w:rsidRPr="00236418">
          <w:rPr>
            <w:webHidden/>
          </w:rPr>
          <w:t>87</w:t>
        </w:r>
        <w:r w:rsidR="004D63AA" w:rsidRPr="00236418">
          <w:rPr>
            <w:webHidden/>
          </w:rPr>
          <w:fldChar w:fldCharType="end"/>
        </w:r>
      </w:hyperlink>
    </w:p>
    <w:p w14:paraId="45D6E5E1" w14:textId="7A53DFA4" w:rsidR="004D63AA" w:rsidRPr="00236418" w:rsidRDefault="003D539C">
      <w:pPr>
        <w:pStyle w:val="TOC1"/>
        <w:rPr>
          <w:rFonts w:asciiTheme="minorHAnsi" w:eastAsiaTheme="minorEastAsia" w:hAnsiTheme="minorHAnsi" w:cstheme="minorBidi"/>
          <w:sz w:val="22"/>
          <w:szCs w:val="22"/>
          <w:lang w:eastAsia="fr-CH"/>
        </w:rPr>
      </w:pPr>
      <w:hyperlink w:anchor="_Toc41815004" w:history="1">
        <w:r w:rsidR="004D63AA" w:rsidRPr="00236418">
          <w:rPr>
            <w:rStyle w:val="Hyperlink"/>
          </w:rPr>
          <w:t>ANNEXE B3</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_Toc41815004 \h </w:instrText>
        </w:r>
        <w:r w:rsidR="004D63AA" w:rsidRPr="00236418">
          <w:rPr>
            <w:webHidden/>
          </w:rPr>
        </w:r>
        <w:r w:rsidR="004D63AA" w:rsidRPr="00236418">
          <w:rPr>
            <w:webHidden/>
          </w:rPr>
          <w:fldChar w:fldCharType="separate"/>
        </w:r>
        <w:r w:rsidR="00416481" w:rsidRPr="00236418">
          <w:rPr>
            <w:webHidden/>
          </w:rPr>
          <w:t>88</w:t>
        </w:r>
        <w:r w:rsidR="004D63AA" w:rsidRPr="00236418">
          <w:rPr>
            <w:webHidden/>
          </w:rPr>
          <w:fldChar w:fldCharType="end"/>
        </w:r>
      </w:hyperlink>
    </w:p>
    <w:p w14:paraId="603DC93F" w14:textId="62B8F8A4" w:rsidR="004D63AA" w:rsidRPr="00236418" w:rsidRDefault="003D539C">
      <w:pPr>
        <w:pStyle w:val="TOC1"/>
        <w:rPr>
          <w:rFonts w:asciiTheme="minorHAnsi" w:eastAsiaTheme="minorEastAsia" w:hAnsiTheme="minorHAnsi" w:cstheme="minorBidi"/>
          <w:sz w:val="22"/>
          <w:szCs w:val="22"/>
          <w:lang w:eastAsia="fr-CH"/>
        </w:rPr>
      </w:pPr>
      <w:hyperlink w:anchor="_Toc41815005" w:history="1">
        <w:r w:rsidR="004D63AA" w:rsidRPr="00236418">
          <w:rPr>
            <w:rStyle w:val="Hyperlink"/>
          </w:rPr>
          <w:t>ANNEXE B4</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_Toc41815005 \h </w:instrText>
        </w:r>
        <w:r w:rsidR="004D63AA" w:rsidRPr="00236418">
          <w:rPr>
            <w:webHidden/>
          </w:rPr>
        </w:r>
        <w:r w:rsidR="004D63AA" w:rsidRPr="00236418">
          <w:rPr>
            <w:webHidden/>
          </w:rPr>
          <w:fldChar w:fldCharType="separate"/>
        </w:r>
        <w:r w:rsidR="00416481" w:rsidRPr="00236418">
          <w:rPr>
            <w:webHidden/>
          </w:rPr>
          <w:t>89</w:t>
        </w:r>
        <w:r w:rsidR="004D63AA" w:rsidRPr="00236418">
          <w:rPr>
            <w:webHidden/>
          </w:rPr>
          <w:fldChar w:fldCharType="end"/>
        </w:r>
      </w:hyperlink>
    </w:p>
    <w:p w14:paraId="3D5E4DEE" w14:textId="24B3F7D1" w:rsidR="004D63AA" w:rsidRPr="00236418" w:rsidRDefault="003D539C">
      <w:pPr>
        <w:pStyle w:val="TOC1"/>
        <w:rPr>
          <w:rFonts w:asciiTheme="minorHAnsi" w:eastAsiaTheme="minorEastAsia" w:hAnsiTheme="minorHAnsi" w:cstheme="minorBidi"/>
          <w:sz w:val="22"/>
          <w:szCs w:val="22"/>
          <w:lang w:eastAsia="fr-CH"/>
        </w:rPr>
      </w:pPr>
      <w:hyperlink w:anchor="_Toc41815006" w:history="1">
        <w:r w:rsidR="004D63AA" w:rsidRPr="00236418">
          <w:rPr>
            <w:rStyle w:val="Hyperlink"/>
          </w:rPr>
          <w:t>ANNEXE B5</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_Toc41815006 \h </w:instrText>
        </w:r>
        <w:r w:rsidR="004D63AA" w:rsidRPr="00236418">
          <w:rPr>
            <w:webHidden/>
          </w:rPr>
        </w:r>
        <w:r w:rsidR="004D63AA" w:rsidRPr="00236418">
          <w:rPr>
            <w:webHidden/>
          </w:rPr>
          <w:fldChar w:fldCharType="separate"/>
        </w:r>
        <w:r w:rsidR="00416481" w:rsidRPr="00236418">
          <w:rPr>
            <w:webHidden/>
          </w:rPr>
          <w:t>95</w:t>
        </w:r>
        <w:r w:rsidR="004D63AA" w:rsidRPr="00236418">
          <w:rPr>
            <w:webHidden/>
          </w:rPr>
          <w:fldChar w:fldCharType="end"/>
        </w:r>
      </w:hyperlink>
    </w:p>
    <w:p w14:paraId="65E06758" w14:textId="7AA27F89" w:rsidR="004D63AA" w:rsidRPr="00236418" w:rsidRDefault="003D539C">
      <w:pPr>
        <w:pStyle w:val="TOC1"/>
        <w:rPr>
          <w:rFonts w:asciiTheme="minorHAnsi" w:eastAsiaTheme="minorEastAsia" w:hAnsiTheme="minorHAnsi" w:cstheme="minorBidi"/>
          <w:sz w:val="22"/>
          <w:szCs w:val="22"/>
          <w:lang w:eastAsia="fr-CH"/>
        </w:rPr>
      </w:pPr>
      <w:hyperlink w:anchor="_Toc41815007" w:history="1">
        <w:r w:rsidR="004D63AA" w:rsidRPr="00236418">
          <w:rPr>
            <w:rStyle w:val="Hyperlink"/>
          </w:rPr>
          <w:t>ANNEXE B6</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_Toc41815007 \h </w:instrText>
        </w:r>
        <w:r w:rsidR="004D63AA" w:rsidRPr="00236418">
          <w:rPr>
            <w:webHidden/>
          </w:rPr>
        </w:r>
        <w:r w:rsidR="004D63AA" w:rsidRPr="00236418">
          <w:rPr>
            <w:webHidden/>
          </w:rPr>
          <w:fldChar w:fldCharType="separate"/>
        </w:r>
        <w:r w:rsidR="00416481" w:rsidRPr="00236418">
          <w:rPr>
            <w:webHidden/>
          </w:rPr>
          <w:t>100</w:t>
        </w:r>
        <w:r w:rsidR="004D63AA" w:rsidRPr="00236418">
          <w:rPr>
            <w:webHidden/>
          </w:rPr>
          <w:fldChar w:fldCharType="end"/>
        </w:r>
      </w:hyperlink>
    </w:p>
    <w:p w14:paraId="6CE98A89" w14:textId="7108381E" w:rsidR="004D63AA" w:rsidRPr="00236418" w:rsidRDefault="003D539C">
      <w:pPr>
        <w:pStyle w:val="TOC1"/>
        <w:rPr>
          <w:rFonts w:asciiTheme="minorHAnsi" w:eastAsiaTheme="minorEastAsia" w:hAnsiTheme="minorHAnsi" w:cstheme="minorBidi"/>
          <w:sz w:val="22"/>
          <w:szCs w:val="22"/>
          <w:lang w:eastAsia="fr-CH"/>
        </w:rPr>
      </w:pPr>
      <w:hyperlink w:anchor="_Toc41815008" w:history="1">
        <w:r w:rsidR="004D63AA" w:rsidRPr="00236418">
          <w:rPr>
            <w:rStyle w:val="Hyperlink"/>
            <w:w w:val="105"/>
          </w:rPr>
          <w:t>ANNEXE B7</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_Toc41815008 \h </w:instrText>
        </w:r>
        <w:r w:rsidR="004D63AA" w:rsidRPr="00236418">
          <w:rPr>
            <w:webHidden/>
          </w:rPr>
        </w:r>
        <w:r w:rsidR="004D63AA" w:rsidRPr="00236418">
          <w:rPr>
            <w:webHidden/>
          </w:rPr>
          <w:fldChar w:fldCharType="separate"/>
        </w:r>
        <w:r w:rsidR="00416481" w:rsidRPr="00236418">
          <w:rPr>
            <w:webHidden/>
          </w:rPr>
          <w:t>101</w:t>
        </w:r>
        <w:r w:rsidR="004D63AA" w:rsidRPr="00236418">
          <w:rPr>
            <w:webHidden/>
          </w:rPr>
          <w:fldChar w:fldCharType="end"/>
        </w:r>
      </w:hyperlink>
    </w:p>
    <w:p w14:paraId="5674955E" w14:textId="206B4521" w:rsidR="004D63AA" w:rsidRPr="00236418" w:rsidRDefault="003D539C">
      <w:pPr>
        <w:pStyle w:val="TOC1"/>
        <w:rPr>
          <w:rFonts w:asciiTheme="minorHAnsi" w:eastAsiaTheme="minorEastAsia" w:hAnsiTheme="minorHAnsi" w:cstheme="minorBidi"/>
          <w:sz w:val="22"/>
          <w:szCs w:val="22"/>
          <w:lang w:eastAsia="fr-CH"/>
        </w:rPr>
      </w:pPr>
      <w:hyperlink w:anchor="_Toc41815009" w:history="1">
        <w:r w:rsidR="004D63AA" w:rsidRPr="00236418">
          <w:rPr>
            <w:rStyle w:val="Hyperlink"/>
          </w:rPr>
          <w:t>ANNEXE C</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_Toc41815009 \h </w:instrText>
        </w:r>
        <w:r w:rsidR="004D63AA" w:rsidRPr="00236418">
          <w:rPr>
            <w:webHidden/>
          </w:rPr>
        </w:r>
        <w:r w:rsidR="004D63AA" w:rsidRPr="00236418">
          <w:rPr>
            <w:webHidden/>
          </w:rPr>
          <w:fldChar w:fldCharType="separate"/>
        </w:r>
        <w:r w:rsidR="00416481" w:rsidRPr="00236418">
          <w:rPr>
            <w:webHidden/>
          </w:rPr>
          <w:t>102</w:t>
        </w:r>
        <w:r w:rsidR="004D63AA" w:rsidRPr="00236418">
          <w:rPr>
            <w:webHidden/>
          </w:rPr>
          <w:fldChar w:fldCharType="end"/>
        </w:r>
      </w:hyperlink>
    </w:p>
    <w:p w14:paraId="51930AB1" w14:textId="34AAB14D" w:rsidR="004D63AA" w:rsidRPr="00236418" w:rsidRDefault="003D539C">
      <w:pPr>
        <w:pStyle w:val="TOC1"/>
        <w:rPr>
          <w:rFonts w:asciiTheme="minorHAnsi" w:eastAsiaTheme="minorEastAsia" w:hAnsiTheme="minorHAnsi" w:cstheme="minorBidi"/>
          <w:sz w:val="22"/>
          <w:szCs w:val="22"/>
          <w:lang w:eastAsia="fr-CH"/>
        </w:rPr>
      </w:pPr>
      <w:hyperlink w:anchor="_Toc41815010" w:history="1">
        <w:r w:rsidR="004D63AA" w:rsidRPr="00236418">
          <w:rPr>
            <w:rStyle w:val="Hyperlink"/>
          </w:rPr>
          <w:t>ANNEXE D</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_Toc41815010 \h </w:instrText>
        </w:r>
        <w:r w:rsidR="004D63AA" w:rsidRPr="00236418">
          <w:rPr>
            <w:webHidden/>
          </w:rPr>
        </w:r>
        <w:r w:rsidR="004D63AA" w:rsidRPr="00236418">
          <w:rPr>
            <w:webHidden/>
          </w:rPr>
          <w:fldChar w:fldCharType="separate"/>
        </w:r>
        <w:r w:rsidR="00416481" w:rsidRPr="00236418">
          <w:rPr>
            <w:webHidden/>
          </w:rPr>
          <w:t>117</w:t>
        </w:r>
        <w:r w:rsidR="004D63AA" w:rsidRPr="00236418">
          <w:rPr>
            <w:webHidden/>
          </w:rPr>
          <w:fldChar w:fldCharType="end"/>
        </w:r>
      </w:hyperlink>
    </w:p>
    <w:p w14:paraId="110E1673" w14:textId="0026C4D5" w:rsidR="004D63AA" w:rsidRPr="00236418" w:rsidRDefault="003D539C">
      <w:pPr>
        <w:pStyle w:val="TOC1"/>
        <w:rPr>
          <w:rFonts w:asciiTheme="minorHAnsi" w:eastAsiaTheme="minorEastAsia" w:hAnsiTheme="minorHAnsi" w:cstheme="minorBidi"/>
          <w:sz w:val="22"/>
          <w:szCs w:val="22"/>
          <w:lang w:eastAsia="fr-CH"/>
        </w:rPr>
      </w:pPr>
      <w:hyperlink w:anchor="_Toc41815011" w:history="1">
        <w:r w:rsidR="004D63AA" w:rsidRPr="00236418">
          <w:rPr>
            <w:rStyle w:val="Hyperlink"/>
          </w:rPr>
          <w:t>ANNEXE E</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_Toc41815011 \h </w:instrText>
        </w:r>
        <w:r w:rsidR="004D63AA" w:rsidRPr="00236418">
          <w:rPr>
            <w:webHidden/>
          </w:rPr>
        </w:r>
        <w:r w:rsidR="004D63AA" w:rsidRPr="00236418">
          <w:rPr>
            <w:webHidden/>
          </w:rPr>
          <w:fldChar w:fldCharType="separate"/>
        </w:r>
        <w:r w:rsidR="00416481" w:rsidRPr="00236418">
          <w:rPr>
            <w:webHidden/>
          </w:rPr>
          <w:t>120</w:t>
        </w:r>
        <w:r w:rsidR="004D63AA" w:rsidRPr="00236418">
          <w:rPr>
            <w:webHidden/>
          </w:rPr>
          <w:fldChar w:fldCharType="end"/>
        </w:r>
      </w:hyperlink>
    </w:p>
    <w:p w14:paraId="647FEDB3" w14:textId="13038CD9" w:rsidR="004D63AA" w:rsidRPr="00236418" w:rsidRDefault="003D539C">
      <w:pPr>
        <w:pStyle w:val="TOC1"/>
        <w:rPr>
          <w:rFonts w:asciiTheme="minorHAnsi" w:eastAsiaTheme="minorEastAsia" w:hAnsiTheme="minorHAnsi" w:cstheme="minorBidi"/>
          <w:sz w:val="22"/>
          <w:szCs w:val="22"/>
          <w:lang w:eastAsia="fr-CH"/>
        </w:rPr>
      </w:pPr>
      <w:hyperlink w:anchor="_Toc41815012" w:history="1">
        <w:r w:rsidR="004D63AA" w:rsidRPr="00236418">
          <w:rPr>
            <w:rStyle w:val="Hyperlink"/>
          </w:rPr>
          <w:t>ANNEXE F</w:t>
        </w:r>
        <w:r w:rsidR="004D63AA" w:rsidRPr="00236418">
          <w:rPr>
            <w:webHidden/>
          </w:rPr>
          <w:tab/>
        </w:r>
        <w:r w:rsidR="00C468CA" w:rsidRPr="00236418">
          <w:rPr>
            <w:webHidden/>
          </w:rPr>
          <w:tab/>
        </w:r>
        <w:r w:rsidR="004D63AA" w:rsidRPr="00236418">
          <w:rPr>
            <w:webHidden/>
          </w:rPr>
          <w:fldChar w:fldCharType="begin"/>
        </w:r>
        <w:r w:rsidR="004D63AA" w:rsidRPr="00236418">
          <w:rPr>
            <w:webHidden/>
          </w:rPr>
          <w:instrText xml:space="preserve"> PAGEREF _Toc41815012 \h </w:instrText>
        </w:r>
        <w:r w:rsidR="004D63AA" w:rsidRPr="00236418">
          <w:rPr>
            <w:webHidden/>
          </w:rPr>
        </w:r>
        <w:r w:rsidR="004D63AA" w:rsidRPr="00236418">
          <w:rPr>
            <w:webHidden/>
          </w:rPr>
          <w:fldChar w:fldCharType="separate"/>
        </w:r>
        <w:r w:rsidR="00416481" w:rsidRPr="00236418">
          <w:rPr>
            <w:webHidden/>
          </w:rPr>
          <w:t>121</w:t>
        </w:r>
        <w:r w:rsidR="004D63AA" w:rsidRPr="00236418">
          <w:rPr>
            <w:webHidden/>
          </w:rPr>
          <w:fldChar w:fldCharType="end"/>
        </w:r>
      </w:hyperlink>
    </w:p>
    <w:p w14:paraId="787340C0" w14:textId="1ACEE783" w:rsidR="00620F53" w:rsidRPr="00236418" w:rsidRDefault="004D63AA" w:rsidP="00620F53">
      <w:r w:rsidRPr="00236418">
        <w:fldChar w:fldCharType="end"/>
      </w:r>
    </w:p>
    <w:p w14:paraId="3BEE9C75" w14:textId="4BF50A4C" w:rsidR="00620F53" w:rsidRPr="00236418" w:rsidRDefault="00620F53">
      <w:pPr>
        <w:tabs>
          <w:tab w:val="clear" w:pos="567"/>
          <w:tab w:val="clear" w:pos="1134"/>
          <w:tab w:val="clear" w:pos="1701"/>
          <w:tab w:val="clear" w:pos="2268"/>
          <w:tab w:val="clear" w:pos="2835"/>
        </w:tabs>
        <w:overflowPunct/>
        <w:autoSpaceDE/>
        <w:autoSpaceDN/>
        <w:adjustRightInd/>
        <w:spacing w:before="0"/>
        <w:textAlignment w:val="auto"/>
      </w:pPr>
    </w:p>
    <w:p w14:paraId="50178912" w14:textId="77777777" w:rsidR="00BF2819" w:rsidRPr="00236418" w:rsidRDefault="00BF2819" w:rsidP="00620F53"/>
    <w:p w14:paraId="5032A12B" w14:textId="7C8E7B9A" w:rsidR="00D401F6" w:rsidRPr="00236418" w:rsidRDefault="00D401F6" w:rsidP="009B3D24">
      <w:r w:rsidRPr="00236418">
        <w:br w:type="page"/>
      </w:r>
    </w:p>
    <w:p w14:paraId="225E0781" w14:textId="0673881B" w:rsidR="00DF6159" w:rsidRPr="00236418" w:rsidRDefault="00DF6159" w:rsidP="00BF2819">
      <w:pPr>
        <w:pStyle w:val="Heading1"/>
      </w:pPr>
      <w:bookmarkStart w:id="18" w:name="_Toc482888700"/>
      <w:bookmarkStart w:id="19" w:name="_Toc511649420"/>
      <w:bookmarkStart w:id="20" w:name="_Toc511649794"/>
      <w:bookmarkStart w:id="21" w:name="_Toc511649901"/>
      <w:bookmarkStart w:id="22" w:name="_Toc511650019"/>
      <w:bookmarkStart w:id="23" w:name="_Toc511650512"/>
      <w:bookmarkStart w:id="24" w:name="_Toc511651157"/>
      <w:bookmarkStart w:id="25" w:name="_Toc511724022"/>
      <w:bookmarkStart w:id="26" w:name="_Toc511739011"/>
      <w:bookmarkStart w:id="27" w:name="_Toc511740805"/>
      <w:bookmarkStart w:id="28" w:name="_Toc511741180"/>
      <w:bookmarkStart w:id="29" w:name="_Toc9605672"/>
      <w:bookmarkStart w:id="30" w:name="_Toc10450682"/>
      <w:bookmarkStart w:id="31" w:name="_Toc41566295"/>
      <w:bookmarkStart w:id="32" w:name="_Toc41566592"/>
      <w:bookmarkStart w:id="33" w:name="_Toc41567332"/>
      <w:bookmarkStart w:id="34" w:name="_Toc41567820"/>
      <w:bookmarkStart w:id="35" w:name="_Toc41814914"/>
      <w:r w:rsidRPr="00236418">
        <w:lastRenderedPageBreak/>
        <w:t>Avant-propos du Secrétaire général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C529D4F" w14:textId="3F30A547" w:rsidR="00DF6159" w:rsidRPr="00236418" w:rsidRDefault="00DF6159" w:rsidP="009B3D24">
      <w:r w:rsidRPr="00236418">
        <w:t>1</w:t>
      </w:r>
      <w:r w:rsidRPr="00236418">
        <w:tab/>
        <w:t>J'ai l'honneur de présenter au Conseil pour examen, conformément à l'Article 30 du Règlement financier de l'Union (</w:t>
      </w:r>
      <w:r w:rsidR="00D83818" w:rsidRPr="00236418">
        <w:t>é</w:t>
      </w:r>
      <w:r w:rsidRPr="00236418">
        <w:t>dition de 2018), les états financiers vérifiés pour l'exercice clos le 31 décembre 2019.</w:t>
      </w:r>
    </w:p>
    <w:p w14:paraId="58699113" w14:textId="4B36812C" w:rsidR="00DF6159" w:rsidRPr="00236418" w:rsidRDefault="00DF6159" w:rsidP="009B3D24">
      <w:r w:rsidRPr="00236418">
        <w:t>2</w:t>
      </w:r>
      <w:r w:rsidRPr="00236418">
        <w:tab/>
        <w:t>Le Rapport du Vérificateur extérieur des comptes sur les états financiers de 2019, ainsi que son opinion concernant les états financiers, comme le prescrivent l'Article 28 du Règlement financier de l'Union ainsi que son Annexe 1, seront également soumis au Conseil dans un document distinct.</w:t>
      </w:r>
    </w:p>
    <w:p w14:paraId="64EF7AA4" w14:textId="5CFF725A" w:rsidR="00DF6159" w:rsidRPr="00236418" w:rsidRDefault="00DF6159" w:rsidP="009B3D24">
      <w:r w:rsidRPr="00236418">
        <w:t>3</w:t>
      </w:r>
      <w:r w:rsidRPr="00236418">
        <w:tab/>
        <w:t>Les états financiers de 2019 ont été établis conformément aux Normes comptables internationales pour le secteur public (IPSAS). Le Règlement financier prévoit que le budget de l'Union couvre un exercice budgétaire de deux années, mais pour mettre en œuvre intégralement les normes IPSAS, les états financiers sont présentés sur une base annuelle.</w:t>
      </w:r>
    </w:p>
    <w:p w14:paraId="5240BF44" w14:textId="67A350A4" w:rsidR="00DF6159" w:rsidRPr="00236418" w:rsidRDefault="00DF6159" w:rsidP="009B3D24">
      <w:r w:rsidRPr="00236418">
        <w:t>4</w:t>
      </w:r>
      <w:r w:rsidRPr="00236418">
        <w:tab/>
        <w:t xml:space="preserve">L'UIT a appliqué les normes IPSAS en vigueur depuis le 1er janvier 2019 et les principes comptables applicables sont décrits dans la Note 2. La seule dérogation faite dans les états financiers présentés est </w:t>
      </w:r>
      <w:r w:rsidRPr="00236418">
        <w:rPr>
          <w:lang w:eastAsia="fr-FR"/>
        </w:rPr>
        <w:t>la non-capitalisation des coûts de main</w:t>
      </w:r>
      <w:r w:rsidRPr="00236418">
        <w:rPr>
          <w:lang w:eastAsia="fr-FR"/>
        </w:rPr>
        <w:noBreakHyphen/>
        <w:t>d'</w:t>
      </w:r>
      <w:r w:rsidRPr="00236418">
        <w:rPr>
          <w:rFonts w:cs="Calibri"/>
          <w:lang w:eastAsia="fr-FR"/>
        </w:rPr>
        <w:t>œ</w:t>
      </w:r>
      <w:r w:rsidRPr="00236418">
        <w:rPr>
          <w:lang w:eastAsia="fr-FR"/>
        </w:rPr>
        <w:t>uvre directs dans l'évaluation des publications, contrairement aux exigences de la norme IPSAS 12. La capitalisation des coûts de main</w:t>
      </w:r>
      <w:r w:rsidRPr="00236418">
        <w:rPr>
          <w:lang w:eastAsia="fr-FR"/>
        </w:rPr>
        <w:noBreakHyphen/>
        <w:t>d'</w:t>
      </w:r>
      <w:r w:rsidRPr="00236418">
        <w:rPr>
          <w:rFonts w:cs="Calibri"/>
          <w:lang w:eastAsia="fr-FR"/>
        </w:rPr>
        <w:t>œ</w:t>
      </w:r>
      <w:r w:rsidRPr="00236418">
        <w:rPr>
          <w:lang w:eastAsia="fr-FR"/>
        </w:rPr>
        <w:t>uvre risquerait de se traduire par une évaluation du prix des publications bien supérieure à la valeur nette de réalisation fondée sur les prix courants des publications et, de ce fait, par une dégradation du prix de remplacement courant si l'on applique un prix plus bas ou la valeur nette de réalisation.</w:t>
      </w:r>
    </w:p>
    <w:p w14:paraId="18F67DCE" w14:textId="77777777" w:rsidR="00DF6159" w:rsidRPr="00236418" w:rsidRDefault="00DF6159" w:rsidP="009B3D24">
      <w:r w:rsidRPr="00236418">
        <w:t>5</w:t>
      </w:r>
      <w:r w:rsidRPr="00236418">
        <w:tab/>
        <w:t xml:space="preserve">On trouvera dans le Document </w:t>
      </w:r>
      <w:r w:rsidRPr="00236418">
        <w:rPr>
          <w:lang w:eastAsia="fr-FR"/>
        </w:rPr>
        <w:t>C11/INF/9</w:t>
      </w:r>
      <w:r w:rsidRPr="00236418">
        <w:t xml:space="preserve"> la définition de plusieurs termes financiers clés qui permettront au lecteur d'utiliser et de comprendre plus facilement les états financiers.</w:t>
      </w:r>
    </w:p>
    <w:p w14:paraId="4345031B" w14:textId="2A915C7D" w:rsidR="00DF6159" w:rsidRPr="00236418" w:rsidRDefault="00DF6159" w:rsidP="009B3D24">
      <w:pPr>
        <w:pStyle w:val="Headingb"/>
      </w:pPr>
      <w:bookmarkStart w:id="36" w:name="_Toc329202538"/>
      <w:bookmarkStart w:id="37" w:name="_Toc329204971"/>
      <w:bookmarkStart w:id="38" w:name="_Toc329206808"/>
      <w:bookmarkStart w:id="39" w:name="_Toc358379887"/>
      <w:bookmarkStart w:id="40" w:name="_Toc358380428"/>
      <w:bookmarkStart w:id="41" w:name="_Toc387166611"/>
      <w:bookmarkStart w:id="42" w:name="_Toc387167415"/>
      <w:bookmarkStart w:id="43" w:name="_Toc395260896"/>
      <w:bookmarkStart w:id="44" w:name="_Toc395511676"/>
      <w:bookmarkStart w:id="45" w:name="_Toc452138589"/>
      <w:bookmarkStart w:id="46" w:name="_Toc452139036"/>
      <w:bookmarkStart w:id="47" w:name="_Toc452139395"/>
      <w:bookmarkStart w:id="48" w:name="_Toc452139794"/>
      <w:bookmarkStart w:id="49" w:name="_Toc452140381"/>
      <w:bookmarkStart w:id="50" w:name="_Toc452140661"/>
      <w:bookmarkStart w:id="51" w:name="_Toc482801457"/>
      <w:bookmarkStart w:id="52" w:name="_Toc482888701"/>
      <w:bookmarkStart w:id="53" w:name="_Toc511649421"/>
      <w:bookmarkStart w:id="54" w:name="_Toc511649795"/>
      <w:bookmarkStart w:id="55" w:name="_Toc511649902"/>
      <w:bookmarkStart w:id="56" w:name="_Toc511650020"/>
      <w:bookmarkStart w:id="57" w:name="_Toc511650513"/>
      <w:bookmarkStart w:id="58" w:name="_Toc511651158"/>
      <w:bookmarkStart w:id="59" w:name="_Toc511724023"/>
      <w:bookmarkStart w:id="60" w:name="_Toc511739012"/>
      <w:bookmarkStart w:id="61" w:name="_Toc511741181"/>
      <w:bookmarkStart w:id="62" w:name="_Toc9605673"/>
      <w:bookmarkStart w:id="63" w:name="_Toc10450683"/>
      <w:bookmarkStart w:id="64" w:name="_Toc41566296"/>
      <w:bookmarkStart w:id="65" w:name="_Toc41814915"/>
      <w:r w:rsidRPr="00236418">
        <w:t xml:space="preserve">Principales réunions et manifestations pendant l'exercice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236418">
        <w:rPr>
          <w:rFonts w:asciiTheme="minorHAnsi" w:hAnsiTheme="minorHAnsi"/>
          <w:szCs w:val="24"/>
        </w:rPr>
        <w:t>201</w:t>
      </w:r>
      <w:bookmarkEnd w:id="62"/>
      <w:bookmarkEnd w:id="63"/>
      <w:r w:rsidRPr="00236418">
        <w:rPr>
          <w:rFonts w:asciiTheme="minorHAnsi" w:hAnsiTheme="minorHAnsi"/>
          <w:szCs w:val="24"/>
        </w:rPr>
        <w:t>9</w:t>
      </w:r>
      <w:bookmarkEnd w:id="64"/>
      <w:bookmarkEnd w:id="65"/>
    </w:p>
    <w:p w14:paraId="4994F049" w14:textId="2A949B11" w:rsidR="00DF6159" w:rsidRPr="00236418" w:rsidRDefault="00DF6159" w:rsidP="009B3D24">
      <w:r w:rsidRPr="00236418">
        <w:t>6</w:t>
      </w:r>
      <w:r w:rsidRPr="00236418">
        <w:tab/>
        <w:t xml:space="preserve">Le programme d'activités de l'Union réalisé en </w:t>
      </w:r>
      <w:r w:rsidRPr="00236418">
        <w:rPr>
          <w:rFonts w:asciiTheme="minorHAnsi" w:hAnsiTheme="minorHAnsi"/>
          <w:szCs w:val="24"/>
        </w:rPr>
        <w:t xml:space="preserve">2019 </w:t>
      </w:r>
      <w:r w:rsidRPr="00236418">
        <w:t>comprenait, parmi de nombreuses réunions et conférences, les grandes manifestations suivantes:</w:t>
      </w:r>
    </w:p>
    <w:p w14:paraId="220DB4F1" w14:textId="213957F9" w:rsidR="00DF6159" w:rsidRPr="00236418" w:rsidRDefault="00DF6159" w:rsidP="009B3D24">
      <w:r w:rsidRPr="00236418">
        <w:t>7</w:t>
      </w:r>
      <w:r w:rsidRPr="00236418">
        <w:tab/>
        <w:t xml:space="preserve">Le troisième </w:t>
      </w:r>
      <w:hyperlink r:id="rId12" w:history="1">
        <w:r w:rsidRPr="00236418">
          <w:t>Forum mondial sur les télécommunications d'urgence</w:t>
        </w:r>
      </w:hyperlink>
      <w:r w:rsidRPr="00236418">
        <w:t xml:space="preserve"> (GET-19) s'est tenu à Maurice</w:t>
      </w:r>
      <w:r w:rsidR="00F209CD" w:rsidRPr="00236418">
        <w:t xml:space="preserve"> du 6 au 8 mars 2019</w:t>
      </w:r>
      <w:r w:rsidRPr="00236418">
        <w:t xml:space="preserve"> et a été l'occasion de souligner l'importance </w:t>
      </w:r>
      <w:r w:rsidR="00F209CD" w:rsidRPr="00236418">
        <w:t xml:space="preserve">des systèmes </w:t>
      </w:r>
      <w:r w:rsidRPr="00236418">
        <w:t xml:space="preserve">d'alerte avancée et de surveillance, </w:t>
      </w:r>
      <w:r w:rsidR="00492F57" w:rsidRPr="00236418">
        <w:t>ainsi que</w:t>
      </w:r>
      <w:r w:rsidRPr="00236418">
        <w:t xml:space="preserve"> l</w:t>
      </w:r>
      <w:r w:rsidR="00F209CD" w:rsidRPr="00236418">
        <w:t>es</w:t>
      </w:r>
      <w:r w:rsidRPr="00236418">
        <w:t xml:space="preserve"> </w:t>
      </w:r>
      <w:r w:rsidR="00F209CD" w:rsidRPr="00236418">
        <w:t>besoins et les possibilités de</w:t>
      </w:r>
      <w:r w:rsidRPr="00236418">
        <w:t xml:space="preserve"> partenariats et de coopération.</w:t>
      </w:r>
    </w:p>
    <w:p w14:paraId="77833BDD" w14:textId="4DE1481C" w:rsidR="00F40F3C" w:rsidRPr="00236418" w:rsidRDefault="00DF6159" w:rsidP="009B3D24">
      <w:pPr>
        <w:rPr>
          <w:rFonts w:eastAsia="SimSun"/>
        </w:rPr>
      </w:pPr>
      <w:r w:rsidRPr="00236418">
        <w:t>8</w:t>
      </w:r>
      <w:r w:rsidRPr="00236418">
        <w:tab/>
      </w:r>
      <w:r w:rsidR="0096585F" w:rsidRPr="00236418">
        <w:t>Le Forum 2019 du Sommet mondial sur la société de l'information (SMSI) a eu lieu du 8 au 12</w:t>
      </w:r>
      <w:r w:rsidR="00D83818" w:rsidRPr="00236418">
        <w:t> </w:t>
      </w:r>
      <w:r w:rsidR="0096585F" w:rsidRPr="00236418">
        <w:t>avril</w:t>
      </w:r>
      <w:r w:rsidR="00D83818" w:rsidRPr="00236418">
        <w:t> </w:t>
      </w:r>
      <w:r w:rsidR="0096585F" w:rsidRPr="00236418">
        <w:t xml:space="preserve">2019 à Genève. Il était accueilli par l'UIT et coorganisé par l'UIT, </w:t>
      </w:r>
      <w:r w:rsidR="002B585A" w:rsidRPr="00236418">
        <w:t>l</w:t>
      </w:r>
      <w:r w:rsidR="0096585F" w:rsidRPr="00236418">
        <w:t>'UNESCO, le PNUD et la CNUCED en collaboration avec plus de 30 organismes des Nations Unies.</w:t>
      </w:r>
      <w:r w:rsidRPr="00236418">
        <w:t xml:space="preserve"> </w:t>
      </w:r>
      <w:r w:rsidRPr="00236418">
        <w:rPr>
          <w:rFonts w:eastAsia="SimSun"/>
        </w:rPr>
        <w:t xml:space="preserve">Plus de 3 000 experts </w:t>
      </w:r>
      <w:r w:rsidR="0096585F" w:rsidRPr="00236418">
        <w:rPr>
          <w:rFonts w:eastAsia="SimSun"/>
        </w:rPr>
        <w:t>des technologies de l'information et de</w:t>
      </w:r>
      <w:r w:rsidR="002B585A" w:rsidRPr="00236418">
        <w:rPr>
          <w:rFonts w:eastAsia="SimSun"/>
        </w:rPr>
        <w:t xml:space="preserve"> la</w:t>
      </w:r>
      <w:r w:rsidR="0096585F" w:rsidRPr="00236418">
        <w:rPr>
          <w:rFonts w:eastAsia="SimSun"/>
        </w:rPr>
        <w:t xml:space="preserve"> communication (TIC) </w:t>
      </w:r>
      <w:r w:rsidRPr="00236418">
        <w:rPr>
          <w:rFonts w:eastAsia="SimSun"/>
        </w:rPr>
        <w:t>et acteurs de</w:t>
      </w:r>
      <w:r w:rsidR="0096585F" w:rsidRPr="00236418">
        <w:rPr>
          <w:rFonts w:eastAsia="SimSun"/>
        </w:rPr>
        <w:t xml:space="preserve"> leur </w:t>
      </w:r>
      <w:r w:rsidRPr="00236418">
        <w:rPr>
          <w:rFonts w:eastAsia="SimSun"/>
        </w:rPr>
        <w:t>mise en œuvre ont contribué et participé</w:t>
      </w:r>
      <w:r w:rsidR="002B585A" w:rsidRPr="00236418">
        <w:rPr>
          <w:rFonts w:eastAsia="SimSun"/>
        </w:rPr>
        <w:t xml:space="preserve"> à ce Forum</w:t>
      </w:r>
      <w:r w:rsidRPr="00236418">
        <w:rPr>
          <w:rFonts w:eastAsia="SimSun"/>
        </w:rPr>
        <w:t>, afin d'encourager les partenariats, d'échanger de bonnes pratiques et de présenter des innovations ainsi que de nouveaux outils et initiatives visant à utiliser les</w:t>
      </w:r>
      <w:r w:rsidR="00103C80" w:rsidRPr="00236418">
        <w:rPr>
          <w:rFonts w:eastAsia="SimSun"/>
        </w:rPr>
        <w:t xml:space="preserve"> grandes orientations du SMSI</w:t>
      </w:r>
      <w:r w:rsidRPr="00236418">
        <w:rPr>
          <w:rFonts w:eastAsia="SimSun"/>
        </w:rPr>
        <w:t xml:space="preserve"> </w:t>
      </w:r>
      <w:r w:rsidR="00103C80" w:rsidRPr="00236418">
        <w:rPr>
          <w:rFonts w:eastAsia="SimSun"/>
        </w:rPr>
        <w:t>(</w:t>
      </w:r>
      <w:r w:rsidRPr="00236418">
        <w:rPr>
          <w:rFonts w:eastAsia="SimSun"/>
        </w:rPr>
        <w:t>TIC</w:t>
      </w:r>
      <w:r w:rsidR="00103C80" w:rsidRPr="00236418">
        <w:rPr>
          <w:rFonts w:eastAsia="SimSun"/>
        </w:rPr>
        <w:t>)</w:t>
      </w:r>
      <w:r w:rsidRPr="00236418">
        <w:rPr>
          <w:rFonts w:eastAsia="SimSun"/>
        </w:rPr>
        <w:t xml:space="preserve"> en faveur de la réalisation des Objectifs de développement durable (ODD) définis par les Nations Unies. </w:t>
      </w:r>
      <w:r w:rsidR="00F40F3C" w:rsidRPr="00236418">
        <w:rPr>
          <w:rFonts w:eastAsia="SimSun"/>
        </w:rPr>
        <w:t>Le Forum du SMSI s'est révélé être une tribu</w:t>
      </w:r>
      <w:r w:rsidR="002B585A" w:rsidRPr="00236418">
        <w:rPr>
          <w:rFonts w:eastAsia="SimSun"/>
        </w:rPr>
        <w:t>ne</w:t>
      </w:r>
      <w:r w:rsidR="00F40F3C" w:rsidRPr="00236418">
        <w:rPr>
          <w:rFonts w:eastAsia="SimSun"/>
        </w:rPr>
        <w:t xml:space="preserve"> mondiale efficace rassemblant de multiples parties prenantes et axée sur les résultats, qui est ouverte et </w:t>
      </w:r>
      <w:r w:rsidR="002B585A" w:rsidRPr="00236418">
        <w:rPr>
          <w:rFonts w:eastAsia="SimSun"/>
        </w:rPr>
        <w:t>inclusive pour</w:t>
      </w:r>
      <w:r w:rsidR="00F40F3C" w:rsidRPr="00236418">
        <w:rPr>
          <w:rFonts w:eastAsia="SimSun"/>
        </w:rPr>
        <w:t xml:space="preserve"> toutes les parties prenantes</w:t>
      </w:r>
      <w:r w:rsidR="002B585A" w:rsidRPr="00236418">
        <w:rPr>
          <w:rFonts w:eastAsia="SimSun"/>
        </w:rPr>
        <w:t>,</w:t>
      </w:r>
      <w:r w:rsidR="00F40F3C" w:rsidRPr="00236418">
        <w:rPr>
          <w:rFonts w:eastAsia="SimSun"/>
        </w:rPr>
        <w:t xml:space="preserve"> avec pour objectif de </w:t>
      </w:r>
      <w:r w:rsidR="002B585A" w:rsidRPr="00236418">
        <w:rPr>
          <w:rFonts w:eastAsia="SimSun"/>
        </w:rPr>
        <w:t>renforcer</w:t>
      </w:r>
      <w:r w:rsidR="00F40F3C" w:rsidRPr="00236418">
        <w:rPr>
          <w:rFonts w:eastAsia="SimSun"/>
        </w:rPr>
        <w:t xml:space="preserve"> les liens entre le processus du SMSI et le Programme de développement durable à l'horizon 2030.</w:t>
      </w:r>
    </w:p>
    <w:p w14:paraId="101A2964" w14:textId="42954D0A" w:rsidR="00DF6159" w:rsidRPr="00236418" w:rsidRDefault="00DF6159" w:rsidP="009B3D24">
      <w:pPr>
        <w:rPr>
          <w:rFonts w:eastAsia="SimSun"/>
        </w:rPr>
      </w:pPr>
      <w:r w:rsidRPr="00236418">
        <w:rPr>
          <w:rFonts w:eastAsia="SimSun"/>
        </w:rPr>
        <w:t>9</w:t>
      </w:r>
      <w:r w:rsidRPr="00236418">
        <w:rPr>
          <w:rFonts w:eastAsia="SimSun"/>
        </w:rPr>
        <w:tab/>
        <w:t xml:space="preserve">Le 3ème Sommet mondial sur l'intelligence artificielle au service du bien social, qui s'est tenu du 28 au 31 mai 2019 à Genève, était organisé par l'UIT en partenariat avec la Fondation XPRIZE, leader mondial de l'organisation de concours fondés sur l'incitation par les récompenses, </w:t>
      </w:r>
      <w:r w:rsidRPr="00236418">
        <w:rPr>
          <w:rFonts w:eastAsia="SimSun"/>
        </w:rPr>
        <w:lastRenderedPageBreak/>
        <w:t xml:space="preserve">l'Association for </w:t>
      </w:r>
      <w:proofErr w:type="spellStart"/>
      <w:r w:rsidRPr="00236418">
        <w:rPr>
          <w:rFonts w:eastAsia="SimSun"/>
        </w:rPr>
        <w:t>Computing</w:t>
      </w:r>
      <w:proofErr w:type="spellEnd"/>
      <w:r w:rsidRPr="00236418">
        <w:rPr>
          <w:rFonts w:eastAsia="SimSun"/>
        </w:rPr>
        <w:t xml:space="preserve"> </w:t>
      </w:r>
      <w:proofErr w:type="spellStart"/>
      <w:r w:rsidRPr="00236418">
        <w:rPr>
          <w:rFonts w:eastAsia="SimSun"/>
        </w:rPr>
        <w:t>Machinery</w:t>
      </w:r>
      <w:proofErr w:type="spellEnd"/>
      <w:r w:rsidRPr="00236418">
        <w:rPr>
          <w:rFonts w:eastAsia="SimSun"/>
        </w:rPr>
        <w:t xml:space="preserve"> (ACM) et d'autres institutions du système des Nations</w:t>
      </w:r>
      <w:r w:rsidR="005845AA" w:rsidRPr="00236418">
        <w:rPr>
          <w:rFonts w:eastAsia="SimSun"/>
        </w:rPr>
        <w:t> </w:t>
      </w:r>
      <w:r w:rsidRPr="00236418">
        <w:rPr>
          <w:rFonts w:eastAsia="SimSun"/>
        </w:rPr>
        <w:t xml:space="preserve">Unies. Les sommets mondiaux sur l'intelligence artificielle au service du bien social constituent la principale tribune des Nations unies permettant de nouer un dialogue sur l'intelligence artificielle. </w:t>
      </w:r>
      <w:r w:rsidR="00F40F3C" w:rsidRPr="00236418">
        <w:rPr>
          <w:rFonts w:eastAsia="SimSun"/>
        </w:rPr>
        <w:t>E</w:t>
      </w:r>
      <w:r w:rsidRPr="00236418">
        <w:rPr>
          <w:rFonts w:eastAsia="SimSun"/>
        </w:rPr>
        <w:t xml:space="preserve">n 2019, </w:t>
      </w:r>
      <w:r w:rsidR="00F40F3C" w:rsidRPr="00236418">
        <w:rPr>
          <w:rFonts w:eastAsia="SimSun"/>
        </w:rPr>
        <w:t>le Sommet mondial sur l'intelligence artificielle au service du bien social a rassemblé plus de 2</w:t>
      </w:r>
      <w:r w:rsidR="005845AA" w:rsidRPr="00236418">
        <w:rPr>
          <w:rFonts w:eastAsia="SimSun"/>
        </w:rPr>
        <w:t xml:space="preserve"> </w:t>
      </w:r>
      <w:r w:rsidR="00F40F3C" w:rsidRPr="00236418">
        <w:rPr>
          <w:rFonts w:eastAsia="SimSun"/>
        </w:rPr>
        <w:t>300 participants venant de plus de 90 pays et accueilli plus de 370</w:t>
      </w:r>
      <w:r w:rsidR="005845AA" w:rsidRPr="00236418">
        <w:rPr>
          <w:rFonts w:eastAsia="SimSun"/>
        </w:rPr>
        <w:t> </w:t>
      </w:r>
      <w:r w:rsidR="00F40F3C" w:rsidRPr="00236418">
        <w:rPr>
          <w:rFonts w:eastAsia="SimSun"/>
        </w:rPr>
        <w:t>orateurs.</w:t>
      </w:r>
      <w:r w:rsidRPr="00236418">
        <w:rPr>
          <w:rFonts w:eastAsia="SimSun"/>
        </w:rPr>
        <w:t xml:space="preserve"> Le Sommet de 2019, qui était tourné vers l'action, a déterminé les applications pratiques de l'intelligence artificielle ainsi que des stratégies d'accompagnement propres à améliorer la qualité de vie et un cadre de vie durable sur notre planète. Les participants au Sommet ont formulé d'autres stratégies destinées à garantir le développement fiable, sûr et inclusif des technologies faisant appel à l'intelligence artificielle et à faire en sorte que chacun puisse bénéficier d'un accès équitable aux avantages qu'offrent ces technologies.</w:t>
      </w:r>
    </w:p>
    <w:p w14:paraId="56B28C56" w14:textId="74B96247" w:rsidR="00DF6159" w:rsidRPr="00236418" w:rsidRDefault="00A444C8" w:rsidP="009B3D24">
      <w:r w:rsidRPr="00236418">
        <w:rPr>
          <w:rFonts w:eastAsia="SimSun"/>
        </w:rPr>
        <w:t>10</w:t>
      </w:r>
      <w:r w:rsidR="00DF6159" w:rsidRPr="00236418">
        <w:rPr>
          <w:rFonts w:eastAsia="SimSun"/>
        </w:rPr>
        <w:tab/>
      </w:r>
      <w:r w:rsidR="006538EB" w:rsidRPr="00236418">
        <w:t>L'édition de 2019 du Colloque</w:t>
      </w:r>
      <w:r w:rsidR="00D32B3C" w:rsidRPr="00236418">
        <w:t xml:space="preserve"> mondial des régulateurs (GSR)</w:t>
      </w:r>
      <w:r w:rsidR="008D1135" w:rsidRPr="00236418">
        <w:t xml:space="preserve"> a eu lieu </w:t>
      </w:r>
      <w:r w:rsidR="006538EB" w:rsidRPr="00236418">
        <w:t>du 9 au 12 juillet 2019 à Port-Vila (Vanuatu),</w:t>
      </w:r>
      <w:r w:rsidR="008D1135" w:rsidRPr="00236418">
        <w:t xml:space="preserve"> sur le thème </w:t>
      </w:r>
      <w:r w:rsidR="006538EB" w:rsidRPr="00236418">
        <w:t>"Connectivité inclusive – L'avenir de la régulation"</w:t>
      </w:r>
      <w:r w:rsidRPr="00236418">
        <w:t>.</w:t>
      </w:r>
      <w:r w:rsidR="008D1135" w:rsidRPr="00236418">
        <w:t xml:space="preserve"> Les régulateurs ont </w:t>
      </w:r>
      <w:r w:rsidR="004074A4" w:rsidRPr="00236418">
        <w:t>défini</w:t>
      </w:r>
      <w:r w:rsidR="008D1135" w:rsidRPr="00236418">
        <w:t xml:space="preserve"> et </w:t>
      </w:r>
      <w:r w:rsidR="00705C34" w:rsidRPr="00236418">
        <w:t>approuvé</w:t>
      </w:r>
      <w:r w:rsidR="008D1135" w:rsidRPr="00236418">
        <w:t xml:space="preserve"> un ensemble de </w:t>
      </w:r>
      <w:r w:rsidR="00C37903" w:rsidRPr="00236418">
        <w:rPr>
          <w:b/>
          <w:bCs/>
          <w:spacing w:val="-2"/>
        </w:rPr>
        <w:t>L</w:t>
      </w:r>
      <w:r w:rsidRPr="00236418">
        <w:rPr>
          <w:b/>
          <w:bCs/>
          <w:spacing w:val="-2"/>
        </w:rPr>
        <w:t xml:space="preserve">ignes directrices </w:t>
      </w:r>
      <w:r w:rsidR="00C37903" w:rsidRPr="00236418">
        <w:rPr>
          <w:b/>
          <w:bCs/>
          <w:spacing w:val="-2"/>
        </w:rPr>
        <w:t>relatives aux</w:t>
      </w:r>
      <w:r w:rsidRPr="00236418">
        <w:rPr>
          <w:b/>
          <w:bCs/>
          <w:spacing w:val="-2"/>
        </w:rPr>
        <w:t xml:space="preserve"> bonnes pratiques</w:t>
      </w:r>
      <w:r w:rsidR="00705C34" w:rsidRPr="00236418">
        <w:rPr>
          <w:spacing w:val="-2"/>
        </w:rPr>
        <w:t xml:space="preserve"> en matière de réglementation afin d'</w:t>
      </w:r>
      <w:r w:rsidR="008D1135" w:rsidRPr="00236418">
        <w:rPr>
          <w:spacing w:val="-2"/>
        </w:rPr>
        <w:t>accélérer la mise en place de la connectivité numérique</w:t>
      </w:r>
      <w:r w:rsidRPr="00236418">
        <w:rPr>
          <w:rFonts w:cs="Calibri"/>
          <w:spacing w:val="-2"/>
          <w:szCs w:val="24"/>
        </w:rPr>
        <w:t>.</w:t>
      </w:r>
    </w:p>
    <w:p w14:paraId="1ABEA320" w14:textId="540610E2" w:rsidR="00DF6159" w:rsidRPr="00236418" w:rsidRDefault="00DF6159" w:rsidP="009B3D24">
      <w:pPr>
        <w:rPr>
          <w:rFonts w:cs="FoundryMonoline-Medium"/>
        </w:rPr>
      </w:pPr>
      <w:r w:rsidRPr="00236418">
        <w:t>1</w:t>
      </w:r>
      <w:r w:rsidR="00A444C8" w:rsidRPr="00236418">
        <w:t>1</w:t>
      </w:r>
      <w:r w:rsidRPr="00236418">
        <w:tab/>
      </w:r>
      <w:r w:rsidRPr="00236418">
        <w:rPr>
          <w:rFonts w:eastAsia="SimSun"/>
        </w:rPr>
        <w:t>ITU Telecom World 201</w:t>
      </w:r>
      <w:r w:rsidR="00A444C8" w:rsidRPr="00236418">
        <w:rPr>
          <w:rFonts w:eastAsia="SimSun"/>
        </w:rPr>
        <w:t>9</w:t>
      </w:r>
      <w:r w:rsidRPr="00236418">
        <w:rPr>
          <w:rFonts w:eastAsia="SimSun"/>
        </w:rPr>
        <w:t xml:space="preserve"> a eu lieu du </w:t>
      </w:r>
      <w:r w:rsidR="00A444C8" w:rsidRPr="00236418">
        <w:rPr>
          <w:rFonts w:eastAsia="SimSun"/>
        </w:rPr>
        <w:t>9</w:t>
      </w:r>
      <w:r w:rsidRPr="00236418">
        <w:rPr>
          <w:rFonts w:eastAsia="SimSun"/>
        </w:rPr>
        <w:t xml:space="preserve"> au 1</w:t>
      </w:r>
      <w:r w:rsidR="00A444C8" w:rsidRPr="00236418">
        <w:rPr>
          <w:rFonts w:eastAsia="SimSun"/>
        </w:rPr>
        <w:t>2</w:t>
      </w:r>
      <w:r w:rsidRPr="00236418">
        <w:rPr>
          <w:rFonts w:eastAsia="SimSun"/>
        </w:rPr>
        <w:t xml:space="preserve"> septembre </w:t>
      </w:r>
      <w:r w:rsidR="00A444C8" w:rsidRPr="00236418">
        <w:rPr>
          <w:rFonts w:eastAsia="SimSun"/>
        </w:rPr>
        <w:t xml:space="preserve">2019 </w:t>
      </w:r>
      <w:r w:rsidRPr="00236418">
        <w:rPr>
          <w:rFonts w:eastAsia="SimSun"/>
        </w:rPr>
        <w:t xml:space="preserve">à </w:t>
      </w:r>
      <w:r w:rsidR="00A444C8" w:rsidRPr="00236418">
        <w:rPr>
          <w:rFonts w:eastAsia="SimSun"/>
        </w:rPr>
        <w:t>Budapest</w:t>
      </w:r>
      <w:r w:rsidR="004F264B" w:rsidRPr="00236418">
        <w:rPr>
          <w:rFonts w:eastAsia="SimSun"/>
        </w:rPr>
        <w:t xml:space="preserve"> (Hongrie)</w:t>
      </w:r>
      <w:r w:rsidR="008B0064" w:rsidRPr="00236418">
        <w:rPr>
          <w:rFonts w:eastAsia="SimSun"/>
        </w:rPr>
        <w:t>. La 19ème édition d'ITU Telecom World était accueillie par le Gouvernement de la Hongrie</w:t>
      </w:r>
      <w:r w:rsidR="004D7611" w:rsidRPr="00236418">
        <w:rPr>
          <w:rFonts w:eastAsia="SimSun"/>
        </w:rPr>
        <w:t xml:space="preserve"> et</w:t>
      </w:r>
      <w:r w:rsidR="008B0064" w:rsidRPr="00236418">
        <w:rPr>
          <w:rFonts w:eastAsia="SimSun"/>
        </w:rPr>
        <w:t xml:space="preserve"> consacrée au thème </w:t>
      </w:r>
      <w:r w:rsidR="005845AA" w:rsidRPr="00236418">
        <w:rPr>
          <w:rFonts w:eastAsia="SimSun"/>
        </w:rPr>
        <w:t>"</w:t>
      </w:r>
      <w:r w:rsidR="008B0064" w:rsidRPr="00236418">
        <w:rPr>
          <w:rFonts w:eastAsia="SimSun"/>
        </w:rPr>
        <w:t>Innover ensemble: la connectivité avant tout</w:t>
      </w:r>
      <w:r w:rsidR="005845AA" w:rsidRPr="00236418">
        <w:rPr>
          <w:rFonts w:eastAsia="SimSun"/>
        </w:rPr>
        <w:t>"</w:t>
      </w:r>
      <w:r w:rsidR="008B0064" w:rsidRPr="00236418">
        <w:rPr>
          <w:rFonts w:eastAsia="SimSun"/>
        </w:rPr>
        <w:t>. Plus de 250 experts orateurs ont assisté à cette manifestation</w:t>
      </w:r>
      <w:r w:rsidR="00F5690D" w:rsidRPr="00236418">
        <w:rPr>
          <w:rFonts w:eastAsia="SimSun"/>
        </w:rPr>
        <w:t>,</w:t>
      </w:r>
      <w:r w:rsidR="008B0064" w:rsidRPr="00236418">
        <w:rPr>
          <w:rFonts w:eastAsia="SimSun"/>
        </w:rPr>
        <w:t xml:space="preserve"> </w:t>
      </w:r>
      <w:r w:rsidR="00F5690D" w:rsidRPr="00236418">
        <w:rPr>
          <w:rFonts w:eastAsia="SimSun"/>
        </w:rPr>
        <w:t>mettant</w:t>
      </w:r>
      <w:r w:rsidR="004D7611" w:rsidRPr="00236418">
        <w:rPr>
          <w:rFonts w:eastAsia="SimSun"/>
        </w:rPr>
        <w:t xml:space="preserve"> à l'honneur</w:t>
      </w:r>
      <w:r w:rsidRPr="00236418">
        <w:rPr>
          <w:rFonts w:cs="FoundryMonoline-Medium"/>
        </w:rPr>
        <w:t xml:space="preserve"> l'innovation, les talents et les possibilités d'investissement du monde entier.</w:t>
      </w:r>
    </w:p>
    <w:p w14:paraId="5A0947A5" w14:textId="171D4B5C" w:rsidR="0097476C" w:rsidRPr="00236418" w:rsidRDefault="00A444C8" w:rsidP="009B3D24">
      <w:pPr>
        <w:rPr>
          <w:rFonts w:cs="FoundryMonoline-Medium"/>
        </w:rPr>
      </w:pPr>
      <w:r w:rsidRPr="00236418">
        <w:rPr>
          <w:rFonts w:cs="FoundryMonoline-Medium"/>
        </w:rPr>
        <w:t>12</w:t>
      </w:r>
      <w:r w:rsidRPr="00236418">
        <w:rPr>
          <w:rFonts w:cs="FoundryMonoline-Medium"/>
        </w:rPr>
        <w:tab/>
      </w:r>
      <w:r w:rsidR="0097476C" w:rsidRPr="00236418">
        <w:rPr>
          <w:rFonts w:cs="FoundryMonoline-Medium"/>
        </w:rPr>
        <w:t>La Commission "Le large bande au service du développement durable" s'est réunie le 22</w:t>
      </w:r>
      <w:r w:rsidR="005845AA" w:rsidRPr="00236418">
        <w:rPr>
          <w:rFonts w:cs="FoundryMonoline-Medium"/>
        </w:rPr>
        <w:t> </w:t>
      </w:r>
      <w:r w:rsidR="0097476C" w:rsidRPr="00236418">
        <w:rPr>
          <w:rFonts w:cs="FoundryMonoline-Medium"/>
        </w:rPr>
        <w:t>septembre 2019 à New York, à l'occasion de la 74</w:t>
      </w:r>
      <w:r w:rsidR="005845AA" w:rsidRPr="00236418">
        <w:rPr>
          <w:rFonts w:cs="FoundryMonoline-Medium"/>
        </w:rPr>
        <w:t>ème</w:t>
      </w:r>
      <w:r w:rsidR="0097476C" w:rsidRPr="00236418">
        <w:rPr>
          <w:rFonts w:cs="FoundryMonoline-Medium"/>
        </w:rPr>
        <w:t xml:space="preserve"> session de l'Assemblée générale des Nations Unies et a publié son rapport </w:t>
      </w:r>
      <w:r w:rsidR="0097476C" w:rsidRPr="00236418">
        <w:rPr>
          <w:bCs/>
          <w:bdr w:val="none" w:sz="0" w:space="0" w:color="auto" w:frame="1"/>
          <w:shd w:val="clear" w:color="auto" w:fill="FFFFFF"/>
          <w:lang w:eastAsia="en-GB"/>
        </w:rPr>
        <w:t>intitulé "</w:t>
      </w:r>
      <w:r w:rsidR="0097476C" w:rsidRPr="00236418">
        <w:rPr>
          <w:bCs/>
          <w:i/>
          <w:iCs/>
          <w:bdr w:val="none" w:sz="0" w:space="0" w:color="auto" w:frame="1"/>
          <w:shd w:val="clear" w:color="auto" w:fill="FFFFFF"/>
          <w:lang w:eastAsia="en-GB"/>
        </w:rPr>
        <w:t xml:space="preserve">The State of Broadband 2019: Broadband as </w:t>
      </w:r>
      <w:proofErr w:type="spellStart"/>
      <w:r w:rsidR="0097476C" w:rsidRPr="00236418">
        <w:rPr>
          <w:bCs/>
          <w:i/>
          <w:iCs/>
          <w:bdr w:val="none" w:sz="0" w:space="0" w:color="auto" w:frame="1"/>
          <w:shd w:val="clear" w:color="auto" w:fill="FFFFFF"/>
          <w:lang w:eastAsia="en-GB"/>
        </w:rPr>
        <w:t>Foundation</w:t>
      </w:r>
      <w:proofErr w:type="spellEnd"/>
      <w:r w:rsidR="0097476C" w:rsidRPr="00236418">
        <w:rPr>
          <w:bCs/>
          <w:i/>
          <w:iCs/>
          <w:bdr w:val="none" w:sz="0" w:space="0" w:color="auto" w:frame="1"/>
          <w:shd w:val="clear" w:color="auto" w:fill="FFFFFF"/>
          <w:lang w:eastAsia="en-GB"/>
        </w:rPr>
        <w:t xml:space="preserve"> for </w:t>
      </w:r>
      <w:proofErr w:type="spellStart"/>
      <w:r w:rsidR="0097476C" w:rsidRPr="00236418">
        <w:rPr>
          <w:bCs/>
          <w:i/>
          <w:iCs/>
          <w:bdr w:val="none" w:sz="0" w:space="0" w:color="auto" w:frame="1"/>
          <w:shd w:val="clear" w:color="auto" w:fill="FFFFFF"/>
          <w:lang w:eastAsia="en-GB"/>
        </w:rPr>
        <w:t>Sustainable</w:t>
      </w:r>
      <w:proofErr w:type="spellEnd"/>
      <w:r w:rsidR="0097476C" w:rsidRPr="00236418">
        <w:rPr>
          <w:bCs/>
          <w:i/>
          <w:iCs/>
          <w:bdr w:val="none" w:sz="0" w:space="0" w:color="auto" w:frame="1"/>
          <w:shd w:val="clear" w:color="auto" w:fill="FFFFFF"/>
          <w:lang w:eastAsia="en-GB"/>
        </w:rPr>
        <w:t xml:space="preserve"> </w:t>
      </w:r>
      <w:proofErr w:type="spellStart"/>
      <w:r w:rsidR="0097476C" w:rsidRPr="00236418">
        <w:rPr>
          <w:bCs/>
          <w:i/>
          <w:iCs/>
          <w:bdr w:val="none" w:sz="0" w:space="0" w:color="auto" w:frame="1"/>
          <w:shd w:val="clear" w:color="auto" w:fill="FFFFFF"/>
          <w:lang w:eastAsia="en-GB"/>
        </w:rPr>
        <w:t>Development</w:t>
      </w:r>
      <w:proofErr w:type="spellEnd"/>
      <w:r w:rsidR="0097476C" w:rsidRPr="00236418">
        <w:rPr>
          <w:bCs/>
          <w:bdr w:val="none" w:sz="0" w:space="0" w:color="auto" w:frame="1"/>
          <w:shd w:val="clear" w:color="auto" w:fill="FFFFFF"/>
          <w:lang w:eastAsia="en-GB"/>
        </w:rPr>
        <w:t>" (La situation du large bande en 2019: le large bande en tant que fondement du développement durable), qui préconise d'adopter de nouvelles stratégies collaboratives au service de la notion de "connectivité universelle efficace" en mettant davantage l'accent sur le partage des ressources ainsi que sur une approche plus globale selon laquelle le large bande serait considéré comme une infrastructure de base d'utilité publique</w:t>
      </w:r>
      <w:r w:rsidR="000406A5" w:rsidRPr="00236418">
        <w:rPr>
          <w:bCs/>
          <w:bdr w:val="none" w:sz="0" w:space="0" w:color="auto" w:frame="1"/>
          <w:shd w:val="clear" w:color="auto" w:fill="FFFFFF"/>
          <w:lang w:eastAsia="en-GB"/>
        </w:rPr>
        <w:t>.</w:t>
      </w:r>
    </w:p>
    <w:p w14:paraId="64273F8F" w14:textId="6704FA2F" w:rsidR="0097476C" w:rsidRPr="00236418" w:rsidRDefault="00A444C8" w:rsidP="009B3D24">
      <w:pPr>
        <w:rPr>
          <w:rFonts w:cs="FoundryMonoline-Medium"/>
        </w:rPr>
      </w:pPr>
      <w:r w:rsidRPr="00236418">
        <w:rPr>
          <w:rFonts w:cs="FoundryMonoline-Medium"/>
        </w:rPr>
        <w:t>13</w:t>
      </w:r>
      <w:r w:rsidRPr="00236418">
        <w:rPr>
          <w:rFonts w:cs="FoundryMonoline-Medium"/>
        </w:rPr>
        <w:tab/>
      </w:r>
      <w:r w:rsidR="0097476C" w:rsidRPr="00236418">
        <w:rPr>
          <w:rFonts w:cs="FoundryMonoline-Medium"/>
        </w:rPr>
        <w:t>La Conférence mondiale des radiocommunications de 2019 (CMR</w:t>
      </w:r>
      <w:r w:rsidR="005845AA" w:rsidRPr="00236418">
        <w:rPr>
          <w:rFonts w:cs="FoundryMonoline-Medium"/>
        </w:rPr>
        <w:t>-</w:t>
      </w:r>
      <w:r w:rsidR="0097476C" w:rsidRPr="00236418">
        <w:rPr>
          <w:rFonts w:cs="FoundryMonoline-Medium"/>
        </w:rPr>
        <w:t>19) de l'UIT a eu lieu à Charm el-Cheick (Égypte) du 28 octobre au 22 novembre 2019. La Conférence a examiné et révisé le Règlement des radiocommunications,</w:t>
      </w:r>
      <w:r w:rsidR="0097476C" w:rsidRPr="00236418">
        <w:t xml:space="preserve"> </w:t>
      </w:r>
      <w:r w:rsidR="0097476C" w:rsidRPr="00236418">
        <w:rPr>
          <w:rFonts w:cs="FoundryMonoline-Medium"/>
        </w:rPr>
        <w:t>traité international régissant l'utilisation du spectre des fréquences radioélectriques</w:t>
      </w:r>
      <w:r w:rsidR="0097476C" w:rsidRPr="00236418">
        <w:t xml:space="preserve"> </w:t>
      </w:r>
      <w:r w:rsidR="0097476C" w:rsidRPr="00236418">
        <w:rPr>
          <w:rFonts w:cs="FoundryMonoline-Medium"/>
        </w:rPr>
        <w:t xml:space="preserve">et de </w:t>
      </w:r>
      <w:r w:rsidR="00F5690D" w:rsidRPr="00236418">
        <w:rPr>
          <w:rFonts w:cs="FoundryMonoline-Medium"/>
        </w:rPr>
        <w:t>l'</w:t>
      </w:r>
      <w:r w:rsidR="0097476C" w:rsidRPr="00236418">
        <w:rPr>
          <w:rFonts w:cs="FoundryMonoline-Medium"/>
        </w:rPr>
        <w:t>orbite des satellites géostationnaires et des</w:t>
      </w:r>
      <w:r w:rsidR="00F5690D" w:rsidRPr="00236418">
        <w:rPr>
          <w:rFonts w:cs="FoundryMonoline-Medium"/>
        </w:rPr>
        <w:t xml:space="preserve"> orbites de</w:t>
      </w:r>
      <w:r w:rsidR="0097476C" w:rsidRPr="00236418">
        <w:rPr>
          <w:rFonts w:cs="FoundryMonoline-Medium"/>
        </w:rPr>
        <w:t xml:space="preserve"> satellites non-géostationnaires.</w:t>
      </w:r>
    </w:p>
    <w:p w14:paraId="53BCAB6A" w14:textId="5FB3A193" w:rsidR="00A444C8" w:rsidRPr="00236418" w:rsidRDefault="00A444C8" w:rsidP="009B3D24">
      <w:pPr>
        <w:rPr>
          <w:rFonts w:cs="FoundryMonoline-Medium"/>
        </w:rPr>
      </w:pPr>
      <w:r w:rsidRPr="00236418">
        <w:rPr>
          <w:rFonts w:cs="FoundryMonoline-Medium"/>
        </w:rPr>
        <w:t>14</w:t>
      </w:r>
      <w:r w:rsidRPr="00236418">
        <w:rPr>
          <w:rFonts w:cs="FoundryMonoline-Medium"/>
        </w:rPr>
        <w:tab/>
      </w:r>
      <w:r w:rsidR="00F954AC" w:rsidRPr="00236418">
        <w:rPr>
          <w:rFonts w:cs="FoundryMonoline-Medium"/>
        </w:rPr>
        <w:t>Un nombre record</w:t>
      </w:r>
      <w:r w:rsidRPr="00236418">
        <w:rPr>
          <w:rFonts w:cs="FoundryMonoline-Medium"/>
        </w:rPr>
        <w:t xml:space="preserve"> de 3 420 participants </w:t>
      </w:r>
      <w:r w:rsidR="00F954AC" w:rsidRPr="00236418">
        <w:rPr>
          <w:rFonts w:cs="FoundryMonoline-Medium"/>
        </w:rPr>
        <w:t>ont assisté</w:t>
      </w:r>
      <w:r w:rsidRPr="00236418">
        <w:rPr>
          <w:rFonts w:cs="FoundryMonoline-Medium"/>
        </w:rPr>
        <w:t xml:space="preserve"> à la CMR-19, parmi lesquels des délégués de</w:t>
      </w:r>
      <w:r w:rsidR="00F5690D" w:rsidRPr="00236418">
        <w:rPr>
          <w:rFonts w:cs="FoundryMonoline-Medium"/>
        </w:rPr>
        <w:t xml:space="preserve"> la plupart de</w:t>
      </w:r>
      <w:r w:rsidRPr="00236418">
        <w:rPr>
          <w:rFonts w:cs="FoundryMonoline-Medium"/>
        </w:rPr>
        <w:t xml:space="preserve">s 193 États Membres de l'UIT et </w:t>
      </w:r>
      <w:r w:rsidR="00F954AC" w:rsidRPr="00236418">
        <w:rPr>
          <w:rFonts w:cs="FoundryMonoline-Medium"/>
        </w:rPr>
        <w:t xml:space="preserve">plus de </w:t>
      </w:r>
      <w:r w:rsidRPr="00236418">
        <w:rPr>
          <w:rFonts w:cs="FoundryMonoline-Medium"/>
        </w:rPr>
        <w:t xml:space="preserve">260 Membres du Secteur des radiocommunications de l'UIT représentant des organisations internationales, des équipementiers, des opérateurs de réseau ainsi que des consortiums du secteur, qui </w:t>
      </w:r>
      <w:r w:rsidR="00F954AC" w:rsidRPr="00236418">
        <w:rPr>
          <w:rFonts w:cs="FoundryMonoline-Medium"/>
        </w:rPr>
        <w:t xml:space="preserve">ont </w:t>
      </w:r>
      <w:r w:rsidRPr="00236418">
        <w:rPr>
          <w:rFonts w:cs="FoundryMonoline-Medium"/>
        </w:rPr>
        <w:t>particip</w:t>
      </w:r>
      <w:r w:rsidR="00F954AC" w:rsidRPr="00236418">
        <w:rPr>
          <w:rFonts w:cs="FoundryMonoline-Medium"/>
        </w:rPr>
        <w:t>é</w:t>
      </w:r>
      <w:r w:rsidRPr="00236418">
        <w:rPr>
          <w:rFonts w:cs="FoundryMonoline-Medium"/>
        </w:rPr>
        <w:t xml:space="preserve"> en qualité d'observateur.</w:t>
      </w:r>
    </w:p>
    <w:p w14:paraId="5F66D2A6" w14:textId="15776BBA" w:rsidR="003C3D16" w:rsidRPr="00236418" w:rsidRDefault="00A444C8" w:rsidP="009B3D24">
      <w:pPr>
        <w:rPr>
          <w:rFonts w:cs="FoundryMonoline-Medium"/>
        </w:rPr>
      </w:pPr>
      <w:r w:rsidRPr="00236418">
        <w:rPr>
          <w:rFonts w:cs="FoundryMonoline-Medium"/>
        </w:rPr>
        <w:t>15</w:t>
      </w:r>
      <w:r w:rsidRPr="00236418">
        <w:rPr>
          <w:rFonts w:cs="FoundryMonoline-Medium"/>
        </w:rPr>
        <w:tab/>
      </w:r>
      <w:r w:rsidR="005015AE" w:rsidRPr="00236418">
        <w:rPr>
          <w:rFonts w:cs="FoundryMonoline-Medium"/>
        </w:rPr>
        <w:t xml:space="preserve">L'Assemblée des radiocommunications de </w:t>
      </w:r>
      <w:r w:rsidR="00F5690D" w:rsidRPr="00236418">
        <w:rPr>
          <w:rFonts w:cs="FoundryMonoline-Medium"/>
        </w:rPr>
        <w:t>2019 a eu</w:t>
      </w:r>
      <w:r w:rsidR="005015AE" w:rsidRPr="00236418">
        <w:rPr>
          <w:rFonts w:cs="FoundryMonoline-Medium"/>
        </w:rPr>
        <w:t xml:space="preserve"> lieu du 21 au 25 octobre 2019 et la première session de la Réunion de préparation à la Conférence en vue de la CMR</w:t>
      </w:r>
      <w:r w:rsidR="005845AA" w:rsidRPr="00236418">
        <w:rPr>
          <w:rFonts w:cs="FoundryMonoline-Medium"/>
        </w:rPr>
        <w:t>-</w:t>
      </w:r>
      <w:r w:rsidR="005015AE" w:rsidRPr="00236418">
        <w:rPr>
          <w:rFonts w:cs="FoundryMonoline-Medium"/>
        </w:rPr>
        <w:t>23 s'est tenu</w:t>
      </w:r>
      <w:r w:rsidR="00F5690D" w:rsidRPr="00236418">
        <w:rPr>
          <w:rFonts w:cs="FoundryMonoline-Medium"/>
        </w:rPr>
        <w:t>e</w:t>
      </w:r>
      <w:r w:rsidR="005015AE" w:rsidRPr="00236418">
        <w:rPr>
          <w:rFonts w:cs="FoundryMonoline-Medium"/>
        </w:rPr>
        <w:t xml:space="preserve"> les 25 et 26 novembre 2019. Ces deux manifestations ont défini le programme de travail et la gouvernance de l'</w:t>
      </w:r>
      <w:r w:rsidR="0004000E" w:rsidRPr="00236418">
        <w:rPr>
          <w:rFonts w:cs="FoundryMonoline-Medium"/>
        </w:rPr>
        <w:t>UIT-R</w:t>
      </w:r>
      <w:r w:rsidR="005015AE" w:rsidRPr="00236418">
        <w:rPr>
          <w:rFonts w:cs="FoundryMonoline-Medium"/>
        </w:rPr>
        <w:t xml:space="preserve"> pour les quatre années </w:t>
      </w:r>
      <w:r w:rsidR="00F5690D" w:rsidRPr="00236418">
        <w:rPr>
          <w:rFonts w:cs="FoundryMonoline-Medium"/>
        </w:rPr>
        <w:t>à venir</w:t>
      </w:r>
      <w:r w:rsidR="005015AE" w:rsidRPr="00236418">
        <w:rPr>
          <w:rFonts w:cs="FoundryMonoline-Medium"/>
        </w:rPr>
        <w:t>.</w:t>
      </w:r>
    </w:p>
    <w:p w14:paraId="6505ACB6" w14:textId="545579B8" w:rsidR="00DF6159" w:rsidRPr="00236418" w:rsidRDefault="00DF6159" w:rsidP="009B3D24">
      <w:r w:rsidRPr="00236418">
        <w:lastRenderedPageBreak/>
        <w:t>1</w:t>
      </w:r>
      <w:r w:rsidR="00A444C8" w:rsidRPr="00236418">
        <w:t>6</w:t>
      </w:r>
      <w:r w:rsidRPr="00236418">
        <w:tab/>
        <w:t xml:space="preserve">Ces réalisations et mises en </w:t>
      </w:r>
      <w:r w:rsidR="00A444C8" w:rsidRPr="00236418">
        <w:t>œuvre</w:t>
      </w:r>
      <w:r w:rsidRPr="00236418">
        <w:t xml:space="preserve"> d'activités ont été rendues possibles grâce à une gestion cohérente et optimale des ressources financières de l'Union.</w:t>
      </w:r>
    </w:p>
    <w:p w14:paraId="25BF9C2F" w14:textId="2DC965B7" w:rsidR="00DF6159" w:rsidRPr="00236418" w:rsidRDefault="00DF6159" w:rsidP="009B3D24">
      <w:pPr>
        <w:rPr>
          <w:rFonts w:eastAsia="SimSun"/>
        </w:rPr>
      </w:pPr>
      <w:r w:rsidRPr="00236418">
        <w:t>1</w:t>
      </w:r>
      <w:r w:rsidR="00A444C8" w:rsidRPr="00236418">
        <w:t>7</w:t>
      </w:r>
      <w:r w:rsidRPr="00236418">
        <w:tab/>
      </w:r>
      <w:r w:rsidRPr="00236418">
        <w:rPr>
          <w:rFonts w:eastAsia="SimSun"/>
        </w:rPr>
        <w:t xml:space="preserve">En </w:t>
      </w:r>
      <w:r w:rsidRPr="00236418">
        <w:t>201</w:t>
      </w:r>
      <w:r w:rsidR="00A444C8" w:rsidRPr="00236418">
        <w:t>9</w:t>
      </w:r>
      <w:r w:rsidRPr="00236418">
        <w:rPr>
          <w:rFonts w:eastAsia="SimSun"/>
        </w:rPr>
        <w:t>, l'Union a poursuivi ses efforts en vue d'améliorer les procédures de coordination et de réduire les coûts, conformément à l'Annexe 2 de la Décision 5</w:t>
      </w:r>
      <w:r w:rsidRPr="00236418">
        <w:t xml:space="preserve"> (Rév. Dubaï, 2018) de la Conférence de plénipotentiaires.</w:t>
      </w:r>
    </w:p>
    <w:p w14:paraId="42D7774A" w14:textId="52CD4EED" w:rsidR="00DF6159" w:rsidRPr="00236418" w:rsidRDefault="00DF6159" w:rsidP="009B3D24">
      <w:r w:rsidRPr="00236418">
        <w:t>1</w:t>
      </w:r>
      <w:r w:rsidR="00A444C8" w:rsidRPr="00236418">
        <w:t>8</w:t>
      </w:r>
      <w:r w:rsidRPr="00236418">
        <w:tab/>
        <w:t>L'UIT participe activement aux activités financées conjointement avec les Nations Unies. Plusieurs initiatives récentes ont eu pour résultat de diminuer les coûts pour les organismes participants, soit: baisse des coûts de l'électricité, des fournitures de bureau, du mazout et des services de courrier et négociations avec les compagnies aériennes.</w:t>
      </w:r>
    </w:p>
    <w:p w14:paraId="2959B151" w14:textId="425B6A6A" w:rsidR="007334B9" w:rsidRPr="00236418" w:rsidRDefault="007334B9" w:rsidP="009B3D24">
      <w:r w:rsidRPr="00236418">
        <w:t>19</w:t>
      </w:r>
      <w:r w:rsidRPr="00236418">
        <w:tab/>
        <w:t xml:space="preserve">Depuis le 1er janvier 2020, </w:t>
      </w:r>
      <w:r w:rsidR="00BD7E0C" w:rsidRPr="00236418">
        <w:t>sur la base d'</w:t>
      </w:r>
      <w:r w:rsidRPr="00236418">
        <w:t xml:space="preserve">une recommandation du </w:t>
      </w:r>
      <w:r w:rsidR="005A4F57" w:rsidRPr="00236418">
        <w:t>Comité de la Convention Collective Assurance Maladie, le Secrétaire général a pris la décision d'intégrer l'Assurance mutuelle contre la maladie et les accidents du personnel des Nations Unies (UNSMIS), qui regroupe plusieurs organisations et institutions spécialisées des Nations Unies basées à Genève et comprend le personnel de l'Office des Nations Unies, du HCR et de l'OMM.</w:t>
      </w:r>
    </w:p>
    <w:p w14:paraId="5F081EE8" w14:textId="77777777" w:rsidR="00DF6159" w:rsidRPr="00236418" w:rsidRDefault="00DF6159" w:rsidP="009B3D24">
      <w:pPr>
        <w:pStyle w:val="Headingb"/>
        <w:rPr>
          <w:rFonts w:eastAsia="SimSun"/>
        </w:rPr>
      </w:pPr>
      <w:bookmarkStart w:id="66" w:name="_Toc387167416"/>
      <w:bookmarkStart w:id="67" w:name="_Toc452138590"/>
      <w:bookmarkStart w:id="68" w:name="_Toc452139037"/>
      <w:bookmarkStart w:id="69" w:name="_Toc452139396"/>
      <w:bookmarkStart w:id="70" w:name="_Toc452139795"/>
      <w:bookmarkStart w:id="71" w:name="_Toc452140382"/>
      <w:bookmarkStart w:id="72" w:name="_Toc452140662"/>
      <w:bookmarkStart w:id="73" w:name="_Toc482801458"/>
      <w:bookmarkStart w:id="74" w:name="_Toc482888702"/>
      <w:bookmarkStart w:id="75" w:name="_Toc511649422"/>
      <w:bookmarkStart w:id="76" w:name="_Toc511649796"/>
      <w:bookmarkStart w:id="77" w:name="_Toc511649903"/>
      <w:bookmarkStart w:id="78" w:name="_Toc511650021"/>
      <w:bookmarkStart w:id="79" w:name="_Toc511650514"/>
      <w:bookmarkStart w:id="80" w:name="_Toc511651159"/>
      <w:bookmarkStart w:id="81" w:name="_Toc511724024"/>
      <w:bookmarkStart w:id="82" w:name="_Toc511739013"/>
      <w:bookmarkStart w:id="83" w:name="_Toc511741182"/>
      <w:bookmarkStart w:id="84" w:name="_Toc9605674"/>
      <w:bookmarkStart w:id="85" w:name="_Toc10450684"/>
      <w:bookmarkStart w:id="86" w:name="_Toc41566297"/>
      <w:bookmarkStart w:id="87" w:name="_Toc41814916"/>
      <w:r w:rsidRPr="00236418">
        <w:rPr>
          <w:rFonts w:eastAsia="SimSun"/>
        </w:rPr>
        <w:t>Éléments essentiels du Rapport de gestion financière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5969FFE" w14:textId="00BDFE3D" w:rsidR="00DF6159" w:rsidRPr="00236418" w:rsidRDefault="005A4F57" w:rsidP="009B3D24">
      <w:pPr>
        <w:rPr>
          <w:rFonts w:eastAsia="SimSun"/>
        </w:rPr>
      </w:pPr>
      <w:r w:rsidRPr="00236418">
        <w:rPr>
          <w:rFonts w:eastAsia="SimSun"/>
        </w:rPr>
        <w:t>20</w:t>
      </w:r>
      <w:r w:rsidR="00DF6159" w:rsidRPr="00236418">
        <w:rPr>
          <w:rFonts w:eastAsia="SimSun"/>
        </w:rPr>
        <w:tab/>
        <w:t>La comptabilité de l'Union est tenue en francs suisses. Les états financiers présentés tiennent compte des activités extrabudgétaires de l'Union.</w:t>
      </w:r>
    </w:p>
    <w:p w14:paraId="15000B8B" w14:textId="0A29D97B" w:rsidR="00DF6159" w:rsidRPr="00236418" w:rsidRDefault="00A444C8" w:rsidP="009B3D24">
      <w:pPr>
        <w:keepNext/>
        <w:keepLines/>
        <w:spacing w:after="240"/>
      </w:pPr>
      <w:r w:rsidRPr="00236418">
        <w:t>2</w:t>
      </w:r>
      <w:r w:rsidR="005A4F57" w:rsidRPr="00236418">
        <w:t>1</w:t>
      </w:r>
      <w:r w:rsidR="00DF6159" w:rsidRPr="00236418">
        <w:tab/>
        <w:t>Le tableau ci-après récapitule la situation financière de l'UIT en 201</w:t>
      </w:r>
      <w:r w:rsidR="00D56FC4" w:rsidRPr="00236418">
        <w:t>9</w:t>
      </w:r>
      <w:r w:rsidR="00DF6159" w:rsidRPr="00236418">
        <w:t>, par rapport à 201</w:t>
      </w:r>
      <w:r w:rsidR="00D56FC4" w:rsidRPr="00236418">
        <w:t>8</w:t>
      </w:r>
      <w:r w:rsidR="00DF6159" w:rsidRPr="00236418">
        <w:t>.</w:t>
      </w:r>
    </w:p>
    <w:tbl>
      <w:tblPr>
        <w:tblW w:w="7757" w:type="dxa"/>
        <w:tblInd w:w="699" w:type="dxa"/>
        <w:tblLook w:val="04A0" w:firstRow="1" w:lastRow="0" w:firstColumn="1" w:lastColumn="0" w:noHBand="0" w:noVBand="1"/>
      </w:tblPr>
      <w:tblGrid>
        <w:gridCol w:w="2237"/>
        <w:gridCol w:w="882"/>
        <w:gridCol w:w="2370"/>
        <w:gridCol w:w="2268"/>
      </w:tblGrid>
      <w:tr w:rsidR="00DF6159" w:rsidRPr="00236418" w14:paraId="6B55DC57" w14:textId="77777777" w:rsidTr="006538EB">
        <w:trPr>
          <w:trHeight w:val="510"/>
        </w:trPr>
        <w:tc>
          <w:tcPr>
            <w:tcW w:w="2237" w:type="dxa"/>
            <w:tcBorders>
              <w:top w:val="single" w:sz="8" w:space="0" w:color="auto"/>
              <w:left w:val="single" w:sz="8" w:space="0" w:color="auto"/>
              <w:bottom w:val="single" w:sz="8" w:space="0" w:color="auto"/>
              <w:right w:val="nil"/>
            </w:tcBorders>
            <w:shd w:val="clear" w:color="auto" w:fill="auto"/>
            <w:noWrap/>
            <w:vAlign w:val="center"/>
            <w:hideMark/>
          </w:tcPr>
          <w:p w14:paraId="3DC793A3" w14:textId="77777777" w:rsidR="00DF6159" w:rsidRPr="00236418" w:rsidRDefault="00DF6159" w:rsidP="009B3D24">
            <w:pPr>
              <w:pStyle w:val="Tablehead"/>
              <w:keepNext/>
              <w:keepLines/>
              <w:spacing w:before="0" w:after="0"/>
              <w:rPr>
                <w:szCs w:val="22"/>
                <w:lang w:eastAsia="zh-CN"/>
              </w:rPr>
            </w:pPr>
            <w:r w:rsidRPr="00236418">
              <w:rPr>
                <w:szCs w:val="22"/>
                <w:lang w:eastAsia="zh-CN"/>
              </w:rPr>
              <w:t>Milliers CHF</w:t>
            </w:r>
          </w:p>
        </w:tc>
        <w:tc>
          <w:tcPr>
            <w:tcW w:w="882" w:type="dxa"/>
            <w:tcBorders>
              <w:top w:val="single" w:sz="8" w:space="0" w:color="auto"/>
              <w:left w:val="nil"/>
              <w:bottom w:val="single" w:sz="8" w:space="0" w:color="auto"/>
              <w:right w:val="nil"/>
            </w:tcBorders>
            <w:shd w:val="clear" w:color="auto" w:fill="auto"/>
            <w:noWrap/>
            <w:vAlign w:val="center"/>
            <w:hideMark/>
          </w:tcPr>
          <w:p w14:paraId="2C779A46" w14:textId="77777777" w:rsidR="00DF6159" w:rsidRPr="00236418" w:rsidRDefault="00DF6159" w:rsidP="009B3D24">
            <w:pPr>
              <w:pStyle w:val="Tablehead"/>
              <w:keepNext/>
              <w:keepLines/>
              <w:spacing w:before="0" w:after="0"/>
              <w:rPr>
                <w:szCs w:val="22"/>
                <w:lang w:eastAsia="zh-CN"/>
              </w:rPr>
            </w:pPr>
          </w:p>
        </w:tc>
        <w:tc>
          <w:tcPr>
            <w:tcW w:w="2370" w:type="dxa"/>
            <w:tcBorders>
              <w:top w:val="single" w:sz="8" w:space="0" w:color="auto"/>
              <w:left w:val="nil"/>
              <w:bottom w:val="single" w:sz="8" w:space="0" w:color="auto"/>
              <w:right w:val="nil"/>
            </w:tcBorders>
            <w:shd w:val="clear" w:color="auto" w:fill="auto"/>
            <w:noWrap/>
            <w:vAlign w:val="center"/>
            <w:hideMark/>
          </w:tcPr>
          <w:p w14:paraId="036642E7" w14:textId="347CB40C" w:rsidR="00DF6159" w:rsidRPr="00236418" w:rsidRDefault="00DF6159" w:rsidP="009B3D24">
            <w:pPr>
              <w:pStyle w:val="Tablehead"/>
              <w:keepNext/>
              <w:keepLines/>
              <w:spacing w:before="0" w:after="0"/>
              <w:rPr>
                <w:szCs w:val="22"/>
                <w:lang w:eastAsia="zh-CN"/>
              </w:rPr>
            </w:pPr>
            <w:r w:rsidRPr="00236418">
              <w:rPr>
                <w:szCs w:val="22"/>
                <w:lang w:eastAsia="zh-CN"/>
              </w:rPr>
              <w:t>201</w:t>
            </w:r>
            <w:r w:rsidR="00D56FC4" w:rsidRPr="00236418">
              <w:rPr>
                <w:szCs w:val="22"/>
                <w:lang w:eastAsia="zh-CN"/>
              </w:rPr>
              <w:t>9</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052158BC" w14:textId="2BD89ABB" w:rsidR="00DF6159" w:rsidRPr="00236418" w:rsidRDefault="00DF6159" w:rsidP="009B3D24">
            <w:pPr>
              <w:pStyle w:val="Tablehead"/>
              <w:keepNext/>
              <w:keepLines/>
              <w:spacing w:before="0" w:after="0"/>
              <w:rPr>
                <w:szCs w:val="22"/>
                <w:lang w:eastAsia="zh-CN"/>
              </w:rPr>
            </w:pPr>
            <w:r w:rsidRPr="00236418">
              <w:rPr>
                <w:szCs w:val="22"/>
                <w:lang w:eastAsia="zh-CN"/>
              </w:rPr>
              <w:t>201</w:t>
            </w:r>
            <w:r w:rsidR="00D56FC4" w:rsidRPr="00236418">
              <w:rPr>
                <w:szCs w:val="22"/>
                <w:lang w:eastAsia="zh-CN"/>
              </w:rPr>
              <w:t>8</w:t>
            </w:r>
          </w:p>
        </w:tc>
      </w:tr>
      <w:tr w:rsidR="00D56FC4" w:rsidRPr="00236418" w14:paraId="788860CD"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57F2F0B6" w14:textId="77777777" w:rsidR="00D56FC4" w:rsidRPr="00236418" w:rsidRDefault="00D56FC4" w:rsidP="009B3D24">
            <w:pPr>
              <w:pStyle w:val="Tabletext"/>
              <w:spacing w:before="0" w:after="0"/>
              <w:rPr>
                <w:szCs w:val="22"/>
                <w:lang w:eastAsia="zh-CN"/>
              </w:rPr>
            </w:pPr>
            <w:r w:rsidRPr="00236418">
              <w:rPr>
                <w:szCs w:val="22"/>
                <w:lang w:eastAsia="zh-CN"/>
              </w:rPr>
              <w:t>Produits</w:t>
            </w:r>
          </w:p>
        </w:tc>
        <w:tc>
          <w:tcPr>
            <w:tcW w:w="882" w:type="dxa"/>
            <w:tcBorders>
              <w:top w:val="nil"/>
              <w:left w:val="nil"/>
              <w:bottom w:val="nil"/>
              <w:right w:val="nil"/>
            </w:tcBorders>
            <w:shd w:val="clear" w:color="auto" w:fill="auto"/>
            <w:noWrap/>
            <w:vAlign w:val="bottom"/>
            <w:hideMark/>
          </w:tcPr>
          <w:p w14:paraId="1E0960BE" w14:textId="77777777" w:rsidR="00D56FC4" w:rsidRPr="00236418"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68D11EB4" w14:textId="5142C15B"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187 177</w:t>
            </w:r>
          </w:p>
        </w:tc>
        <w:tc>
          <w:tcPr>
            <w:tcW w:w="2268" w:type="dxa"/>
            <w:tcBorders>
              <w:top w:val="nil"/>
              <w:left w:val="nil"/>
              <w:bottom w:val="nil"/>
              <w:right w:val="single" w:sz="8" w:space="0" w:color="auto"/>
            </w:tcBorders>
            <w:shd w:val="clear" w:color="auto" w:fill="auto"/>
            <w:noWrap/>
            <w:vAlign w:val="bottom"/>
          </w:tcPr>
          <w:p w14:paraId="3993DCBF" w14:textId="3F05D551"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176 389</w:t>
            </w:r>
          </w:p>
        </w:tc>
      </w:tr>
      <w:tr w:rsidR="00D56FC4" w:rsidRPr="00236418" w14:paraId="791F286B"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22F69B60" w14:textId="77777777" w:rsidR="00D56FC4" w:rsidRPr="00236418" w:rsidRDefault="00D56FC4" w:rsidP="009B3D24">
            <w:pPr>
              <w:pStyle w:val="Tabletext"/>
              <w:spacing w:before="0" w:after="0"/>
              <w:rPr>
                <w:szCs w:val="22"/>
                <w:lang w:eastAsia="zh-CN"/>
              </w:rPr>
            </w:pPr>
            <w:r w:rsidRPr="00236418">
              <w:rPr>
                <w:szCs w:val="22"/>
                <w:lang w:eastAsia="zh-CN"/>
              </w:rPr>
              <w:t>Charges</w:t>
            </w:r>
          </w:p>
        </w:tc>
        <w:tc>
          <w:tcPr>
            <w:tcW w:w="882" w:type="dxa"/>
            <w:tcBorders>
              <w:top w:val="nil"/>
              <w:left w:val="nil"/>
              <w:bottom w:val="nil"/>
              <w:right w:val="nil"/>
            </w:tcBorders>
            <w:shd w:val="clear" w:color="auto" w:fill="auto"/>
            <w:noWrap/>
            <w:vAlign w:val="bottom"/>
            <w:hideMark/>
          </w:tcPr>
          <w:p w14:paraId="69B371F0" w14:textId="77777777" w:rsidR="00D56FC4" w:rsidRPr="00236418"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2426E9A4" w14:textId="7A13BC15"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244 640</w:t>
            </w:r>
          </w:p>
        </w:tc>
        <w:tc>
          <w:tcPr>
            <w:tcW w:w="2268" w:type="dxa"/>
            <w:tcBorders>
              <w:top w:val="nil"/>
              <w:left w:val="nil"/>
              <w:bottom w:val="nil"/>
              <w:right w:val="single" w:sz="8" w:space="0" w:color="auto"/>
            </w:tcBorders>
            <w:shd w:val="clear" w:color="auto" w:fill="auto"/>
            <w:noWrap/>
            <w:vAlign w:val="bottom"/>
          </w:tcPr>
          <w:p w14:paraId="03DE102C" w14:textId="5F48D475"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184 365</w:t>
            </w:r>
          </w:p>
        </w:tc>
      </w:tr>
      <w:tr w:rsidR="00D56FC4" w:rsidRPr="00236418" w14:paraId="297E28C3" w14:textId="77777777" w:rsidTr="006538EB">
        <w:trPr>
          <w:trHeight w:val="270"/>
        </w:trPr>
        <w:tc>
          <w:tcPr>
            <w:tcW w:w="3119" w:type="dxa"/>
            <w:gridSpan w:val="2"/>
            <w:tcBorders>
              <w:top w:val="single" w:sz="8" w:space="0" w:color="auto"/>
              <w:left w:val="single" w:sz="8" w:space="0" w:color="auto"/>
              <w:bottom w:val="single" w:sz="8" w:space="0" w:color="auto"/>
              <w:right w:val="nil"/>
            </w:tcBorders>
            <w:shd w:val="clear" w:color="auto" w:fill="auto"/>
            <w:noWrap/>
            <w:vAlign w:val="bottom"/>
            <w:hideMark/>
          </w:tcPr>
          <w:p w14:paraId="3B5E992B" w14:textId="77777777" w:rsidR="00D56FC4" w:rsidRPr="00236418" w:rsidRDefault="00D56FC4" w:rsidP="009B3D24">
            <w:pPr>
              <w:pStyle w:val="Tablehead"/>
              <w:spacing w:before="0" w:after="0"/>
              <w:jc w:val="left"/>
              <w:rPr>
                <w:szCs w:val="22"/>
                <w:lang w:eastAsia="zh-CN"/>
              </w:rPr>
            </w:pPr>
            <w:r w:rsidRPr="00236418">
              <w:rPr>
                <w:szCs w:val="22"/>
                <w:lang w:eastAsia="zh-CN"/>
              </w:rPr>
              <w:t>Excédent (Déficit)</w:t>
            </w:r>
          </w:p>
        </w:tc>
        <w:tc>
          <w:tcPr>
            <w:tcW w:w="2370" w:type="dxa"/>
            <w:tcBorders>
              <w:top w:val="single" w:sz="8" w:space="0" w:color="auto"/>
              <w:left w:val="nil"/>
              <w:bottom w:val="single" w:sz="8" w:space="0" w:color="auto"/>
              <w:right w:val="nil"/>
            </w:tcBorders>
            <w:shd w:val="clear" w:color="auto" w:fill="auto"/>
            <w:noWrap/>
            <w:vAlign w:val="center"/>
          </w:tcPr>
          <w:p w14:paraId="3726C9AF" w14:textId="5B2BC7D4" w:rsidR="00D56FC4" w:rsidRPr="00236418" w:rsidRDefault="0004000E" w:rsidP="009B3D24">
            <w:pPr>
              <w:pStyle w:val="Tablehead"/>
              <w:spacing w:before="0" w:after="0"/>
              <w:jc w:val="right"/>
              <w:rPr>
                <w:szCs w:val="22"/>
                <w:lang w:eastAsia="zh-CN"/>
              </w:rPr>
            </w:pPr>
            <w:r w:rsidRPr="00236418">
              <w:rPr>
                <w:rFonts w:asciiTheme="minorHAnsi" w:hAnsiTheme="minorHAnsi" w:cs="Arial"/>
                <w:bCs/>
                <w:color w:val="000000"/>
                <w:szCs w:val="24"/>
                <w:lang w:eastAsia="zh-CN"/>
              </w:rPr>
              <w:t>–</w:t>
            </w:r>
            <w:r w:rsidR="00D56FC4" w:rsidRPr="00236418">
              <w:rPr>
                <w:rFonts w:asciiTheme="minorHAnsi" w:hAnsiTheme="minorHAnsi" w:cs="Arial"/>
                <w:bCs/>
                <w:color w:val="000000"/>
                <w:szCs w:val="24"/>
                <w:lang w:eastAsia="zh-CN"/>
              </w:rPr>
              <w:t>57 463</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661407DA" w14:textId="7B82D852" w:rsidR="00D56FC4" w:rsidRPr="00236418" w:rsidRDefault="0004000E" w:rsidP="009B3D24">
            <w:pPr>
              <w:pStyle w:val="Tablehead"/>
              <w:spacing w:before="0" w:after="0"/>
              <w:jc w:val="right"/>
              <w:rPr>
                <w:szCs w:val="22"/>
                <w:lang w:eastAsia="zh-CN"/>
              </w:rPr>
            </w:pPr>
            <w:r w:rsidRPr="00236418">
              <w:rPr>
                <w:rFonts w:asciiTheme="minorHAnsi" w:hAnsiTheme="minorHAnsi" w:cs="Arial"/>
                <w:bCs/>
                <w:color w:val="000000"/>
                <w:szCs w:val="24"/>
                <w:lang w:eastAsia="zh-CN"/>
              </w:rPr>
              <w:t>–</w:t>
            </w:r>
            <w:r w:rsidR="00D56FC4" w:rsidRPr="00236418">
              <w:rPr>
                <w:rFonts w:asciiTheme="minorHAnsi" w:hAnsiTheme="minorHAnsi" w:cs="Arial"/>
                <w:bCs/>
                <w:color w:val="000000"/>
                <w:szCs w:val="24"/>
                <w:lang w:eastAsia="zh-CN"/>
              </w:rPr>
              <w:t>7 976</w:t>
            </w:r>
          </w:p>
        </w:tc>
      </w:tr>
      <w:tr w:rsidR="00D56FC4" w:rsidRPr="00236418" w14:paraId="5DC7A876"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67EE9043" w14:textId="77777777" w:rsidR="00D56FC4" w:rsidRPr="00236418" w:rsidRDefault="00D56FC4" w:rsidP="009B3D24">
            <w:pPr>
              <w:pStyle w:val="Tabletext"/>
              <w:spacing w:before="0" w:after="0"/>
              <w:rPr>
                <w:szCs w:val="22"/>
                <w:lang w:eastAsia="zh-CN"/>
              </w:rPr>
            </w:pPr>
            <w:r w:rsidRPr="00236418">
              <w:rPr>
                <w:szCs w:val="22"/>
                <w:lang w:eastAsia="zh-CN"/>
              </w:rPr>
              <w:t>Actif</w:t>
            </w:r>
          </w:p>
        </w:tc>
        <w:tc>
          <w:tcPr>
            <w:tcW w:w="882" w:type="dxa"/>
            <w:tcBorders>
              <w:top w:val="nil"/>
              <w:left w:val="nil"/>
              <w:bottom w:val="nil"/>
              <w:right w:val="nil"/>
            </w:tcBorders>
            <w:shd w:val="clear" w:color="auto" w:fill="auto"/>
            <w:noWrap/>
            <w:vAlign w:val="bottom"/>
            <w:hideMark/>
          </w:tcPr>
          <w:p w14:paraId="462148DC" w14:textId="77777777" w:rsidR="00D56FC4" w:rsidRPr="00236418"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05F4F6B1" w14:textId="424E742B"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415 470</w:t>
            </w:r>
          </w:p>
        </w:tc>
        <w:tc>
          <w:tcPr>
            <w:tcW w:w="2268" w:type="dxa"/>
            <w:tcBorders>
              <w:top w:val="nil"/>
              <w:left w:val="nil"/>
              <w:bottom w:val="nil"/>
              <w:right w:val="single" w:sz="8" w:space="0" w:color="auto"/>
            </w:tcBorders>
            <w:shd w:val="clear" w:color="auto" w:fill="auto"/>
            <w:noWrap/>
            <w:vAlign w:val="bottom"/>
          </w:tcPr>
          <w:p w14:paraId="21A8A4D1" w14:textId="7F17F2D6"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410 645</w:t>
            </w:r>
          </w:p>
        </w:tc>
      </w:tr>
      <w:tr w:rsidR="00D56FC4" w:rsidRPr="00236418" w14:paraId="0719258F"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4F969C18" w14:textId="77777777" w:rsidR="00D56FC4" w:rsidRPr="00236418" w:rsidRDefault="00D56FC4" w:rsidP="009B3D24">
            <w:pPr>
              <w:pStyle w:val="Tabletext"/>
              <w:spacing w:before="0" w:after="0"/>
              <w:rPr>
                <w:szCs w:val="22"/>
                <w:lang w:eastAsia="zh-CN"/>
              </w:rPr>
            </w:pPr>
            <w:r w:rsidRPr="00236418">
              <w:rPr>
                <w:szCs w:val="22"/>
                <w:lang w:eastAsia="zh-CN"/>
              </w:rPr>
              <w:t>Passif</w:t>
            </w:r>
          </w:p>
        </w:tc>
        <w:tc>
          <w:tcPr>
            <w:tcW w:w="882" w:type="dxa"/>
            <w:tcBorders>
              <w:top w:val="nil"/>
              <w:left w:val="nil"/>
              <w:bottom w:val="nil"/>
              <w:right w:val="nil"/>
            </w:tcBorders>
            <w:shd w:val="clear" w:color="auto" w:fill="auto"/>
            <w:noWrap/>
            <w:vAlign w:val="bottom"/>
            <w:hideMark/>
          </w:tcPr>
          <w:p w14:paraId="5FEF2DC4" w14:textId="77777777" w:rsidR="00D56FC4" w:rsidRPr="00236418"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75BBAB5D" w14:textId="0FFDAA0B"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868 118</w:t>
            </w:r>
          </w:p>
        </w:tc>
        <w:tc>
          <w:tcPr>
            <w:tcW w:w="2268" w:type="dxa"/>
            <w:tcBorders>
              <w:top w:val="nil"/>
              <w:left w:val="nil"/>
              <w:bottom w:val="nil"/>
              <w:right w:val="single" w:sz="8" w:space="0" w:color="auto"/>
            </w:tcBorders>
            <w:shd w:val="clear" w:color="auto" w:fill="auto"/>
            <w:noWrap/>
            <w:vAlign w:val="bottom"/>
          </w:tcPr>
          <w:p w14:paraId="3BAA15F5" w14:textId="31539BAA" w:rsidR="00D56FC4" w:rsidRPr="00236418" w:rsidRDefault="00D56FC4" w:rsidP="009B3D24">
            <w:pPr>
              <w:pStyle w:val="Tabletext"/>
              <w:spacing w:before="0" w:after="0"/>
              <w:jc w:val="right"/>
              <w:rPr>
                <w:szCs w:val="22"/>
                <w:lang w:eastAsia="zh-CN"/>
              </w:rPr>
            </w:pPr>
            <w:r w:rsidRPr="00236418">
              <w:rPr>
                <w:rFonts w:asciiTheme="minorHAnsi" w:hAnsiTheme="minorHAnsi" w:cs="Arial"/>
                <w:color w:val="000000"/>
                <w:szCs w:val="24"/>
                <w:lang w:eastAsia="zh-CN"/>
              </w:rPr>
              <w:t xml:space="preserve">805 823 </w:t>
            </w:r>
          </w:p>
        </w:tc>
      </w:tr>
      <w:tr w:rsidR="00D56FC4" w:rsidRPr="00236418" w14:paraId="36E9EF87" w14:textId="77777777" w:rsidTr="004013A8">
        <w:trPr>
          <w:trHeight w:val="270"/>
        </w:trPr>
        <w:tc>
          <w:tcPr>
            <w:tcW w:w="3119" w:type="dxa"/>
            <w:gridSpan w:val="2"/>
            <w:tcBorders>
              <w:top w:val="single" w:sz="8" w:space="0" w:color="auto"/>
              <w:left w:val="single" w:sz="8" w:space="0" w:color="auto"/>
              <w:bottom w:val="single" w:sz="8" w:space="0" w:color="auto"/>
              <w:right w:val="nil"/>
            </w:tcBorders>
            <w:shd w:val="clear" w:color="auto" w:fill="auto"/>
            <w:noWrap/>
            <w:vAlign w:val="bottom"/>
            <w:hideMark/>
          </w:tcPr>
          <w:p w14:paraId="6AC29259" w14:textId="77777777" w:rsidR="00D56FC4" w:rsidRPr="00236418" w:rsidRDefault="00D56FC4" w:rsidP="009B3D24">
            <w:pPr>
              <w:pStyle w:val="Tablehead"/>
              <w:spacing w:before="0" w:after="0"/>
              <w:jc w:val="left"/>
              <w:rPr>
                <w:szCs w:val="22"/>
                <w:lang w:eastAsia="zh-CN"/>
              </w:rPr>
            </w:pPr>
            <w:r w:rsidRPr="00236418">
              <w:rPr>
                <w:szCs w:val="22"/>
                <w:lang w:eastAsia="zh-CN"/>
              </w:rPr>
              <w:t>Actif net</w:t>
            </w:r>
          </w:p>
        </w:tc>
        <w:tc>
          <w:tcPr>
            <w:tcW w:w="2370" w:type="dxa"/>
            <w:tcBorders>
              <w:top w:val="single" w:sz="8" w:space="0" w:color="auto"/>
              <w:left w:val="nil"/>
              <w:bottom w:val="single" w:sz="8" w:space="0" w:color="auto"/>
              <w:right w:val="nil"/>
            </w:tcBorders>
            <w:shd w:val="clear" w:color="auto" w:fill="auto"/>
            <w:noWrap/>
            <w:vAlign w:val="bottom"/>
          </w:tcPr>
          <w:p w14:paraId="45755166" w14:textId="6E216DD1" w:rsidR="00D56FC4" w:rsidRPr="00236418" w:rsidRDefault="0004000E" w:rsidP="009B3D24">
            <w:pPr>
              <w:pStyle w:val="Tablehead"/>
              <w:spacing w:before="0" w:after="0"/>
              <w:jc w:val="right"/>
              <w:rPr>
                <w:szCs w:val="22"/>
                <w:lang w:eastAsia="zh-CN"/>
              </w:rPr>
            </w:pPr>
            <w:r w:rsidRPr="00236418">
              <w:rPr>
                <w:rFonts w:asciiTheme="minorHAnsi" w:hAnsiTheme="minorHAnsi" w:cs="Arial"/>
                <w:bCs/>
                <w:color w:val="000000"/>
                <w:szCs w:val="24"/>
                <w:lang w:eastAsia="zh-CN"/>
              </w:rPr>
              <w:t>–</w:t>
            </w:r>
            <w:r w:rsidR="00D56FC4" w:rsidRPr="00236418">
              <w:rPr>
                <w:rFonts w:asciiTheme="minorHAnsi" w:hAnsiTheme="minorHAnsi" w:cs="Arial"/>
                <w:bCs/>
                <w:color w:val="000000"/>
                <w:szCs w:val="24"/>
                <w:lang w:eastAsia="zh-CN"/>
              </w:rPr>
              <w:t>452 645</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40C09391" w14:textId="03466E66" w:rsidR="00D56FC4" w:rsidRPr="00236418" w:rsidRDefault="0004000E" w:rsidP="009B3D24">
            <w:pPr>
              <w:pStyle w:val="Tablehead"/>
              <w:spacing w:before="0" w:after="0"/>
              <w:jc w:val="right"/>
              <w:rPr>
                <w:szCs w:val="22"/>
                <w:lang w:eastAsia="zh-CN"/>
              </w:rPr>
            </w:pPr>
            <w:r w:rsidRPr="00236418">
              <w:rPr>
                <w:rFonts w:asciiTheme="minorHAnsi" w:hAnsiTheme="minorHAnsi" w:cs="Arial"/>
                <w:bCs/>
                <w:color w:val="000000"/>
                <w:szCs w:val="24"/>
                <w:lang w:eastAsia="zh-CN"/>
              </w:rPr>
              <w:t>–</w:t>
            </w:r>
            <w:r w:rsidR="00D56FC4" w:rsidRPr="00236418">
              <w:rPr>
                <w:rFonts w:asciiTheme="minorHAnsi" w:hAnsiTheme="minorHAnsi" w:cs="Arial"/>
                <w:bCs/>
                <w:color w:val="000000"/>
                <w:szCs w:val="24"/>
                <w:lang w:eastAsia="zh-CN"/>
              </w:rPr>
              <w:t>395 178</w:t>
            </w:r>
          </w:p>
        </w:tc>
      </w:tr>
    </w:tbl>
    <w:p w14:paraId="4796DD51" w14:textId="5AE7C85B" w:rsidR="00DF6159" w:rsidRPr="00236418" w:rsidRDefault="00D56FC4" w:rsidP="009B3D24">
      <w:pPr>
        <w:spacing w:before="360"/>
      </w:pPr>
      <w:r w:rsidRPr="00236418">
        <w:t>2</w:t>
      </w:r>
      <w:r w:rsidR="005A4F57" w:rsidRPr="00236418">
        <w:t>2</w:t>
      </w:r>
      <w:r w:rsidR="00DF6159" w:rsidRPr="00236418">
        <w:tab/>
        <w:t>Les résultats financiers indiqués dans le tableau ci</w:t>
      </w:r>
      <w:r w:rsidR="0004000E" w:rsidRPr="00236418">
        <w:t>-</w:t>
      </w:r>
      <w:r w:rsidR="00DF6159" w:rsidRPr="00236418">
        <w:t>dessus couvrent certains postes non budgétés</w:t>
      </w:r>
      <w:r w:rsidR="00DF6159" w:rsidRPr="00236418">
        <w:rPr>
          <w:color w:val="000000"/>
        </w:rPr>
        <w:t>, par exemple les amortissements et l'ajustement de la provision pour les prestations maladie après cessation de service des fonctionnaires (ASHI).</w:t>
      </w:r>
      <w:r w:rsidR="00DF6159" w:rsidRPr="00236418">
        <w:t xml:space="preserve"> Conformément à la norme IPSAS 24, la comparaison entre les montants budgétés et les montants effectifs, sur une base comparable, est donnée dans le Tableau V des états financiers.</w:t>
      </w:r>
    </w:p>
    <w:p w14:paraId="1E8F81D7" w14:textId="1996BBB9" w:rsidR="00774EFC" w:rsidRPr="00236418" w:rsidRDefault="00D56FC4" w:rsidP="009B3D24">
      <w:r w:rsidRPr="00236418">
        <w:t>2</w:t>
      </w:r>
      <w:r w:rsidR="005A4F57" w:rsidRPr="00236418">
        <w:t>3</w:t>
      </w:r>
      <w:r w:rsidR="00DF6159" w:rsidRPr="00236418">
        <w:tab/>
        <w:t xml:space="preserve">Sur un plan budgétaire, l'Union a enregistré un excédent de </w:t>
      </w:r>
      <w:r w:rsidRPr="00236418">
        <w:t>4</w:t>
      </w:r>
      <w:r w:rsidR="00DF6159" w:rsidRPr="00236418">
        <w:t>,</w:t>
      </w:r>
      <w:r w:rsidRPr="00236418">
        <w:t>78</w:t>
      </w:r>
      <w:r w:rsidR="00DF6159" w:rsidRPr="00236418">
        <w:t xml:space="preserve"> millions CHF pour l'exercice</w:t>
      </w:r>
      <w:r w:rsidR="00992D58" w:rsidRPr="00236418">
        <w:t> </w:t>
      </w:r>
      <w:r w:rsidR="00DF6159" w:rsidRPr="00236418">
        <w:t>201</w:t>
      </w:r>
      <w:r w:rsidRPr="00236418">
        <w:t>9</w:t>
      </w:r>
      <w:r w:rsidR="00DF6159" w:rsidRPr="00236418">
        <w:t xml:space="preserve">. </w:t>
      </w:r>
      <w:r w:rsidR="00774EFC" w:rsidRPr="00236418">
        <w:t>Les attributions proposées ci-après seront exécutées sur la base des Décisions et Résolutions adoptées par le Conseil à sa session de 2019.</w:t>
      </w:r>
    </w:p>
    <w:p w14:paraId="4B89ADFF" w14:textId="1850B9D2" w:rsidR="00992D58" w:rsidRPr="00236418" w:rsidRDefault="00992D58" w:rsidP="009B3D24">
      <w:r w:rsidRPr="00236418">
        <w:br w:type="page"/>
      </w:r>
    </w:p>
    <w:p w14:paraId="3DA9B290" w14:textId="77777777" w:rsidR="00D56FC4" w:rsidRPr="00236418" w:rsidRDefault="00D56FC4" w:rsidP="009B3D24">
      <w:pPr>
        <w:rPr>
          <w:rFonts w:cs="Calibri"/>
          <w:highlight w:val="yellow"/>
        </w:rPr>
      </w:pPr>
    </w:p>
    <w:tbl>
      <w:tblPr>
        <w:tblW w:w="7294" w:type="dxa"/>
        <w:jc w:val="center"/>
        <w:tblLook w:val="04A0" w:firstRow="1" w:lastRow="0" w:firstColumn="1" w:lastColumn="0" w:noHBand="0" w:noVBand="1"/>
      </w:tblPr>
      <w:tblGrid>
        <w:gridCol w:w="6147"/>
        <w:gridCol w:w="1147"/>
      </w:tblGrid>
      <w:tr w:rsidR="00D56FC4" w:rsidRPr="00236418" w14:paraId="10AF82F3" w14:textId="77777777" w:rsidTr="00992D58">
        <w:trPr>
          <w:trHeight w:val="435"/>
          <w:tblHeader/>
          <w:jc w:val="center"/>
        </w:trPr>
        <w:tc>
          <w:tcPr>
            <w:tcW w:w="0" w:type="auto"/>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23404F9" w14:textId="1B831928" w:rsidR="00D56FC4" w:rsidRPr="00236418" w:rsidRDefault="00774EFC" w:rsidP="009B3D24">
            <w:pPr>
              <w:pStyle w:val="Tablehead"/>
              <w:rPr>
                <w:sz w:val="24"/>
                <w:szCs w:val="24"/>
                <w:lang w:eastAsia="en-GB"/>
              </w:rPr>
            </w:pPr>
            <w:r w:rsidRPr="00236418">
              <w:rPr>
                <w:sz w:val="24"/>
                <w:szCs w:val="24"/>
                <w:lang w:eastAsia="en-GB"/>
              </w:rPr>
              <w:t>Excédent découlant de la mise en œuvre du budget de 2019</w:t>
            </w:r>
          </w:p>
        </w:tc>
      </w:tr>
      <w:tr w:rsidR="00D56FC4" w:rsidRPr="00236418" w14:paraId="321C5913" w14:textId="77777777" w:rsidTr="00992D58">
        <w:trPr>
          <w:trHeight w:val="211"/>
          <w:tblHeader/>
          <w:jc w:val="center"/>
        </w:trPr>
        <w:tc>
          <w:tcPr>
            <w:tcW w:w="0" w:type="auto"/>
            <w:tcBorders>
              <w:top w:val="nil"/>
              <w:left w:val="single" w:sz="4" w:space="0" w:color="auto"/>
              <w:bottom w:val="nil"/>
              <w:right w:val="single" w:sz="8" w:space="0" w:color="auto"/>
            </w:tcBorders>
            <w:shd w:val="clear" w:color="auto" w:fill="auto"/>
            <w:noWrap/>
            <w:vAlign w:val="center"/>
            <w:hideMark/>
          </w:tcPr>
          <w:p w14:paraId="383F6A7C" w14:textId="77777777" w:rsidR="00D56FC4" w:rsidRPr="00236418" w:rsidRDefault="00D56FC4" w:rsidP="00992D58">
            <w:pPr>
              <w:pStyle w:val="Tablehead"/>
              <w:spacing w:before="0" w:after="0"/>
              <w:rPr>
                <w:lang w:eastAsia="en-GB"/>
              </w:rPr>
            </w:pPr>
            <w:r w:rsidRPr="00236418">
              <w:rPr>
                <w:lang w:eastAsia="en-GB"/>
              </w:rPr>
              <w:t> </w:t>
            </w:r>
          </w:p>
        </w:tc>
        <w:tc>
          <w:tcPr>
            <w:tcW w:w="0" w:type="auto"/>
            <w:tcBorders>
              <w:top w:val="nil"/>
              <w:left w:val="nil"/>
              <w:bottom w:val="single" w:sz="8" w:space="0" w:color="auto"/>
              <w:right w:val="single" w:sz="4" w:space="0" w:color="auto"/>
            </w:tcBorders>
            <w:shd w:val="clear" w:color="auto" w:fill="auto"/>
            <w:noWrap/>
            <w:vAlign w:val="center"/>
            <w:hideMark/>
          </w:tcPr>
          <w:p w14:paraId="73E4F873" w14:textId="77777777" w:rsidR="00D56FC4" w:rsidRPr="00236418" w:rsidRDefault="00D56FC4" w:rsidP="00992D58">
            <w:pPr>
              <w:pStyle w:val="Tablehead"/>
              <w:spacing w:before="0" w:after="0"/>
              <w:rPr>
                <w:i/>
                <w:iCs/>
                <w:szCs w:val="22"/>
                <w:lang w:eastAsia="en-GB"/>
              </w:rPr>
            </w:pPr>
            <w:r w:rsidRPr="00236418">
              <w:rPr>
                <w:i/>
                <w:iCs/>
                <w:szCs w:val="22"/>
                <w:lang w:eastAsia="en-GB"/>
              </w:rPr>
              <w:t>CHF</w:t>
            </w:r>
          </w:p>
        </w:tc>
      </w:tr>
      <w:tr w:rsidR="00D56FC4" w:rsidRPr="00236418" w14:paraId="3CC3AF2F" w14:textId="77777777" w:rsidTr="00992D58">
        <w:trPr>
          <w:trHeight w:val="315"/>
          <w:jc w:val="center"/>
        </w:trPr>
        <w:tc>
          <w:tcPr>
            <w:tcW w:w="0" w:type="auto"/>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04920D24" w14:textId="194C5F71" w:rsidR="00D56FC4" w:rsidRPr="00236418" w:rsidRDefault="00774EFC" w:rsidP="009B3D24">
            <w:pPr>
              <w:pStyle w:val="Tabletext"/>
              <w:rPr>
                <w:b/>
                <w:bCs/>
                <w:lang w:eastAsia="en-GB"/>
              </w:rPr>
            </w:pPr>
            <w:r w:rsidRPr="00236418">
              <w:rPr>
                <w:b/>
                <w:bCs/>
                <w:lang w:eastAsia="en-GB"/>
              </w:rPr>
              <w:t xml:space="preserve">Excédent </w:t>
            </w:r>
            <w:r w:rsidR="00D56FC4" w:rsidRPr="00236418">
              <w:rPr>
                <w:b/>
                <w:bCs/>
                <w:lang w:eastAsia="en-GB"/>
              </w:rPr>
              <w:t xml:space="preserve">2019 </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720ECC62" w14:textId="2CFEC9B1" w:rsidR="00D56FC4" w:rsidRPr="00236418" w:rsidRDefault="00D56FC4" w:rsidP="009B3D24">
            <w:pPr>
              <w:pStyle w:val="Tabletext"/>
              <w:jc w:val="right"/>
              <w:rPr>
                <w:b/>
                <w:bCs/>
                <w:lang w:eastAsia="en-GB"/>
              </w:rPr>
            </w:pPr>
            <w:r w:rsidRPr="00236418">
              <w:rPr>
                <w:b/>
                <w:bCs/>
                <w:lang w:eastAsia="en-GB"/>
              </w:rPr>
              <w:t>4 778 998</w:t>
            </w:r>
          </w:p>
        </w:tc>
      </w:tr>
      <w:tr w:rsidR="00D56FC4" w:rsidRPr="00236418" w14:paraId="2269E30F" w14:textId="77777777" w:rsidTr="00992D58">
        <w:trPr>
          <w:trHeight w:val="211"/>
          <w:jc w:val="center"/>
        </w:trPr>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3A2460FC" w14:textId="77777777" w:rsidR="00D56FC4" w:rsidRPr="00236418" w:rsidRDefault="00D56FC4" w:rsidP="00992D58">
            <w:pPr>
              <w:pStyle w:val="Tabletext"/>
              <w:spacing w:before="0" w:after="0"/>
              <w:rPr>
                <w:b/>
                <w:bCs/>
                <w:lang w:eastAsia="en-GB"/>
              </w:rPr>
            </w:pPr>
            <w:r w:rsidRPr="00236418">
              <w:rPr>
                <w:b/>
                <w:bCs/>
                <w:lang w:eastAsia="en-GB"/>
              </w:rPr>
              <w:t> </w:t>
            </w:r>
          </w:p>
        </w:tc>
        <w:tc>
          <w:tcPr>
            <w:tcW w:w="0" w:type="auto"/>
            <w:tcBorders>
              <w:top w:val="nil"/>
              <w:left w:val="nil"/>
              <w:bottom w:val="single" w:sz="8" w:space="0" w:color="auto"/>
              <w:right w:val="single" w:sz="4" w:space="0" w:color="auto"/>
            </w:tcBorders>
            <w:shd w:val="clear" w:color="auto" w:fill="auto"/>
            <w:noWrap/>
            <w:vAlign w:val="center"/>
            <w:hideMark/>
          </w:tcPr>
          <w:p w14:paraId="20A98541" w14:textId="77777777" w:rsidR="00D56FC4" w:rsidRPr="00236418" w:rsidRDefault="00D56FC4" w:rsidP="00992D58">
            <w:pPr>
              <w:pStyle w:val="Tabletext"/>
              <w:spacing w:before="0" w:after="0"/>
              <w:jc w:val="right"/>
              <w:rPr>
                <w:b/>
                <w:bCs/>
                <w:lang w:eastAsia="en-GB"/>
              </w:rPr>
            </w:pPr>
            <w:r w:rsidRPr="00236418">
              <w:rPr>
                <w:b/>
                <w:bCs/>
                <w:lang w:eastAsia="en-GB"/>
              </w:rPr>
              <w:t> </w:t>
            </w:r>
          </w:p>
        </w:tc>
      </w:tr>
      <w:tr w:rsidR="00D56FC4" w:rsidRPr="00236418" w14:paraId="59FED744" w14:textId="77777777" w:rsidTr="00992D58">
        <w:trPr>
          <w:trHeight w:val="315"/>
          <w:jc w:val="center"/>
        </w:trPr>
        <w:tc>
          <w:tcPr>
            <w:tcW w:w="0" w:type="auto"/>
            <w:tcBorders>
              <w:top w:val="nil"/>
              <w:left w:val="single" w:sz="4" w:space="0" w:color="auto"/>
              <w:bottom w:val="single" w:sz="8" w:space="0" w:color="auto"/>
              <w:right w:val="single" w:sz="8" w:space="0" w:color="auto"/>
            </w:tcBorders>
            <w:shd w:val="clear" w:color="000000" w:fill="CCCCFF"/>
            <w:noWrap/>
            <w:vAlign w:val="center"/>
            <w:hideMark/>
          </w:tcPr>
          <w:p w14:paraId="53388520" w14:textId="384A6E31" w:rsidR="00D56FC4" w:rsidRPr="00236418" w:rsidRDefault="00774EFC" w:rsidP="009B3D24">
            <w:pPr>
              <w:pStyle w:val="Tabletext"/>
              <w:rPr>
                <w:lang w:eastAsia="en-GB"/>
              </w:rPr>
            </w:pPr>
            <w:r w:rsidRPr="00236418">
              <w:rPr>
                <w:lang w:eastAsia="en-GB"/>
              </w:rPr>
              <w:t xml:space="preserve">Activités reportées </w:t>
            </w:r>
            <w:r w:rsidR="0004000E" w:rsidRPr="00236418">
              <w:rPr>
                <w:lang w:eastAsia="en-GB"/>
              </w:rPr>
              <w:t xml:space="preserve">– </w:t>
            </w:r>
            <w:r w:rsidR="00D56FC4" w:rsidRPr="00236418">
              <w:rPr>
                <w:lang w:eastAsia="en-GB"/>
              </w:rPr>
              <w:t xml:space="preserve">BDT </w:t>
            </w:r>
          </w:p>
        </w:tc>
        <w:tc>
          <w:tcPr>
            <w:tcW w:w="0" w:type="auto"/>
            <w:tcBorders>
              <w:top w:val="nil"/>
              <w:left w:val="nil"/>
              <w:bottom w:val="single" w:sz="8" w:space="0" w:color="auto"/>
              <w:right w:val="single" w:sz="4" w:space="0" w:color="auto"/>
            </w:tcBorders>
            <w:shd w:val="clear" w:color="000000" w:fill="CCCCFF"/>
            <w:noWrap/>
            <w:vAlign w:val="center"/>
            <w:hideMark/>
          </w:tcPr>
          <w:p w14:paraId="3A57EBD3" w14:textId="34D62EAF" w:rsidR="00D56FC4" w:rsidRPr="00236418" w:rsidRDefault="00D56FC4" w:rsidP="009B3D24">
            <w:pPr>
              <w:pStyle w:val="Tabletext"/>
              <w:jc w:val="right"/>
              <w:rPr>
                <w:b/>
                <w:bCs/>
                <w:lang w:eastAsia="en-GB"/>
              </w:rPr>
            </w:pPr>
            <w:r w:rsidRPr="00236418">
              <w:rPr>
                <w:b/>
                <w:bCs/>
                <w:lang w:eastAsia="en-GB"/>
              </w:rPr>
              <w:t>30 000</w:t>
            </w:r>
          </w:p>
        </w:tc>
      </w:tr>
      <w:tr w:rsidR="00D56FC4" w:rsidRPr="00236418" w14:paraId="2B76F074" w14:textId="77777777" w:rsidTr="00992D58">
        <w:trPr>
          <w:jc w:val="center"/>
        </w:trPr>
        <w:tc>
          <w:tcPr>
            <w:tcW w:w="0" w:type="auto"/>
            <w:tcBorders>
              <w:top w:val="nil"/>
              <w:left w:val="single" w:sz="4" w:space="0" w:color="auto"/>
              <w:bottom w:val="nil"/>
              <w:right w:val="single" w:sz="8" w:space="0" w:color="auto"/>
            </w:tcBorders>
            <w:shd w:val="clear" w:color="auto" w:fill="auto"/>
            <w:noWrap/>
            <w:vAlign w:val="center"/>
            <w:hideMark/>
          </w:tcPr>
          <w:p w14:paraId="20952ED6" w14:textId="77777777" w:rsidR="00D56FC4" w:rsidRPr="00236418" w:rsidRDefault="00D56FC4" w:rsidP="00992D58">
            <w:pPr>
              <w:pStyle w:val="Tabletext"/>
              <w:spacing w:before="0" w:after="0"/>
              <w:rPr>
                <w:lang w:eastAsia="en-GB"/>
              </w:rPr>
            </w:pPr>
            <w:r w:rsidRPr="00236418">
              <w:rPr>
                <w:lang w:eastAsia="en-GB"/>
              </w:rPr>
              <w:t> </w:t>
            </w:r>
          </w:p>
        </w:tc>
        <w:tc>
          <w:tcPr>
            <w:tcW w:w="0" w:type="auto"/>
            <w:tcBorders>
              <w:top w:val="nil"/>
              <w:left w:val="nil"/>
              <w:bottom w:val="nil"/>
              <w:right w:val="single" w:sz="4" w:space="0" w:color="auto"/>
            </w:tcBorders>
            <w:shd w:val="clear" w:color="auto" w:fill="auto"/>
            <w:noWrap/>
            <w:vAlign w:val="center"/>
            <w:hideMark/>
          </w:tcPr>
          <w:p w14:paraId="16328722" w14:textId="77777777" w:rsidR="00D56FC4" w:rsidRPr="00236418" w:rsidRDefault="00D56FC4" w:rsidP="00992D58">
            <w:pPr>
              <w:pStyle w:val="Tabletext"/>
              <w:spacing w:before="0" w:after="0"/>
              <w:jc w:val="right"/>
              <w:rPr>
                <w:lang w:eastAsia="en-GB"/>
              </w:rPr>
            </w:pPr>
            <w:r w:rsidRPr="00236418">
              <w:rPr>
                <w:lang w:eastAsia="en-GB"/>
              </w:rPr>
              <w:t> </w:t>
            </w:r>
          </w:p>
        </w:tc>
      </w:tr>
      <w:tr w:rsidR="00D56FC4" w:rsidRPr="00236418" w14:paraId="70043316"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0CF36876" w14:textId="6F545CCF" w:rsidR="00D56FC4" w:rsidRPr="00236418" w:rsidRDefault="00D56FC4" w:rsidP="009B3D24">
            <w:pPr>
              <w:pStyle w:val="Tabletext"/>
              <w:rPr>
                <w:lang w:eastAsia="en-GB"/>
              </w:rPr>
            </w:pPr>
            <w:r w:rsidRPr="00236418">
              <w:rPr>
                <w:lang w:eastAsia="en-GB"/>
              </w:rPr>
              <w:t>D</w:t>
            </w:r>
            <w:r w:rsidR="00774EFC" w:rsidRPr="00236418">
              <w:rPr>
                <w:lang w:eastAsia="en-GB"/>
              </w:rPr>
              <w:t>é</w:t>
            </w:r>
            <w:r w:rsidRPr="00236418">
              <w:rPr>
                <w:lang w:eastAsia="en-GB"/>
              </w:rPr>
              <w:t xml:space="preserve">cision 616 </w:t>
            </w:r>
            <w:r w:rsidR="0004000E" w:rsidRPr="00236418">
              <w:rPr>
                <w:lang w:eastAsia="en-GB"/>
              </w:rPr>
              <w:t xml:space="preserve">– </w:t>
            </w:r>
            <w:r w:rsidR="00774EFC" w:rsidRPr="00236418">
              <w:rPr>
                <w:lang w:eastAsia="en-GB"/>
              </w:rPr>
              <w:t>Présence régionale</w:t>
            </w:r>
          </w:p>
        </w:tc>
        <w:tc>
          <w:tcPr>
            <w:tcW w:w="0" w:type="auto"/>
            <w:tcBorders>
              <w:top w:val="nil"/>
              <w:left w:val="nil"/>
              <w:bottom w:val="nil"/>
              <w:right w:val="single" w:sz="4" w:space="0" w:color="auto"/>
            </w:tcBorders>
            <w:shd w:val="clear" w:color="000000" w:fill="E2EFDA"/>
            <w:noWrap/>
            <w:vAlign w:val="center"/>
            <w:hideMark/>
          </w:tcPr>
          <w:p w14:paraId="70FB33EE" w14:textId="2CFB8403" w:rsidR="00D56FC4" w:rsidRPr="00236418" w:rsidRDefault="00D56FC4" w:rsidP="009B3D24">
            <w:pPr>
              <w:pStyle w:val="Tabletext"/>
              <w:jc w:val="right"/>
              <w:rPr>
                <w:lang w:eastAsia="en-GB"/>
              </w:rPr>
            </w:pPr>
            <w:r w:rsidRPr="00236418">
              <w:rPr>
                <w:lang w:eastAsia="en-GB"/>
              </w:rPr>
              <w:t>500 000</w:t>
            </w:r>
          </w:p>
        </w:tc>
      </w:tr>
      <w:tr w:rsidR="00D56FC4" w:rsidRPr="00236418" w14:paraId="4F66AB80"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6C28B61F" w14:textId="49F6F064" w:rsidR="00D56FC4" w:rsidRPr="00236418" w:rsidRDefault="00D56FC4" w:rsidP="009B3D24">
            <w:pPr>
              <w:pStyle w:val="Tabletext"/>
              <w:rPr>
                <w:lang w:eastAsia="en-GB"/>
              </w:rPr>
            </w:pPr>
            <w:proofErr w:type="spellStart"/>
            <w:r w:rsidRPr="00236418">
              <w:rPr>
                <w:lang w:eastAsia="en-GB"/>
              </w:rPr>
              <w:t>R</w:t>
            </w:r>
            <w:r w:rsidR="00774EFC" w:rsidRPr="00236418">
              <w:rPr>
                <w:lang w:eastAsia="en-GB"/>
              </w:rPr>
              <w:t>é</w:t>
            </w:r>
            <w:r w:rsidRPr="00236418">
              <w:rPr>
                <w:lang w:eastAsia="en-GB"/>
              </w:rPr>
              <w:t>s</w:t>
            </w:r>
            <w:proofErr w:type="spellEnd"/>
            <w:r w:rsidRPr="00236418">
              <w:rPr>
                <w:lang w:eastAsia="en-GB"/>
              </w:rPr>
              <w:t>. 1396: 4</w:t>
            </w:r>
            <w:r w:rsidR="00774EFC" w:rsidRPr="00236418">
              <w:rPr>
                <w:lang w:eastAsia="en-GB"/>
              </w:rPr>
              <w:t xml:space="preserve"> postes supplémentaires de statisticien pour le </w:t>
            </w:r>
            <w:r w:rsidRPr="00236418">
              <w:rPr>
                <w:lang w:eastAsia="en-GB"/>
              </w:rPr>
              <w:t>BDT</w:t>
            </w:r>
          </w:p>
        </w:tc>
        <w:tc>
          <w:tcPr>
            <w:tcW w:w="0" w:type="auto"/>
            <w:tcBorders>
              <w:top w:val="nil"/>
              <w:left w:val="nil"/>
              <w:bottom w:val="nil"/>
              <w:right w:val="single" w:sz="4" w:space="0" w:color="auto"/>
            </w:tcBorders>
            <w:shd w:val="clear" w:color="000000" w:fill="E2EFDA"/>
            <w:noWrap/>
            <w:vAlign w:val="center"/>
            <w:hideMark/>
          </w:tcPr>
          <w:p w14:paraId="70DFA916" w14:textId="55EB2C10" w:rsidR="00D56FC4" w:rsidRPr="00236418" w:rsidRDefault="00D56FC4" w:rsidP="009B3D24">
            <w:pPr>
              <w:pStyle w:val="Tabletext"/>
              <w:jc w:val="right"/>
              <w:rPr>
                <w:lang w:eastAsia="en-GB"/>
              </w:rPr>
            </w:pPr>
            <w:r w:rsidRPr="00236418">
              <w:rPr>
                <w:lang w:eastAsia="en-GB"/>
              </w:rPr>
              <w:t>1 044 000</w:t>
            </w:r>
          </w:p>
        </w:tc>
      </w:tr>
      <w:tr w:rsidR="00D56FC4" w:rsidRPr="00236418" w14:paraId="75725C0E"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30CE26BE" w14:textId="07FFA4B4" w:rsidR="00D56FC4" w:rsidRPr="00236418" w:rsidRDefault="00D56FC4" w:rsidP="009B3D24">
            <w:pPr>
              <w:pStyle w:val="Tabletext"/>
              <w:rPr>
                <w:lang w:eastAsia="en-GB"/>
              </w:rPr>
            </w:pPr>
            <w:r w:rsidRPr="00236418">
              <w:rPr>
                <w:lang w:eastAsia="en-GB"/>
              </w:rPr>
              <w:t>D</w:t>
            </w:r>
            <w:r w:rsidR="00774EFC" w:rsidRPr="00236418">
              <w:rPr>
                <w:lang w:eastAsia="en-GB"/>
              </w:rPr>
              <w:t>é</w:t>
            </w:r>
            <w:r w:rsidRPr="00236418">
              <w:rPr>
                <w:lang w:eastAsia="en-GB"/>
              </w:rPr>
              <w:t xml:space="preserve">cision 619 </w:t>
            </w:r>
            <w:r w:rsidR="00774EFC" w:rsidRPr="00236418">
              <w:rPr>
                <w:lang w:eastAsia="en-GB"/>
              </w:rPr>
              <w:t>Nouveau bâtiment</w:t>
            </w:r>
            <w:r w:rsidRPr="00236418">
              <w:rPr>
                <w:lang w:eastAsia="en-GB"/>
              </w:rPr>
              <w:t>/</w:t>
            </w:r>
            <w:r w:rsidR="00774EFC" w:rsidRPr="00236418">
              <w:rPr>
                <w:lang w:eastAsia="en-GB"/>
              </w:rPr>
              <w:t>Coûts indirects</w:t>
            </w:r>
          </w:p>
        </w:tc>
        <w:tc>
          <w:tcPr>
            <w:tcW w:w="0" w:type="auto"/>
            <w:tcBorders>
              <w:top w:val="nil"/>
              <w:left w:val="nil"/>
              <w:bottom w:val="nil"/>
              <w:right w:val="single" w:sz="4" w:space="0" w:color="auto"/>
            </w:tcBorders>
            <w:shd w:val="clear" w:color="000000" w:fill="E2EFDA"/>
            <w:noWrap/>
            <w:vAlign w:val="center"/>
            <w:hideMark/>
          </w:tcPr>
          <w:p w14:paraId="6FB1074F" w14:textId="189B65ED" w:rsidR="00D56FC4" w:rsidRPr="00236418" w:rsidRDefault="00D56FC4" w:rsidP="009B3D24">
            <w:pPr>
              <w:pStyle w:val="Tabletext"/>
              <w:jc w:val="right"/>
              <w:rPr>
                <w:lang w:eastAsia="en-GB"/>
              </w:rPr>
            </w:pPr>
            <w:r w:rsidRPr="00236418">
              <w:rPr>
                <w:lang w:eastAsia="en-GB"/>
              </w:rPr>
              <w:t xml:space="preserve">935 000 </w:t>
            </w:r>
          </w:p>
        </w:tc>
      </w:tr>
      <w:tr w:rsidR="00D56FC4" w:rsidRPr="00236418" w14:paraId="7053770E"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3F4276C1" w14:textId="4DC3D307" w:rsidR="00D56FC4" w:rsidRPr="00236418" w:rsidRDefault="00D56FC4" w:rsidP="009B3D24">
            <w:pPr>
              <w:pStyle w:val="Tabletext"/>
              <w:rPr>
                <w:lang w:eastAsia="en-GB"/>
              </w:rPr>
            </w:pPr>
            <w:r w:rsidRPr="00236418">
              <w:rPr>
                <w:lang w:eastAsia="en-GB"/>
              </w:rPr>
              <w:t>BDT ERP/DL 10</w:t>
            </w:r>
          </w:p>
        </w:tc>
        <w:tc>
          <w:tcPr>
            <w:tcW w:w="0" w:type="auto"/>
            <w:tcBorders>
              <w:top w:val="nil"/>
              <w:left w:val="nil"/>
              <w:bottom w:val="nil"/>
              <w:right w:val="single" w:sz="4" w:space="0" w:color="auto"/>
            </w:tcBorders>
            <w:shd w:val="clear" w:color="000000" w:fill="E2EFDA"/>
            <w:noWrap/>
            <w:vAlign w:val="center"/>
            <w:hideMark/>
          </w:tcPr>
          <w:p w14:paraId="73D292B7" w14:textId="7ACB2A2C" w:rsidR="00D56FC4" w:rsidRPr="00236418" w:rsidRDefault="00D56FC4" w:rsidP="009B3D24">
            <w:pPr>
              <w:pStyle w:val="Tabletext"/>
              <w:jc w:val="right"/>
              <w:rPr>
                <w:lang w:eastAsia="en-GB"/>
              </w:rPr>
            </w:pPr>
            <w:r w:rsidRPr="00236418">
              <w:rPr>
                <w:lang w:eastAsia="en-GB"/>
              </w:rPr>
              <w:t xml:space="preserve">500 000 </w:t>
            </w:r>
          </w:p>
        </w:tc>
      </w:tr>
      <w:tr w:rsidR="00D56FC4" w:rsidRPr="00236418" w14:paraId="5344B5E7" w14:textId="77777777" w:rsidTr="00992D58">
        <w:trPr>
          <w:trHeight w:val="315"/>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4D0B4899" w14:textId="3A0D90F7" w:rsidR="00D56FC4" w:rsidRPr="00236418" w:rsidRDefault="00D56FC4" w:rsidP="009B3D24">
            <w:pPr>
              <w:pStyle w:val="Tabletext"/>
              <w:rPr>
                <w:lang w:eastAsia="en-GB"/>
              </w:rPr>
            </w:pPr>
            <w:r w:rsidRPr="00236418">
              <w:rPr>
                <w:lang w:eastAsia="en-GB"/>
              </w:rPr>
              <w:t xml:space="preserve">IS </w:t>
            </w:r>
            <w:proofErr w:type="spellStart"/>
            <w:r w:rsidRPr="00236418">
              <w:rPr>
                <w:lang w:eastAsia="en-GB"/>
              </w:rPr>
              <w:t>protectas</w:t>
            </w:r>
            <w:proofErr w:type="spellEnd"/>
            <w:r w:rsidRPr="00236418">
              <w:rPr>
                <w:lang w:eastAsia="en-GB"/>
              </w:rPr>
              <w:t xml:space="preserve"> </w:t>
            </w:r>
            <w:r w:rsidR="0004000E" w:rsidRPr="00236418">
              <w:rPr>
                <w:lang w:eastAsia="en-GB"/>
              </w:rPr>
              <w:t xml:space="preserve">– </w:t>
            </w:r>
            <w:r w:rsidR="00774EFC" w:rsidRPr="00236418">
              <w:rPr>
                <w:lang w:eastAsia="en-GB"/>
              </w:rPr>
              <w:t>Renforcement de la sécurité</w:t>
            </w:r>
          </w:p>
        </w:tc>
        <w:tc>
          <w:tcPr>
            <w:tcW w:w="0" w:type="auto"/>
            <w:tcBorders>
              <w:top w:val="nil"/>
              <w:left w:val="nil"/>
              <w:bottom w:val="nil"/>
              <w:right w:val="single" w:sz="4" w:space="0" w:color="auto"/>
            </w:tcBorders>
            <w:shd w:val="clear" w:color="000000" w:fill="E2EFDA"/>
            <w:noWrap/>
            <w:vAlign w:val="center"/>
            <w:hideMark/>
          </w:tcPr>
          <w:p w14:paraId="44ED00CE" w14:textId="6D01B215" w:rsidR="00D56FC4" w:rsidRPr="00236418" w:rsidRDefault="00D56FC4" w:rsidP="009B3D24">
            <w:pPr>
              <w:pStyle w:val="Tabletext"/>
              <w:jc w:val="right"/>
              <w:rPr>
                <w:lang w:eastAsia="en-GB"/>
              </w:rPr>
            </w:pPr>
            <w:r w:rsidRPr="00236418">
              <w:rPr>
                <w:lang w:eastAsia="en-GB"/>
              </w:rPr>
              <w:t>206 000</w:t>
            </w:r>
          </w:p>
        </w:tc>
      </w:tr>
      <w:tr w:rsidR="00D56FC4" w:rsidRPr="00236418" w14:paraId="7F5B6779" w14:textId="77777777" w:rsidTr="00992D58">
        <w:trPr>
          <w:trHeight w:val="315"/>
          <w:jc w:val="center"/>
        </w:trPr>
        <w:tc>
          <w:tcPr>
            <w:tcW w:w="0" w:type="auto"/>
            <w:tcBorders>
              <w:top w:val="single" w:sz="8" w:space="0" w:color="auto"/>
              <w:left w:val="single" w:sz="4" w:space="0" w:color="auto"/>
              <w:bottom w:val="single" w:sz="8" w:space="0" w:color="auto"/>
              <w:right w:val="single" w:sz="8" w:space="0" w:color="auto"/>
            </w:tcBorders>
            <w:shd w:val="clear" w:color="000000" w:fill="C6E0B4"/>
            <w:noWrap/>
            <w:vAlign w:val="center"/>
            <w:hideMark/>
          </w:tcPr>
          <w:p w14:paraId="0E033B4F" w14:textId="374ADB17" w:rsidR="00D56FC4" w:rsidRPr="00236418" w:rsidRDefault="00D56FC4" w:rsidP="009B3D24">
            <w:pPr>
              <w:pStyle w:val="Tabletext"/>
              <w:rPr>
                <w:b/>
                <w:bCs/>
                <w:lang w:eastAsia="en-GB"/>
              </w:rPr>
            </w:pPr>
            <w:r w:rsidRPr="00236418">
              <w:rPr>
                <w:b/>
                <w:bCs/>
                <w:lang w:eastAsia="en-GB"/>
              </w:rPr>
              <w:t>S</w:t>
            </w:r>
            <w:r w:rsidR="00774EFC" w:rsidRPr="00236418">
              <w:rPr>
                <w:b/>
                <w:bCs/>
                <w:lang w:eastAsia="en-GB"/>
              </w:rPr>
              <w:t>ous</w:t>
            </w:r>
            <w:r w:rsidRPr="00236418">
              <w:rPr>
                <w:b/>
                <w:bCs/>
                <w:lang w:eastAsia="en-GB"/>
              </w:rPr>
              <w:t>-</w:t>
            </w:r>
            <w:r w:rsidR="00774EFC" w:rsidRPr="00236418">
              <w:rPr>
                <w:b/>
                <w:bCs/>
                <w:lang w:eastAsia="en-GB"/>
              </w:rPr>
              <w:t>t</w:t>
            </w:r>
            <w:r w:rsidRPr="00236418">
              <w:rPr>
                <w:b/>
                <w:bCs/>
                <w:lang w:eastAsia="en-GB"/>
              </w:rPr>
              <w:t xml:space="preserve">otal </w:t>
            </w:r>
            <w:r w:rsidR="0004000E" w:rsidRPr="00236418">
              <w:rPr>
                <w:b/>
                <w:bCs/>
                <w:lang w:eastAsia="en-GB"/>
              </w:rPr>
              <w:t xml:space="preserve">– </w:t>
            </w:r>
            <w:r w:rsidR="00774EFC" w:rsidRPr="00236418">
              <w:rPr>
                <w:b/>
                <w:bCs/>
                <w:lang w:eastAsia="en-GB"/>
              </w:rPr>
              <w:t>Demande</w:t>
            </w:r>
            <w:r w:rsidR="009F1D9E" w:rsidRPr="00236418">
              <w:rPr>
                <w:b/>
                <w:bCs/>
                <w:lang w:eastAsia="en-GB"/>
              </w:rPr>
              <w:t>s</w:t>
            </w:r>
            <w:r w:rsidR="00774EFC" w:rsidRPr="00236418">
              <w:rPr>
                <w:b/>
                <w:bCs/>
                <w:lang w:eastAsia="en-GB"/>
              </w:rPr>
              <w:t xml:space="preserve"> approuvée</w:t>
            </w:r>
            <w:r w:rsidR="009F1D9E" w:rsidRPr="00236418">
              <w:rPr>
                <w:b/>
                <w:bCs/>
                <w:lang w:eastAsia="en-GB"/>
              </w:rPr>
              <w:t>s</w:t>
            </w:r>
            <w:r w:rsidR="00774EFC" w:rsidRPr="00236418">
              <w:rPr>
                <w:b/>
                <w:bCs/>
                <w:lang w:eastAsia="en-GB"/>
              </w:rPr>
              <w:t xml:space="preserve"> par le Conseil en 2019</w:t>
            </w:r>
          </w:p>
        </w:tc>
        <w:tc>
          <w:tcPr>
            <w:tcW w:w="0" w:type="auto"/>
            <w:tcBorders>
              <w:top w:val="single" w:sz="8" w:space="0" w:color="auto"/>
              <w:left w:val="nil"/>
              <w:bottom w:val="single" w:sz="8" w:space="0" w:color="auto"/>
              <w:right w:val="single" w:sz="4" w:space="0" w:color="auto"/>
            </w:tcBorders>
            <w:shd w:val="clear" w:color="000000" w:fill="C6E0B4"/>
            <w:noWrap/>
            <w:vAlign w:val="center"/>
            <w:hideMark/>
          </w:tcPr>
          <w:p w14:paraId="2D06F7C1" w14:textId="3611BF5B" w:rsidR="00D56FC4" w:rsidRPr="00236418" w:rsidRDefault="00D56FC4" w:rsidP="009B3D24">
            <w:pPr>
              <w:pStyle w:val="Tabletext"/>
              <w:jc w:val="right"/>
              <w:rPr>
                <w:b/>
                <w:bCs/>
                <w:lang w:eastAsia="en-GB"/>
              </w:rPr>
            </w:pPr>
            <w:r w:rsidRPr="00236418">
              <w:rPr>
                <w:b/>
                <w:bCs/>
                <w:lang w:eastAsia="en-GB"/>
              </w:rPr>
              <w:t>3 185 000</w:t>
            </w:r>
          </w:p>
        </w:tc>
      </w:tr>
      <w:tr w:rsidR="00D56FC4" w:rsidRPr="00236418" w14:paraId="277C9B3E" w14:textId="77777777" w:rsidTr="00992D58">
        <w:trPr>
          <w:trHeight w:val="390"/>
          <w:jc w:val="center"/>
        </w:trPr>
        <w:tc>
          <w:tcPr>
            <w:tcW w:w="0" w:type="auto"/>
            <w:tcBorders>
              <w:top w:val="nil"/>
              <w:left w:val="single" w:sz="4" w:space="0" w:color="auto"/>
              <w:bottom w:val="single" w:sz="8" w:space="0" w:color="auto"/>
              <w:right w:val="single" w:sz="8" w:space="0" w:color="auto"/>
            </w:tcBorders>
            <w:shd w:val="clear" w:color="000000" w:fill="FFF2CC"/>
            <w:noWrap/>
            <w:vAlign w:val="center"/>
          </w:tcPr>
          <w:p w14:paraId="709D8E48" w14:textId="0BDF7AE9" w:rsidR="00D56FC4" w:rsidRPr="00236418" w:rsidRDefault="00774EFC" w:rsidP="009B3D24">
            <w:pPr>
              <w:pStyle w:val="Tabletext"/>
              <w:rPr>
                <w:b/>
                <w:bCs/>
                <w:lang w:eastAsia="en-GB"/>
              </w:rPr>
            </w:pPr>
            <w:r w:rsidRPr="00236418">
              <w:rPr>
                <w:b/>
                <w:bCs/>
                <w:lang w:eastAsia="en-GB"/>
              </w:rPr>
              <w:t xml:space="preserve">Fonds </w:t>
            </w:r>
            <w:r w:rsidR="00D56FC4" w:rsidRPr="00236418">
              <w:rPr>
                <w:b/>
                <w:bCs/>
                <w:lang w:eastAsia="en-GB"/>
              </w:rPr>
              <w:t>ASHI (D</w:t>
            </w:r>
            <w:r w:rsidRPr="00236418">
              <w:rPr>
                <w:b/>
                <w:bCs/>
                <w:lang w:eastAsia="en-GB"/>
              </w:rPr>
              <w:t>é</w:t>
            </w:r>
            <w:r w:rsidR="00D56FC4" w:rsidRPr="00236418">
              <w:rPr>
                <w:b/>
                <w:bCs/>
                <w:lang w:eastAsia="en-GB"/>
              </w:rPr>
              <w:t>c. 5)</w:t>
            </w:r>
          </w:p>
        </w:tc>
        <w:tc>
          <w:tcPr>
            <w:tcW w:w="0" w:type="auto"/>
            <w:tcBorders>
              <w:top w:val="nil"/>
              <w:left w:val="nil"/>
              <w:bottom w:val="single" w:sz="8" w:space="0" w:color="auto"/>
              <w:right w:val="single" w:sz="4" w:space="0" w:color="auto"/>
            </w:tcBorders>
            <w:shd w:val="clear" w:color="000000" w:fill="FFF2CC"/>
            <w:noWrap/>
            <w:vAlign w:val="center"/>
          </w:tcPr>
          <w:p w14:paraId="67684DC6" w14:textId="4CD0E0E9" w:rsidR="00D56FC4" w:rsidRPr="00236418" w:rsidRDefault="00D56FC4" w:rsidP="009B3D24">
            <w:pPr>
              <w:pStyle w:val="Tabletext"/>
              <w:jc w:val="right"/>
              <w:rPr>
                <w:lang w:eastAsia="en-GB"/>
              </w:rPr>
            </w:pPr>
            <w:r w:rsidRPr="00236418">
              <w:rPr>
                <w:lang w:eastAsia="en-GB"/>
              </w:rPr>
              <w:t>500 000</w:t>
            </w:r>
          </w:p>
        </w:tc>
      </w:tr>
      <w:tr w:rsidR="00D56FC4" w:rsidRPr="00236418" w14:paraId="7C4BAA92" w14:textId="77777777" w:rsidTr="00992D58">
        <w:trPr>
          <w:trHeight w:val="390"/>
          <w:jc w:val="center"/>
        </w:trPr>
        <w:tc>
          <w:tcPr>
            <w:tcW w:w="0" w:type="auto"/>
            <w:tcBorders>
              <w:top w:val="nil"/>
              <w:left w:val="single" w:sz="4" w:space="0" w:color="auto"/>
              <w:bottom w:val="single" w:sz="8" w:space="0" w:color="auto"/>
              <w:right w:val="single" w:sz="8" w:space="0" w:color="auto"/>
            </w:tcBorders>
            <w:shd w:val="clear" w:color="000000" w:fill="FFF2CC"/>
            <w:noWrap/>
            <w:vAlign w:val="center"/>
            <w:hideMark/>
          </w:tcPr>
          <w:p w14:paraId="725C6C17" w14:textId="126B4D68" w:rsidR="00D56FC4" w:rsidRPr="00236418" w:rsidRDefault="00774EFC" w:rsidP="009B3D24">
            <w:pPr>
              <w:pStyle w:val="Tabletext"/>
              <w:rPr>
                <w:b/>
                <w:bCs/>
                <w:lang w:eastAsia="en-GB"/>
              </w:rPr>
            </w:pPr>
            <w:r w:rsidRPr="00236418">
              <w:rPr>
                <w:b/>
                <w:bCs/>
                <w:lang w:eastAsia="en-GB"/>
              </w:rPr>
              <w:t>Excédent restant</w:t>
            </w:r>
            <w:r w:rsidR="00D56FC4" w:rsidRPr="00236418">
              <w:rPr>
                <w:b/>
                <w:bCs/>
                <w:lang w:eastAsia="en-GB"/>
              </w:rPr>
              <w:t xml:space="preserve"> </w:t>
            </w:r>
          </w:p>
        </w:tc>
        <w:tc>
          <w:tcPr>
            <w:tcW w:w="0" w:type="auto"/>
            <w:tcBorders>
              <w:top w:val="nil"/>
              <w:left w:val="nil"/>
              <w:bottom w:val="single" w:sz="8" w:space="0" w:color="auto"/>
              <w:right w:val="single" w:sz="4" w:space="0" w:color="auto"/>
            </w:tcBorders>
            <w:shd w:val="clear" w:color="000000" w:fill="FFF2CC"/>
            <w:noWrap/>
            <w:vAlign w:val="center"/>
            <w:hideMark/>
          </w:tcPr>
          <w:p w14:paraId="5EABB500" w14:textId="458C6165" w:rsidR="00D56FC4" w:rsidRPr="00236418" w:rsidRDefault="00D56FC4" w:rsidP="009B3D24">
            <w:pPr>
              <w:pStyle w:val="Tabletext"/>
              <w:jc w:val="right"/>
              <w:rPr>
                <w:b/>
                <w:bCs/>
                <w:lang w:eastAsia="en-GB"/>
              </w:rPr>
            </w:pPr>
            <w:r w:rsidRPr="00236418">
              <w:rPr>
                <w:b/>
                <w:bCs/>
                <w:lang w:eastAsia="en-GB"/>
              </w:rPr>
              <w:t>1 063 998</w:t>
            </w:r>
          </w:p>
        </w:tc>
      </w:tr>
    </w:tbl>
    <w:p w14:paraId="37A6C570" w14:textId="2455D009" w:rsidR="008C6828" w:rsidRPr="00236418" w:rsidRDefault="00D56FC4" w:rsidP="00941ED9">
      <w:pPr>
        <w:spacing w:after="120"/>
      </w:pPr>
      <w:r w:rsidRPr="00236418">
        <w:t>2</w:t>
      </w:r>
      <w:r w:rsidR="005A4F57" w:rsidRPr="00236418">
        <w:t>4</w:t>
      </w:r>
      <w:r w:rsidRPr="00236418">
        <w:tab/>
      </w:r>
      <w:r w:rsidR="00DF6159" w:rsidRPr="00236418">
        <w:t xml:space="preserve">Conformément au paragraphe 5 de l'Article 10 et au paragraphe 4 de l'Article 12 du Règlement financier et des Règles financières, </w:t>
      </w:r>
      <w:r w:rsidR="008C6828" w:rsidRPr="00236418">
        <w:t xml:space="preserve">les attributions de l'excédent budgétaire </w:t>
      </w:r>
      <w:r w:rsidR="009B4B07" w:rsidRPr="00236418">
        <w:t>dégagé en 2019 </w:t>
      </w:r>
      <w:r w:rsidR="008C6828" w:rsidRPr="00236418">
        <w:t>présentées dans le tableau ci-dessous sont proposées:</w:t>
      </w:r>
    </w:p>
    <w:tbl>
      <w:tblPr>
        <w:tblW w:w="6227" w:type="dxa"/>
        <w:jc w:val="center"/>
        <w:tblLook w:val="04A0" w:firstRow="1" w:lastRow="0" w:firstColumn="1" w:lastColumn="0" w:noHBand="0" w:noVBand="1"/>
      </w:tblPr>
      <w:tblGrid>
        <w:gridCol w:w="4243"/>
        <w:gridCol w:w="1984"/>
      </w:tblGrid>
      <w:tr w:rsidR="00D56FC4" w:rsidRPr="00236418" w14:paraId="2D7B9F8D" w14:textId="77777777" w:rsidTr="00DB3509">
        <w:trPr>
          <w:trHeight w:val="390"/>
          <w:jc w:val="center"/>
        </w:trPr>
        <w:tc>
          <w:tcPr>
            <w:tcW w:w="4243"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46256618" w14:textId="5B10E262" w:rsidR="00D56FC4" w:rsidRPr="00236418" w:rsidRDefault="008C6828" w:rsidP="00DB3509">
            <w:pPr>
              <w:pStyle w:val="Tablehead"/>
              <w:jc w:val="left"/>
              <w:rPr>
                <w:lang w:eastAsia="en-GB"/>
              </w:rPr>
            </w:pPr>
            <w:r w:rsidRPr="00236418">
              <w:rPr>
                <w:lang w:eastAsia="en-GB"/>
              </w:rPr>
              <w:t>Excédent restant</w:t>
            </w:r>
          </w:p>
        </w:tc>
        <w:tc>
          <w:tcPr>
            <w:tcW w:w="1984" w:type="dxa"/>
            <w:tcBorders>
              <w:top w:val="single" w:sz="8" w:space="0" w:color="auto"/>
              <w:left w:val="nil"/>
              <w:bottom w:val="single" w:sz="8" w:space="0" w:color="auto"/>
              <w:right w:val="single" w:sz="8" w:space="0" w:color="auto"/>
            </w:tcBorders>
            <w:shd w:val="clear" w:color="000000" w:fill="FFF2CC"/>
            <w:noWrap/>
            <w:vAlign w:val="center"/>
            <w:hideMark/>
          </w:tcPr>
          <w:p w14:paraId="23CA9324" w14:textId="7C1BD989" w:rsidR="00D56FC4" w:rsidRPr="00236418" w:rsidRDefault="00D56FC4" w:rsidP="009B3D24">
            <w:pPr>
              <w:pStyle w:val="Tablehead"/>
              <w:jc w:val="right"/>
              <w:rPr>
                <w:lang w:eastAsia="en-GB"/>
              </w:rPr>
            </w:pPr>
            <w:r w:rsidRPr="00236418">
              <w:rPr>
                <w:lang w:eastAsia="en-GB"/>
              </w:rPr>
              <w:t>1 063 998</w:t>
            </w:r>
          </w:p>
        </w:tc>
      </w:tr>
      <w:tr w:rsidR="00D56FC4" w:rsidRPr="00236418" w14:paraId="7F916FF4" w14:textId="77777777" w:rsidTr="00DB3509">
        <w:trPr>
          <w:trHeight w:val="270"/>
          <w:jc w:val="center"/>
        </w:trPr>
        <w:tc>
          <w:tcPr>
            <w:tcW w:w="4243" w:type="dxa"/>
            <w:tcBorders>
              <w:top w:val="nil"/>
              <w:left w:val="single" w:sz="8" w:space="0" w:color="auto"/>
              <w:bottom w:val="nil"/>
              <w:right w:val="single" w:sz="8" w:space="0" w:color="auto"/>
            </w:tcBorders>
            <w:shd w:val="clear" w:color="000000" w:fill="FFF2CC"/>
            <w:noWrap/>
            <w:vAlign w:val="center"/>
            <w:hideMark/>
          </w:tcPr>
          <w:p w14:paraId="7AA4A508" w14:textId="21ABE4CF" w:rsidR="00D56FC4" w:rsidRPr="00236418" w:rsidRDefault="008C6828" w:rsidP="009B3D24">
            <w:pPr>
              <w:pStyle w:val="Tabletext"/>
              <w:rPr>
                <w:lang w:eastAsia="en-GB"/>
              </w:rPr>
            </w:pPr>
            <w:r w:rsidRPr="00236418">
              <w:rPr>
                <w:lang w:eastAsia="en-GB"/>
              </w:rPr>
              <w:t>Attributions proposées</w:t>
            </w:r>
          </w:p>
        </w:tc>
        <w:tc>
          <w:tcPr>
            <w:tcW w:w="1984" w:type="dxa"/>
            <w:tcBorders>
              <w:top w:val="nil"/>
              <w:left w:val="nil"/>
              <w:bottom w:val="nil"/>
              <w:right w:val="single" w:sz="8" w:space="0" w:color="auto"/>
            </w:tcBorders>
            <w:shd w:val="clear" w:color="000000" w:fill="FFF2CC"/>
            <w:noWrap/>
            <w:vAlign w:val="center"/>
            <w:hideMark/>
          </w:tcPr>
          <w:p w14:paraId="195C28AF" w14:textId="77777777" w:rsidR="00D56FC4" w:rsidRPr="00236418" w:rsidRDefault="00D56FC4" w:rsidP="009B3D24">
            <w:pPr>
              <w:pStyle w:val="Tabletext"/>
              <w:jc w:val="right"/>
              <w:rPr>
                <w:lang w:eastAsia="en-GB"/>
              </w:rPr>
            </w:pPr>
            <w:r w:rsidRPr="00236418">
              <w:rPr>
                <w:lang w:eastAsia="en-GB"/>
              </w:rPr>
              <w:t> </w:t>
            </w:r>
          </w:p>
        </w:tc>
      </w:tr>
      <w:tr w:rsidR="00D56FC4" w:rsidRPr="00236418" w14:paraId="2CEE1ECF" w14:textId="77777777" w:rsidTr="00DB3509">
        <w:trPr>
          <w:trHeight w:val="300"/>
          <w:jc w:val="center"/>
        </w:trPr>
        <w:tc>
          <w:tcPr>
            <w:tcW w:w="4243" w:type="dxa"/>
            <w:tcBorders>
              <w:top w:val="nil"/>
              <w:left w:val="single" w:sz="8" w:space="0" w:color="auto"/>
              <w:bottom w:val="nil"/>
              <w:right w:val="single" w:sz="8" w:space="0" w:color="auto"/>
            </w:tcBorders>
            <w:shd w:val="clear" w:color="000000" w:fill="FFF2CC"/>
            <w:noWrap/>
            <w:vAlign w:val="center"/>
            <w:hideMark/>
          </w:tcPr>
          <w:p w14:paraId="0980CE31" w14:textId="716ED886" w:rsidR="00D56FC4" w:rsidRPr="00236418" w:rsidRDefault="008C6828" w:rsidP="009B3D24">
            <w:pPr>
              <w:pStyle w:val="Tabletext"/>
              <w:rPr>
                <w:lang w:eastAsia="en-GB"/>
              </w:rPr>
            </w:pPr>
            <w:r w:rsidRPr="00236418">
              <w:rPr>
                <w:lang w:eastAsia="en-GB"/>
              </w:rPr>
              <w:t xml:space="preserve">Projets du </w:t>
            </w:r>
            <w:r w:rsidR="00D56FC4" w:rsidRPr="00236418">
              <w:rPr>
                <w:lang w:eastAsia="en-GB"/>
              </w:rPr>
              <w:t xml:space="preserve">TSB </w:t>
            </w:r>
          </w:p>
        </w:tc>
        <w:tc>
          <w:tcPr>
            <w:tcW w:w="1984" w:type="dxa"/>
            <w:tcBorders>
              <w:top w:val="nil"/>
              <w:left w:val="nil"/>
              <w:bottom w:val="nil"/>
              <w:right w:val="single" w:sz="8" w:space="0" w:color="auto"/>
            </w:tcBorders>
            <w:shd w:val="clear" w:color="000000" w:fill="FFF2CC"/>
            <w:noWrap/>
            <w:vAlign w:val="center"/>
            <w:hideMark/>
          </w:tcPr>
          <w:p w14:paraId="2D72ECAB" w14:textId="537568CF" w:rsidR="00D56FC4" w:rsidRPr="00236418" w:rsidRDefault="00D56FC4" w:rsidP="009B3D24">
            <w:pPr>
              <w:pStyle w:val="Tabletext"/>
              <w:jc w:val="right"/>
              <w:rPr>
                <w:lang w:eastAsia="en-GB"/>
              </w:rPr>
            </w:pPr>
            <w:r w:rsidRPr="00236418">
              <w:rPr>
                <w:lang w:eastAsia="en-GB"/>
              </w:rPr>
              <w:t>200 000</w:t>
            </w:r>
          </w:p>
        </w:tc>
      </w:tr>
      <w:tr w:rsidR="00D56FC4" w:rsidRPr="00236418" w14:paraId="57A1AAC0" w14:textId="77777777" w:rsidTr="00DB3509">
        <w:trPr>
          <w:trHeight w:val="300"/>
          <w:jc w:val="center"/>
        </w:trPr>
        <w:tc>
          <w:tcPr>
            <w:tcW w:w="4243" w:type="dxa"/>
            <w:tcBorders>
              <w:top w:val="nil"/>
              <w:left w:val="single" w:sz="8" w:space="0" w:color="auto"/>
              <w:bottom w:val="nil"/>
              <w:right w:val="single" w:sz="8" w:space="0" w:color="auto"/>
            </w:tcBorders>
            <w:shd w:val="clear" w:color="000000" w:fill="FFF2CC"/>
            <w:noWrap/>
            <w:vAlign w:val="center"/>
            <w:hideMark/>
          </w:tcPr>
          <w:p w14:paraId="4620B800" w14:textId="2A6B074C" w:rsidR="00D56FC4" w:rsidRPr="00236418" w:rsidRDefault="008C6828" w:rsidP="009B3D24">
            <w:pPr>
              <w:pStyle w:val="Tabletext"/>
              <w:rPr>
                <w:lang w:eastAsia="en-GB"/>
              </w:rPr>
            </w:pPr>
            <w:r w:rsidRPr="00236418">
              <w:rPr>
                <w:lang w:eastAsia="en-GB"/>
              </w:rPr>
              <w:t xml:space="preserve">Réseau </w:t>
            </w:r>
            <w:r w:rsidR="00D56FC4" w:rsidRPr="00236418">
              <w:rPr>
                <w:lang w:eastAsia="en-GB"/>
              </w:rPr>
              <w:t>LAN/SAN</w:t>
            </w:r>
            <w:r w:rsidRPr="00236418">
              <w:rPr>
                <w:lang w:eastAsia="en-GB"/>
              </w:rPr>
              <w:t xml:space="preserve"> du Département IS</w:t>
            </w:r>
          </w:p>
        </w:tc>
        <w:tc>
          <w:tcPr>
            <w:tcW w:w="1984" w:type="dxa"/>
            <w:tcBorders>
              <w:top w:val="nil"/>
              <w:left w:val="nil"/>
              <w:bottom w:val="nil"/>
              <w:right w:val="single" w:sz="8" w:space="0" w:color="auto"/>
            </w:tcBorders>
            <w:shd w:val="clear" w:color="000000" w:fill="FFF2CC"/>
            <w:noWrap/>
            <w:vAlign w:val="center"/>
            <w:hideMark/>
          </w:tcPr>
          <w:p w14:paraId="703FB8CE" w14:textId="5A42B9C5" w:rsidR="00D56FC4" w:rsidRPr="00236418" w:rsidRDefault="00D56FC4" w:rsidP="009B3D24">
            <w:pPr>
              <w:pStyle w:val="Tabletext"/>
              <w:jc w:val="right"/>
              <w:rPr>
                <w:lang w:eastAsia="en-GB"/>
              </w:rPr>
            </w:pPr>
            <w:r w:rsidRPr="00236418">
              <w:rPr>
                <w:lang w:eastAsia="en-GB"/>
              </w:rPr>
              <w:t>500 000</w:t>
            </w:r>
          </w:p>
        </w:tc>
      </w:tr>
      <w:tr w:rsidR="00D56FC4" w:rsidRPr="00236418" w14:paraId="09F6A796" w14:textId="77777777" w:rsidTr="00DB3509">
        <w:trPr>
          <w:trHeight w:val="315"/>
          <w:jc w:val="center"/>
        </w:trPr>
        <w:tc>
          <w:tcPr>
            <w:tcW w:w="4243" w:type="dxa"/>
            <w:tcBorders>
              <w:top w:val="nil"/>
              <w:left w:val="single" w:sz="8" w:space="0" w:color="auto"/>
              <w:bottom w:val="single" w:sz="8" w:space="0" w:color="auto"/>
              <w:right w:val="single" w:sz="8" w:space="0" w:color="auto"/>
            </w:tcBorders>
            <w:shd w:val="clear" w:color="000000" w:fill="FFF2CC"/>
            <w:noWrap/>
            <w:vAlign w:val="center"/>
            <w:hideMark/>
          </w:tcPr>
          <w:p w14:paraId="70206196" w14:textId="197B78FC" w:rsidR="00D56FC4" w:rsidRPr="00236418" w:rsidRDefault="008C6828" w:rsidP="009B3D24">
            <w:pPr>
              <w:pStyle w:val="Tabletext"/>
              <w:rPr>
                <w:lang w:eastAsia="en-GB"/>
              </w:rPr>
            </w:pPr>
            <w:r w:rsidRPr="00236418">
              <w:rPr>
                <w:lang w:eastAsia="en-GB"/>
              </w:rPr>
              <w:t xml:space="preserve">Projets du </w:t>
            </w:r>
            <w:r w:rsidR="00D56FC4" w:rsidRPr="00236418">
              <w:rPr>
                <w:lang w:eastAsia="en-GB"/>
              </w:rPr>
              <w:t xml:space="preserve">BR </w:t>
            </w:r>
          </w:p>
        </w:tc>
        <w:tc>
          <w:tcPr>
            <w:tcW w:w="1984" w:type="dxa"/>
            <w:tcBorders>
              <w:top w:val="nil"/>
              <w:left w:val="nil"/>
              <w:bottom w:val="single" w:sz="8" w:space="0" w:color="auto"/>
              <w:right w:val="single" w:sz="8" w:space="0" w:color="auto"/>
            </w:tcBorders>
            <w:shd w:val="clear" w:color="000000" w:fill="FFF2CC"/>
            <w:noWrap/>
            <w:vAlign w:val="center"/>
            <w:hideMark/>
          </w:tcPr>
          <w:p w14:paraId="254CAF87" w14:textId="4CDD9BF9" w:rsidR="00D56FC4" w:rsidRPr="00236418" w:rsidRDefault="00D56FC4" w:rsidP="009B3D24">
            <w:pPr>
              <w:pStyle w:val="Tabletext"/>
              <w:jc w:val="right"/>
              <w:rPr>
                <w:lang w:eastAsia="en-GB"/>
              </w:rPr>
            </w:pPr>
            <w:r w:rsidRPr="00236418">
              <w:rPr>
                <w:lang w:eastAsia="en-GB"/>
              </w:rPr>
              <w:t>363 998</w:t>
            </w:r>
          </w:p>
        </w:tc>
      </w:tr>
    </w:tbl>
    <w:p w14:paraId="2AA4B5B7" w14:textId="19D91C15" w:rsidR="008C6828" w:rsidRPr="00236418" w:rsidRDefault="00D56FC4" w:rsidP="00941ED9">
      <w:r w:rsidRPr="00236418">
        <w:t>2</w:t>
      </w:r>
      <w:r w:rsidR="005A4F57" w:rsidRPr="00236418">
        <w:t>5</w:t>
      </w:r>
      <w:r w:rsidRPr="00236418">
        <w:tab/>
      </w:r>
      <w:r w:rsidR="008C6828" w:rsidRPr="00236418">
        <w:t>Il convient de noter que</w:t>
      </w:r>
      <w:r w:rsidR="009F1D9E" w:rsidRPr="00236418">
        <w:t>,</w:t>
      </w:r>
      <w:r w:rsidR="008C6828" w:rsidRPr="00236418">
        <w:t xml:space="preserve"> conformément à la Décision 5 (Rév. Busan, 2014) de la Conférence de plénipotentiaires et à la Décision 582 du Conseil, un montant de 2,6 millions CHF a été prélevé sur le Fonds de réserve pour financer le programme de départ volontaire. Vingt fonctionnaires ont bénéficié de ce programme.</w:t>
      </w:r>
    </w:p>
    <w:p w14:paraId="222C7DC0" w14:textId="46986709" w:rsidR="00C1697F" w:rsidRPr="00236418" w:rsidRDefault="00D56FC4" w:rsidP="009B3D24">
      <w:r w:rsidRPr="00236418">
        <w:t>2</w:t>
      </w:r>
      <w:r w:rsidR="005A4F57" w:rsidRPr="00236418">
        <w:t>6</w:t>
      </w:r>
      <w:r w:rsidRPr="00236418">
        <w:tab/>
      </w:r>
      <w:r w:rsidR="00C1697F" w:rsidRPr="00236418">
        <w:t>En 2019, l'attribution de l'excédent de l'exercice précédent a fait l'objet d'un suivi. Un montant de 1,42 million CHF provenant des économies réalisées non utilisées a été transféré vers le nouveau Fonds pour le registre des risques pour le projet de nouveau bâtiment.</w:t>
      </w:r>
    </w:p>
    <w:p w14:paraId="68042901" w14:textId="56C9FAF8" w:rsidR="009507DC" w:rsidRPr="00236418" w:rsidRDefault="00D56FC4" w:rsidP="009507DC">
      <w:r w:rsidRPr="00236418">
        <w:t>2</w:t>
      </w:r>
      <w:r w:rsidR="005A4F57" w:rsidRPr="00236418">
        <w:t>7</w:t>
      </w:r>
      <w:r w:rsidRPr="00236418">
        <w:tab/>
      </w:r>
      <w:r w:rsidR="00C1697F" w:rsidRPr="00236418">
        <w:t xml:space="preserve">Le solde restant, qui s'élève à 186 000 CHF, a été </w:t>
      </w:r>
      <w:r w:rsidR="009F1D9E" w:rsidRPr="00236418">
        <w:t>versé</w:t>
      </w:r>
      <w:r w:rsidR="00C1697F" w:rsidRPr="00236418">
        <w:t xml:space="preserve"> sur le Fonds de réserve. Au 31</w:t>
      </w:r>
      <w:r w:rsidR="0004000E" w:rsidRPr="00236418">
        <w:t> </w:t>
      </w:r>
      <w:r w:rsidR="00C1697F" w:rsidRPr="00236418">
        <w:t>décembre 2019, le solde du Fonds de réserve s'établissait à 24,9 millions CHF (contre</w:t>
      </w:r>
      <w:r w:rsidR="00941ED9" w:rsidRPr="00236418">
        <w:t> </w:t>
      </w:r>
      <w:r w:rsidR="00C1697F" w:rsidRPr="00236418">
        <w:t>27,2</w:t>
      </w:r>
      <w:r w:rsidR="0004000E" w:rsidRPr="00236418">
        <w:t> </w:t>
      </w:r>
      <w:r w:rsidR="00C1697F" w:rsidRPr="00236418">
        <w:t>millions</w:t>
      </w:r>
      <w:r w:rsidR="0004000E" w:rsidRPr="00236418">
        <w:t> </w:t>
      </w:r>
      <w:r w:rsidR="00C1697F" w:rsidRPr="00236418">
        <w:t>CHF en 2018), soit 15,1% du budget pour 2019.</w:t>
      </w:r>
    </w:p>
    <w:p w14:paraId="235824BD" w14:textId="3ADAA6C2" w:rsidR="00DF6159" w:rsidRPr="00236418" w:rsidRDefault="008E4F9C" w:rsidP="00941ED9">
      <w:pPr>
        <w:keepNext/>
      </w:pPr>
      <w:r w:rsidRPr="00236418">
        <w:lastRenderedPageBreak/>
        <w:t>2</w:t>
      </w:r>
      <w:r w:rsidR="005F4C4E" w:rsidRPr="00236418">
        <w:t>8</w:t>
      </w:r>
      <w:r w:rsidR="00DF6159" w:rsidRPr="00236418">
        <w:tab/>
        <w:t>En 201</w:t>
      </w:r>
      <w:r w:rsidRPr="00236418">
        <w:t>9</w:t>
      </w:r>
      <w:r w:rsidR="00DF6159" w:rsidRPr="00236418">
        <w:t xml:space="preserve">, les produits de l'UIT se chiffraient à </w:t>
      </w:r>
      <w:r w:rsidRPr="00236418">
        <w:t>187</w:t>
      </w:r>
      <w:r w:rsidR="009F1D9E" w:rsidRPr="00236418">
        <w:t>,</w:t>
      </w:r>
      <w:r w:rsidRPr="00236418">
        <w:t>177</w:t>
      </w:r>
      <w:r w:rsidR="00382EE8" w:rsidRPr="00236418">
        <w:t> </w:t>
      </w:r>
      <w:r w:rsidR="009F1D9E" w:rsidRPr="00236418">
        <w:t>millions</w:t>
      </w:r>
      <w:r w:rsidR="00382EE8" w:rsidRPr="00236418">
        <w:t xml:space="preserve"> CHF </w:t>
      </w:r>
      <w:r w:rsidRPr="00236418">
        <w:t>(176</w:t>
      </w:r>
      <w:r w:rsidR="009F1D9E" w:rsidRPr="00236418">
        <w:t>,</w:t>
      </w:r>
      <w:r w:rsidRPr="00236418">
        <w:t>389</w:t>
      </w:r>
      <w:r w:rsidR="00382EE8" w:rsidRPr="00236418">
        <w:t> </w:t>
      </w:r>
      <w:r w:rsidR="009F1D9E" w:rsidRPr="00236418">
        <w:t>millions</w:t>
      </w:r>
      <w:r w:rsidR="00382EE8" w:rsidRPr="00236418">
        <w:t xml:space="preserve"> CHF en</w:t>
      </w:r>
      <w:r w:rsidR="00941ED9" w:rsidRPr="00236418">
        <w:t> </w:t>
      </w:r>
      <w:r w:rsidRPr="00236418">
        <w:t>2018</w:t>
      </w:r>
      <w:r w:rsidR="00DF6159" w:rsidRPr="00236418">
        <w:t>), comme indiqué ci-après:</w:t>
      </w:r>
    </w:p>
    <w:p w14:paraId="5AF315CF" w14:textId="1399F3FF" w:rsidR="008E4F9C" w:rsidRPr="00236418" w:rsidRDefault="007F2CF4" w:rsidP="009B3D24">
      <w:pPr>
        <w:pStyle w:val="Figure"/>
      </w:pPr>
      <w:r w:rsidRPr="00236418">
        <w:rPr>
          <w:noProof/>
          <w:lang w:val="en-US"/>
        </w:rPr>
        <mc:AlternateContent>
          <mc:Choice Requires="wps">
            <w:drawing>
              <wp:anchor distT="45720" distB="45720" distL="114300" distR="114300" simplePos="0" relativeHeight="251697152" behindDoc="0" locked="0" layoutInCell="1" allowOverlap="1" wp14:anchorId="6DACB88D" wp14:editId="36664406">
                <wp:simplePos x="0" y="0"/>
                <wp:positionH relativeFrom="column">
                  <wp:posOffset>2858135</wp:posOffset>
                </wp:positionH>
                <wp:positionV relativeFrom="paragraph">
                  <wp:posOffset>2145030</wp:posOffset>
                </wp:positionV>
                <wp:extent cx="862965" cy="299720"/>
                <wp:effectExtent l="0" t="0" r="0" b="508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99720"/>
                        </a:xfrm>
                        <a:prstGeom prst="rect">
                          <a:avLst/>
                        </a:prstGeom>
                        <a:solidFill>
                          <a:srgbClr val="FFFFFF"/>
                        </a:solidFill>
                        <a:ln w="9525">
                          <a:noFill/>
                          <a:miter lim="800000"/>
                          <a:headEnd/>
                          <a:tailEnd/>
                        </a:ln>
                      </wps:spPr>
                      <wps:txbx>
                        <w:txbxContent>
                          <w:p w14:paraId="7B4F7D21" w14:textId="77777777" w:rsidR="00596807" w:rsidRPr="00845244" w:rsidRDefault="00596807" w:rsidP="008E4F9C">
                            <w:pPr>
                              <w:spacing w:before="0"/>
                              <w:jc w:val="center"/>
                              <w:rPr>
                                <w:sz w:val="16"/>
                                <w:szCs w:val="16"/>
                                <w:lang w:val="fr-CH"/>
                              </w:rPr>
                            </w:pPr>
                            <w:r>
                              <w:rPr>
                                <w:sz w:val="16"/>
                                <w:szCs w:val="16"/>
                                <w:lang w:val="fr-CH"/>
                              </w:rPr>
                              <w:t>Autres produits d'exploitation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CB88D" id="_x0000_t202" coordsize="21600,21600" o:spt="202" path="m,l,21600r21600,l21600,xe">
                <v:stroke joinstyle="miter"/>
                <v:path gradientshapeok="t" o:connecttype="rect"/>
              </v:shapetype>
              <v:shape id="Text Box 2" o:spid="_x0000_s1026" type="#_x0000_t202" style="position:absolute;left:0;text-align:left;margin-left:225.05pt;margin-top:168.9pt;width:67.95pt;height:23.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GjAgIAAOUDAAAOAAAAZHJzL2Uyb0RvYy54bWysU9uO2yAQfa/Uf0C8N04sJd1YcVbbbFNV&#10;2l6kbT8AYxyjAkMHEnv79R1wkq22b1V5QAPMnJk5c9jcjtawk8KgwdV8MZtzppyEVrtDzb9/27+5&#10;4SxE4VphwKmaP6nAb7evX20GX6kSejCtQkYgLlSDr3kfo6+KIsheWRFm4JWjxw7QikhHPBQtioHQ&#10;rSnK+XxVDICtR5AqBLq9nx75NuN3nZLxS9cFFZmpOdUW8455b9JebDeiOqDwvZbnMsQ/VGGFdpT0&#10;CnUvomBH1H9BWS0RAnRxJsEW0HVaqtwDdbOYv+jmsRde5V6InOCvNIX/Bys/nx79V2RxfAcjDTA3&#10;EfwDyB+BOdj1wh3UHSIMvRItJV4kyorBh+ocmqgOVUggzfAJWhqyOEbIQGOHNrFCfTJCpwE8XUlX&#10;Y2SSLm9W5Xq15EzSU7levy3zUApRXYI9hvhBgWXJqDnSTDO4OD2EmIoR1cUl5QpgdLvXxuQDHpqd&#10;QXYSNP99Xrn+F27GsaHm62W5zMgOUnyWhtWR9Gm0pULnaU2KSWS8d212iUKbyaZKjDuzkwiZqIlj&#10;M5JjYqmB9ol4Qph0SP+GjB7wF2cDabDm4edRoOLMfHTEdRLsxcCL0VwM4SSF1jxyNpm7mIWd+nZw&#10;RzPodObnOfO5NtJSpu2s+yTWP8/Z6/l3bn8DAAD//wMAUEsDBBQABgAIAAAAIQDRJPp44AAAAAsB&#10;AAAPAAAAZHJzL2Rvd25yZXYueG1sTI/BTsMwDIbvk3iHyEhcJpZso6UqTSfY4AaHjWnnrAltReNU&#10;Sbp2b485wdH2p9/fX2wm27GL8aF1KGG5EMAMVk63WEs4fr7dZ8BCVKhV59BIuJoAm/JmVqhcuxH3&#10;5nKINaMQDLmS0MTY55yHqjFWhYXrDdLty3mrIo2+5tqrkcJtx1dCpNyqFulDo3qzbUz1fRishHTn&#10;h3GP2/nu+PquPvp6dXq5nqS8u52en4BFM8U/GH71SR1Kcjq7AXVgnYSHRCwJlbBeP1IHIpIspXZn&#10;2mSJAF4W/H+H8gcAAP//AwBQSwECLQAUAAYACAAAACEAtoM4kv4AAADhAQAAEwAAAAAAAAAAAAAA&#10;AAAAAAAAW0NvbnRlbnRfVHlwZXNdLnhtbFBLAQItABQABgAIAAAAIQA4/SH/1gAAAJQBAAALAAAA&#10;AAAAAAAAAAAAAC8BAABfcmVscy8ucmVsc1BLAQItABQABgAIAAAAIQAYCoGjAgIAAOUDAAAOAAAA&#10;AAAAAAAAAAAAAC4CAABkcnMvZTJvRG9jLnhtbFBLAQItABQABgAIAAAAIQDRJPp44AAAAAsBAAAP&#10;AAAAAAAAAAAAAAAAAFwEAABkcnMvZG93bnJldi54bWxQSwUGAAAAAAQABADzAAAAaQUAAAAA&#10;" stroked="f">
                <v:textbox inset="0,0,0,0">
                  <w:txbxContent>
                    <w:p w14:paraId="7B4F7D21" w14:textId="77777777" w:rsidR="00596807" w:rsidRPr="00845244" w:rsidRDefault="00596807" w:rsidP="008E4F9C">
                      <w:pPr>
                        <w:spacing w:before="0"/>
                        <w:jc w:val="center"/>
                        <w:rPr>
                          <w:sz w:val="16"/>
                          <w:szCs w:val="16"/>
                          <w:lang w:val="fr-CH"/>
                        </w:rPr>
                      </w:pPr>
                      <w:r>
                        <w:rPr>
                          <w:sz w:val="16"/>
                          <w:szCs w:val="16"/>
                          <w:lang w:val="fr-CH"/>
                        </w:rPr>
                        <w:t>Autres produits d'exploitation</w:t>
                      </w:r>
                    </w:p>
                  </w:txbxContent>
                </v:textbox>
              </v:shape>
            </w:pict>
          </mc:Fallback>
        </mc:AlternateContent>
      </w:r>
      <w:r w:rsidRPr="00236418">
        <w:rPr>
          <w:noProof/>
          <w:lang w:val="en-US"/>
        </w:rPr>
        <mc:AlternateContent>
          <mc:Choice Requires="wps">
            <w:drawing>
              <wp:anchor distT="45720" distB="45720" distL="114300" distR="114300" simplePos="0" relativeHeight="251695104" behindDoc="0" locked="0" layoutInCell="1" allowOverlap="1" wp14:anchorId="118F3894" wp14:editId="59132010">
                <wp:simplePos x="0" y="0"/>
                <wp:positionH relativeFrom="column">
                  <wp:posOffset>2135505</wp:posOffset>
                </wp:positionH>
                <wp:positionV relativeFrom="paragraph">
                  <wp:posOffset>2145030</wp:posOffset>
                </wp:positionV>
                <wp:extent cx="796925" cy="299720"/>
                <wp:effectExtent l="0" t="0" r="3175" b="508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99720"/>
                        </a:xfrm>
                        <a:prstGeom prst="rect">
                          <a:avLst/>
                        </a:prstGeom>
                        <a:solidFill>
                          <a:srgbClr val="FFFFFF"/>
                        </a:solidFill>
                        <a:ln w="9525">
                          <a:noFill/>
                          <a:miter lim="800000"/>
                          <a:headEnd/>
                          <a:tailEnd/>
                        </a:ln>
                      </wps:spPr>
                      <wps:txbx>
                        <w:txbxContent>
                          <w:p w14:paraId="756CD960" w14:textId="77777777" w:rsidR="00596807" w:rsidRPr="00845244" w:rsidRDefault="00596807" w:rsidP="008E4F9C">
                            <w:pPr>
                              <w:spacing w:before="0"/>
                              <w:jc w:val="center"/>
                              <w:rPr>
                                <w:sz w:val="16"/>
                                <w:szCs w:val="16"/>
                                <w:lang w:val="en-US"/>
                              </w:rPr>
                            </w:pPr>
                            <w:r w:rsidRPr="00845244">
                              <w:rPr>
                                <w:sz w:val="16"/>
                                <w:szCs w:val="16"/>
                              </w:rPr>
                              <w:t xml:space="preserve">Contributions </w:t>
                            </w:r>
                            <w:r>
                              <w:rPr>
                                <w:sz w:val="16"/>
                                <w:szCs w:val="16"/>
                              </w:rPr>
                              <w:t>volontaires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F3894" id="_x0000_s1027" type="#_x0000_t202" style="position:absolute;left:0;text-align:left;margin-left:168.15pt;margin-top:168.9pt;width:62.75pt;height:23.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WBAIAAOwDAAAOAAAAZHJzL2Uyb0RvYy54bWysU9uO2yAQfa/Uf0C8N04i7SVWnNU221SV&#10;tt1K234AxjhGBYYOJHb69R2wk622b1V5QAPMnJk5c1jfDdawo8KgwVV8MZtzppyERrt9xb9/2727&#10;5SxE4RphwKmKn1Tgd5u3b9a9L9USOjCNQkYgLpS9r3gXoy+LIshOWRFm4JWjxxbQikhH3BcNip7Q&#10;rSmW8/l10QM2HkGqEOj2YXzkm4zftkrGp7YNKjJTcaot5h3zXqe92KxFuUfhOy2nMsQ/VGGFdpT0&#10;AvUgomAH1H9BWS0RArRxJsEW0LZaqtwDdbOYv+rmuRNe5V6InOAvNIX/Byu/HJ/9V2RxeA8DDTA3&#10;EfwjyB+BOdh2wu3VPSL0nRINJV4kyoreh3IKTVSHMiSQuv8MDQ1ZHCJkoKFFm1ihPhmh0wBOF9LV&#10;EJmky5vV9Wp5xZmkp+VqdbPMQylEeQ72GOJHBZYlo+JIM83g4vgYYipGlGeXlCuA0c1OG5MPuK+3&#10;BtlR0Px3eeX6X7kZx/qKr66ojhTlIMVnaVgdSZ9G24rfztMaFZPI+OCa7BKFNqNNlRg3sZMIGamJ&#10;Qz0w3UzUJbJqaE5EF8IoR/o+ZHSAvzjrSYoVDz8PAhVn5pMjypNuzwaejfpsCCcptOKRs9Hcxqzv&#10;sZF7GkWrM00vmacSSVKZvUn+SbN/nrPXyyfd/AYAAP//AwBQSwMEFAAGAAgAAAAhAG7Y2vzfAAAA&#10;CwEAAA8AAABkcnMvZG93bnJldi54bWxMj0FPwzAMhe9I/IfISFwQS7dCmUrTCTa4wWFj2jlrTFvR&#10;OFWSrt2/xzvB7dl+ev5esZpsJ07oQ+tIwXyWgECqnGmpVrD/er9fgghRk9GdI1RwxgCr8vqq0Llx&#10;I23xtIu14BAKuVbQxNjnUoaqQavDzPVIfPt23urIo6+l8XrkcNvJRZJk0uqW+EOje1w3WP3sBqsg&#10;2/hh3NL6brN/+9Cffb04vJ4PSt3eTC/PICJO8c8MF3xGh5KZjm4gE0SnIE2zlK0X8cQd2PGQzVkc&#10;ebN8TECWhfzfofwFAAD//wMAUEsBAi0AFAAGAAgAAAAhALaDOJL+AAAA4QEAABMAAAAAAAAAAAAA&#10;AAAAAAAAAFtDb250ZW50X1R5cGVzXS54bWxQSwECLQAUAAYACAAAACEAOP0h/9YAAACUAQAACwAA&#10;AAAAAAAAAAAAAAAvAQAAX3JlbHMvLnJlbHNQSwECLQAUAAYACAAAACEAkmPo1gQCAADsAwAADgAA&#10;AAAAAAAAAAAAAAAuAgAAZHJzL2Uyb0RvYy54bWxQSwECLQAUAAYACAAAACEAbtja/N8AAAALAQAA&#10;DwAAAAAAAAAAAAAAAABeBAAAZHJzL2Rvd25yZXYueG1sUEsFBgAAAAAEAAQA8wAAAGoFAAAAAA==&#10;" stroked="f">
                <v:textbox inset="0,0,0,0">
                  <w:txbxContent>
                    <w:p w14:paraId="756CD960" w14:textId="77777777" w:rsidR="00596807" w:rsidRPr="00845244" w:rsidRDefault="00596807" w:rsidP="008E4F9C">
                      <w:pPr>
                        <w:spacing w:before="0"/>
                        <w:jc w:val="center"/>
                        <w:rPr>
                          <w:sz w:val="16"/>
                          <w:szCs w:val="16"/>
                          <w:lang w:val="en-US"/>
                        </w:rPr>
                      </w:pPr>
                      <w:r w:rsidRPr="00845244">
                        <w:rPr>
                          <w:sz w:val="16"/>
                          <w:szCs w:val="16"/>
                        </w:rPr>
                        <w:t xml:space="preserve">Contributions </w:t>
                      </w:r>
                      <w:r>
                        <w:rPr>
                          <w:sz w:val="16"/>
                          <w:szCs w:val="16"/>
                        </w:rPr>
                        <w:t>volontaires</w:t>
                      </w:r>
                    </w:p>
                  </w:txbxContent>
                </v:textbox>
              </v:shape>
            </w:pict>
          </mc:Fallback>
        </mc:AlternateContent>
      </w:r>
      <w:r w:rsidRPr="00236418">
        <w:rPr>
          <w:noProof/>
          <w:lang w:val="en-US"/>
        </w:rPr>
        <mc:AlternateContent>
          <mc:Choice Requires="wps">
            <w:drawing>
              <wp:anchor distT="45720" distB="45720" distL="114300" distR="114300" simplePos="0" relativeHeight="251693056" behindDoc="0" locked="0" layoutInCell="1" allowOverlap="1" wp14:anchorId="21F0B06E" wp14:editId="2377DE3F">
                <wp:simplePos x="0" y="0"/>
                <wp:positionH relativeFrom="column">
                  <wp:posOffset>1272276</wp:posOffset>
                </wp:positionH>
                <wp:positionV relativeFrom="paragraph">
                  <wp:posOffset>2153872</wp:posOffset>
                </wp:positionV>
                <wp:extent cx="863193" cy="299923"/>
                <wp:effectExtent l="0" t="0" r="0" b="508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3" cy="299923"/>
                        </a:xfrm>
                        <a:prstGeom prst="rect">
                          <a:avLst/>
                        </a:prstGeom>
                        <a:solidFill>
                          <a:srgbClr val="FFFFFF"/>
                        </a:solidFill>
                        <a:ln w="9525">
                          <a:noFill/>
                          <a:miter lim="800000"/>
                          <a:headEnd/>
                          <a:tailEnd/>
                        </a:ln>
                      </wps:spPr>
                      <wps:txbx>
                        <w:txbxContent>
                          <w:p w14:paraId="1BA5B19F" w14:textId="77777777" w:rsidR="00596807" w:rsidRPr="00845244" w:rsidRDefault="00596807" w:rsidP="008E4F9C">
                            <w:pPr>
                              <w:spacing w:before="0"/>
                              <w:jc w:val="center"/>
                              <w:rPr>
                                <w:sz w:val="16"/>
                                <w:szCs w:val="16"/>
                                <w:lang w:val="en-US"/>
                              </w:rPr>
                            </w:pPr>
                            <w:r w:rsidRPr="00845244">
                              <w:rPr>
                                <w:sz w:val="16"/>
                                <w:szCs w:val="16"/>
                              </w:rPr>
                              <w:t>Contributions mises en recouvrement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0B06E" id="_x0000_s1028" type="#_x0000_t202" style="position:absolute;left:0;text-align:left;margin-left:100.2pt;margin-top:169.6pt;width:67.95pt;height:2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nqBgIAAOwDAAAOAAAAZHJzL2Uyb0RvYy54bWysU9tu2zAMfR+wfxD0vjgXtGiMOEWXLsOA&#10;bh3Q7QNkSY6FyaJGKbG7rx8lO+kub8P0IFASeUgeHm1uh86yk8ZgwFV8MZtzpp0EZdyh4l+/7N/c&#10;cBaicEpYcLrizzrw2+3rV5vel3oJLVilkRGIC2XvK97G6MuiCLLVnQgz8NrRYwPYiUhHPBQKRU/o&#10;nS2W8/l10QMqjyB1CHR7Pz7ybcZvGi3jY9MEHZmtONUW8455r9NebDeiPKDwrZFTGeIfquiEcZT0&#10;AnUvomBHNH9BdUYiBGjiTEJXQNMYqXMP1M1i/kc3T63wOvdC5AR/oSn8P1j56fTkPyOLw1sYaIC5&#10;ieAfQH4LzMGuFe6g7xChb7VQlHiRKCt6H8opNFEdypBA6v4jKBqyOEbIQEODXWKF+mSETgN4vpCu&#10;h8gkXd5crxbrFWeSnpbr9Xq5yhlEeQ72GOJ7DR1LRsWRZprBxekhxFSMKM8uKVcAa9TeWJsPeKh3&#10;FtlJ0Pz3eU3ov7lZx/qKr6+WVxnZQYrP0uhMJH1a01Gh87RGxSQy3jmVXaIwdrSpEusmdhIhIzVx&#10;qAdmFHWXYhNZNahnogthlCN9HzJawB+c9STFiofvR4GaM/vBEeVJt2cDz0Z9NoSTFFrxyNlo7mLW&#10;d2rfwR2NojGZppfMU4kkqczeJP+k2V/P2evlk25/AgAA//8DAFBLAwQUAAYACAAAACEAohc+SeAA&#10;AAALAQAADwAAAGRycy9kb3ducmV2LnhtbEyPwU7DMAyG70i8Q2QkLoilNFM1StMJNrjBYWPa2WtC&#10;W9E4VZOu3dtjTnCz5V+fv79Yz64TZzuE1pOGh0UCwlLlTUu1hsPn2/0KRIhIBjtPVsPFBliX11cF&#10;5sZPtLPnfawFQyjkqKGJsc+lDFVjHYaF7y3x7csPDiOvQy3NgBPDXSfTJMmkw5b4Q4O93TS2+t6P&#10;TkO2HcZpR5u77eH1HT/6Oj2+XI5a397Mz08gop3jXxh+9VkdSnY6+ZFMEJ0Gpi85qkGpxxQEJ5TK&#10;FIgTD6tsCbIs5P8O5Q8AAAD//wMAUEsBAi0AFAAGAAgAAAAhALaDOJL+AAAA4QEAABMAAAAAAAAA&#10;AAAAAAAAAAAAAFtDb250ZW50X1R5cGVzXS54bWxQSwECLQAUAAYACAAAACEAOP0h/9YAAACUAQAA&#10;CwAAAAAAAAAAAAAAAAAvAQAAX3JlbHMvLnJlbHNQSwECLQAUAAYACAAAACEAsmNp6gYCAADsAwAA&#10;DgAAAAAAAAAAAAAAAAAuAgAAZHJzL2Uyb0RvYy54bWxQSwECLQAUAAYACAAAACEAohc+SeAAAAAL&#10;AQAADwAAAAAAAAAAAAAAAABgBAAAZHJzL2Rvd25yZXYueG1sUEsFBgAAAAAEAAQA8wAAAG0FAAAA&#10;AA==&#10;" stroked="f">
                <v:textbox inset="0,0,0,0">
                  <w:txbxContent>
                    <w:p w14:paraId="1BA5B19F" w14:textId="77777777" w:rsidR="00596807" w:rsidRPr="00845244" w:rsidRDefault="00596807" w:rsidP="008E4F9C">
                      <w:pPr>
                        <w:spacing w:before="0"/>
                        <w:jc w:val="center"/>
                        <w:rPr>
                          <w:sz w:val="16"/>
                          <w:szCs w:val="16"/>
                          <w:lang w:val="en-US"/>
                        </w:rPr>
                      </w:pPr>
                      <w:r w:rsidRPr="00845244">
                        <w:rPr>
                          <w:sz w:val="16"/>
                          <w:szCs w:val="16"/>
                        </w:rPr>
                        <w:t>Contributions mises en recouvrement</w:t>
                      </w:r>
                    </w:p>
                  </w:txbxContent>
                </v:textbox>
              </v:shape>
            </w:pict>
          </mc:Fallback>
        </mc:AlternateContent>
      </w:r>
      <w:r w:rsidR="00F01BC1" w:rsidRPr="00236418">
        <w:rPr>
          <w:noProof/>
          <w:lang w:val="en-US"/>
        </w:rPr>
        <mc:AlternateContent>
          <mc:Choice Requires="wps">
            <w:drawing>
              <wp:anchor distT="0" distB="0" distL="114300" distR="114300" simplePos="0" relativeHeight="251707392" behindDoc="0" locked="0" layoutInCell="1" allowOverlap="1" wp14:anchorId="6BC1E6FC" wp14:editId="36737188">
                <wp:simplePos x="0" y="0"/>
                <wp:positionH relativeFrom="column">
                  <wp:posOffset>2645410</wp:posOffset>
                </wp:positionH>
                <wp:positionV relativeFrom="paragraph">
                  <wp:posOffset>1887388</wp:posOffset>
                </wp:positionV>
                <wp:extent cx="311150" cy="1587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11150" cy="158750"/>
                        </a:xfrm>
                        <a:prstGeom prst="rect">
                          <a:avLst/>
                        </a:prstGeom>
                        <a:solidFill>
                          <a:schemeClr val="lt1"/>
                        </a:solidFill>
                        <a:ln w="6350">
                          <a:noFill/>
                        </a:ln>
                      </wps:spPr>
                      <wps:txbx>
                        <w:txbxContent>
                          <w:p w14:paraId="4608E251" w14:textId="0641E874" w:rsidR="00596807" w:rsidRPr="008E4F9C" w:rsidRDefault="00596807" w:rsidP="008E4F9C">
                            <w:pPr>
                              <w:spacing w:before="0"/>
                              <w:rPr>
                                <w:sz w:val="16"/>
                                <w:szCs w:val="16"/>
                                <w:lang w:val="fr-CH"/>
                              </w:rPr>
                            </w:pPr>
                            <w:r w:rsidRPr="00E26EBA">
                              <w:rPr>
                                <w:sz w:val="16"/>
                                <w:szCs w:val="16"/>
                                <w:lang w:val="fr-CH"/>
                              </w:rPr>
                              <w:t>7,161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1E6FC" id="Text Box 41" o:spid="_x0000_s1029" type="#_x0000_t202" style="position:absolute;left:0;text-align:left;margin-left:208.3pt;margin-top:148.6pt;width:24.5pt;height: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bPIwIAAEoEAAAOAAAAZHJzL2Uyb0RvYy54bWysVMFu2zAMvQ/YPwi6L45btCuMOEWWIsOA&#10;oC2QDj0rshQbkEWNUmJnXz9KjpOu22nYRaZE6pF8fPLsvm8NOyj0DdiS55MpZ8pKqBq7K/n3l9Wn&#10;O858ELYSBqwq+VF5fj//+GHWuUJdQQ2mUsgIxPqicyWvQ3BFlnlZq1b4CThlyakBWxFoi7usQtER&#10;emuyq+n0NusAK4cglfd0+jA4+Tzha61keNLaq8BMyam2kFZM6zau2Xwmih0KVzfyVIb4hypa0VhK&#10;eoZ6EEGwPTZ/QLWNRPCgw0RCm4HWjVSpB+omn77rZlMLp1IvRI53Z5r8/4OVj4eNe0YW+i/Q0wAj&#10;IZ3zhafD2E+vsY1fqpSRnyg8nmlTfWCSDq/zPL8hjyRXfnP3mWxCyS6XHfrwVUHLolFypKkkssRh&#10;7cMQOobEXB5MU60aY9ImKkEtDbKDoBmakEok8N+ijGVdyW+vKXW8ZCFeH5CNpVouLUUr9NueNRVV&#10;Pra7hepILCAMAvFOrhqqdS18eBZIiqD2SOXhiRZtgHLByeKsBvz5t/MYT4MiL2cdKazk/sdeoOLM&#10;fLM0wijH0cDR2I6G3bdLoIZzej9OJpMuYDCjqRHaVxL/ImYhl7CScpU8jOYyDDqnxyPVYpGCSHRO&#10;hLXdOBmhI1eR+Zf+VaA7jSfQXB9h1J4o3k1piB1YXuwD6CaNMPI6sHiimwSbRHB6XPFFvN2nqMsv&#10;YP4LAAD//wMAUEsDBBQABgAIAAAAIQCxNmdE4wAAAAsBAAAPAAAAZHJzL2Rvd25yZXYueG1sTI/B&#10;TsMwDIbvSLxDZCQuiKULJRul6QRIHJCGEAPtnDWhKWuc0mRbx9NjTnC0/en395eL0Xdsb4fYBlQw&#10;nWTALNbBtNgoeH97vJwDi0mj0V1Aq+BoIyyq05NSFyYc8NXuV6lhFIKx0ApcSn3Beayd9TpOQm+R&#10;bh9h8DrRODTcDPpA4b7jIssk97pF+uB0bx+crbernVcwP+bPF2s5W392L0/37rv5wuVWK3V+Nt7d&#10;Akt2TH8w/OqTOlTktAk7NJF1CvKplIQqEDczAYyIXF7TZqPgSggBvCr5/w7VDwAAAP//AwBQSwEC&#10;LQAUAAYACAAAACEAtoM4kv4AAADhAQAAEwAAAAAAAAAAAAAAAAAAAAAAW0NvbnRlbnRfVHlwZXNd&#10;LnhtbFBLAQItABQABgAIAAAAIQA4/SH/1gAAAJQBAAALAAAAAAAAAAAAAAAAAC8BAABfcmVscy8u&#10;cmVsc1BLAQItABQABgAIAAAAIQAHD1bPIwIAAEoEAAAOAAAAAAAAAAAAAAAAAC4CAABkcnMvZTJv&#10;RG9jLnhtbFBLAQItABQABgAIAAAAIQCxNmdE4wAAAAsBAAAPAAAAAAAAAAAAAAAAAH0EAABkcnMv&#10;ZG93bnJldi54bWxQSwUGAAAAAAQABADzAAAAjQUAAAAA&#10;" fillcolor="white [3201]" stroked="f" strokeweight=".5pt">
                <v:textbox inset="0,0,0,0">
                  <w:txbxContent>
                    <w:p w14:paraId="4608E251" w14:textId="0641E874" w:rsidR="00596807" w:rsidRPr="008E4F9C" w:rsidRDefault="00596807" w:rsidP="008E4F9C">
                      <w:pPr>
                        <w:spacing w:before="0"/>
                        <w:rPr>
                          <w:sz w:val="16"/>
                          <w:szCs w:val="16"/>
                          <w:lang w:val="fr-CH"/>
                        </w:rPr>
                      </w:pPr>
                      <w:r w:rsidRPr="00E26EBA">
                        <w:rPr>
                          <w:sz w:val="16"/>
                          <w:szCs w:val="16"/>
                          <w:lang w:val="fr-CH"/>
                        </w:rPr>
                        <w:t>7,161</w:t>
                      </w:r>
                    </w:p>
                  </w:txbxContent>
                </v:textbox>
              </v:shape>
            </w:pict>
          </mc:Fallback>
        </mc:AlternateContent>
      </w:r>
      <w:r w:rsidR="00F01BC1" w:rsidRPr="00236418">
        <w:rPr>
          <w:noProof/>
          <w:lang w:val="en-US"/>
        </w:rPr>
        <mc:AlternateContent>
          <mc:Choice Requires="wps">
            <w:drawing>
              <wp:anchor distT="0" distB="0" distL="114300" distR="114300" simplePos="0" relativeHeight="251711488" behindDoc="0" locked="0" layoutInCell="1" allowOverlap="1" wp14:anchorId="073D03C8" wp14:editId="2095C429">
                <wp:simplePos x="0" y="0"/>
                <wp:positionH relativeFrom="column">
                  <wp:posOffset>3455718</wp:posOffset>
                </wp:positionH>
                <wp:positionV relativeFrom="paragraph">
                  <wp:posOffset>1452916</wp:posOffset>
                </wp:positionV>
                <wp:extent cx="406400" cy="1587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654A17D2" w14:textId="35892166" w:rsidR="00596807" w:rsidRPr="008E4F9C" w:rsidRDefault="00596807" w:rsidP="008E4F9C">
                            <w:pPr>
                              <w:spacing w:before="0"/>
                              <w:rPr>
                                <w:sz w:val="16"/>
                                <w:szCs w:val="16"/>
                                <w:lang w:val="fr-CH"/>
                              </w:rPr>
                            </w:pPr>
                            <w:r>
                              <w:rPr>
                                <w:sz w:val="16"/>
                                <w:szCs w:val="16"/>
                                <w:lang w:val="fr-CH"/>
                              </w:rPr>
                              <w:t>41,930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03C8" id="Text Box 43" o:spid="_x0000_s1030" type="#_x0000_t202" style="position:absolute;left:0;text-align:left;margin-left:272.1pt;margin-top:114.4pt;width:32pt;height: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MhJQIAAEoEAAAOAAAAZHJzL2Uyb0RvYy54bWysVE1v2zAMvQ/YfxB0X+x0bVYYcYosRYYB&#10;RVsgHXpWZCk2IIsapcTOfv0oOU62bqdhF5kSKX689+T5Xd8adlDoG7Aln05yzpSVUDV2V/JvL+sP&#10;t5z5IGwlDFhV8qPy/G7x/t28c4W6ghpMpZBREuuLzpW8DsEVWeZlrVrhJ+CUJacGbEWgLe6yCkVH&#10;2VuTXeX5LOsAK4cglfd0ej84+SLl11rJ8KS1V4GZklNvIa2Y1m1cs8VcFDsUrm7kqQ3xD120orFU&#10;9JzqXgTB9tj8kaptJIIHHSYS2gy0bqRKM9A00/zNNJtaOJVmIXC8O8Pk/19a+XjYuGdkof8MPREY&#10;AemcLzwdxnl6jW38UqeM/ATh8Qyb6gOTdHidz65z8khyTW9uP90kWLPLZYc+fFHQsmiUHImVBJY4&#10;PPhABSl0DIm1PJimWjfGpE1UgloZZAdBHJqQWqQbv0UZy7qSzz5S6XjJQrw+ZDaWClxGilbotz1r&#10;Kup8HHcL1ZFQQBgE4p1cN9Trg/DhWSApgsYjlYcnWrQBqgUni7Ma8MffzmM8EUVezjpSWMn9971A&#10;xZn5aonCKMfRwNHYjobdtyuggaf0fpxMJl3AYEZTI7SvJP5lrEIuYSXVKnkYzVUYdE6PR6rlMgWR&#10;6JwID3bjZEwdsYrIv/SvAt2JnkC8PsKoPVG8YWmIHVBe7gPoJlEYcR1QPMFNgk3Mnh5XfBG/7lPU&#10;5Rew+AkAAP//AwBQSwMEFAAGAAgAAAAhABki8PXhAAAACwEAAA8AAABkcnMvZG93bnJldi54bWxM&#10;j8tOwzAQRfdI/IM1SGwQdQhpsEKcCpBYIFEhCurajU0cao9D7LYpX8+wguXcObqPejF5x/ZmjH1A&#10;CVezDJjBNugeOwnvb4+XAlhMCrVyAY2Eo4mwaE5PalXpcMBXs1+ljpEJxkpJsCkNFeextcarOAuD&#10;Qfp9hNGrROfYcT2qA5l7x/MsK7lXPVKCVYN5sKbdrnZegjgWy4t1ebP+dC9P9/a7+8LnrZLy/Gy6&#10;uwWWzJT+YPitT9WhoU6bsEMdmZMwL4qcUAl5LmgDEWUmSNmQMr8WwJua/9/Q/AAAAP//AwBQSwEC&#10;LQAUAAYACAAAACEAtoM4kv4AAADhAQAAEwAAAAAAAAAAAAAAAAAAAAAAW0NvbnRlbnRfVHlwZXNd&#10;LnhtbFBLAQItABQABgAIAAAAIQA4/SH/1gAAAJQBAAALAAAAAAAAAAAAAAAAAC8BAABfcmVscy8u&#10;cmVsc1BLAQItABQABgAIAAAAIQBbnmMhJQIAAEoEAAAOAAAAAAAAAAAAAAAAAC4CAABkcnMvZTJv&#10;RG9jLnhtbFBLAQItABQABgAIAAAAIQAZIvD14QAAAAsBAAAPAAAAAAAAAAAAAAAAAH8EAABkcnMv&#10;ZG93bnJldi54bWxQSwUGAAAAAAQABADzAAAAjQUAAAAA&#10;" fillcolor="white [3201]" stroked="f" strokeweight=".5pt">
                <v:textbox inset="0,0,0,0">
                  <w:txbxContent>
                    <w:p w14:paraId="654A17D2" w14:textId="35892166" w:rsidR="00596807" w:rsidRPr="008E4F9C" w:rsidRDefault="00596807" w:rsidP="008E4F9C">
                      <w:pPr>
                        <w:spacing w:before="0"/>
                        <w:rPr>
                          <w:sz w:val="16"/>
                          <w:szCs w:val="16"/>
                          <w:lang w:val="fr-CH"/>
                        </w:rPr>
                      </w:pPr>
                      <w:r>
                        <w:rPr>
                          <w:sz w:val="16"/>
                          <w:szCs w:val="16"/>
                          <w:lang w:val="fr-CH"/>
                        </w:rPr>
                        <w:t>41,930</w:t>
                      </w:r>
                    </w:p>
                  </w:txbxContent>
                </v:textbox>
              </v:shape>
            </w:pict>
          </mc:Fallback>
        </mc:AlternateContent>
      </w:r>
      <w:r w:rsidR="00F01BC1" w:rsidRPr="00236418">
        <w:rPr>
          <w:noProof/>
          <w:lang w:val="en-US"/>
        </w:rPr>
        <mc:AlternateContent>
          <mc:Choice Requires="wps">
            <w:drawing>
              <wp:anchor distT="0" distB="0" distL="114300" distR="114300" simplePos="0" relativeHeight="251715584" behindDoc="0" locked="0" layoutInCell="1" allowOverlap="1" wp14:anchorId="77A30FDF" wp14:editId="0F6B4FE7">
                <wp:simplePos x="0" y="0"/>
                <wp:positionH relativeFrom="column">
                  <wp:posOffset>4140680</wp:posOffset>
                </wp:positionH>
                <wp:positionV relativeFrom="paragraph">
                  <wp:posOffset>1871705</wp:posOffset>
                </wp:positionV>
                <wp:extent cx="406400" cy="1587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5CE3E5AB" w14:textId="5FB388ED" w:rsidR="00596807" w:rsidRPr="008E4F9C" w:rsidRDefault="00596807" w:rsidP="00267740">
                            <w:pPr>
                              <w:spacing w:before="0"/>
                              <w:rPr>
                                <w:sz w:val="16"/>
                                <w:szCs w:val="16"/>
                                <w:lang w:val="fr-CH"/>
                              </w:rPr>
                            </w:pPr>
                            <w:r>
                              <w:rPr>
                                <w:sz w:val="16"/>
                                <w:szCs w:val="16"/>
                                <w:lang w:val="fr-CH"/>
                              </w:rPr>
                              <w:t>1,245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30FDF" id="Text Box 45" o:spid="_x0000_s1031" type="#_x0000_t202" style="position:absolute;left:0;text-align:left;margin-left:326.05pt;margin-top:147.4pt;width:32pt;height: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cEJgIAAEoEAAAOAAAAZHJzL2Uyb0RvYy54bWysVE2P2jAQvVfqf7B8Lwnbha4iwoqyoqqE&#10;dldiqz0bx4ZIjscdGxL66zt2CLTbnqpenLFnPB/vPWd23zWGHRX6GmzJx6OcM2UlVLXdlfzby+rD&#10;HWc+CFsJA1aV/KQ8v5+/fzdrXaFuYA+mUsgoifVF60q+D8EVWeblXjXCj8ApS04N2IhAW9xlFYqW&#10;sjcmu8nzadYCVg5BKu/p9KF38nnKr7WS4UlrrwIzJafeQloxrdu4ZvOZKHYo3L6W5zbEP3TRiNpS&#10;0UuqBxEEO2D9R6qmlggedBhJaDLQupYqzUDTjPM302z2wqk0C4Hj3QUm///Sysfjxj0jC91n6IjA&#10;CEjrfOHpMM7TaWzilzpl5CcITxfYVBeYpMPbfHqbk0eSazy5+zRJsGbXyw59+KKgYdEoORIrCSxx&#10;XPtABSl0CIm1PJi6WtXGpE1UgloaZEdBHJqQWqQbv0UZy9qSTz9S6XjJQrzeZzaWClxHilboth2r&#10;q5JPhnG3UJ0IBYReIN7JVU29roUPzwJJETQeqTw80aINUC04W5ztAX/87TzGE1Hk5awlhZXcfz8I&#10;VJyZr5YojHIcDByM7WDYQ7MEGnhM78fJZNIFDGYwNULzSuJfxCrkElZSrZKHwVyGXuf0eKRaLFIQ&#10;ic6JsLYbJ2PqiFVE/qV7FejO9ATi9REG7YniDUt9bI/y4hBA14nCiGuP4hluEmxi9vy44ov4dZ+i&#10;rr+A+U8AAAD//wMAUEsDBBQABgAIAAAAIQA2vVTV4wAAAAsBAAAPAAAAZHJzL2Rvd25yZXYueG1s&#10;TI/BTsMwDIbvSLxDZCQuaEtbRteVphMgcUACITa0c9aEpixxSpNtHU+POcHR9qff318tR2fZQQ+h&#10;8yggnSbANDZeddgKeF8/TgpgIUpU0nrUAk46wLI+P6tkqfwR3/RhFVtGIRhKKcDE2Jech8ZoJ8PU&#10;9xrp9uEHJyONQ8vVII8U7izPkiTnTnZIH4zs9YPRzW61dwKK0+zlapPPN5/29enefLdf+LyTQlxe&#10;jHe3wKIe4x8Mv/qkDjU5bf0eVWBWQH6TpYQKyBYz6kDEPM1psxVwnS4K4HXF/3eofwAAAP//AwBQ&#10;SwECLQAUAAYACAAAACEAtoM4kv4AAADhAQAAEwAAAAAAAAAAAAAAAAAAAAAAW0NvbnRlbnRfVHlw&#10;ZXNdLnhtbFBLAQItABQABgAIAAAAIQA4/SH/1gAAAJQBAAALAAAAAAAAAAAAAAAAAC8BAABfcmVs&#10;cy8ucmVsc1BLAQItABQABgAIAAAAIQDaOUcEJgIAAEoEAAAOAAAAAAAAAAAAAAAAAC4CAABkcnMv&#10;ZTJvRG9jLnhtbFBLAQItABQABgAIAAAAIQA2vVTV4wAAAAsBAAAPAAAAAAAAAAAAAAAAAIAEAABk&#10;cnMvZG93bnJldi54bWxQSwUGAAAAAAQABADzAAAAkAUAAAAA&#10;" fillcolor="white [3201]" stroked="f" strokeweight=".5pt">
                <v:textbox inset="0,0,0,0">
                  <w:txbxContent>
                    <w:p w14:paraId="5CE3E5AB" w14:textId="5FB388ED" w:rsidR="00596807" w:rsidRPr="008E4F9C" w:rsidRDefault="00596807" w:rsidP="00267740">
                      <w:pPr>
                        <w:spacing w:before="0"/>
                        <w:rPr>
                          <w:sz w:val="16"/>
                          <w:szCs w:val="16"/>
                          <w:lang w:val="fr-CH"/>
                        </w:rPr>
                      </w:pPr>
                      <w:r>
                        <w:rPr>
                          <w:sz w:val="16"/>
                          <w:szCs w:val="16"/>
                          <w:lang w:val="fr-CH"/>
                        </w:rPr>
                        <w:t>1,245</w:t>
                      </w:r>
                    </w:p>
                  </w:txbxContent>
                </v:textbox>
              </v:shape>
            </w:pict>
          </mc:Fallback>
        </mc:AlternateContent>
      </w:r>
      <w:r w:rsidR="00F01BC1" w:rsidRPr="00236418">
        <w:rPr>
          <w:noProof/>
          <w:lang w:val="en-US"/>
        </w:rPr>
        <mc:AlternateContent>
          <mc:Choice Requires="wps">
            <w:drawing>
              <wp:anchor distT="0" distB="0" distL="114300" distR="114300" simplePos="0" relativeHeight="251713536" behindDoc="0" locked="0" layoutInCell="1" allowOverlap="1" wp14:anchorId="2BB7F2A4" wp14:editId="048FD4A4">
                <wp:simplePos x="0" y="0"/>
                <wp:positionH relativeFrom="column">
                  <wp:posOffset>3771421</wp:posOffset>
                </wp:positionH>
                <wp:positionV relativeFrom="paragraph">
                  <wp:posOffset>1735359</wp:posOffset>
                </wp:positionV>
                <wp:extent cx="406400" cy="1587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0F2FD790" w14:textId="516154B0" w:rsidR="00596807" w:rsidRPr="008E4F9C" w:rsidRDefault="00596807" w:rsidP="00267740">
                            <w:pPr>
                              <w:spacing w:before="0"/>
                              <w:rPr>
                                <w:sz w:val="16"/>
                                <w:szCs w:val="16"/>
                                <w:lang w:val="fr-CH"/>
                              </w:rPr>
                            </w:pPr>
                            <w:r>
                              <w:rPr>
                                <w:sz w:val="16"/>
                                <w:szCs w:val="16"/>
                                <w:lang w:val="fr-CH"/>
                              </w:rPr>
                              <w:t>10,030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F2A4" id="Text Box 44" o:spid="_x0000_s1032" type="#_x0000_t202" style="position:absolute;left:0;text-align:left;margin-left:296.95pt;margin-top:136.65pt;width:32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prIwIAAEoEAAAOAAAAZHJzL2Uyb0RvYy54bWysVF1v2jAUfZ+0/2D5fSR0LasiQsWomCZV&#10;bSU69dk4Nonk+HrXhoT9+l07BLZuT9NezI3v9znHzO/61rCDQt+ALfl0knOmrISqsbuSf3tZf7jl&#10;zAdhK2HAqpIfled3i/fv5p0r1BXUYCqFjIpYX3Su5HUIrsgyL2vVCj8Bpyw5NWArAn3iLqtQdFS9&#10;NdlVns+yDrByCFJ5T7f3g5MvUn2tlQxPWnsVmCk5zRbSiencxjNbzEWxQ+HqRp7GEP8wRSsaS03P&#10;pe5FEGyPzR+l2kYieNBhIqHNQOtGqrQDbTPN32yzqYVTaRcCx7szTP7/lZWPh417Rhb6z9ATgRGQ&#10;zvnC02Xcp9fYxl+alJGfIDyeYVN9YJIur/PZdU4eSa7pze2nmwRrdkl26MMXBS2LRsmRWElgicOD&#10;D9SQQseQ2MuDaap1Y0z6iEpQK4PsIIhDE9KIlPFblLGsK/nsI7WOSRZi+lDZWGpwWSlaod/2rKko&#10;YVx3C9WRUEAYBOKdXDc064Pw4VkgKYLWI5WHJzq0AeoFJ4uzGvDH3+5jPBFFXs46UljJ/fe9QMWZ&#10;+WqJwijH0cDR2I6G3bcroIWn9H6cTCYlYDCjqRHaVxL/MnYhl7CSepU8jOYqDDqnxyPVcpmCSHRO&#10;hAe7cTKWjlhF5F/6V4HuRE8gXh9h1J4o3rA0xA4oL/cBdJMojLgOKJ7gJsEmZk+PK76IX79T1OUv&#10;YPETAAD//wMAUEsDBBQABgAIAAAAIQADXabn4gAAAAsBAAAPAAAAZHJzL2Rvd25yZXYueG1sTI/L&#10;TsMwEEX3SPyDNUhsEHVoaF7EqQCJBRIIUVDXbmziUHscYrdN+XqGFSznztGdM/Vycpbt9Rh6jwKu&#10;Zgkwja1XPXYC3t8eLgtgIUpU0nrUAo46wLI5PallpfwBX/V+FTtGJRgqKcDEOFSch9ZoJ8PMDxpp&#10;9+FHJyONY8fVKA9U7iyfJ0nGneyRLhg56Huj2+1q5wQUx+vni3WWrz/ty+Od+e6+8GkrhTg/m25v&#10;gEU9xT8YfvVJHRpy2vgdqsCsgEWZloQKmOdpCoyIbJFTsqGkLFLgTc3//9D8AAAA//8DAFBLAQIt&#10;ABQABgAIAAAAIQC2gziS/gAAAOEBAAATAAAAAAAAAAAAAAAAAAAAAABbQ29udGVudF9UeXBlc10u&#10;eG1sUEsBAi0AFAAGAAgAAAAhADj9If/WAAAAlAEAAAsAAAAAAAAAAAAAAAAALwEAAF9yZWxzLy5y&#10;ZWxzUEsBAi0AFAAGAAgAAAAhAFnRKmsjAgAASgQAAA4AAAAAAAAAAAAAAAAALgIAAGRycy9lMm9E&#10;b2MueG1sUEsBAi0AFAAGAAgAAAAhAANdpufiAAAACwEAAA8AAAAAAAAAAAAAAAAAfQQAAGRycy9k&#10;b3ducmV2LnhtbFBLBQYAAAAABAAEAPMAAACMBQAAAAA=&#10;" fillcolor="white [3201]" stroked="f" strokeweight=".5pt">
                <v:textbox inset="0,0,0,0">
                  <w:txbxContent>
                    <w:p w14:paraId="0F2FD790" w14:textId="516154B0" w:rsidR="00596807" w:rsidRPr="008E4F9C" w:rsidRDefault="00596807" w:rsidP="00267740">
                      <w:pPr>
                        <w:spacing w:before="0"/>
                        <w:rPr>
                          <w:sz w:val="16"/>
                          <w:szCs w:val="16"/>
                          <w:lang w:val="fr-CH"/>
                        </w:rPr>
                      </w:pPr>
                      <w:r>
                        <w:rPr>
                          <w:sz w:val="16"/>
                          <w:szCs w:val="16"/>
                          <w:lang w:val="fr-CH"/>
                        </w:rPr>
                        <w:t>10,030</w:t>
                      </w:r>
                    </w:p>
                  </w:txbxContent>
                </v:textbox>
              </v:shape>
            </w:pict>
          </mc:Fallback>
        </mc:AlternateContent>
      </w:r>
      <w:r w:rsidR="00F01BC1" w:rsidRPr="00236418">
        <w:rPr>
          <w:noProof/>
          <w:lang w:val="en-US"/>
        </w:rPr>
        <mc:AlternateContent>
          <mc:Choice Requires="wps">
            <w:drawing>
              <wp:anchor distT="0" distB="0" distL="114300" distR="114300" simplePos="0" relativeHeight="251709440" behindDoc="0" locked="0" layoutInCell="1" allowOverlap="1" wp14:anchorId="3C7E9176" wp14:editId="044E0D93">
                <wp:simplePos x="0" y="0"/>
                <wp:positionH relativeFrom="column">
                  <wp:posOffset>2921000</wp:posOffset>
                </wp:positionH>
                <wp:positionV relativeFrom="paragraph">
                  <wp:posOffset>1294453</wp:posOffset>
                </wp:positionV>
                <wp:extent cx="406400" cy="1587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67ACB085" w14:textId="6A8451BE" w:rsidR="00596807" w:rsidRPr="008E4F9C" w:rsidRDefault="00596807" w:rsidP="008E4F9C">
                            <w:pPr>
                              <w:spacing w:before="0"/>
                              <w:rPr>
                                <w:sz w:val="16"/>
                                <w:szCs w:val="16"/>
                                <w:lang w:val="fr-CH"/>
                              </w:rPr>
                            </w:pPr>
                            <w:r>
                              <w:rPr>
                                <w:sz w:val="16"/>
                                <w:szCs w:val="16"/>
                                <w:lang w:val="fr-CH"/>
                              </w:rPr>
                              <w:t>39,366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9176" id="Text Box 42" o:spid="_x0000_s1033" type="#_x0000_t202" style="position:absolute;left:0;text-align:left;margin-left:230pt;margin-top:101.95pt;width:32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5OJgIAAEoEAAAOAAAAZHJzL2Uyb0RvYy54bWysVN9v2jAQfp+0/8Hy+0joWlpFhIpRMU1C&#10;bSU69dk4DlhyfN7ZkLC/fmeHQNftadqLc/ad78f3fc70vmsMOyj0GmzJx6OcM2UlVNpuS/79Zfnp&#10;jjMfhK2EAatKflSe388+fpi2rlBXsANTKWSUxPqidSXfheCKLPNypxrhR+CUJWcN2IhAW9xmFYqW&#10;sjcmu8rzSdYCVg5BKu/p9KF38lnKX9dKhqe69iowU3LqLaQV07qJazabimKLwu20PLUh/qGLRmhL&#10;Rc+pHkQQbI/6j1SNlgge6jCS0GRQ11qqNANNM87fTbPeCafSLASOd2eY/P9LKx8Pa/eMLHRfoCMC&#10;IyCt84WnwzhPV2MTv9QpIz9BeDzDprrAJB1e55PrnDySXOObu9ubBGt2uezQh68KGhaNkiOxksAS&#10;h5UPVJBCh5BYy4PR1VIbkzZRCWphkB0EcWhCapFu/BZlLGtLPvlMpeMlC/F6n9lYKnAZKVqh23RM&#10;VyW/HcbdQHUkFBB6gXgnl5p6XQkfngWSImg8Unl4oqU2QLXgZHG2A/z5t/MYT0SRl7OWFFZy/2Mv&#10;UHFmvlmiMMpxMHAwNoNh980CaOAxvR8nk0kXMJjBrBGaVxL/PFYhl7CSapU8DOYi9DqnxyPVfJ6C&#10;SHROhJVdOxlTR6wi8i/dq0B3oicQr48waE8U71jqY3uU5/sAtU4URlx7FE9wk2ATs6fHFV/E232K&#10;uvwCZr8AAAD//wMAUEsDBBQABgAIAAAAIQCvDeF64gAAAAsBAAAPAAAAZHJzL2Rvd25yZXYueG1s&#10;TI/BTsMwEETvSPyDtUhcELUJIaQhTgVIHJBAiIJ6dmMTh9rrELttyteznOC4s6OZN/Vi8o7tzBj7&#10;gBIuZgKYwTboHjsJ728P5yWwmBRq5QIaCQcTYdEcH9Wq0mGPr2a3TB2jEIyVkmBTGirOY2uNV3EW&#10;BoP0+wijV4nOseN6VHsK945nQhTcqx6pwarB3FvTbpZbL6E85M9nq+J69eleHu/sd/eFTxsl5enJ&#10;dHsDLJkp/ZnhF5/QoSGmddiijsxJyAtBW5KETFzOgZHjKstJWZOSlXPgTc3/b2h+AAAA//8DAFBL&#10;AQItABQABgAIAAAAIQC2gziS/gAAAOEBAAATAAAAAAAAAAAAAAAAAAAAAABbQ29udGVudF9UeXBl&#10;c10ueG1sUEsBAi0AFAAGAAgAAAAhADj9If/WAAAAlAEAAAsAAAAAAAAAAAAAAAAALwEAAF9yZWxz&#10;Ly5yZWxzUEsBAi0AFAAGAAgAAAAhANh2Dk4mAgAASgQAAA4AAAAAAAAAAAAAAAAALgIAAGRycy9l&#10;Mm9Eb2MueG1sUEsBAi0AFAAGAAgAAAAhAK8N4XriAAAACwEAAA8AAAAAAAAAAAAAAAAAgAQAAGRy&#10;cy9kb3ducmV2LnhtbFBLBQYAAAAABAAEAPMAAACPBQAAAAA=&#10;" fillcolor="white [3201]" stroked="f" strokeweight=".5pt">
                <v:textbox inset="0,0,0,0">
                  <w:txbxContent>
                    <w:p w14:paraId="67ACB085" w14:textId="6A8451BE" w:rsidR="00596807" w:rsidRPr="008E4F9C" w:rsidRDefault="00596807" w:rsidP="008E4F9C">
                      <w:pPr>
                        <w:spacing w:before="0"/>
                        <w:rPr>
                          <w:sz w:val="16"/>
                          <w:szCs w:val="16"/>
                          <w:lang w:val="fr-CH"/>
                        </w:rPr>
                      </w:pPr>
                      <w:r>
                        <w:rPr>
                          <w:sz w:val="16"/>
                          <w:szCs w:val="16"/>
                          <w:lang w:val="fr-CH"/>
                        </w:rPr>
                        <w:t>39,366</w:t>
                      </w:r>
                    </w:p>
                  </w:txbxContent>
                </v:textbox>
              </v:shape>
            </w:pict>
          </mc:Fallback>
        </mc:AlternateContent>
      </w:r>
      <w:r w:rsidR="00F01BC1" w:rsidRPr="00236418">
        <w:rPr>
          <w:noProof/>
          <w:lang w:val="en-US"/>
        </w:rPr>
        <mc:AlternateContent>
          <mc:Choice Requires="wps">
            <w:drawing>
              <wp:anchor distT="0" distB="0" distL="114300" distR="114300" simplePos="0" relativeHeight="251705344" behindDoc="0" locked="0" layoutInCell="1" allowOverlap="1" wp14:anchorId="510B75AB" wp14:editId="32BC0932">
                <wp:simplePos x="0" y="0"/>
                <wp:positionH relativeFrom="column">
                  <wp:posOffset>2126615</wp:posOffset>
                </wp:positionH>
                <wp:positionV relativeFrom="paragraph">
                  <wp:posOffset>1709480</wp:posOffset>
                </wp:positionV>
                <wp:extent cx="406400" cy="1587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64245064" w14:textId="1BC5F2A0" w:rsidR="00596807" w:rsidRPr="008E4F9C" w:rsidRDefault="00596807" w:rsidP="008E4F9C">
                            <w:pPr>
                              <w:spacing w:before="0"/>
                              <w:rPr>
                                <w:sz w:val="16"/>
                                <w:szCs w:val="16"/>
                                <w:lang w:val="fr-CH"/>
                              </w:rPr>
                            </w:pPr>
                            <w:r>
                              <w:rPr>
                                <w:sz w:val="16"/>
                                <w:szCs w:val="16"/>
                                <w:lang w:val="fr-CH"/>
                              </w:rPr>
                              <w:t>10,456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75AB" id="Text Box 40" o:spid="_x0000_s1034" type="#_x0000_t202" style="position:absolute;left:0;text-align:left;margin-left:167.45pt;margin-top:134.6pt;width:32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VHJgIAAEoEAAAOAAAAZHJzL2Uyb0RvYy54bWysVE2P2jAQvVfqf7B8LwnbXYoiwoqyoqqE&#10;dldiqz0bx4ZIjscdGxL66zt2CLTbnqpenLFnPB/vPWd23zWGHRX6GmzJx6OcM2UlVLXdlfzby+rD&#10;lDMfhK2EAatKflKe38/fv5u1rlA3sAdTKWSUxPqidSXfh+CKLPNyrxrhR+CUJacGbESgLe6yCkVL&#10;2RuT3eT5JGsBK4cglfd0+tA7+Tzl11rJ8KS1V4GZklNvIa2Y1m1cs/lMFDsUbl/LcxviH7poRG2p&#10;6CXVgwiCHbD+I1VTSwQPOowkNBloXUuVZqBpxvmbaTZ74VSahcDx7gKT/39p5eNx456Rhe4zdERg&#10;BKR1vvB0GOfpNDbxS50y8hOEpwtsqgtM0uFtPrnNySPJNb6bfrpLsGbXyw59+KKgYdEoORIrCSxx&#10;XPtABSl0CIm1PJi6WtXGpE1UgloaZEdBHJqQWqQbv0UZy9qSTz5S6XjJQrzeZzaWClxHilboth2r&#10;q5JPh3G3UJ0IBYReIN7JVU29roUPzwJJETQeqTw80aINUC04W5ztAX/87TzGE1Hk5awlhZXcfz8I&#10;VJyZr5YojHIcDByM7WDYQ7MEGnhM78fJZNIFDGYwNULzSuJfxCrkElZSrZKHwVyGXuf0eKRaLFIQ&#10;ic6JsLYbJ2PqiFVE/qV7FejO9ATi9REG7YniDUt9bI/y4hBA14nCiGuP4hluEmxi9vy44ov4dZ+i&#10;rr+A+U8AAAD//wMAUEsDBBQABgAIAAAAIQA1j4zn4gAAAAsBAAAPAAAAZHJzL2Rvd25yZXYueG1s&#10;TI/BTsMwDIbvSLxDZCQuiKW0VWlL0wmQOCCBEAPtnDWhKUuc0mRbx9NjTnD070+/PzfL2Vm211MY&#10;PAq4WiTANHZeDdgLeH97uCyBhShRSetRCzjqAMv29KSRtfIHfNX7VewZlWCopQAT41hzHjqjnQwL&#10;P2qk3YefnIw0Tj1XkzxQubM8TZKCOzkgXTBy1PdGd9vVzgkoj/nzxbq4Xn/al8c7891/4dNWCnF+&#10;Nt/eAIt6jn8w/OqTOrTktPE7VIFZAVmWV4QKSIsqBUZEVpWUbCip8hR42/D/P7Q/AAAA//8DAFBL&#10;AQItABQABgAIAAAAIQC2gziS/gAAAOEBAAATAAAAAAAAAAAAAAAAAAAAAABbQ29udGVudF9UeXBl&#10;c10ueG1sUEsBAi0AFAAGAAgAAAAhADj9If/WAAAAlAEAAAsAAAAAAAAAAAAAAAAALwEAAF9yZWxz&#10;Ly5yZWxzUEsBAi0AFAAGAAgAAAAhABY6pUcmAgAASgQAAA4AAAAAAAAAAAAAAAAALgIAAGRycy9l&#10;Mm9Eb2MueG1sUEsBAi0AFAAGAAgAAAAhADWPjOfiAAAACwEAAA8AAAAAAAAAAAAAAAAAgAQAAGRy&#10;cy9kb3ducmV2LnhtbFBLBQYAAAAABAAEAPMAAACPBQAAAAA=&#10;" fillcolor="white [3201]" stroked="f" strokeweight=".5pt">
                <v:textbox inset="0,0,0,0">
                  <w:txbxContent>
                    <w:p w14:paraId="64245064" w14:textId="1BC5F2A0" w:rsidR="00596807" w:rsidRPr="008E4F9C" w:rsidRDefault="00596807" w:rsidP="008E4F9C">
                      <w:pPr>
                        <w:spacing w:before="0"/>
                        <w:rPr>
                          <w:sz w:val="16"/>
                          <w:szCs w:val="16"/>
                          <w:lang w:val="fr-CH"/>
                        </w:rPr>
                      </w:pPr>
                      <w:r>
                        <w:rPr>
                          <w:sz w:val="16"/>
                          <w:szCs w:val="16"/>
                          <w:lang w:val="fr-CH"/>
                        </w:rPr>
                        <w:t>10,456</w:t>
                      </w:r>
                    </w:p>
                  </w:txbxContent>
                </v:textbox>
              </v:shape>
            </w:pict>
          </mc:Fallback>
        </mc:AlternateContent>
      </w:r>
      <w:r w:rsidR="00F01BC1" w:rsidRPr="00236418">
        <w:rPr>
          <w:noProof/>
          <w:lang w:val="en-US"/>
        </w:rPr>
        <mc:AlternateContent>
          <mc:Choice Requires="wps">
            <w:drawing>
              <wp:anchor distT="0" distB="0" distL="114300" distR="114300" simplePos="0" relativeHeight="251703296" behindDoc="0" locked="0" layoutInCell="1" allowOverlap="1" wp14:anchorId="66F842FF" wp14:editId="675DAA02">
                <wp:simplePos x="0" y="0"/>
                <wp:positionH relativeFrom="column">
                  <wp:posOffset>1841500</wp:posOffset>
                </wp:positionH>
                <wp:positionV relativeFrom="paragraph">
                  <wp:posOffset>454457</wp:posOffset>
                </wp:positionV>
                <wp:extent cx="406400" cy="1587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1292139B" w14:textId="7D206D0B" w:rsidR="00596807" w:rsidRPr="008E4F9C" w:rsidRDefault="00596807" w:rsidP="008E4F9C">
                            <w:pPr>
                              <w:spacing w:before="0"/>
                              <w:rPr>
                                <w:sz w:val="16"/>
                                <w:szCs w:val="16"/>
                                <w:lang w:val="fr-CH"/>
                              </w:rPr>
                            </w:pPr>
                            <w:r>
                              <w:rPr>
                                <w:sz w:val="16"/>
                                <w:szCs w:val="16"/>
                                <w:lang w:val="fr-CH"/>
                              </w:rPr>
                              <w:t>125,191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842FF" id="Text Box 39" o:spid="_x0000_s1035" type="#_x0000_t202" style="position:absolute;left:0;text-align:left;margin-left:145pt;margin-top:35.8pt;width:32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FiJgIAAEoEAAAOAAAAZHJzL2Uyb0RvYy54bWysVN9v2jAQfp+0/8Hy+0joWtYhQsWomCah&#10;thKd+mwcm0RyfN7ZkLC/fmeHQNftadqLc/ad78f3fc7srmsMOyj0NdiCj0c5Z8pKKGu7K/j359WH&#10;W858ELYUBqwq+FF5fjd//27Wuqm6ggpMqZBREuunrSt4FYKbZpmXlWqEH4FTlpwasBGBtrjLShQt&#10;ZW9MdpXnk6wFLB2CVN7T6X3v5POUX2slw6PWXgVmCk69hbRiWrdxzeYzMd2hcFUtT22If+iiEbWl&#10;oudU9yIItsf6j1RNLRE86DCS0GSgdS1VmoGmGedvptlUwqk0C4Hj3Rkm///SyofDxj0hC90X6IjA&#10;CEjr/NTTYZyn09jEL3XKyE8QHs+wqS4wSYfX+eQ6J48k1/jm9tNNgjW7XHbow1cFDYtGwZFYSWCJ&#10;w9oHKkihQ0is5cHU5ao2Jm2iEtTSIDsI4tCE1CLd+C3KWNYWfPKRSsdLFuL1PrOxVOAyUrRCt+1Y&#10;XRb88zDuFsojoYDQC8Q7uaqp17Xw4UkgKYLGI5WHR1q0AaoFJ4uzCvDn385jPBFFXs5aUljB/Y+9&#10;QMWZ+WaJwijHwcDB2A6G3TdLoIHH9H6cTCZdwGAGUyM0LyT+RaxCLmEl1Sp4GMxl6HVOj0eqxSIF&#10;keicCGu7cTKmjlhF5J+7F4HuRE8gXh9g0J6YvmGpj+1RXuwD6DpRGHHtUTzBTYJNzJ4eV3wRr/cp&#10;6vILmP8CAAD//wMAUEsDBBQABgAIAAAAIQA7rsox4gAAAAkBAAAPAAAAZHJzL2Rvd25yZXYueG1s&#10;TI/BTsMwEETvSPyDtUhcEHVaituGOBUgcUACIQrqeRsvSai9DrHbpnw95gTH2RnNvimWg7NiT31o&#10;PWsYjzIQxJU3Ldca3t8eLucgQkQ2aD2ThiMFWJanJwXmxh/4lfarWItUwiFHDU2MXS5lqBpyGEa+&#10;I07eh+8dxiT7WpoeD6ncWTnJMiUdtpw+NNjRfUPVdrVzGubH6fPFWs3Wn/bl8a75rr/4aYtan58N&#10;tzcgIg3xLwy/+AkdysS08Ts2QVgNk0WWtkQNs7ECkQJX19N02GhYKAWyLOT/BeUPAAAA//8DAFBL&#10;AQItABQABgAIAAAAIQC2gziS/gAAAOEBAAATAAAAAAAAAAAAAAAAAAAAAABbQ29udGVudF9UeXBl&#10;c10ueG1sUEsBAi0AFAAGAAgAAAAhADj9If/WAAAAlAEAAAsAAAAAAAAAAAAAAAAALwEAAF9yZWxz&#10;Ly5yZWxzUEsBAi0AFAAGAAgAAAAhAJedgWImAgAASgQAAA4AAAAAAAAAAAAAAAAALgIAAGRycy9l&#10;Mm9Eb2MueG1sUEsBAi0AFAAGAAgAAAAhADuuyjHiAAAACQEAAA8AAAAAAAAAAAAAAAAAgAQAAGRy&#10;cy9kb3ducmV2LnhtbFBLBQYAAAAABAAEAPMAAACPBQAAAAA=&#10;" fillcolor="white [3201]" stroked="f" strokeweight=".5pt">
                <v:textbox inset="0,0,0,0">
                  <w:txbxContent>
                    <w:p w14:paraId="1292139B" w14:textId="7D206D0B" w:rsidR="00596807" w:rsidRPr="008E4F9C" w:rsidRDefault="00596807" w:rsidP="008E4F9C">
                      <w:pPr>
                        <w:spacing w:before="0"/>
                        <w:rPr>
                          <w:sz w:val="16"/>
                          <w:szCs w:val="16"/>
                          <w:lang w:val="fr-CH"/>
                        </w:rPr>
                      </w:pPr>
                      <w:r>
                        <w:rPr>
                          <w:sz w:val="16"/>
                          <w:szCs w:val="16"/>
                          <w:lang w:val="fr-CH"/>
                        </w:rPr>
                        <w:t>125,191</w:t>
                      </w:r>
                    </w:p>
                  </w:txbxContent>
                </v:textbox>
              </v:shape>
            </w:pict>
          </mc:Fallback>
        </mc:AlternateContent>
      </w:r>
      <w:r w:rsidR="00F01BC1" w:rsidRPr="00236418">
        <w:rPr>
          <w:noProof/>
          <w:lang w:val="en-US"/>
        </w:rPr>
        <mc:AlternateContent>
          <mc:Choice Requires="wps">
            <w:drawing>
              <wp:anchor distT="0" distB="0" distL="114300" distR="114300" simplePos="0" relativeHeight="251701248" behindDoc="0" locked="0" layoutInCell="1" allowOverlap="1" wp14:anchorId="2CD358BD" wp14:editId="74F47B51">
                <wp:simplePos x="0" y="0"/>
                <wp:positionH relativeFrom="column">
                  <wp:posOffset>1341863</wp:posOffset>
                </wp:positionH>
                <wp:positionV relativeFrom="paragraph">
                  <wp:posOffset>79435</wp:posOffset>
                </wp:positionV>
                <wp:extent cx="406400" cy="1587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71271F51" w14:textId="160BDCDD" w:rsidR="00596807" w:rsidRPr="008E4F9C" w:rsidRDefault="00596807" w:rsidP="008E4F9C">
                            <w:pPr>
                              <w:spacing w:before="0"/>
                              <w:rPr>
                                <w:sz w:val="16"/>
                                <w:szCs w:val="16"/>
                                <w:lang w:val="fr-CH"/>
                              </w:rPr>
                            </w:pPr>
                            <w:r>
                              <w:rPr>
                                <w:sz w:val="16"/>
                                <w:szCs w:val="16"/>
                                <w:lang w:val="fr-CH"/>
                              </w:rPr>
                              <w:t>126,485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358BD" id="Text Box 38" o:spid="_x0000_s1036" type="#_x0000_t202" style="position:absolute;left:0;text-align:left;margin-left:105.65pt;margin-top:6.25pt;width:32pt;height: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yDJAIAAEsEAAAOAAAAZHJzL2Uyb0RvYy54bWysVN9v0zAQfkfif7D8TpOOrUxR06l0KkKa&#10;tkkd2rPr2E0kx2fObpPy13N2mhYGT4gX53y/77vPmd/1rWEHhb4BW/LpJOdMWQlVY3cl//ay/nDL&#10;mQ/CVsKAVSU/Ks/vFu/fzTtXqCuowVQKGSWxvuhcyesQXJFlXtaqFX4CTlkyasBWBLriLqtQdJS9&#10;NdlVns+yDrByCFJ5T9r7wcgXKb/WSoYnrb0KzJScegvpxHRu45kt5qLYoXB1I09tiH/oohWNpaLn&#10;VPciCLbH5o9UbSMRPOgwkdBmoHUjVZqBppnmb6bZ1MKpNAuB490ZJv//0srHw8Y9Iwv9Z+hpgRGQ&#10;zvnCkzLO02ts45c6ZWQnCI9n2FQfmCTldT67zskiyTS9uf10k2DNLsEOffiioGVRKDnSVhJY4vDg&#10;AxUk19El1vJgmmrdGJMukQlqZZAdBO3QhNQiRfzmZSzrSj77SKVjkIUYPmQ2lgpcRopS6Lc9ayrq&#10;NnUaVVuojgQDwsAQ7+S6oWYfhA/PAokSNB/RPDzRoQ1QMThJnNWAP/6mj/60KbJy1hHFSu6/7wUq&#10;zsxXSzuMfBwFHIXtKNh9uwKaeEoPyMkkUgAGM4oaoX0l9i9jFTIJK6lWycMorsJAdHo9Ui2XyYlY&#10;50R4sBsnY+oIVoT+pX8V6E77CbTYRxjJJ4o3axp8B5iX+wC6STu8oHjCmxibVnt6XfFJ/HpPXpd/&#10;wOInAAAA//8DAFBLAwQUAAYACAAAACEA4W6STuEAAAAJAQAADwAAAGRycy9kb3ducmV2LnhtbEyP&#10;wU7DMAyG70i8Q2QkLmhL29F1Kk0nQOKAxITY0M5ZE5qyxClNtnU8PeYER/v/9PtztRydZUc9hM6j&#10;gHSaANPYeNVhK+B98zRZAAtRopLWoxZw1gGW9eVFJUvlT/imj+vYMirBUEoBJsa+5Dw0RjsZpr7X&#10;SNmHH5yMNA4tV4M8UbmzPEuSOXeyQ7pgZK8fjW7264MTsDjfrm6282L7aV+fH8x3+4UveynE9dV4&#10;fwcs6jH+wfCrT+pQk9POH1AFZgVkaTojlIIsB0ZAVuS02AmYFTnwuuL/P6h/AAAA//8DAFBLAQIt&#10;ABQABgAIAAAAIQC2gziS/gAAAOEBAAATAAAAAAAAAAAAAAAAAAAAAABbQ29udGVudF9UeXBlc10u&#10;eG1sUEsBAi0AFAAGAAgAAAAhADj9If/WAAAAlAEAAAsAAAAAAAAAAAAAAAAALwEAAF9yZWxzLy5y&#10;ZWxzUEsBAi0AFAAGAAgAAAAhALrADIMkAgAASwQAAA4AAAAAAAAAAAAAAAAALgIAAGRycy9lMm9E&#10;b2MueG1sUEsBAi0AFAAGAAgAAAAhAOFukk7hAAAACQEAAA8AAAAAAAAAAAAAAAAAfgQAAGRycy9k&#10;b3ducmV2LnhtbFBLBQYAAAAABAAEAPMAAACMBQAAAAA=&#10;" fillcolor="white [3201]" stroked="f" strokeweight=".5pt">
                <v:textbox inset="0,0,0,0">
                  <w:txbxContent>
                    <w:p w14:paraId="71271F51" w14:textId="160BDCDD" w:rsidR="00596807" w:rsidRPr="008E4F9C" w:rsidRDefault="00596807" w:rsidP="008E4F9C">
                      <w:pPr>
                        <w:spacing w:before="0"/>
                        <w:rPr>
                          <w:sz w:val="16"/>
                          <w:szCs w:val="16"/>
                          <w:lang w:val="fr-CH"/>
                        </w:rPr>
                      </w:pPr>
                      <w:r>
                        <w:rPr>
                          <w:sz w:val="16"/>
                          <w:szCs w:val="16"/>
                          <w:lang w:val="fr-CH"/>
                        </w:rPr>
                        <w:t>126,485</w:t>
                      </w:r>
                    </w:p>
                  </w:txbxContent>
                </v:textbox>
              </v:shape>
            </w:pict>
          </mc:Fallback>
        </mc:AlternateContent>
      </w:r>
      <w:r w:rsidR="008E4F9C" w:rsidRPr="00236418">
        <w:rPr>
          <w:noProof/>
          <w:lang w:val="en-US"/>
        </w:rPr>
        <mc:AlternateContent>
          <mc:Choice Requires="wps">
            <w:drawing>
              <wp:anchor distT="0" distB="0" distL="114300" distR="114300" simplePos="0" relativeHeight="251700224" behindDoc="0" locked="0" layoutInCell="1" allowOverlap="1" wp14:anchorId="67A0A674" wp14:editId="4B61259C">
                <wp:simplePos x="0" y="0"/>
                <wp:positionH relativeFrom="column">
                  <wp:posOffset>702310</wp:posOffset>
                </wp:positionH>
                <wp:positionV relativeFrom="paragraph">
                  <wp:posOffset>88900</wp:posOffset>
                </wp:positionV>
                <wp:extent cx="558800" cy="2108200"/>
                <wp:effectExtent l="0" t="0" r="0" b="6350"/>
                <wp:wrapNone/>
                <wp:docPr id="37" name="Text Box 37"/>
                <wp:cNvGraphicFramePr/>
                <a:graphic xmlns:a="http://schemas.openxmlformats.org/drawingml/2006/main">
                  <a:graphicData uri="http://schemas.microsoft.com/office/word/2010/wordprocessingShape">
                    <wps:wsp>
                      <wps:cNvSpPr txBox="1"/>
                      <wps:spPr>
                        <a:xfrm>
                          <a:off x="0" y="0"/>
                          <a:ext cx="558800" cy="2108200"/>
                        </a:xfrm>
                        <a:prstGeom prst="rect">
                          <a:avLst/>
                        </a:prstGeom>
                        <a:solidFill>
                          <a:schemeClr val="lt1"/>
                        </a:solidFill>
                        <a:ln w="6350">
                          <a:noFill/>
                        </a:ln>
                      </wps:spPr>
                      <wps:txbx>
                        <w:txbxContent>
                          <w:p w14:paraId="3FF1A50B" w14:textId="7D9DC736" w:rsidR="00596807" w:rsidRPr="00E26EBA" w:rsidRDefault="00596807" w:rsidP="008E4F9C">
                            <w:pPr>
                              <w:jc w:val="right"/>
                              <w:rPr>
                                <w:sz w:val="16"/>
                                <w:szCs w:val="16"/>
                                <w:lang w:val="fr-CH"/>
                              </w:rPr>
                            </w:pPr>
                            <w:r w:rsidRPr="00E26EBA">
                              <w:rPr>
                                <w:sz w:val="16"/>
                                <w:szCs w:val="16"/>
                                <w:lang w:val="fr-CH"/>
                              </w:rPr>
                              <w:t>120,000</w:t>
                            </w:r>
                          </w:p>
                          <w:p w14:paraId="5BE2A6E8" w14:textId="257CAD1C" w:rsidR="00596807" w:rsidRPr="00E26EBA" w:rsidRDefault="00596807" w:rsidP="008E4F9C">
                            <w:pPr>
                              <w:spacing w:before="240"/>
                              <w:jc w:val="right"/>
                              <w:rPr>
                                <w:sz w:val="16"/>
                                <w:szCs w:val="16"/>
                                <w:lang w:val="fr-CH"/>
                              </w:rPr>
                            </w:pPr>
                            <w:r w:rsidRPr="00E26EBA">
                              <w:rPr>
                                <w:sz w:val="16"/>
                                <w:szCs w:val="16"/>
                                <w:lang w:val="fr-CH"/>
                              </w:rPr>
                              <w:t>100,000</w:t>
                            </w:r>
                          </w:p>
                          <w:p w14:paraId="4963F0FF" w14:textId="0236BD36" w:rsidR="00596807" w:rsidRPr="00E26EBA" w:rsidRDefault="00596807" w:rsidP="008E4F9C">
                            <w:pPr>
                              <w:spacing w:before="240"/>
                              <w:jc w:val="right"/>
                              <w:rPr>
                                <w:sz w:val="16"/>
                                <w:szCs w:val="16"/>
                                <w:lang w:val="fr-CH"/>
                              </w:rPr>
                            </w:pPr>
                            <w:r w:rsidRPr="00E26EBA">
                              <w:rPr>
                                <w:sz w:val="16"/>
                                <w:szCs w:val="16"/>
                                <w:lang w:val="fr-CH"/>
                              </w:rPr>
                              <w:t>80,000</w:t>
                            </w:r>
                          </w:p>
                          <w:p w14:paraId="07C986A6" w14:textId="2FD67ED2" w:rsidR="00596807" w:rsidRPr="00E26EBA" w:rsidRDefault="00596807" w:rsidP="008E4F9C">
                            <w:pPr>
                              <w:spacing w:before="260"/>
                              <w:jc w:val="right"/>
                              <w:rPr>
                                <w:sz w:val="16"/>
                                <w:szCs w:val="16"/>
                                <w:lang w:val="fr-CH"/>
                              </w:rPr>
                            </w:pPr>
                            <w:r w:rsidRPr="00E26EBA">
                              <w:rPr>
                                <w:sz w:val="16"/>
                                <w:szCs w:val="16"/>
                                <w:lang w:val="fr-CH"/>
                              </w:rPr>
                              <w:t>60,000</w:t>
                            </w:r>
                          </w:p>
                          <w:p w14:paraId="4F4342CF" w14:textId="765992A3" w:rsidR="00596807" w:rsidRPr="00E26EBA" w:rsidRDefault="00596807" w:rsidP="008E4F9C">
                            <w:pPr>
                              <w:spacing w:before="280"/>
                              <w:jc w:val="right"/>
                              <w:rPr>
                                <w:sz w:val="16"/>
                                <w:szCs w:val="16"/>
                                <w:lang w:val="fr-CH"/>
                              </w:rPr>
                            </w:pPr>
                            <w:r w:rsidRPr="00E26EBA">
                              <w:rPr>
                                <w:sz w:val="16"/>
                                <w:szCs w:val="16"/>
                                <w:lang w:val="fr-CH"/>
                              </w:rPr>
                              <w:t>40,000</w:t>
                            </w:r>
                          </w:p>
                          <w:p w14:paraId="3C79844E" w14:textId="0023BFA8" w:rsidR="00596807" w:rsidRDefault="00596807" w:rsidP="008E4F9C">
                            <w:pPr>
                              <w:spacing w:before="280"/>
                              <w:jc w:val="right"/>
                              <w:rPr>
                                <w:sz w:val="16"/>
                                <w:szCs w:val="16"/>
                                <w:lang w:val="fr-CH"/>
                              </w:rPr>
                            </w:pPr>
                            <w:r w:rsidRPr="00E26EBA">
                              <w:rPr>
                                <w:sz w:val="16"/>
                                <w:szCs w:val="16"/>
                                <w:lang w:val="fr-CH"/>
                              </w:rPr>
                              <w:t>20,000</w:t>
                            </w:r>
                          </w:p>
                          <w:p w14:paraId="69321B0E" w14:textId="4244E524" w:rsidR="00596807" w:rsidRPr="008E4F9C" w:rsidRDefault="00596807" w:rsidP="008E4F9C">
                            <w:pPr>
                              <w:spacing w:before="260"/>
                              <w:jc w:val="right"/>
                              <w:rPr>
                                <w:sz w:val="16"/>
                                <w:szCs w:val="16"/>
                                <w:lang w:val="fr-CH"/>
                              </w:rPr>
                            </w:pPr>
                            <w:r>
                              <w:rPr>
                                <w:sz w:val="16"/>
                                <w:szCs w:val="16"/>
                                <w:lang w:val="fr-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A0A674" id="Text Box 37" o:spid="_x0000_s1037" type="#_x0000_t202" style="position:absolute;left:0;text-align:left;margin-left:55.3pt;margin-top:7pt;width:44pt;height:16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cdLwIAAFwEAAAOAAAAZHJzL2Uyb0RvYy54bWysVE2P2jAQvVfqf7B8LwkUtjQirCgrqkpo&#10;dyW22rNxbGLJ8bi2IaG/vmOHr257qnoxY8/keea9Z2b3XaPJQTivwJR0OMgpEYZDpcyupN9fVh+m&#10;lPjATMU0GFHSo/D0fv7+3ay1hRhBDboSjiCI8UVrS1qHYIss87wWDfMDsMJgUoJrWMCt22WVYy2i&#10;Nzob5fld1oKrrAMuvMfThz5J5wlfSsHDk5ReBKJLir2FtLq0buOazWes2Dlma8VPbbB/6KJhyuCl&#10;F6gHFhjZO/UHVKO4Aw8yDDg0GUipuEgz4DTD/M00m5pZkWZBcry90OT/Hyx/PGzssyOh+wIdChgJ&#10;aa0vPB7GeTrpmviLnRLMI4XHC22iC4Tj4WQyneaY4ZgaDfMp6hJhsuvX1vnwVUBDYlBSh7Iktthh&#10;7UNfei6Jl3nQqloprdMmWkEstSMHhiLqkHpE8N+qtCFtSe8+TvIEbCB+3iNrg71cZ4pR6LYdURXO&#10;exl4C9UReXDQW8RbvlLY7Jr58MwcegIHRJ+HJ1ykBrwMThElNbiffzuP9SgVZilp0WMl9T/2zAlK&#10;9DeDIn4ejsfRlGkznnwa4cbdZra3GbNvloAMDPFFWZ7CWB/0OZQOmld8Dot4K6aY4Xh3ScM5XIbe&#10;+ficuFgsUhHa0LKwNhvLI3RkPErx0r0yZ096BVT6Ec5uZMUb2fra+KWBxT6AVEnTSHTP6ol/tHBy&#10;xem5xTdyu09V1z+F+S8AAAD//wMAUEsDBBQABgAIAAAAIQBx83eV4AAAAAoBAAAPAAAAZHJzL2Rv&#10;d25yZXYueG1sTI9LT8MwEITvSPwHa5G4IGqXlFBCnAohHhI3Gh7i5sZLEhGvo9hNwr9ne4Lbzu5o&#10;9pt8M7tOjDiE1pOG5UKBQKq8banW8Fo+nK9BhGjIms4TavjBAJvi+Cg3mfUTveC4jbXgEAqZ0dDE&#10;2GdShqpBZ8LC90h8+/KDM5HlUEs7mInDXScvlEqlMy3xh8b0eNdg9b3dOw2fZ/XHc5gf36bkMunv&#10;n8by6t2WWp+ezLc3ICLO8c8MB3xGh4KZdn5PNoiO9VKlbOVhxZ0Ohus1L3YaklWqQBa5/F+h+AUA&#10;AP//AwBQSwECLQAUAAYACAAAACEAtoM4kv4AAADhAQAAEwAAAAAAAAAAAAAAAAAAAAAAW0NvbnRl&#10;bnRfVHlwZXNdLnhtbFBLAQItABQABgAIAAAAIQA4/SH/1gAAAJQBAAALAAAAAAAAAAAAAAAAAC8B&#10;AABfcmVscy8ucmVsc1BLAQItABQABgAIAAAAIQAd6mcdLwIAAFwEAAAOAAAAAAAAAAAAAAAAAC4C&#10;AABkcnMvZTJvRG9jLnhtbFBLAQItABQABgAIAAAAIQBx83eV4AAAAAoBAAAPAAAAAAAAAAAAAAAA&#10;AIkEAABkcnMvZG93bnJldi54bWxQSwUGAAAAAAQABADzAAAAlgUAAAAA&#10;" fillcolor="white [3201]" stroked="f" strokeweight=".5pt">
                <v:textbox>
                  <w:txbxContent>
                    <w:p w14:paraId="3FF1A50B" w14:textId="7D9DC736" w:rsidR="00596807" w:rsidRPr="00E26EBA" w:rsidRDefault="00596807" w:rsidP="008E4F9C">
                      <w:pPr>
                        <w:jc w:val="right"/>
                        <w:rPr>
                          <w:sz w:val="16"/>
                          <w:szCs w:val="16"/>
                          <w:lang w:val="fr-CH"/>
                        </w:rPr>
                      </w:pPr>
                      <w:r w:rsidRPr="00E26EBA">
                        <w:rPr>
                          <w:sz w:val="16"/>
                          <w:szCs w:val="16"/>
                          <w:lang w:val="fr-CH"/>
                        </w:rPr>
                        <w:t>120,000</w:t>
                      </w:r>
                    </w:p>
                    <w:p w14:paraId="5BE2A6E8" w14:textId="257CAD1C" w:rsidR="00596807" w:rsidRPr="00E26EBA" w:rsidRDefault="00596807" w:rsidP="008E4F9C">
                      <w:pPr>
                        <w:spacing w:before="240"/>
                        <w:jc w:val="right"/>
                        <w:rPr>
                          <w:sz w:val="16"/>
                          <w:szCs w:val="16"/>
                          <w:lang w:val="fr-CH"/>
                        </w:rPr>
                      </w:pPr>
                      <w:r w:rsidRPr="00E26EBA">
                        <w:rPr>
                          <w:sz w:val="16"/>
                          <w:szCs w:val="16"/>
                          <w:lang w:val="fr-CH"/>
                        </w:rPr>
                        <w:t>100,000</w:t>
                      </w:r>
                    </w:p>
                    <w:p w14:paraId="4963F0FF" w14:textId="0236BD36" w:rsidR="00596807" w:rsidRPr="00E26EBA" w:rsidRDefault="00596807" w:rsidP="008E4F9C">
                      <w:pPr>
                        <w:spacing w:before="240"/>
                        <w:jc w:val="right"/>
                        <w:rPr>
                          <w:sz w:val="16"/>
                          <w:szCs w:val="16"/>
                          <w:lang w:val="fr-CH"/>
                        </w:rPr>
                      </w:pPr>
                      <w:r w:rsidRPr="00E26EBA">
                        <w:rPr>
                          <w:sz w:val="16"/>
                          <w:szCs w:val="16"/>
                          <w:lang w:val="fr-CH"/>
                        </w:rPr>
                        <w:t>80,000</w:t>
                      </w:r>
                    </w:p>
                    <w:p w14:paraId="07C986A6" w14:textId="2FD67ED2" w:rsidR="00596807" w:rsidRPr="00E26EBA" w:rsidRDefault="00596807" w:rsidP="008E4F9C">
                      <w:pPr>
                        <w:spacing w:before="260"/>
                        <w:jc w:val="right"/>
                        <w:rPr>
                          <w:sz w:val="16"/>
                          <w:szCs w:val="16"/>
                          <w:lang w:val="fr-CH"/>
                        </w:rPr>
                      </w:pPr>
                      <w:r w:rsidRPr="00E26EBA">
                        <w:rPr>
                          <w:sz w:val="16"/>
                          <w:szCs w:val="16"/>
                          <w:lang w:val="fr-CH"/>
                        </w:rPr>
                        <w:t>60,000</w:t>
                      </w:r>
                    </w:p>
                    <w:p w14:paraId="4F4342CF" w14:textId="765992A3" w:rsidR="00596807" w:rsidRPr="00E26EBA" w:rsidRDefault="00596807" w:rsidP="008E4F9C">
                      <w:pPr>
                        <w:spacing w:before="280"/>
                        <w:jc w:val="right"/>
                        <w:rPr>
                          <w:sz w:val="16"/>
                          <w:szCs w:val="16"/>
                          <w:lang w:val="fr-CH"/>
                        </w:rPr>
                      </w:pPr>
                      <w:r w:rsidRPr="00E26EBA">
                        <w:rPr>
                          <w:sz w:val="16"/>
                          <w:szCs w:val="16"/>
                          <w:lang w:val="fr-CH"/>
                        </w:rPr>
                        <w:t>40,000</w:t>
                      </w:r>
                    </w:p>
                    <w:p w14:paraId="3C79844E" w14:textId="0023BFA8" w:rsidR="00596807" w:rsidRDefault="00596807" w:rsidP="008E4F9C">
                      <w:pPr>
                        <w:spacing w:before="280"/>
                        <w:jc w:val="right"/>
                        <w:rPr>
                          <w:sz w:val="16"/>
                          <w:szCs w:val="16"/>
                          <w:lang w:val="fr-CH"/>
                        </w:rPr>
                      </w:pPr>
                      <w:r w:rsidRPr="00E26EBA">
                        <w:rPr>
                          <w:sz w:val="16"/>
                          <w:szCs w:val="16"/>
                          <w:lang w:val="fr-CH"/>
                        </w:rPr>
                        <w:t>20,000</w:t>
                      </w:r>
                    </w:p>
                    <w:p w14:paraId="69321B0E" w14:textId="4244E524" w:rsidR="00596807" w:rsidRPr="008E4F9C" w:rsidRDefault="00596807" w:rsidP="008E4F9C">
                      <w:pPr>
                        <w:spacing w:before="260"/>
                        <w:jc w:val="right"/>
                        <w:rPr>
                          <w:sz w:val="16"/>
                          <w:szCs w:val="16"/>
                          <w:lang w:val="fr-CH"/>
                        </w:rPr>
                      </w:pPr>
                      <w:r>
                        <w:rPr>
                          <w:sz w:val="16"/>
                          <w:szCs w:val="16"/>
                          <w:lang w:val="fr-CH"/>
                        </w:rPr>
                        <w:t>-</w:t>
                      </w:r>
                    </w:p>
                  </w:txbxContent>
                </v:textbox>
              </v:shape>
            </w:pict>
          </mc:Fallback>
        </mc:AlternateContent>
      </w:r>
      <w:r w:rsidR="008E4F9C" w:rsidRPr="00236418">
        <w:rPr>
          <w:noProof/>
          <w:lang w:val="en-US"/>
        </w:rPr>
        <mc:AlternateContent>
          <mc:Choice Requires="wps">
            <w:drawing>
              <wp:anchor distT="45720" distB="45720" distL="114300" distR="114300" simplePos="0" relativeHeight="251699200" behindDoc="0" locked="0" layoutInCell="1" allowOverlap="1" wp14:anchorId="001F0F0C" wp14:editId="4D5A13B0">
                <wp:simplePos x="0" y="0"/>
                <wp:positionH relativeFrom="column">
                  <wp:posOffset>3721100</wp:posOffset>
                </wp:positionH>
                <wp:positionV relativeFrom="paragraph">
                  <wp:posOffset>2110740</wp:posOffset>
                </wp:positionV>
                <wp:extent cx="863193" cy="182880"/>
                <wp:effectExtent l="0" t="0" r="0" b="76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3" cy="182880"/>
                        </a:xfrm>
                        <a:prstGeom prst="rect">
                          <a:avLst/>
                        </a:prstGeom>
                        <a:solidFill>
                          <a:srgbClr val="FFFFFF"/>
                        </a:solidFill>
                        <a:ln w="9525">
                          <a:noFill/>
                          <a:miter lim="800000"/>
                          <a:headEnd/>
                          <a:tailEnd/>
                        </a:ln>
                      </wps:spPr>
                      <wps:txbx>
                        <w:txbxContent>
                          <w:p w14:paraId="58B871EE" w14:textId="77777777" w:rsidR="00596807" w:rsidRPr="00845244" w:rsidRDefault="00596807" w:rsidP="008E4F9C">
                            <w:pPr>
                              <w:spacing w:before="0"/>
                              <w:jc w:val="center"/>
                              <w:rPr>
                                <w:sz w:val="16"/>
                                <w:szCs w:val="16"/>
                                <w:lang w:val="fr-CH"/>
                              </w:rPr>
                            </w:pPr>
                            <w:r>
                              <w:rPr>
                                <w:sz w:val="16"/>
                                <w:szCs w:val="16"/>
                                <w:lang w:val="fr-CH"/>
                              </w:rPr>
                              <w:t>Produits financiers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F0F0C" id="_x0000_s1038" type="#_x0000_t202" style="position:absolute;left:0;text-align:left;margin-left:293pt;margin-top:166.2pt;width:67.95pt;height:14.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1rBwIAAO0DAAAOAAAAZHJzL2Uyb0RvYy54bWysU8Fu2zAMvQ/YPwi6L05StEiNOEWXLsOA&#10;bh3Q7QNkSY6FyaJGKbGzrx8lO+nQ3YbpIFAS+Ug+Pq3vhs6yo8ZgwFV8MZtzpp0EZdy+4t+/7d6t&#10;OAtROCUsOF3xkw78bvP2zbr3pV5CC1ZpZATiQtn7ircx+rIogmx1J8IMvHb02AB2ItIR94VC0RN6&#10;Z4vlfH5T9IDKI0gdAt0+jI98k/GbRsv41DRBR2YrTrXFvGPe67QXm7Uo9yh8a+RUhviHKjphHCW9&#10;QD2IKNgBzV9QnZEIAZo4k9AV0DRG6twDdbOYv+rmuRVe516InOAvNIX/Byu/HJ/9V2RxeA8DDTA3&#10;EfwjyB+BOdi2wu31PSL0rRaKEi8SZUXvQzmFJqpDGRJI3X8GRUMWhwgZaGiwS6xQn4zQaQCnC+l6&#10;iEzS5ermanF7xZmkp8VquVrloRSiPAd7DPGjho4lo+JIM83g4vgYYipGlGeXlCuANWpnrM0H3Ndb&#10;i+woaP67vHL9r9ysY33Fb6+X1xnZQYrP0uhMJH1a01Gh87RGxSQyPjiVXaIwdrSpEusmdhIhIzVx&#10;qAdmFHW3TMGJrRrUifhCGPVI/4eMFvAXZz1pseLh50Gg5sx+csR5Eu7ZwLNRnw3hJIVWPHI2mtuY&#10;BZ76d3BPs2hM5ukl81QjaSrTN+k/ifbPc/Z6+aWb3wAAAP//AwBQSwMEFAAGAAgAAAAhAMid2/fh&#10;AAAACwEAAA8AAABkcnMvZG93bnJldi54bWxMj8FOwzAQRO9I/IO1SFwQdeJC2oY4FbRwg0NL1bMb&#10;L0lEvI5sp0n/HnOC4+yMZt8U68l07IzOt5YkpLMEGFJldUu1hMPn2/0SmA+KtOosoYQLeliX11eF&#10;yrUdaYfnfahZLCGfKwlNCH3Oua8aNMrPbI8UvS/rjApRupprp8ZYbjoukiTjRrUUPzSqx02D1fd+&#10;MBKyrRvGHW3utofXd/XR1+L4cjlKeXszPT8BCziFvzD84kd0KCPTyQ6kPeskPC6zuCVImM/FA7CY&#10;WIh0BewUL1kqgJcF/7+h/AEAAP//AwBQSwECLQAUAAYACAAAACEAtoM4kv4AAADhAQAAEwAAAAAA&#10;AAAAAAAAAAAAAAAAW0NvbnRlbnRfVHlwZXNdLnhtbFBLAQItABQABgAIAAAAIQA4/SH/1gAAAJQB&#10;AAALAAAAAAAAAAAAAAAAAC8BAABfcmVscy8ucmVsc1BLAQItABQABgAIAAAAIQCZBX1rBwIAAO0D&#10;AAAOAAAAAAAAAAAAAAAAAC4CAABkcnMvZTJvRG9jLnhtbFBLAQItABQABgAIAAAAIQDIndv34QAA&#10;AAsBAAAPAAAAAAAAAAAAAAAAAGEEAABkcnMvZG93bnJldi54bWxQSwUGAAAAAAQABADzAAAAbwUA&#10;AAAA&#10;" stroked="f">
                <v:textbox inset="0,0,0,0">
                  <w:txbxContent>
                    <w:p w14:paraId="58B871EE" w14:textId="77777777" w:rsidR="00596807" w:rsidRPr="00845244" w:rsidRDefault="00596807" w:rsidP="008E4F9C">
                      <w:pPr>
                        <w:spacing w:before="0"/>
                        <w:jc w:val="center"/>
                        <w:rPr>
                          <w:sz w:val="16"/>
                          <w:szCs w:val="16"/>
                          <w:lang w:val="fr-CH"/>
                        </w:rPr>
                      </w:pPr>
                      <w:r>
                        <w:rPr>
                          <w:sz w:val="16"/>
                          <w:szCs w:val="16"/>
                          <w:lang w:val="fr-CH"/>
                        </w:rPr>
                        <w:t>Produits financiers</w:t>
                      </w:r>
                    </w:p>
                  </w:txbxContent>
                </v:textbox>
              </v:shape>
            </w:pict>
          </mc:Fallback>
        </mc:AlternateContent>
      </w:r>
      <w:r w:rsidR="008E4F9C" w:rsidRPr="00236418">
        <w:rPr>
          <w:rFonts w:asciiTheme="minorHAnsi" w:hAnsiTheme="minorHAnsi" w:cstheme="minorHAnsi"/>
          <w:noProof/>
          <w:lang w:val="en-US"/>
        </w:rPr>
        <w:drawing>
          <wp:inline distT="0" distB="0" distL="0" distR="0" wp14:anchorId="1F49A2EA" wp14:editId="66FBB376">
            <wp:extent cx="4810125" cy="2755900"/>
            <wp:effectExtent l="0" t="0" r="952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2755900"/>
                    </a:xfrm>
                    <a:prstGeom prst="rect">
                      <a:avLst/>
                    </a:prstGeom>
                    <a:noFill/>
                  </pic:spPr>
                </pic:pic>
              </a:graphicData>
            </a:graphic>
          </wp:inline>
        </w:drawing>
      </w:r>
    </w:p>
    <w:p w14:paraId="171637B9" w14:textId="2B9F293E" w:rsidR="00DF6159" w:rsidRPr="00236418" w:rsidRDefault="00DF6159" w:rsidP="009B3D24">
      <w:pPr>
        <w:spacing w:before="240" w:after="240"/>
      </w:pPr>
      <w:r w:rsidRPr="00236418">
        <w:t>2</w:t>
      </w:r>
      <w:r w:rsidR="005F4C4E" w:rsidRPr="00236418">
        <w:t>9</w:t>
      </w:r>
      <w:r w:rsidRPr="00236418">
        <w:tab/>
        <w:t>Les produits proviennent essentiellement des contributions mises en recouvrement (</w:t>
      </w:r>
      <w:r w:rsidR="006D07E2" w:rsidRPr="00236418">
        <w:t>6</w:t>
      </w:r>
      <w:r w:rsidR="00613FB7" w:rsidRPr="00236418">
        <w:t>8</w:t>
      </w:r>
      <w:r w:rsidRPr="00236418">
        <w:t>% en 201</w:t>
      </w:r>
      <w:r w:rsidR="00613FB7" w:rsidRPr="00236418">
        <w:t>9</w:t>
      </w:r>
      <w:r w:rsidRPr="00236418">
        <w:t>, un chiffre qui a légèrement augmenté par rapport à 201</w:t>
      </w:r>
      <w:r w:rsidR="00613FB7" w:rsidRPr="00236418">
        <w:t>8</w:t>
      </w:r>
      <w:r w:rsidRPr="00236418">
        <w:t xml:space="preserve">); viennent ensuite les produits </w:t>
      </w:r>
      <w:r w:rsidR="00795E97" w:rsidRPr="00236418">
        <w:t>provenant des recouvrements des coûts</w:t>
      </w:r>
      <w:r w:rsidRPr="00236418">
        <w:t xml:space="preserve"> (2</w:t>
      </w:r>
      <w:r w:rsidR="00613FB7" w:rsidRPr="00236418">
        <w:t>1</w:t>
      </w:r>
      <w:r w:rsidRPr="00236418">
        <w:t>%, essentiellement les produits tirés des ventes des publications et des fiches de notification des réseaux à satellite).</w:t>
      </w:r>
    </w:p>
    <w:p w14:paraId="32F8717F" w14:textId="203871F1" w:rsidR="00613FB7" w:rsidRPr="00236418" w:rsidRDefault="00613FB7" w:rsidP="009B3D24">
      <w:pPr>
        <w:spacing w:before="240" w:after="240"/>
        <w:jc w:val="center"/>
      </w:pPr>
      <w:r w:rsidRPr="00236418">
        <w:rPr>
          <w:noProof/>
          <w:lang w:val="en-US"/>
        </w:rPr>
        <w:drawing>
          <wp:inline distT="0" distB="0" distL="0" distR="0" wp14:anchorId="3077DD5A" wp14:editId="2DD0EE18">
            <wp:extent cx="5194935" cy="3209925"/>
            <wp:effectExtent l="0" t="0" r="5715" b="9525"/>
            <wp:docPr id="46" name="Chart 46">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E2FE58" w14:textId="5F453C31" w:rsidR="00DF6159" w:rsidRPr="00236418" w:rsidRDefault="005F4C4E" w:rsidP="00DB3509">
      <w:pPr>
        <w:keepNext/>
        <w:spacing w:after="240"/>
      </w:pPr>
      <w:r w:rsidRPr="00236418">
        <w:lastRenderedPageBreak/>
        <w:t>30</w:t>
      </w:r>
      <w:r w:rsidR="00DF6159" w:rsidRPr="00236418">
        <w:tab/>
        <w:t>En 201</w:t>
      </w:r>
      <w:r w:rsidR="00C95CAD" w:rsidRPr="00236418">
        <w:t>9</w:t>
      </w:r>
      <w:r w:rsidR="00DF6159" w:rsidRPr="00236418">
        <w:t xml:space="preserve">, les charges de l'UIT s'élevaient à </w:t>
      </w:r>
      <w:r w:rsidR="00C95CAD" w:rsidRPr="00236418">
        <w:t>244</w:t>
      </w:r>
      <w:r w:rsidR="00F07330" w:rsidRPr="00236418">
        <w:t>,</w:t>
      </w:r>
      <w:r w:rsidR="00C95CAD" w:rsidRPr="00236418">
        <w:t>640</w:t>
      </w:r>
      <w:r w:rsidR="00DF6159" w:rsidRPr="00236418">
        <w:t xml:space="preserve"> </w:t>
      </w:r>
      <w:r w:rsidR="00F07330" w:rsidRPr="00236418">
        <w:t>millions</w:t>
      </w:r>
      <w:r w:rsidR="00DF6159" w:rsidRPr="00236418">
        <w:t xml:space="preserve"> CHF (contre 1</w:t>
      </w:r>
      <w:r w:rsidR="00C95CAD" w:rsidRPr="00236418">
        <w:t>84</w:t>
      </w:r>
      <w:r w:rsidR="00F07330" w:rsidRPr="00236418">
        <w:t>,</w:t>
      </w:r>
      <w:r w:rsidR="00C95CAD" w:rsidRPr="00236418">
        <w:t>365</w:t>
      </w:r>
      <w:r w:rsidR="00DF6159" w:rsidRPr="00236418">
        <w:t> </w:t>
      </w:r>
      <w:r w:rsidR="00F07330" w:rsidRPr="00236418">
        <w:t>millions</w:t>
      </w:r>
      <w:r w:rsidR="00DF6159" w:rsidRPr="00236418">
        <w:t xml:space="preserve"> CHF en 201</w:t>
      </w:r>
      <w:r w:rsidR="00C95CAD" w:rsidRPr="00236418">
        <w:t>8</w:t>
      </w:r>
      <w:r w:rsidR="00DF6159" w:rsidRPr="00236418">
        <w:t>), comme indiqué ci-après:</w:t>
      </w:r>
    </w:p>
    <w:p w14:paraId="20A41B75" w14:textId="77777777" w:rsidR="00D00A1F" w:rsidRPr="00236418" w:rsidRDefault="00D00A1F" w:rsidP="00D00A1F">
      <w:pPr>
        <w:spacing w:after="240"/>
        <w:jc w:val="center"/>
      </w:pPr>
      <w:r w:rsidRPr="00236418">
        <w:rPr>
          <w:noProof/>
          <w:lang w:val="en-US"/>
        </w:rPr>
        <mc:AlternateContent>
          <mc:Choice Requires="wps">
            <w:drawing>
              <wp:anchor distT="45720" distB="45720" distL="114300" distR="114300" simplePos="0" relativeHeight="251727872" behindDoc="0" locked="0" layoutInCell="1" allowOverlap="1" wp14:anchorId="52BE0B0E" wp14:editId="0A45BA0C">
                <wp:simplePos x="0" y="0"/>
                <wp:positionH relativeFrom="margin">
                  <wp:posOffset>215026</wp:posOffset>
                </wp:positionH>
                <wp:positionV relativeFrom="paragraph">
                  <wp:posOffset>151334</wp:posOffset>
                </wp:positionV>
                <wp:extent cx="619760" cy="185166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851660"/>
                        </a:xfrm>
                        <a:prstGeom prst="rect">
                          <a:avLst/>
                        </a:prstGeom>
                        <a:solidFill>
                          <a:srgbClr val="FFFFFF"/>
                        </a:solidFill>
                        <a:ln w="9525">
                          <a:noFill/>
                          <a:miter lim="800000"/>
                          <a:headEnd/>
                          <a:tailEnd/>
                        </a:ln>
                      </wps:spPr>
                      <wps:txbx>
                        <w:txbxContent>
                          <w:p w14:paraId="76CDF4B0" w14:textId="77777777" w:rsidR="00596807" w:rsidRPr="00071A93" w:rsidRDefault="00596807" w:rsidP="00D00A1F">
                            <w:pPr>
                              <w:spacing w:before="0"/>
                              <w:jc w:val="right"/>
                              <w:rPr>
                                <w:sz w:val="18"/>
                                <w:szCs w:val="18"/>
                              </w:rPr>
                            </w:pPr>
                            <w:r w:rsidRPr="00071A93">
                              <w:rPr>
                                <w:sz w:val="18"/>
                                <w:szCs w:val="18"/>
                              </w:rPr>
                              <w:t>250,000</w:t>
                            </w:r>
                          </w:p>
                          <w:p w14:paraId="5630EF9C" w14:textId="77777777" w:rsidR="00596807" w:rsidRPr="00071A93" w:rsidRDefault="00596807" w:rsidP="00D00A1F">
                            <w:pPr>
                              <w:spacing w:before="360"/>
                              <w:jc w:val="right"/>
                              <w:rPr>
                                <w:sz w:val="18"/>
                                <w:szCs w:val="18"/>
                              </w:rPr>
                            </w:pPr>
                            <w:r w:rsidRPr="00071A93">
                              <w:rPr>
                                <w:sz w:val="18"/>
                                <w:szCs w:val="18"/>
                              </w:rPr>
                              <w:t>200,000</w:t>
                            </w:r>
                          </w:p>
                          <w:p w14:paraId="2E650E43" w14:textId="77777777" w:rsidR="00596807" w:rsidRPr="00071A93" w:rsidRDefault="00596807" w:rsidP="00D00A1F">
                            <w:pPr>
                              <w:spacing w:before="240"/>
                              <w:jc w:val="right"/>
                              <w:rPr>
                                <w:sz w:val="18"/>
                                <w:szCs w:val="18"/>
                              </w:rPr>
                            </w:pPr>
                            <w:r w:rsidRPr="00071A93">
                              <w:rPr>
                                <w:sz w:val="18"/>
                                <w:szCs w:val="18"/>
                              </w:rPr>
                              <w:t>150,000</w:t>
                            </w:r>
                          </w:p>
                          <w:p w14:paraId="75E0EAF7" w14:textId="77777777" w:rsidR="00596807" w:rsidRPr="00071A93" w:rsidRDefault="00596807" w:rsidP="00D00A1F">
                            <w:pPr>
                              <w:spacing w:before="360"/>
                              <w:jc w:val="right"/>
                              <w:rPr>
                                <w:sz w:val="18"/>
                                <w:szCs w:val="18"/>
                              </w:rPr>
                            </w:pPr>
                            <w:r w:rsidRPr="00071A93">
                              <w:rPr>
                                <w:sz w:val="18"/>
                                <w:szCs w:val="18"/>
                              </w:rPr>
                              <w:t>100,000</w:t>
                            </w:r>
                          </w:p>
                          <w:p w14:paraId="50A302A3" w14:textId="77777777" w:rsidR="00596807" w:rsidRPr="00071A93" w:rsidRDefault="00596807" w:rsidP="00D00A1F">
                            <w:pPr>
                              <w:spacing w:before="240"/>
                              <w:jc w:val="right"/>
                              <w:rPr>
                                <w:sz w:val="18"/>
                                <w:szCs w:val="18"/>
                              </w:rPr>
                            </w:pPr>
                            <w:r w:rsidRPr="00071A93">
                              <w:rPr>
                                <w:sz w:val="18"/>
                                <w:szCs w:val="18"/>
                              </w:rPr>
                              <w:t>50,000</w:t>
                            </w:r>
                          </w:p>
                          <w:p w14:paraId="18A8F944" w14:textId="77777777" w:rsidR="00596807" w:rsidRDefault="00596807" w:rsidP="00D00A1F">
                            <w:pPr>
                              <w:spacing w:before="240"/>
                              <w:jc w:val="right"/>
                            </w:pPr>
                            <w:r w:rsidRPr="00071A93">
                              <w:rPr>
                                <w:sz w:val="18"/>
                                <w:szCs w:val="1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E0B0E" id="_x0000_s1039" type="#_x0000_t202" style="position:absolute;left:0;text-align:left;margin-left:16.95pt;margin-top:11.9pt;width:48.8pt;height:145.8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vEAIAAP4DAAAOAAAAZHJzL2Uyb0RvYy54bWysU9uO2yAQfa/Uf0C8N47TJJtYcVbbbFNV&#10;2l6kbT8AA45RMUOBxE6/fgfszabtW1UeEMPMHGbOHDa3favJSTqvwJQ0n0wpkYaDUOZQ0u/f9m9W&#10;lPjAjGAajCzpWXp6u339atPZQs6gAS2kIwhifNHZkjYh2CLLPG9ky/wErDTorMG1LKDpDplwrEP0&#10;Vmez6XSZdeCEdcCl93h7PzjpNuHXteThS117GYguKdYW0u7SXsU9225YcXDMNoqPZbB/qKJlyuCj&#10;F6h7Fhg5OvUXVKu4Aw91mHBoM6hrxWXqAbvJp39089gwK1MvSI63F5r8/4Pln0+P9qsjoX8HPQ4w&#10;NeHtA/AfnhjYNcwc5J1z0DWSCXw4j5RlnfXFmBqp9oWPIFX3CQQOmR0DJKC+dm1kBfskiI4DOF9I&#10;l30gHC+X+fpmiR6Orny1yJdoxCdY8ZxtnQ8fJLQkHkrqcKgJnZ0efBhCn0PiYx60EnuldTLcodpp&#10;R04MBbBPa0T/LUwb0pV0vZgtErKBmJ+00aqAAtWqLelqGtcgmcjGeyNSSGBKD2csWpuRnsjIwE3o&#10;q54oge29jcmRrgrEGQlzMAgSPxAeGnC/KOlQjCX1P4/MSUr0R4Okr/P5PKo3GfPFzQwNd+2prj3M&#10;cIQqaaBkOO5CUnziw97hcPYq8fZSyVgziiwxP36IqOJrO0W9fNvtEwAAAP//AwBQSwMEFAAGAAgA&#10;AAAhAKFQhAndAAAACQEAAA8AAABkcnMvZG93bnJldi54bWxMj8tOwzAQRfdI/IM1SOyok4YgCHGq&#10;iooNCyQKEizdeBJH+CXbTcPfM13BcnSu7pzbbhZr2IwxTd4JKFcFMHS9V5MbBXy8P9/cA0tZOiWN&#10;dyjgBxNsusuLVjbKn9wbzvs8MipxqZECdM6h4Tz1Gq1MKx/QERt8tDLTGUeuojxRuTV8XRR33MrJ&#10;0QctAz5p7L/3Ryvg0+pJ7eLr16DMvHsZtnVYYhDi+mrZPgLLuOS/MJz1SR06cjr4o1OJGQFV9UBJ&#10;AeuKFpx5VdbADgTK+hZ41/L/C7pfAAAA//8DAFBLAQItABQABgAIAAAAIQC2gziS/gAAAOEBAAAT&#10;AAAAAAAAAAAAAAAAAAAAAABbQ29udGVudF9UeXBlc10ueG1sUEsBAi0AFAAGAAgAAAAhADj9If/W&#10;AAAAlAEAAAsAAAAAAAAAAAAAAAAALwEAAF9yZWxzLy5yZWxzUEsBAi0AFAAGAAgAAAAhAL4vR28Q&#10;AgAA/gMAAA4AAAAAAAAAAAAAAAAALgIAAGRycy9lMm9Eb2MueG1sUEsBAi0AFAAGAAgAAAAhAKFQ&#10;hAndAAAACQEAAA8AAAAAAAAAAAAAAAAAagQAAGRycy9kb3ducmV2LnhtbFBLBQYAAAAABAAEAPMA&#10;AAB0BQAAAAA=&#10;" stroked="f">
                <v:textbox style="mso-fit-shape-to-text:t">
                  <w:txbxContent>
                    <w:p w14:paraId="76CDF4B0" w14:textId="77777777" w:rsidR="00596807" w:rsidRPr="00071A93" w:rsidRDefault="00596807" w:rsidP="00D00A1F">
                      <w:pPr>
                        <w:spacing w:before="0"/>
                        <w:jc w:val="right"/>
                        <w:rPr>
                          <w:sz w:val="18"/>
                          <w:szCs w:val="18"/>
                        </w:rPr>
                      </w:pPr>
                      <w:r w:rsidRPr="00071A93">
                        <w:rPr>
                          <w:sz w:val="18"/>
                          <w:szCs w:val="18"/>
                        </w:rPr>
                        <w:t>250,000</w:t>
                      </w:r>
                    </w:p>
                    <w:p w14:paraId="5630EF9C" w14:textId="77777777" w:rsidR="00596807" w:rsidRPr="00071A93" w:rsidRDefault="00596807" w:rsidP="00D00A1F">
                      <w:pPr>
                        <w:spacing w:before="360"/>
                        <w:jc w:val="right"/>
                        <w:rPr>
                          <w:sz w:val="18"/>
                          <w:szCs w:val="18"/>
                        </w:rPr>
                      </w:pPr>
                      <w:r w:rsidRPr="00071A93">
                        <w:rPr>
                          <w:sz w:val="18"/>
                          <w:szCs w:val="18"/>
                        </w:rPr>
                        <w:t>200,000</w:t>
                      </w:r>
                    </w:p>
                    <w:p w14:paraId="2E650E43" w14:textId="77777777" w:rsidR="00596807" w:rsidRPr="00071A93" w:rsidRDefault="00596807" w:rsidP="00D00A1F">
                      <w:pPr>
                        <w:spacing w:before="240"/>
                        <w:jc w:val="right"/>
                        <w:rPr>
                          <w:sz w:val="18"/>
                          <w:szCs w:val="18"/>
                        </w:rPr>
                      </w:pPr>
                      <w:r w:rsidRPr="00071A93">
                        <w:rPr>
                          <w:sz w:val="18"/>
                          <w:szCs w:val="18"/>
                        </w:rPr>
                        <w:t>150,000</w:t>
                      </w:r>
                    </w:p>
                    <w:p w14:paraId="75E0EAF7" w14:textId="77777777" w:rsidR="00596807" w:rsidRPr="00071A93" w:rsidRDefault="00596807" w:rsidP="00D00A1F">
                      <w:pPr>
                        <w:spacing w:before="360"/>
                        <w:jc w:val="right"/>
                        <w:rPr>
                          <w:sz w:val="18"/>
                          <w:szCs w:val="18"/>
                        </w:rPr>
                      </w:pPr>
                      <w:r w:rsidRPr="00071A93">
                        <w:rPr>
                          <w:sz w:val="18"/>
                          <w:szCs w:val="18"/>
                        </w:rPr>
                        <w:t>100,000</w:t>
                      </w:r>
                    </w:p>
                    <w:p w14:paraId="50A302A3" w14:textId="77777777" w:rsidR="00596807" w:rsidRPr="00071A93" w:rsidRDefault="00596807" w:rsidP="00D00A1F">
                      <w:pPr>
                        <w:spacing w:before="240"/>
                        <w:jc w:val="right"/>
                        <w:rPr>
                          <w:sz w:val="18"/>
                          <w:szCs w:val="18"/>
                        </w:rPr>
                      </w:pPr>
                      <w:r w:rsidRPr="00071A93">
                        <w:rPr>
                          <w:sz w:val="18"/>
                          <w:szCs w:val="18"/>
                        </w:rPr>
                        <w:t>50,000</w:t>
                      </w:r>
                    </w:p>
                    <w:p w14:paraId="18A8F944" w14:textId="77777777" w:rsidR="00596807" w:rsidRDefault="00596807" w:rsidP="00D00A1F">
                      <w:pPr>
                        <w:spacing w:before="240"/>
                        <w:jc w:val="right"/>
                      </w:pPr>
                      <w:r w:rsidRPr="00071A93">
                        <w:rPr>
                          <w:sz w:val="18"/>
                          <w:szCs w:val="18"/>
                        </w:rPr>
                        <w:t>0</w:t>
                      </w:r>
                    </w:p>
                  </w:txbxContent>
                </v:textbox>
                <w10:wrap anchorx="margin"/>
              </v:shape>
            </w:pict>
          </mc:Fallback>
        </mc:AlternateContent>
      </w:r>
      <w:r w:rsidRPr="00236418">
        <w:rPr>
          <w:noProof/>
          <w:lang w:val="en-US"/>
        </w:rPr>
        <mc:AlternateContent>
          <mc:Choice Requires="wps">
            <w:drawing>
              <wp:anchor distT="45720" distB="45720" distL="114300" distR="114300" simplePos="0" relativeHeight="251718656" behindDoc="0" locked="0" layoutInCell="1" allowOverlap="1" wp14:anchorId="21B1E4D7" wp14:editId="40A4DAB5">
                <wp:simplePos x="0" y="0"/>
                <wp:positionH relativeFrom="column">
                  <wp:posOffset>374015</wp:posOffset>
                </wp:positionH>
                <wp:positionV relativeFrom="paragraph">
                  <wp:posOffset>2320673</wp:posOffset>
                </wp:positionV>
                <wp:extent cx="994867" cy="182880"/>
                <wp:effectExtent l="253365" t="0" r="23050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256F5536" w14:textId="77777777" w:rsidR="00596807" w:rsidRPr="00845244" w:rsidRDefault="00596807" w:rsidP="00D00A1F">
                            <w:pPr>
                              <w:spacing w:before="0"/>
                              <w:jc w:val="center"/>
                              <w:rPr>
                                <w:sz w:val="16"/>
                                <w:szCs w:val="16"/>
                                <w:lang w:val="fr-CH"/>
                              </w:rPr>
                            </w:pPr>
                            <w:r>
                              <w:rPr>
                                <w:sz w:val="16"/>
                                <w:szCs w:val="16"/>
                                <w:lang w:val="fr-CH"/>
                              </w:rPr>
                              <w:t>Charges de 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1E4D7" id="_x0000_s1040" type="#_x0000_t202" style="position:absolute;left:0;text-align:left;margin-left:29.45pt;margin-top:182.75pt;width:78.35pt;height:14.4pt;rotation:-3041115fd;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gAEwIAAPwDAAAOAAAAZHJzL2Uyb0RvYy54bWysU9uO2yAQfa/Uf0C8N46jTeK14qy22aaq&#10;tN1W2vYDMMYxKmboQGJvv74DuVXbt6o8oAGGw5wzh9Xd2Bt2UOg12IrnkylnykpotN1V/Pu37buC&#10;Mx+EbYQBqyr+ojy/W799sxpcqWbQgWkUMgKxvhxcxbsQXJllXnaqF34CTlk6bAF7EWiJu6xBMRB6&#10;b7LZdLrIBsDGIUjlPe0+HA/5OuG3rZLhS9t6FZipONUW0oxpruOcrVei3KFwnZanMsQ/VNELbenR&#10;C9SDCILtUf8F1WuJ4KENEwl9Bm2rpUociE0+fcXmuRNOJS4kjncXmfz/g5VPh2f3FVkY38NIDUwk&#10;vHsE+cMzC5tO2J26R4ShU6Khh/MoWTY4X56uRql96SNIPXyGhpos9gES0NhizxBI9bwo8vlyuUjb&#10;RJvRY9SPl0sP1BiYpM3b25tiseRM0lFezIoi9SgTZcSKCjv04aOCnsWg4kgtTqDi8OhDrO2aEtM9&#10;GN1stTFpgbt6Y5AdBNlhm0ai8yrNWDZQJfPZPCFbiPeTU3odyK5G9xUvpnEcDRS1+WCblBKENseY&#10;KjH2JFbU56hUGOuR6YbY3cTLUbwamheSLwlFotB3ImId4C/OBrJmxf3PvUDFmflkqQXRx+cAz0F9&#10;DoSVdLXigbNjuAnJ75G/hXtqTauTTteXTzWSxZJ8p+8QPfznOmVdP+36NwAAAP//AwBQSwMEFAAG&#10;AAgAAAAhAG9XuvfgAAAACwEAAA8AAABkcnMvZG93bnJldi54bWxMj0FPhDAQhe8m/odmTLy5BZR1&#10;RcrGaEx0Ew+gB71121kg0ilpu4D/3u5Jjy/z5b1vyu1iBjah870lAekqAYakrO6pFfDx/ny1AeaD&#10;JC0HSyjgBz1sq/OzUhbazlTj1ISWxRLyhRTQhTAWnHvVoZF+ZUekeDtYZ2SI0bVcOznHcjPwLEnW&#10;3Mie4kInR3zsUH03RxNHvlS9+3zamVdXv61f5mZqlDoIcXmxPNwDC7iEPxhO+lEdqui0t0fSng0x&#10;Z9ldRAVcJ2kO7ETk6S2wvYCbfJMBr0r+/4fqFwAA//8DAFBLAQItABQABgAIAAAAIQC2gziS/gAA&#10;AOEBAAATAAAAAAAAAAAAAAAAAAAAAABbQ29udGVudF9UeXBlc10ueG1sUEsBAi0AFAAGAAgAAAAh&#10;ADj9If/WAAAAlAEAAAsAAAAAAAAAAAAAAAAALwEAAF9yZWxzLy5yZWxzUEsBAi0AFAAGAAgAAAAh&#10;AKNtiAATAgAA/AMAAA4AAAAAAAAAAAAAAAAALgIAAGRycy9lMm9Eb2MueG1sUEsBAi0AFAAGAAgA&#10;AAAhAG9XuvfgAAAACwEAAA8AAAAAAAAAAAAAAAAAbQQAAGRycy9kb3ducmV2LnhtbFBLBQYAAAAA&#10;BAAEAPMAAAB6BQAAAAA=&#10;" stroked="f">
                <v:textbox inset="0,0,0,0">
                  <w:txbxContent>
                    <w:p w14:paraId="256F5536" w14:textId="77777777" w:rsidR="00596807" w:rsidRPr="00845244" w:rsidRDefault="00596807" w:rsidP="00D00A1F">
                      <w:pPr>
                        <w:spacing w:before="0"/>
                        <w:jc w:val="center"/>
                        <w:rPr>
                          <w:sz w:val="16"/>
                          <w:szCs w:val="16"/>
                          <w:lang w:val="fr-CH"/>
                        </w:rPr>
                      </w:pPr>
                      <w:r>
                        <w:rPr>
                          <w:sz w:val="16"/>
                          <w:szCs w:val="16"/>
                          <w:lang w:val="fr-CH"/>
                        </w:rPr>
                        <w:t>Charges de personnel</w:t>
                      </w:r>
                    </w:p>
                  </w:txbxContent>
                </v:textbox>
              </v:shape>
            </w:pict>
          </mc:Fallback>
        </mc:AlternateContent>
      </w:r>
      <w:r w:rsidRPr="00236418">
        <w:rPr>
          <w:noProof/>
          <w:lang w:val="en-US"/>
        </w:rPr>
        <mc:AlternateContent>
          <mc:Choice Requires="wps">
            <w:drawing>
              <wp:anchor distT="45720" distB="45720" distL="114300" distR="114300" simplePos="0" relativeHeight="251719680" behindDoc="0" locked="0" layoutInCell="1" allowOverlap="1" wp14:anchorId="0F6719FD" wp14:editId="015CB649">
                <wp:simplePos x="0" y="0"/>
                <wp:positionH relativeFrom="column">
                  <wp:posOffset>882016</wp:posOffset>
                </wp:positionH>
                <wp:positionV relativeFrom="paragraph">
                  <wp:posOffset>2315845</wp:posOffset>
                </wp:positionV>
                <wp:extent cx="994867" cy="182880"/>
                <wp:effectExtent l="253365" t="0" r="230505"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3B24B23D" w14:textId="77777777" w:rsidR="00596807" w:rsidRPr="00845244" w:rsidRDefault="00596807" w:rsidP="00D00A1F">
                            <w:pPr>
                              <w:spacing w:before="0"/>
                              <w:jc w:val="center"/>
                              <w:rPr>
                                <w:sz w:val="16"/>
                                <w:szCs w:val="16"/>
                                <w:lang w:val="fr-CH"/>
                              </w:rPr>
                            </w:pPr>
                            <w:r>
                              <w:rPr>
                                <w:sz w:val="16"/>
                                <w:szCs w:val="16"/>
                                <w:lang w:val="fr-CH"/>
                              </w:rPr>
                              <w:t>Frais de 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719FD" id="_x0000_s1041" type="#_x0000_t202" style="position:absolute;left:0;text-align:left;margin-left:69.45pt;margin-top:182.35pt;width:78.35pt;height:14.4pt;rotation:-3041115fd;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8RuHi9H8WpojiRfEopEoe9ExDrAX5wNZM2K+597gYoz89FSC6KPLwFegvoS&#10;CCvpasUDZ6dwE5LfI38LD9SaViedbi+faySLJfnO3yF6+M91yrp92vVvAAAA//8DAFBLAwQUAAYA&#10;CAAAACEATyRw6uEAAAALAQAADwAAAGRycy9kb3ducmV2LnhtbEyPwU7DMAyG70i8Q2QkbixZNzYo&#10;TScEQoJJHFo4wC1Lsraicaoka8vbY05ws+VP//+52M2uZ6MNsfMoYbkQwCxqbzpsJLy/PV3dAItJ&#10;oVG9Ryvh20bYlednhcqNn7CyY50aRiEYcyWhTWnIOY+6tU7FhR8s0u3og1OJ1tBwE9RE4a7nmRAb&#10;7lSH1NCqwT60Vn/VJ0cln7rafzzu3UuoXjfPUz3WWh+lvLyY7++AJTunPxh+9UkdSnI6+BOayHoJ&#10;mchuCZWwEmILjIhstaThIGF9vV0DLwv+/4fyBwAA//8DAFBLAQItABQABgAIAAAAIQC2gziS/gAA&#10;AOEBAAATAAAAAAAAAAAAAAAAAAAAAABbQ29udGVudF9UeXBlc10ueG1sUEsBAi0AFAAGAAgAAAAh&#10;ADj9If/WAAAAlAEAAAsAAAAAAAAAAAAAAAAALwEAAF9yZWxzLy5yZWxzUEsBAi0AFAAGAAgAAAAh&#10;AN/7ON8SAgAA/AMAAA4AAAAAAAAAAAAAAAAALgIAAGRycy9lMm9Eb2MueG1sUEsBAi0AFAAGAAgA&#10;AAAhAE8kcOrhAAAACwEAAA8AAAAAAAAAAAAAAAAAbAQAAGRycy9kb3ducmV2LnhtbFBLBQYAAAAA&#10;BAAEAPMAAAB6BQAAAAA=&#10;" stroked="f">
                <v:textbox inset="0,0,0,0">
                  <w:txbxContent>
                    <w:p w14:paraId="3B24B23D" w14:textId="77777777" w:rsidR="00596807" w:rsidRPr="00845244" w:rsidRDefault="00596807" w:rsidP="00D00A1F">
                      <w:pPr>
                        <w:spacing w:before="0"/>
                        <w:jc w:val="center"/>
                        <w:rPr>
                          <w:sz w:val="16"/>
                          <w:szCs w:val="16"/>
                          <w:lang w:val="fr-CH"/>
                        </w:rPr>
                      </w:pPr>
                      <w:r>
                        <w:rPr>
                          <w:sz w:val="16"/>
                          <w:szCs w:val="16"/>
                          <w:lang w:val="fr-CH"/>
                        </w:rPr>
                        <w:t>Frais de mission</w:t>
                      </w:r>
                    </w:p>
                  </w:txbxContent>
                </v:textbox>
              </v:shape>
            </w:pict>
          </mc:Fallback>
        </mc:AlternateContent>
      </w:r>
      <w:r w:rsidRPr="00236418">
        <w:rPr>
          <w:noProof/>
          <w:lang w:val="en-US"/>
        </w:rPr>
        <mc:AlternateContent>
          <mc:Choice Requires="wps">
            <w:drawing>
              <wp:anchor distT="45720" distB="45720" distL="114300" distR="114300" simplePos="0" relativeHeight="251720704" behindDoc="0" locked="0" layoutInCell="1" allowOverlap="1" wp14:anchorId="5CC9CAE9" wp14:editId="447A35EC">
                <wp:simplePos x="0" y="0"/>
                <wp:positionH relativeFrom="column">
                  <wp:posOffset>1439909</wp:posOffset>
                </wp:positionH>
                <wp:positionV relativeFrom="paragraph">
                  <wp:posOffset>2359660</wp:posOffset>
                </wp:positionV>
                <wp:extent cx="994867" cy="182880"/>
                <wp:effectExtent l="253365" t="0" r="230505"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09D69BCA" w14:textId="77777777" w:rsidR="00596807" w:rsidRPr="00845244" w:rsidRDefault="00596807" w:rsidP="00D00A1F">
                            <w:pPr>
                              <w:spacing w:before="0"/>
                              <w:jc w:val="center"/>
                              <w:rPr>
                                <w:sz w:val="16"/>
                                <w:szCs w:val="16"/>
                                <w:lang w:val="fr-CH"/>
                              </w:rPr>
                            </w:pPr>
                            <w:r>
                              <w:rPr>
                                <w:sz w:val="16"/>
                                <w:szCs w:val="16"/>
                                <w:lang w:val="fr-CH"/>
                              </w:rPr>
                              <w:t>Services contractuels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CAE9" id="_x0000_s1042" type="#_x0000_t202" style="position:absolute;left:0;text-align:left;margin-left:113.4pt;margin-top:185.8pt;width:78.35pt;height:14.4pt;rotation:-3041115fd;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hk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8RuES9H8WpojiRfEopEoe9ExDrAX5wNZM2K+597gYoz89FSC6KPLwFegvoS&#10;CCvpasUDZ6dwE5LfI38LD9SaViedbi+faySLJfnO3yF6+M91yrp92vVvAAAA//8DAFBLAwQUAAYA&#10;CAAAACEARJ1qneIAAAALAQAADwAAAGRycy9kb3ducmV2LnhtbEyPwU7DMBBE70j8g7VI3Kjdpgo0&#10;xKkQCAkq9ZDQQ7m5zjaJiO3IdpPw9ywnuM1qRjNv8+1sejaiD52zEpYLAQytdnVnGwmHj9e7B2Ah&#10;Klur3lmU8I0BtsX1Va6y2k22xLGKDaMSGzIloY1xyDgPukWjwsINaMk7O29UpNM3vPZqonLT85UQ&#10;KTeqs7TQqgGfW9Rf1cXQyKcud8eXnXn35T59m6qx0vos5e3N/PQILOIc/8Lwi0/oUBDTyV1sHVgv&#10;YbURhB4lJOI+BUaJZLkhcZKwTtcJ8CLn/38ofgAAAP//AwBQSwECLQAUAAYACAAAACEAtoM4kv4A&#10;AADhAQAAEwAAAAAAAAAAAAAAAAAAAAAAW0NvbnRlbnRfVHlwZXNdLnhtbFBLAQItABQABgAIAAAA&#10;IQA4/SH/1gAAAJQBAAALAAAAAAAAAAAAAAAAAC8BAABfcmVscy8ucmVsc1BLAQItABQABgAIAAAA&#10;IQAaR5hkEgIAAPwDAAAOAAAAAAAAAAAAAAAAAC4CAABkcnMvZTJvRG9jLnhtbFBLAQItABQABgAI&#10;AAAAIQBEnWqd4gAAAAsBAAAPAAAAAAAAAAAAAAAAAGwEAABkcnMvZG93bnJldi54bWxQSwUGAAAA&#10;AAQABADzAAAAewUAAAAA&#10;" stroked="f">
                <v:textbox inset="0,0,0,0">
                  <w:txbxContent>
                    <w:p w14:paraId="09D69BCA" w14:textId="77777777" w:rsidR="00596807" w:rsidRPr="00845244" w:rsidRDefault="00596807" w:rsidP="00D00A1F">
                      <w:pPr>
                        <w:spacing w:before="0"/>
                        <w:jc w:val="center"/>
                        <w:rPr>
                          <w:sz w:val="16"/>
                          <w:szCs w:val="16"/>
                          <w:lang w:val="fr-CH"/>
                        </w:rPr>
                      </w:pPr>
                      <w:r>
                        <w:rPr>
                          <w:sz w:val="16"/>
                          <w:szCs w:val="16"/>
                          <w:lang w:val="fr-CH"/>
                        </w:rPr>
                        <w:t>Services contractuels</w:t>
                      </w:r>
                    </w:p>
                  </w:txbxContent>
                </v:textbox>
              </v:shape>
            </w:pict>
          </mc:Fallback>
        </mc:AlternateContent>
      </w:r>
      <w:r w:rsidRPr="00236418">
        <w:rPr>
          <w:noProof/>
          <w:lang w:val="en-US"/>
        </w:rPr>
        <mc:AlternateContent>
          <mc:Choice Requires="wps">
            <w:drawing>
              <wp:anchor distT="45720" distB="45720" distL="114300" distR="114300" simplePos="0" relativeHeight="251721728" behindDoc="0" locked="0" layoutInCell="1" allowOverlap="1" wp14:anchorId="1F73658B" wp14:editId="290B51ED">
                <wp:simplePos x="0" y="0"/>
                <wp:positionH relativeFrom="column">
                  <wp:posOffset>950911</wp:posOffset>
                </wp:positionH>
                <wp:positionV relativeFrom="paragraph">
                  <wp:posOffset>2727948</wp:posOffset>
                </wp:positionV>
                <wp:extent cx="2215649" cy="182880"/>
                <wp:effectExtent l="711518" t="0" r="667702"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2215649" cy="182880"/>
                        </a:xfrm>
                        <a:prstGeom prst="rect">
                          <a:avLst/>
                        </a:prstGeom>
                        <a:solidFill>
                          <a:srgbClr val="FFFFFF"/>
                        </a:solidFill>
                        <a:ln w="9525">
                          <a:noFill/>
                          <a:miter lim="800000"/>
                          <a:headEnd/>
                          <a:tailEnd/>
                        </a:ln>
                      </wps:spPr>
                      <wps:txbx>
                        <w:txbxContent>
                          <w:p w14:paraId="09234EC1" w14:textId="77777777" w:rsidR="00596807" w:rsidRPr="00845244" w:rsidRDefault="00596807" w:rsidP="00D00A1F">
                            <w:pPr>
                              <w:spacing w:before="0"/>
                              <w:jc w:val="center"/>
                              <w:rPr>
                                <w:sz w:val="16"/>
                                <w:szCs w:val="16"/>
                                <w:lang w:val="fr-CH"/>
                              </w:rPr>
                            </w:pPr>
                            <w:r>
                              <w:rPr>
                                <w:sz w:val="16"/>
                                <w:szCs w:val="16"/>
                                <w:lang w:val="fr-CH"/>
                              </w:rPr>
                              <w:t>Location et entretien des locaux et équipements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3658B" id="_x0000_s1043" type="#_x0000_t202" style="position:absolute;left:0;text-align:left;margin-left:74.85pt;margin-top:214.8pt;width:174.45pt;height:14.4pt;rotation:-3041115fd;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1EwIAAP0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mezfL54e8eZpLO8mBVFalImyggWJXbowwcFPYtBxZF6nFDF4cmHWNwtJaZ7&#10;MLrZamPSAnf1xiA7CPLDNo3E50WasWyo+N18Nk/IFuL9ZJVeB/Kr0X3Fi2kcJwdFcd7bJqUEoc0p&#10;pkqMPasVBTpJFcZ6ZLohdst4OapXQ3Mk/ZJSpAr9JyLWAf7ibCBvVtz/3AtUnJmPlnoQjXwJ8BLU&#10;l0BYSVcrHjg7hZuQDB/5W3ig3rQ66XR7+VwjeSzJd/4P0cR/rlPW7deufwMAAP//AwBQSwMEFAAG&#10;AAgAAAAhAGHshO3iAAAACwEAAA8AAABkcnMvZG93bnJldi54bWxMjzFPwzAUhHck/oP1kNio0was&#10;NMSpEAgJKnVIYIDNtV+TiNiOYjcJ/57HBOPpTnffFbvF9mzCMXTeSVivEmDotDedayS8vz3fZMBC&#10;VM6o3juU8I0BduXlRaFy42dX4VTHhlGJC7mS0MY45JwH3aJVYeUHdOSd/GhVJDk23IxqpnLb802S&#10;CG5V52ihVQM+tqi/6rOlkU9d7T+e9vZ1rA7iZa6nWuuTlNdXy8M9sIhL/AvDLz6hQ0lMR392JrBe&#10;QppsCT1K2IjtHTBKpGkmgB0liHV2C7ws+P8P5Q8AAAD//wMAUEsBAi0AFAAGAAgAAAAhALaDOJL+&#10;AAAA4QEAABMAAAAAAAAAAAAAAAAAAAAAAFtDb250ZW50X1R5cGVzXS54bWxQSwECLQAUAAYACAAA&#10;ACEAOP0h/9YAAACUAQAACwAAAAAAAAAAAAAAAAAvAQAAX3JlbHMvLnJlbHNQSwECLQAUAAYACAAA&#10;ACEAt+v5NRMCAAD9AwAADgAAAAAAAAAAAAAAAAAuAgAAZHJzL2Uyb0RvYy54bWxQSwECLQAUAAYA&#10;CAAAACEAYeyE7eIAAAALAQAADwAAAAAAAAAAAAAAAABtBAAAZHJzL2Rvd25yZXYueG1sUEsFBgAA&#10;AAAEAAQA8wAAAHwFAAAAAA==&#10;" stroked="f">
                <v:textbox inset="0,0,0,0">
                  <w:txbxContent>
                    <w:p w14:paraId="09234EC1" w14:textId="77777777" w:rsidR="00596807" w:rsidRPr="00845244" w:rsidRDefault="00596807" w:rsidP="00D00A1F">
                      <w:pPr>
                        <w:spacing w:before="0"/>
                        <w:jc w:val="center"/>
                        <w:rPr>
                          <w:sz w:val="16"/>
                          <w:szCs w:val="16"/>
                          <w:lang w:val="fr-CH"/>
                        </w:rPr>
                      </w:pPr>
                      <w:r>
                        <w:rPr>
                          <w:sz w:val="16"/>
                          <w:szCs w:val="16"/>
                          <w:lang w:val="fr-CH"/>
                        </w:rPr>
                        <w:t>Location et entretien des locaux et équipements</w:t>
                      </w:r>
                    </w:p>
                  </w:txbxContent>
                </v:textbox>
              </v:shape>
            </w:pict>
          </mc:Fallback>
        </mc:AlternateContent>
      </w:r>
      <w:r w:rsidRPr="00236418">
        <w:rPr>
          <w:noProof/>
          <w:lang w:val="en-US"/>
        </w:rPr>
        <mc:AlternateContent>
          <mc:Choice Requires="wps">
            <w:drawing>
              <wp:anchor distT="45720" distB="45720" distL="114300" distR="114300" simplePos="0" relativeHeight="251722752" behindDoc="0" locked="0" layoutInCell="1" allowOverlap="1" wp14:anchorId="3252AF11" wp14:editId="2912DAF8">
                <wp:simplePos x="0" y="0"/>
                <wp:positionH relativeFrom="column">
                  <wp:posOffset>2215198</wp:posOffset>
                </wp:positionH>
                <wp:positionV relativeFrom="paragraph">
                  <wp:posOffset>2426272</wp:posOffset>
                </wp:positionV>
                <wp:extent cx="1285875" cy="184561"/>
                <wp:effectExtent l="436563" t="0" r="350837"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285875" cy="184561"/>
                        </a:xfrm>
                        <a:prstGeom prst="rect">
                          <a:avLst/>
                        </a:prstGeom>
                        <a:solidFill>
                          <a:srgbClr val="FFFFFF"/>
                        </a:solidFill>
                        <a:ln w="9525">
                          <a:noFill/>
                          <a:miter lim="800000"/>
                          <a:headEnd/>
                          <a:tailEnd/>
                        </a:ln>
                      </wps:spPr>
                      <wps:txbx>
                        <w:txbxContent>
                          <w:p w14:paraId="2A9108B3" w14:textId="77777777" w:rsidR="00596807" w:rsidRPr="00845244" w:rsidRDefault="00596807" w:rsidP="00D00A1F">
                            <w:pPr>
                              <w:spacing w:before="0"/>
                              <w:jc w:val="center"/>
                              <w:rPr>
                                <w:sz w:val="16"/>
                                <w:szCs w:val="16"/>
                                <w:lang w:val="fr-CH"/>
                              </w:rPr>
                            </w:pPr>
                            <w:r>
                              <w:rPr>
                                <w:sz w:val="16"/>
                                <w:szCs w:val="16"/>
                                <w:lang w:val="fr-CH"/>
                              </w:rPr>
                              <w:t>Équipements et fournitures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2AF11" id="_x0000_s1044" type="#_x0000_t202" style="position:absolute;left:0;text-align:left;margin-left:174.45pt;margin-top:191.05pt;width:101.25pt;height:14.55pt;rotation:-3041115fd;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M0EgIAAP0DAAAOAAAAZHJzL2Uyb0RvYy54bWysU9uO0zAQfUfiHyy/0zQVaUPUdLV0KUJa&#10;FqSFD3Bsp7FwPMZ2m5SvZ+z0gpY3RB6scTw+M+fM8fpu7DU5SucVmJrmszkl0nAQyuxr+v3b7k1J&#10;iQ/MCKbByJqepKd3m9ev1oOt5AI60EI6giDGV4OtaReCrbLM8072zM/ASoOHLbieBdy6fSYcGxC9&#10;19liPl9mAzhhHXDpPf59mA7pJuG3reThS9t6GYiuKfYW0urS2sQ126xZtXfMdoqf22D/0EXPlMGi&#10;V6gHFhg5OPUXVK+4Aw9tmHHoM2hbxWXigGzy+Qs2zx2zMnFBcby9yuT/Hyx/Oj7br46E8T2MOMBE&#10;wttH4D88MbDtmNnLe+dg6CQTWDiPkmWD9dX5apTaVz6CNMNnEDhkdgiQgMbW9cQBqp6XZV6sVsv0&#10;G2kTLIbzOF1nIMdAeOxgURblqqCE41levi2WU0VWRbAosXU+fJTQkxjU1OGMEyo7PvoQm7ulxHQP&#10;Womd0jpt3L7ZakeODP2wS1/i8yJNGzLU9F2xKBKygXg/WaVXAf2qVV/Tch6/yUFRnA9GpJTAlJ5i&#10;7ESbs1pRoEmqMDYjUSKyi5ejeg2IE+qXlEJV8D0hsQ7cL0oG9GZN/c8Dc5IS/cngDKKRL4G7BM0l&#10;YIbj1ZoGSqZwG5LhI38D9zibViWdbpXPPaLHknzn9xBN/Oc+Zd1e7eY3AAAA//8DAFBLAwQUAAYA&#10;CAAAACEAfheYu+IAAAALAQAADwAAAGRycy9kb3ducmV2LnhtbEyPwU6EMBCG7ya+QzMm3tziyrKC&#10;lI3RmOgmHkAPeuu2s0CkLWm7gG/veNLbTObL/39T7hYzsAl96J0VcL1KgKFVTve2FfD+9nR1CyxE&#10;abUcnEUB3xhgV52flbLQbrY1Tk1sGYXYUEgBXYxjwXlQHRoZVm5ES7ej80ZGWn3LtZczhZuBr5Mk&#10;40b2lho6OeJDh+qrORkq+VT1/uNxb158/Zo9z83UKHUU4vJiub8DFnGJfzD86pM6VOR0cCerAxsE&#10;pDebjFAB63yTAiMizdItsAMN+TYHXpX8/w/VDwAAAP//AwBQSwECLQAUAAYACAAAACEAtoM4kv4A&#10;AADhAQAAEwAAAAAAAAAAAAAAAAAAAAAAW0NvbnRlbnRfVHlwZXNdLnhtbFBLAQItABQABgAIAAAA&#10;IQA4/SH/1gAAAJQBAAALAAAAAAAAAAAAAAAAAC8BAABfcmVscy8ucmVsc1BLAQItABQABgAIAAAA&#10;IQCpy3M0EgIAAP0DAAAOAAAAAAAAAAAAAAAAAC4CAABkcnMvZTJvRG9jLnhtbFBLAQItABQABgAI&#10;AAAAIQB+F5i74gAAAAsBAAAPAAAAAAAAAAAAAAAAAGwEAABkcnMvZG93bnJldi54bWxQSwUGAAAA&#10;AAQABADzAAAAewUAAAAA&#10;" stroked="f">
                <v:textbox inset="0,0,0,0">
                  <w:txbxContent>
                    <w:p w14:paraId="2A9108B3" w14:textId="77777777" w:rsidR="00596807" w:rsidRPr="00845244" w:rsidRDefault="00596807" w:rsidP="00D00A1F">
                      <w:pPr>
                        <w:spacing w:before="0"/>
                        <w:jc w:val="center"/>
                        <w:rPr>
                          <w:sz w:val="16"/>
                          <w:szCs w:val="16"/>
                          <w:lang w:val="fr-CH"/>
                        </w:rPr>
                      </w:pPr>
                      <w:r>
                        <w:rPr>
                          <w:sz w:val="16"/>
                          <w:szCs w:val="16"/>
                          <w:lang w:val="fr-CH"/>
                        </w:rPr>
                        <w:t>Équipements et fournitures</w:t>
                      </w:r>
                    </w:p>
                  </w:txbxContent>
                </v:textbox>
              </v:shape>
            </w:pict>
          </mc:Fallback>
        </mc:AlternateContent>
      </w:r>
      <w:r w:rsidRPr="00236418">
        <w:rPr>
          <w:noProof/>
          <w:lang w:val="en-US"/>
        </w:rPr>
        <mc:AlternateContent>
          <mc:Choice Requires="wps">
            <w:drawing>
              <wp:anchor distT="45720" distB="45720" distL="114300" distR="114300" simplePos="0" relativeHeight="251723776" behindDoc="0" locked="0" layoutInCell="1" allowOverlap="1" wp14:anchorId="536733FC" wp14:editId="394226DC">
                <wp:simplePos x="0" y="0"/>
                <wp:positionH relativeFrom="column">
                  <wp:posOffset>2429828</wp:posOffset>
                </wp:positionH>
                <wp:positionV relativeFrom="paragraph">
                  <wp:posOffset>2541543</wp:posOffset>
                </wp:positionV>
                <wp:extent cx="1697903" cy="182880"/>
                <wp:effectExtent l="566738" t="0" r="488632"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697903" cy="182880"/>
                        </a:xfrm>
                        <a:prstGeom prst="rect">
                          <a:avLst/>
                        </a:prstGeom>
                        <a:solidFill>
                          <a:srgbClr val="FFFFFF"/>
                        </a:solidFill>
                        <a:ln w="9525">
                          <a:noFill/>
                          <a:miter lim="800000"/>
                          <a:headEnd/>
                          <a:tailEnd/>
                        </a:ln>
                      </wps:spPr>
                      <wps:txbx>
                        <w:txbxContent>
                          <w:p w14:paraId="1907728D" w14:textId="77777777" w:rsidR="00596807" w:rsidRPr="00845244" w:rsidRDefault="00596807" w:rsidP="00D00A1F">
                            <w:pPr>
                              <w:spacing w:before="0"/>
                              <w:jc w:val="center"/>
                              <w:rPr>
                                <w:sz w:val="16"/>
                                <w:szCs w:val="16"/>
                                <w:lang w:val="fr-CH"/>
                              </w:rPr>
                            </w:pPr>
                            <w:r>
                              <w:rPr>
                                <w:sz w:val="16"/>
                                <w:szCs w:val="16"/>
                                <w:lang w:val="fr-CH"/>
                              </w:rPr>
                              <w:t>Amortissement et pertes de valeurs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733FC" id="_x0000_s1045" type="#_x0000_t202" style="position:absolute;left:0;text-align:left;margin-left:191.35pt;margin-top:200.1pt;width:133.7pt;height:14.4pt;rotation:-3041115fd;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UdEwIAAP0DAAAOAAAAZHJzL2Uyb0RvYy54bWysU9uO2yAQfa/Uf0C8N45TJXGsOKtttqkq&#10;bS/Sth+AMY5RMUMHEnv79R3Irdq+VeUBDTAc5pw5rO/G3rCjQq/BVjyfTDlTVkKj7b7i37/t3hSc&#10;+SBsIwxYVfFn5fnd5vWr9eBKNYMOTKOQEYj15eAq3oXgyizzslO98BNwytJhC9iLQEvcZw2KgdB7&#10;k82m00U2ADYOQSrvaffhdMg3Cb9tlQxf2tarwEzFqbaQZkxzHedssxblHoXrtDyXIf6hil5oS49e&#10;oR5EEOyA+i+oXksED22YSOgzaFstVeJAbPLpCzZPnXAqcSFxvLvK5P8frPx8fHJfkYXxHYzUwETC&#10;u0eQPzyzsO2E3at7RBg6JRp6OI+SZYPz5flqlNqXPoLUwydoqMniECABjS32DIFUz4siny+Xi7RN&#10;tBk9Rv14vvZAjYHJWMFitVxN33Im6SwvZkWRmpSJMoJFiR368EFBz2JQcaQeJ1RxfPQhFndLieke&#10;jG522pi0wH29NciOgvywSyPxeZFmLBsqvprP5gnZQryfrNLrQH41uq94MY3j5KAoznvbpJQgtDnF&#10;VImxZ7WiQCepwliPTDfEbhUvR/VqaJ5Jv6QUqUL/iYh1gL84G8ibFfc/DwIVZ+ajpR5EI18CvAT1&#10;JRBW0tWKB85O4TYkw0f+Fu6pN61OOt1ePtdIHkvynf9DNPGf65R1+7Wb3wAAAP//AwBQSwMEFAAG&#10;AAgAAAAhANP8w+XhAAAACwEAAA8AAABkcnMvZG93bnJldi54bWxMj8FOwzAQRO9I/IO1SNyoTUqr&#10;EOJUCIQElTgkcICba2+TiNiObDcJf89ygtuOdjQzr9wtdmAThth7J+F6JYCh0970rpXw/vZ0lQOL&#10;STmjBu9QwjdG2FXnZ6UqjJ9djVOTWkYhLhZKQpfSWHAedYdWxZUf0dHv6INViWRouQlqpnA78EyI&#10;Lbeqd9TQqREfOtRfzclSyaeu9x+Pe/sS6tft89xMjdZHKS8vlvs7YAmX9GeG3/k0HSradPAnZyIb&#10;JGxERixJQpaLW2Dk2KwFwRzouMnXwKuS/2eofgAAAP//AwBQSwECLQAUAAYACAAAACEAtoM4kv4A&#10;AADhAQAAEwAAAAAAAAAAAAAAAAAAAAAAW0NvbnRlbnRfVHlwZXNdLnhtbFBLAQItABQABgAIAAAA&#10;IQA4/SH/1gAAAJQBAAALAAAAAAAAAAAAAAAAAC8BAABfcmVscy8ucmVsc1BLAQItABQABgAIAAAA&#10;IQAi3wUdEwIAAP0DAAAOAAAAAAAAAAAAAAAAAC4CAABkcnMvZTJvRG9jLnhtbFBLAQItABQABgAI&#10;AAAAIQDT/MPl4QAAAAsBAAAPAAAAAAAAAAAAAAAAAG0EAABkcnMvZG93bnJldi54bWxQSwUGAAAA&#10;AAQABADzAAAAewUAAAAA&#10;" stroked="f">
                <v:textbox inset="0,0,0,0">
                  <w:txbxContent>
                    <w:p w14:paraId="1907728D" w14:textId="77777777" w:rsidR="00596807" w:rsidRPr="00845244" w:rsidRDefault="00596807" w:rsidP="00D00A1F">
                      <w:pPr>
                        <w:spacing w:before="0"/>
                        <w:jc w:val="center"/>
                        <w:rPr>
                          <w:sz w:val="16"/>
                          <w:szCs w:val="16"/>
                          <w:lang w:val="fr-CH"/>
                        </w:rPr>
                      </w:pPr>
                      <w:r>
                        <w:rPr>
                          <w:sz w:val="16"/>
                          <w:szCs w:val="16"/>
                          <w:lang w:val="fr-CH"/>
                        </w:rPr>
                        <w:t>Amortissement et pertes de valeurs</w:t>
                      </w:r>
                    </w:p>
                  </w:txbxContent>
                </v:textbox>
              </v:shape>
            </w:pict>
          </mc:Fallback>
        </mc:AlternateContent>
      </w:r>
      <w:r w:rsidRPr="00236418">
        <w:rPr>
          <w:noProof/>
          <w:lang w:val="en-US"/>
        </w:rPr>
        <mc:AlternateContent>
          <mc:Choice Requires="wps">
            <w:drawing>
              <wp:anchor distT="45720" distB="45720" distL="114300" distR="114300" simplePos="0" relativeHeight="251724800" behindDoc="0" locked="0" layoutInCell="1" allowOverlap="1" wp14:anchorId="39D9975F" wp14:editId="6B90DBFE">
                <wp:simplePos x="0" y="0"/>
                <wp:positionH relativeFrom="column">
                  <wp:posOffset>3073400</wp:posOffset>
                </wp:positionH>
                <wp:positionV relativeFrom="paragraph">
                  <wp:posOffset>2487886</wp:posOffset>
                </wp:positionV>
                <wp:extent cx="1602514" cy="324485"/>
                <wp:effectExtent l="486410" t="0" r="48450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602514" cy="324485"/>
                        </a:xfrm>
                        <a:prstGeom prst="rect">
                          <a:avLst/>
                        </a:prstGeom>
                        <a:solidFill>
                          <a:srgbClr val="FFFFFF"/>
                        </a:solidFill>
                        <a:ln w="9525">
                          <a:noFill/>
                          <a:miter lim="800000"/>
                          <a:headEnd/>
                          <a:tailEnd/>
                        </a:ln>
                      </wps:spPr>
                      <wps:txbx>
                        <w:txbxContent>
                          <w:p w14:paraId="4DC2558D" w14:textId="77777777" w:rsidR="00596807" w:rsidRPr="00845244" w:rsidRDefault="00596807" w:rsidP="00D00A1F">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9975F" id="_x0000_s1046" type="#_x0000_t202" style="position:absolute;left:0;text-align:left;margin-left:242pt;margin-top:195.9pt;width:126.2pt;height:25.55pt;rotation:-3041115fd;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ZlFAIAAP0DAAAOAAAAZHJzL2Uyb0RvYy54bWysU9uO2yAQfa/Uf0C8N740yaZWnNU221SV&#10;thdp2w/AgGNUzFAgsbdfvwNxkl7eqvKABpg5M3PmsL4de02O0nkFpqbFLKdEGg5CmX1Nv33dvVpR&#10;4gMzgmkwsqZP0tPbzcsX68FWsoQOtJCOIIjx1WBr2oVgqyzzvJM98zOw0uBjC65nAY9unwnHBkTv&#10;dVbm+TIbwAnrgEvv8fb+9Eg3Cb9tJQ+f29bLQHRNsbaQdpf2Ju7ZZs2qvWO2U3wqg/1DFT1TBpNe&#10;oO5ZYOTg1F9QveIOPLRhxqHPoG0Vl6kH7KbI/+jmsWNWpl6QHG8vNPn/B8s/HR/tF0fC+BZGHGBq&#10;wtsH4N89MbDtmNnLO+dg6CQTmLiIlGWD9dUUGqn2lY8gzfARBA6ZHQIkoLF1PXGArBerVbG4uVmm&#10;a2ybYDKcx9NlBnIMhMcKlnm5KOaUcHx7Xc7nq0XKyKoIFim2zof3EnoSjZo6nHFCZccHH2JxV5fo&#10;7kErsVNap4PbN1vtyJGhHnZpTei/uWlDhpq+WZSLhGwgxiep9CqgXrXqa7rK4zopKJLzzojkEpjS&#10;Jxsr0WZiKxJ0oiqMzUiUqGmZgiN7DYgn5C8xhazgf8LGOnA/KRlQmzX1Pw7MSUr0B4MziEI+G+5s&#10;NGeDGY6hNQ2UnMxtSIKP/Ru4w9m0KvF0zTzViBpL9E3/IYr413Pyuv7azTMAAAD//wMAUEsDBBQA&#10;BgAIAAAAIQDsFUfD4gAAAAsBAAAPAAAAZHJzL2Rvd25yZXYueG1sTI/BTsMwEETvSPyDtUjcqNO0&#10;DSXEqRAICSpxSOAAN9feJhGxHdluEv6e7QmOq3maeVvsZtOzEX3onBWwXCTA0CqnO9sI+Hh/vtkC&#10;C1FaLXtnUcAPBtiVlxeFzLWbbIVjHRtGJTbkUkAb45BzHlSLRoaFG9BSdnTeyEinb7j2cqJy0/M0&#10;STJuZGdpoZUDPraovuuToZEvVe0/n/bm1Vdv2ctUj7VSRyGur+aHe2AR5/gHw1mf1KEkp4M7WR1Y&#10;L2CzXWeECkjvlikwIrLV5hbYgaL1KgNeFvz/D+UvAAAA//8DAFBLAQItABQABgAIAAAAIQC2gziS&#10;/gAAAOEBAAATAAAAAAAAAAAAAAAAAAAAAABbQ29udGVudF9UeXBlc10ueG1sUEsBAi0AFAAGAAgA&#10;AAAhADj9If/WAAAAlAEAAAsAAAAAAAAAAAAAAAAALwEAAF9yZWxzLy5yZWxzUEsBAi0AFAAGAAgA&#10;AAAhAEk5tmUUAgAA/QMAAA4AAAAAAAAAAAAAAAAALgIAAGRycy9lMm9Eb2MueG1sUEsBAi0AFAAG&#10;AAgAAAAhAOwVR8PiAAAACwEAAA8AAAAAAAAAAAAAAAAAbgQAAGRycy9kb3ducmV2LnhtbFBLBQYA&#10;AAAABAAEAPMAAAB9BQAAAAA=&#10;" stroked="f">
                <v:textbox inset="0,0,0,0">
                  <w:txbxContent>
                    <w:p w14:paraId="4DC2558D" w14:textId="77777777" w:rsidR="00596807" w:rsidRPr="00845244" w:rsidRDefault="00596807" w:rsidP="00D00A1F">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v:textbox>
              </v:shape>
            </w:pict>
          </mc:Fallback>
        </mc:AlternateContent>
      </w:r>
      <w:r w:rsidRPr="00236418">
        <w:rPr>
          <w:noProof/>
          <w:lang w:val="en-US"/>
        </w:rPr>
        <mc:AlternateContent>
          <mc:Choice Requires="wps">
            <w:drawing>
              <wp:anchor distT="45720" distB="45720" distL="114300" distR="114300" simplePos="0" relativeHeight="251725824" behindDoc="0" locked="0" layoutInCell="1" allowOverlap="1" wp14:anchorId="2F54A03A" wp14:editId="5C939BC6">
                <wp:simplePos x="0" y="0"/>
                <wp:positionH relativeFrom="column">
                  <wp:posOffset>4091940</wp:posOffset>
                </wp:positionH>
                <wp:positionV relativeFrom="paragraph">
                  <wp:posOffset>2371090</wp:posOffset>
                </wp:positionV>
                <wp:extent cx="994867" cy="182880"/>
                <wp:effectExtent l="253365" t="0" r="230505"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3358E342" w14:textId="77777777" w:rsidR="00596807" w:rsidRPr="00845244" w:rsidRDefault="00596807" w:rsidP="00D00A1F">
                            <w:pPr>
                              <w:spacing w:before="0"/>
                              <w:jc w:val="center"/>
                              <w:rPr>
                                <w:sz w:val="16"/>
                                <w:szCs w:val="16"/>
                                <w:lang w:val="fr-CH"/>
                              </w:rPr>
                            </w:pPr>
                            <w:r>
                              <w:rPr>
                                <w:sz w:val="16"/>
                                <w:szCs w:val="16"/>
                                <w:lang w:val="fr-CH"/>
                              </w:rPr>
                              <w:t>Autres charges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A03A" id="_x0000_s1047" type="#_x0000_t202" style="position:absolute;left:0;text-align:left;margin-left:322.2pt;margin-top:186.7pt;width:78.35pt;height:14.4pt;rotation:-3041115fd;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38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xWfJSmjeDU0R5IvCUWi0HciYh3gL84GsmbF/c+9QMWZ+WipBdHHlwAvQX0J&#10;hJV0teKBs1O4Ccnvkb+FB2pNq5NOt5fPNZLFknzn7xA9/Oc6Zd0+7fo3AAAA//8DAFBLAwQUAAYA&#10;CAAAACEAWUEz6uIAAAALAQAADwAAAGRycy9kb3ducmV2LnhtbEyPy07DMBBF90j8gzVI7Kjdh5I2&#10;xKkQCAkqsUhgUXau7SYR8TiK3ST8PcMKdjOao3vP5PvZdWy0Q2g9SlguBDCL2psWawkf7893W2Ah&#10;KjSq82glfNsA++L6KleZ8ROWdqxizSgEQ6YkNDH2GedBN9apsPC9Rbqd/eBUpHWouRnUROGu4ysh&#10;Eu5Ui9TQqN4+NlZ/VRdHJZ+6PByfDu51KN+Sl6kaK63PUt7ezA/3wKKd4x8Mv/qkDgU5nfwFTWCd&#10;hFRsN4RKWIsdDUSk63QF7CRhkyRL4EXO//9Q/AAAAP//AwBQSwECLQAUAAYACAAAACEAtoM4kv4A&#10;AADhAQAAEwAAAAAAAAAAAAAAAAAAAAAAW0NvbnRlbnRfVHlwZXNdLnhtbFBLAQItABQABgAIAAAA&#10;IQA4/SH/1gAAAJQBAAALAAAAAAAAAAAAAAAAAC8BAABfcmVscy8ucmVsc1BLAQItABQABgAIAAAA&#10;IQAuOK38EgIAAPwDAAAOAAAAAAAAAAAAAAAAAC4CAABkcnMvZTJvRG9jLnhtbFBLAQItABQABgAI&#10;AAAAIQBZQTPq4gAAAAsBAAAPAAAAAAAAAAAAAAAAAGwEAABkcnMvZG93bnJldi54bWxQSwUGAAAA&#10;AAQABADzAAAAewUAAAAA&#10;" stroked="f">
                <v:textbox inset="0,0,0,0">
                  <w:txbxContent>
                    <w:p w14:paraId="3358E342" w14:textId="77777777" w:rsidR="00596807" w:rsidRPr="00845244" w:rsidRDefault="00596807" w:rsidP="00D00A1F">
                      <w:pPr>
                        <w:spacing w:before="0"/>
                        <w:jc w:val="center"/>
                        <w:rPr>
                          <w:sz w:val="16"/>
                          <w:szCs w:val="16"/>
                          <w:lang w:val="fr-CH"/>
                        </w:rPr>
                      </w:pPr>
                      <w:r>
                        <w:rPr>
                          <w:sz w:val="16"/>
                          <w:szCs w:val="16"/>
                          <w:lang w:val="fr-CH"/>
                        </w:rPr>
                        <w:t>Autres charges</w:t>
                      </w:r>
                    </w:p>
                  </w:txbxContent>
                </v:textbox>
              </v:shape>
            </w:pict>
          </mc:Fallback>
        </mc:AlternateContent>
      </w:r>
      <w:r w:rsidRPr="00236418">
        <w:rPr>
          <w:noProof/>
          <w:lang w:val="en-US"/>
        </w:rPr>
        <mc:AlternateContent>
          <mc:Choice Requires="wps">
            <w:drawing>
              <wp:anchor distT="45720" distB="45720" distL="114300" distR="114300" simplePos="0" relativeHeight="251726848" behindDoc="0" locked="0" layoutInCell="1" allowOverlap="1" wp14:anchorId="25CBD871" wp14:editId="183B34E7">
                <wp:simplePos x="0" y="0"/>
                <wp:positionH relativeFrom="column">
                  <wp:posOffset>4667884</wp:posOffset>
                </wp:positionH>
                <wp:positionV relativeFrom="paragraph">
                  <wp:posOffset>2361946</wp:posOffset>
                </wp:positionV>
                <wp:extent cx="994867" cy="182880"/>
                <wp:effectExtent l="253365" t="0" r="230505"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74131711" w14:textId="77777777" w:rsidR="00596807" w:rsidRPr="00845244" w:rsidRDefault="00596807" w:rsidP="00D00A1F">
                            <w:pPr>
                              <w:spacing w:before="0"/>
                              <w:jc w:val="center"/>
                              <w:rPr>
                                <w:sz w:val="16"/>
                                <w:szCs w:val="16"/>
                                <w:lang w:val="fr-CH"/>
                              </w:rPr>
                            </w:pPr>
                            <w:r>
                              <w:rPr>
                                <w:sz w:val="16"/>
                                <w:szCs w:val="16"/>
                                <w:lang w:val="fr-CH"/>
                              </w:rPr>
                              <w:t>Charges financières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BD871" id="_x0000_s1048" type="#_x0000_t202" style="position:absolute;left:0;text-align:left;margin-left:367.55pt;margin-top:186pt;width:78.35pt;height:14.4pt;rotation:-3041115fd;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1H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xWfzeLlKF4NzZHkS0KRKPSdiFgH+IuzgaxZcf9zL1BxZj5aakH08SXAS1Bf&#10;AmElXa144OwUbkLye+Rv4YFa0+qk0+3lc41ksSTf+TtED/+5Tlm3T7v+DQAA//8DAFBLAwQUAAYA&#10;CAAAACEAZTPLC+IAAAALAQAADwAAAGRycy9kb3ducmV2LnhtbEyPy07DMBBF90j8gzVI7KjTUuVF&#10;nAqBkKASiwQWsHNtN4mIx1HsJuHvO6zKcjRH955b7Bbbs8mMvnMoYL2KgBlUTnfYCPj8eLlLgfkg&#10;UcveoRHwazzsyuurQubazViZqQ4NoxD0uRTQhjDknHvVGiv9yg0G6Xd0o5WBzrHhepQzhdueb6Io&#10;5lZ2SA2tHMxTa9RPfbJU8q2q/dfz3r6N1Xv8OtdTrdRRiNub5fEBWDBLuMDwp0/qUJLTwZ1Qe9YL&#10;SLJsTaiA+yilUUSkmyQDdhCwjbcJ8LLg/zeUZwAAAP//AwBQSwECLQAUAAYACAAAACEAtoM4kv4A&#10;AADhAQAAEwAAAAAAAAAAAAAAAAAAAAAAW0NvbnRlbnRfVHlwZXNdLnhtbFBLAQItABQABgAIAAAA&#10;IQA4/SH/1gAAAJQBAAALAAAAAAAAAAAAAAAAAC8BAABfcmVscy8ucmVsc1BLAQItABQABgAIAAAA&#10;IQDrhA1HEgIAAPwDAAAOAAAAAAAAAAAAAAAAAC4CAABkcnMvZTJvRG9jLnhtbFBLAQItABQABgAI&#10;AAAAIQBlM8sL4gAAAAsBAAAPAAAAAAAAAAAAAAAAAGwEAABkcnMvZG93bnJldi54bWxQSwUGAAAA&#10;AAQABADzAAAAewUAAAAA&#10;" stroked="f">
                <v:textbox inset="0,0,0,0">
                  <w:txbxContent>
                    <w:p w14:paraId="74131711" w14:textId="77777777" w:rsidR="00596807" w:rsidRPr="00845244" w:rsidRDefault="00596807" w:rsidP="00D00A1F">
                      <w:pPr>
                        <w:spacing w:before="0"/>
                        <w:jc w:val="center"/>
                        <w:rPr>
                          <w:sz w:val="16"/>
                          <w:szCs w:val="16"/>
                          <w:lang w:val="fr-CH"/>
                        </w:rPr>
                      </w:pPr>
                      <w:r>
                        <w:rPr>
                          <w:sz w:val="16"/>
                          <w:szCs w:val="16"/>
                          <w:lang w:val="fr-CH"/>
                        </w:rPr>
                        <w:t>Charges financières</w:t>
                      </w:r>
                    </w:p>
                  </w:txbxContent>
                </v:textbox>
              </v:shape>
            </w:pict>
          </mc:Fallback>
        </mc:AlternateContent>
      </w:r>
      <w:r w:rsidRPr="00236418">
        <w:rPr>
          <w:noProof/>
          <w:lang w:val="en-US"/>
        </w:rPr>
        <w:drawing>
          <wp:inline distT="0" distB="0" distL="0" distR="0" wp14:anchorId="32695131" wp14:editId="0D5CA563">
            <wp:extent cx="5369560" cy="3549535"/>
            <wp:effectExtent l="0" t="0" r="2540" b="13335"/>
            <wp:docPr id="64" name="Chart 64">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654873" w14:textId="2207101F" w:rsidR="009A423B" w:rsidRPr="00236418" w:rsidRDefault="00844170" w:rsidP="00D00A1F">
      <w:r w:rsidRPr="00236418">
        <w:t>3</w:t>
      </w:r>
      <w:r w:rsidR="005F4C4E" w:rsidRPr="00236418">
        <w:t>1</w:t>
      </w:r>
      <w:r w:rsidRPr="00236418">
        <w:tab/>
      </w:r>
      <w:r w:rsidR="006D07E2" w:rsidRPr="00236418">
        <w:t>E</w:t>
      </w:r>
      <w:r w:rsidRPr="00236418">
        <w:t xml:space="preserve">n 2019, </w:t>
      </w:r>
      <w:r w:rsidR="006D07E2" w:rsidRPr="00236418">
        <w:t>une hausse de 32,7% a été enregistrée</w:t>
      </w:r>
      <w:r w:rsidR="009A423B" w:rsidRPr="00236418">
        <w:t>, qui s'explique principalement par l'évaluation de la provision ASHI et la réévaluation du coût des prestations au titre des services rendus découlant de l'abandon de CIGNA au profit de l'Assurance mutuelle contre la maladie et les accidents du personnel des Nations Unies (UNSMIS). Cette charge est considérée comme une charge non budgétaire.</w:t>
      </w:r>
    </w:p>
    <w:p w14:paraId="41E952AD" w14:textId="0BA63CBF" w:rsidR="00DF6159" w:rsidRPr="00236418" w:rsidRDefault="00DF6159" w:rsidP="00922A12">
      <w:pPr>
        <w:pStyle w:val="Headingb"/>
        <w:keepNext w:val="0"/>
        <w:spacing w:after="240"/>
        <w:rPr>
          <w:rFonts w:eastAsia="SimSun"/>
          <w:lang w:eastAsia="zh-CN"/>
        </w:rPr>
      </w:pPr>
      <w:bookmarkStart w:id="88" w:name="_Toc9605675"/>
      <w:bookmarkStart w:id="89" w:name="_Toc10450685"/>
      <w:bookmarkStart w:id="90" w:name="_Toc41566298"/>
      <w:bookmarkStart w:id="91" w:name="_Toc41814917"/>
      <w:r w:rsidRPr="00236418">
        <w:rPr>
          <w:rFonts w:eastAsia="SimSun"/>
          <w:lang w:eastAsia="zh-CN"/>
        </w:rPr>
        <w:t>Position financière: représentation de l'actif pour 201</w:t>
      </w:r>
      <w:bookmarkEnd w:id="88"/>
      <w:bookmarkEnd w:id="89"/>
      <w:r w:rsidR="0035257F" w:rsidRPr="00236418">
        <w:rPr>
          <w:rFonts w:eastAsia="SimSun"/>
          <w:lang w:eastAsia="zh-CN"/>
        </w:rPr>
        <w:t>9</w:t>
      </w:r>
      <w:bookmarkEnd w:id="90"/>
      <w:bookmarkEnd w:id="91"/>
    </w:p>
    <w:p w14:paraId="462CBB88" w14:textId="7ABFE7D5" w:rsidR="0035257F" w:rsidRPr="00236418" w:rsidRDefault="0035257F" w:rsidP="00922A12">
      <w:pPr>
        <w:pStyle w:val="Figure"/>
        <w:keepNext w:val="0"/>
      </w:pPr>
      <w:r w:rsidRPr="00236418">
        <w:rPr>
          <w:noProof/>
          <w:lang w:val="en-US"/>
        </w:rPr>
        <w:drawing>
          <wp:inline distT="0" distB="0" distL="0" distR="0" wp14:anchorId="2F2DE292" wp14:editId="0E59CF30">
            <wp:extent cx="4876800" cy="2618509"/>
            <wp:effectExtent l="0" t="0" r="0" b="10795"/>
            <wp:docPr id="47" name="Chart 4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471463" w14:textId="77777777" w:rsidR="00910C10" w:rsidRPr="00236418" w:rsidRDefault="00910C10" w:rsidP="00910C10">
      <w:pPr>
        <w:pStyle w:val="Headingb"/>
        <w:spacing w:after="240"/>
        <w:rPr>
          <w:rFonts w:eastAsia="SimSun"/>
          <w:lang w:eastAsia="zh-CN"/>
        </w:rPr>
      </w:pPr>
      <w:bookmarkStart w:id="92" w:name="_Toc9605676"/>
      <w:bookmarkStart w:id="93" w:name="_Toc10450686"/>
      <w:bookmarkStart w:id="94" w:name="_Toc41566299"/>
      <w:bookmarkStart w:id="95" w:name="_Toc41814918"/>
      <w:r w:rsidRPr="00236418">
        <w:rPr>
          <w:rFonts w:eastAsia="SimSun"/>
          <w:lang w:eastAsia="zh-CN"/>
        </w:rPr>
        <w:lastRenderedPageBreak/>
        <w:t>Position financière: Comparaison de l'actif entre 2019 et 201</w:t>
      </w:r>
      <w:bookmarkEnd w:id="92"/>
      <w:bookmarkEnd w:id="93"/>
      <w:r w:rsidRPr="00236418">
        <w:rPr>
          <w:rFonts w:eastAsia="SimSun"/>
          <w:lang w:eastAsia="zh-CN"/>
        </w:rPr>
        <w:t>8</w:t>
      </w:r>
      <w:bookmarkEnd w:id="94"/>
      <w:bookmarkEnd w:id="95"/>
    </w:p>
    <w:p w14:paraId="4DE620C3" w14:textId="77777777" w:rsidR="00910C10" w:rsidRPr="00236418" w:rsidRDefault="00910C10" w:rsidP="00910C10">
      <w:pPr>
        <w:snapToGrid w:val="0"/>
        <w:spacing w:after="120"/>
        <w:jc w:val="center"/>
      </w:pPr>
      <w:r w:rsidRPr="00236418">
        <w:rPr>
          <w:noProof/>
          <w:lang w:val="en-US"/>
        </w:rPr>
        <mc:AlternateContent>
          <mc:Choice Requires="wps">
            <w:drawing>
              <wp:anchor distT="45720" distB="45720" distL="114300" distR="114300" simplePos="0" relativeHeight="251736064" behindDoc="0" locked="0" layoutInCell="1" allowOverlap="1" wp14:anchorId="261D1DE3" wp14:editId="4610522D">
                <wp:simplePos x="0" y="0"/>
                <wp:positionH relativeFrom="column">
                  <wp:posOffset>608330</wp:posOffset>
                </wp:positionH>
                <wp:positionV relativeFrom="paragraph">
                  <wp:posOffset>24434</wp:posOffset>
                </wp:positionV>
                <wp:extent cx="619760" cy="2321560"/>
                <wp:effectExtent l="0" t="0" r="889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321560"/>
                        </a:xfrm>
                        <a:prstGeom prst="rect">
                          <a:avLst/>
                        </a:prstGeom>
                        <a:solidFill>
                          <a:srgbClr val="FFFFFF"/>
                        </a:solidFill>
                        <a:ln w="9525">
                          <a:noFill/>
                          <a:miter lim="800000"/>
                          <a:headEnd/>
                          <a:tailEnd/>
                        </a:ln>
                      </wps:spPr>
                      <wps:txbx>
                        <w:txbxContent>
                          <w:p w14:paraId="3AD065ED" w14:textId="77777777" w:rsidR="00596807" w:rsidRPr="00071A93" w:rsidRDefault="00596807" w:rsidP="00910C10">
                            <w:pPr>
                              <w:spacing w:before="0"/>
                              <w:jc w:val="right"/>
                              <w:rPr>
                                <w:sz w:val="18"/>
                                <w:szCs w:val="18"/>
                              </w:rPr>
                            </w:pPr>
                            <w:r w:rsidRPr="00071A93">
                              <w:rPr>
                                <w:sz w:val="18"/>
                                <w:szCs w:val="18"/>
                              </w:rPr>
                              <w:t>200,000</w:t>
                            </w:r>
                          </w:p>
                          <w:p w14:paraId="67E310F5" w14:textId="77777777" w:rsidR="00596807" w:rsidRDefault="00596807" w:rsidP="00910C10">
                            <w:pPr>
                              <w:jc w:val="right"/>
                              <w:rPr>
                                <w:sz w:val="18"/>
                                <w:szCs w:val="18"/>
                              </w:rPr>
                            </w:pPr>
                            <w:r>
                              <w:rPr>
                                <w:sz w:val="18"/>
                                <w:szCs w:val="18"/>
                              </w:rPr>
                              <w:t>180,000</w:t>
                            </w:r>
                          </w:p>
                          <w:p w14:paraId="0D0E7B5F" w14:textId="77777777" w:rsidR="00596807" w:rsidRDefault="00596807" w:rsidP="00910C10">
                            <w:pPr>
                              <w:jc w:val="right"/>
                              <w:rPr>
                                <w:sz w:val="18"/>
                                <w:szCs w:val="18"/>
                              </w:rPr>
                            </w:pPr>
                            <w:r>
                              <w:rPr>
                                <w:sz w:val="18"/>
                                <w:szCs w:val="18"/>
                              </w:rPr>
                              <w:t>160,000</w:t>
                            </w:r>
                          </w:p>
                          <w:p w14:paraId="7F9FA25B" w14:textId="77777777" w:rsidR="00596807" w:rsidRPr="00071A93" w:rsidRDefault="00596807" w:rsidP="00910C10">
                            <w:pPr>
                              <w:jc w:val="right"/>
                              <w:rPr>
                                <w:sz w:val="18"/>
                                <w:szCs w:val="18"/>
                              </w:rPr>
                            </w:pPr>
                            <w:r w:rsidRPr="00071A93">
                              <w:rPr>
                                <w:sz w:val="18"/>
                                <w:szCs w:val="18"/>
                              </w:rPr>
                              <w:t>1</w:t>
                            </w:r>
                            <w:r>
                              <w:rPr>
                                <w:sz w:val="18"/>
                                <w:szCs w:val="18"/>
                              </w:rPr>
                              <w:t>4</w:t>
                            </w:r>
                            <w:r w:rsidRPr="00071A93">
                              <w:rPr>
                                <w:sz w:val="18"/>
                                <w:szCs w:val="18"/>
                              </w:rPr>
                              <w:t>0,000</w:t>
                            </w:r>
                          </w:p>
                          <w:p w14:paraId="2A247BC4" w14:textId="77777777" w:rsidR="00596807" w:rsidRDefault="00596807" w:rsidP="00910C10">
                            <w:pPr>
                              <w:spacing w:before="100"/>
                              <w:jc w:val="right"/>
                              <w:rPr>
                                <w:sz w:val="18"/>
                                <w:szCs w:val="18"/>
                              </w:rPr>
                            </w:pPr>
                            <w:r>
                              <w:rPr>
                                <w:sz w:val="18"/>
                                <w:szCs w:val="18"/>
                              </w:rPr>
                              <w:t>120,000</w:t>
                            </w:r>
                          </w:p>
                          <w:p w14:paraId="54ACC7AC" w14:textId="77777777" w:rsidR="00596807" w:rsidRDefault="00596807" w:rsidP="00910C10">
                            <w:pPr>
                              <w:spacing w:before="100"/>
                              <w:jc w:val="right"/>
                              <w:rPr>
                                <w:sz w:val="18"/>
                                <w:szCs w:val="18"/>
                              </w:rPr>
                            </w:pPr>
                            <w:r w:rsidRPr="00071A93">
                              <w:rPr>
                                <w:sz w:val="18"/>
                                <w:szCs w:val="18"/>
                              </w:rPr>
                              <w:t>100,000</w:t>
                            </w:r>
                          </w:p>
                          <w:p w14:paraId="0374F78A" w14:textId="77777777" w:rsidR="00596807" w:rsidRDefault="00596807" w:rsidP="00910C10">
                            <w:pPr>
                              <w:spacing w:before="80"/>
                              <w:jc w:val="right"/>
                              <w:rPr>
                                <w:sz w:val="18"/>
                                <w:szCs w:val="18"/>
                              </w:rPr>
                            </w:pPr>
                            <w:r>
                              <w:rPr>
                                <w:sz w:val="18"/>
                                <w:szCs w:val="18"/>
                              </w:rPr>
                              <w:t>80,000</w:t>
                            </w:r>
                          </w:p>
                          <w:p w14:paraId="39492BBF" w14:textId="77777777" w:rsidR="00596807" w:rsidRPr="00071A93" w:rsidRDefault="00596807" w:rsidP="00910C10">
                            <w:pPr>
                              <w:spacing w:before="100"/>
                              <w:jc w:val="right"/>
                              <w:rPr>
                                <w:sz w:val="18"/>
                                <w:szCs w:val="18"/>
                              </w:rPr>
                            </w:pPr>
                            <w:r>
                              <w:rPr>
                                <w:sz w:val="18"/>
                                <w:szCs w:val="18"/>
                              </w:rPr>
                              <w:t>60,000</w:t>
                            </w:r>
                          </w:p>
                          <w:p w14:paraId="47200438" w14:textId="77777777" w:rsidR="00596807" w:rsidRDefault="00596807" w:rsidP="00910C10">
                            <w:pPr>
                              <w:spacing w:before="80"/>
                              <w:jc w:val="right"/>
                              <w:rPr>
                                <w:sz w:val="18"/>
                                <w:szCs w:val="18"/>
                              </w:rPr>
                            </w:pPr>
                            <w:r>
                              <w:rPr>
                                <w:sz w:val="18"/>
                                <w:szCs w:val="18"/>
                              </w:rPr>
                              <w:t>4</w:t>
                            </w:r>
                            <w:r w:rsidRPr="00071A93">
                              <w:rPr>
                                <w:sz w:val="18"/>
                                <w:szCs w:val="18"/>
                              </w:rPr>
                              <w:t>0,000</w:t>
                            </w:r>
                          </w:p>
                          <w:p w14:paraId="324EBD46" w14:textId="77777777" w:rsidR="00596807" w:rsidRPr="00071A93" w:rsidRDefault="00596807" w:rsidP="00910C10">
                            <w:pPr>
                              <w:spacing w:before="100"/>
                              <w:jc w:val="right"/>
                              <w:rPr>
                                <w:sz w:val="18"/>
                                <w:szCs w:val="18"/>
                              </w:rPr>
                            </w:pPr>
                            <w:r>
                              <w:rPr>
                                <w:sz w:val="18"/>
                                <w:szCs w:val="18"/>
                              </w:rPr>
                              <w:t>20,000</w:t>
                            </w:r>
                          </w:p>
                          <w:p w14:paraId="11BFF39C" w14:textId="77777777" w:rsidR="00596807" w:rsidRDefault="00596807" w:rsidP="00910C10">
                            <w:pPr>
                              <w:jc w:val="right"/>
                            </w:pP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D1DE3" id="_x0000_s1049" type="#_x0000_t202" style="position:absolute;left:0;text-align:left;margin-left:47.9pt;margin-top:1.9pt;width:48.8pt;height:182.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G1DwIAAP4DAAAOAAAAZHJzL2Uyb0RvYy54bWysU9uO2yAQfa/Uf0C8N47dJLux4qy22aaq&#10;tL1I234ABhyjYoYCib39+h2wN5u2b1V5QAwzc5g5c9jcDJ0mJ+m8AlPRfDanRBoOQplDRb9/27+5&#10;psQHZgTTYGRFH6WnN9vXrza9LWUBLWghHUEQ48veVrQNwZZZ5nkrO+ZnYKVBZwOuYwFNd8iEYz2i&#10;dzor5vNV1oMT1gGX3uPt3eik24TfNJKHL03jZSC6olhbSLtLex33bLth5cEx2yo+lcH+oYqOKYOP&#10;nqHuWGDk6NRfUJ3iDjw0Ycahy6BpFJepB+wmn//RzUPLrEy9IDnenmny/w+Wfz492K+OhOEdDDjA&#10;1IS398B/eGJg1zJzkLfOQd9KJvDhPFKW9daXU2qk2pc+gtT9JxA4ZHYMkICGxnWRFeyTIDoO4PFM&#10;uhwC4Xi5ytdXK/RwdBVvi3yJRnyClc/Z1vnwQUJH4qGiDoea0Nnp3ocx9DkkPuZBK7FXWifDHeqd&#10;duTEUAD7tCb038K0IX1F18timZANxPykjU4FFKhWXUWv53GNkolsvDcihQSm9HjGorWZ6ImMjNyE&#10;oR6IErG9mBzpqkE8ImEORkHiB8JDC+4XJT2KsaL+55E5SYn+aJD0db5YRPUmY7G8KtBwl5760sMM&#10;R6iKBkrG4y4kxUc+DNzicBqVeHupZKoZRZaYnz5EVPGlnaJevu32CQAA//8DAFBLAwQUAAYACAAA&#10;ACEAUninsNwAAAAIAQAADwAAAGRycy9kb3ducmV2LnhtbEyPQU+DQBCF7yb+h82YeDF20VIqyNKo&#10;icZra3/AAFMgsrOE3Rb6752e7Onl5U3e+ybfzLZXJxp959jA0yICRVy5uuPGwP7n8/EFlA/INfaO&#10;ycCZPGyK25scs9pNvKXTLjRKSthnaKANYci09lVLFv3CDcSSHdxoMYgdG12POEm57fVzFCXaYsey&#10;0OJAHy1Vv7ujNXD4nh5W6VR+hf16Gyfv2K1Ldzbm/m5+ewUVaA7/x3DBF3QohKl0R6696g2kKyEP&#10;BpYilzhdxqBK8Ukagy5yff1A8QcAAP//AwBQSwECLQAUAAYACAAAACEAtoM4kv4AAADhAQAAEwAA&#10;AAAAAAAAAAAAAAAAAAAAW0NvbnRlbnRfVHlwZXNdLnhtbFBLAQItABQABgAIAAAAIQA4/SH/1gAA&#10;AJQBAAALAAAAAAAAAAAAAAAAAC8BAABfcmVscy8ucmVsc1BLAQItABQABgAIAAAAIQCrkgG1DwIA&#10;AP4DAAAOAAAAAAAAAAAAAAAAAC4CAABkcnMvZTJvRG9jLnhtbFBLAQItABQABgAIAAAAIQBSeKew&#10;3AAAAAgBAAAPAAAAAAAAAAAAAAAAAGkEAABkcnMvZG93bnJldi54bWxQSwUGAAAAAAQABADzAAAA&#10;cgUAAAAA&#10;" stroked="f">
                <v:textbox>
                  <w:txbxContent>
                    <w:p w14:paraId="3AD065ED" w14:textId="77777777" w:rsidR="00596807" w:rsidRPr="00071A93" w:rsidRDefault="00596807" w:rsidP="00910C10">
                      <w:pPr>
                        <w:spacing w:before="0"/>
                        <w:jc w:val="right"/>
                        <w:rPr>
                          <w:sz w:val="18"/>
                          <w:szCs w:val="18"/>
                        </w:rPr>
                      </w:pPr>
                      <w:r w:rsidRPr="00071A93">
                        <w:rPr>
                          <w:sz w:val="18"/>
                          <w:szCs w:val="18"/>
                        </w:rPr>
                        <w:t>200,000</w:t>
                      </w:r>
                    </w:p>
                    <w:p w14:paraId="67E310F5" w14:textId="77777777" w:rsidR="00596807" w:rsidRDefault="00596807" w:rsidP="00910C10">
                      <w:pPr>
                        <w:jc w:val="right"/>
                        <w:rPr>
                          <w:sz w:val="18"/>
                          <w:szCs w:val="18"/>
                        </w:rPr>
                      </w:pPr>
                      <w:r>
                        <w:rPr>
                          <w:sz w:val="18"/>
                          <w:szCs w:val="18"/>
                        </w:rPr>
                        <w:t>180,000</w:t>
                      </w:r>
                    </w:p>
                    <w:p w14:paraId="0D0E7B5F" w14:textId="77777777" w:rsidR="00596807" w:rsidRDefault="00596807" w:rsidP="00910C10">
                      <w:pPr>
                        <w:jc w:val="right"/>
                        <w:rPr>
                          <w:sz w:val="18"/>
                          <w:szCs w:val="18"/>
                        </w:rPr>
                      </w:pPr>
                      <w:r>
                        <w:rPr>
                          <w:sz w:val="18"/>
                          <w:szCs w:val="18"/>
                        </w:rPr>
                        <w:t>160,000</w:t>
                      </w:r>
                    </w:p>
                    <w:p w14:paraId="7F9FA25B" w14:textId="77777777" w:rsidR="00596807" w:rsidRPr="00071A93" w:rsidRDefault="00596807" w:rsidP="00910C10">
                      <w:pPr>
                        <w:jc w:val="right"/>
                        <w:rPr>
                          <w:sz w:val="18"/>
                          <w:szCs w:val="18"/>
                        </w:rPr>
                      </w:pPr>
                      <w:r w:rsidRPr="00071A93">
                        <w:rPr>
                          <w:sz w:val="18"/>
                          <w:szCs w:val="18"/>
                        </w:rPr>
                        <w:t>1</w:t>
                      </w:r>
                      <w:r>
                        <w:rPr>
                          <w:sz w:val="18"/>
                          <w:szCs w:val="18"/>
                        </w:rPr>
                        <w:t>4</w:t>
                      </w:r>
                      <w:r w:rsidRPr="00071A93">
                        <w:rPr>
                          <w:sz w:val="18"/>
                          <w:szCs w:val="18"/>
                        </w:rPr>
                        <w:t>0,000</w:t>
                      </w:r>
                    </w:p>
                    <w:p w14:paraId="2A247BC4" w14:textId="77777777" w:rsidR="00596807" w:rsidRDefault="00596807" w:rsidP="00910C10">
                      <w:pPr>
                        <w:spacing w:before="100"/>
                        <w:jc w:val="right"/>
                        <w:rPr>
                          <w:sz w:val="18"/>
                          <w:szCs w:val="18"/>
                        </w:rPr>
                      </w:pPr>
                      <w:r>
                        <w:rPr>
                          <w:sz w:val="18"/>
                          <w:szCs w:val="18"/>
                        </w:rPr>
                        <w:t>120,000</w:t>
                      </w:r>
                    </w:p>
                    <w:p w14:paraId="54ACC7AC" w14:textId="77777777" w:rsidR="00596807" w:rsidRDefault="00596807" w:rsidP="00910C10">
                      <w:pPr>
                        <w:spacing w:before="100"/>
                        <w:jc w:val="right"/>
                        <w:rPr>
                          <w:sz w:val="18"/>
                          <w:szCs w:val="18"/>
                        </w:rPr>
                      </w:pPr>
                      <w:r w:rsidRPr="00071A93">
                        <w:rPr>
                          <w:sz w:val="18"/>
                          <w:szCs w:val="18"/>
                        </w:rPr>
                        <w:t>100,000</w:t>
                      </w:r>
                    </w:p>
                    <w:p w14:paraId="0374F78A" w14:textId="77777777" w:rsidR="00596807" w:rsidRDefault="00596807" w:rsidP="00910C10">
                      <w:pPr>
                        <w:spacing w:before="80"/>
                        <w:jc w:val="right"/>
                        <w:rPr>
                          <w:sz w:val="18"/>
                          <w:szCs w:val="18"/>
                        </w:rPr>
                      </w:pPr>
                      <w:r>
                        <w:rPr>
                          <w:sz w:val="18"/>
                          <w:szCs w:val="18"/>
                        </w:rPr>
                        <w:t>80,000</w:t>
                      </w:r>
                    </w:p>
                    <w:p w14:paraId="39492BBF" w14:textId="77777777" w:rsidR="00596807" w:rsidRPr="00071A93" w:rsidRDefault="00596807" w:rsidP="00910C10">
                      <w:pPr>
                        <w:spacing w:before="100"/>
                        <w:jc w:val="right"/>
                        <w:rPr>
                          <w:sz w:val="18"/>
                          <w:szCs w:val="18"/>
                        </w:rPr>
                      </w:pPr>
                      <w:r>
                        <w:rPr>
                          <w:sz w:val="18"/>
                          <w:szCs w:val="18"/>
                        </w:rPr>
                        <w:t>60,000</w:t>
                      </w:r>
                    </w:p>
                    <w:p w14:paraId="47200438" w14:textId="77777777" w:rsidR="00596807" w:rsidRDefault="00596807" w:rsidP="00910C10">
                      <w:pPr>
                        <w:spacing w:before="80"/>
                        <w:jc w:val="right"/>
                        <w:rPr>
                          <w:sz w:val="18"/>
                          <w:szCs w:val="18"/>
                        </w:rPr>
                      </w:pPr>
                      <w:r>
                        <w:rPr>
                          <w:sz w:val="18"/>
                          <w:szCs w:val="18"/>
                        </w:rPr>
                        <w:t>4</w:t>
                      </w:r>
                      <w:r w:rsidRPr="00071A93">
                        <w:rPr>
                          <w:sz w:val="18"/>
                          <w:szCs w:val="18"/>
                        </w:rPr>
                        <w:t>0,000</w:t>
                      </w:r>
                    </w:p>
                    <w:p w14:paraId="324EBD46" w14:textId="77777777" w:rsidR="00596807" w:rsidRPr="00071A93" w:rsidRDefault="00596807" w:rsidP="00910C10">
                      <w:pPr>
                        <w:spacing w:before="100"/>
                        <w:jc w:val="right"/>
                        <w:rPr>
                          <w:sz w:val="18"/>
                          <w:szCs w:val="18"/>
                        </w:rPr>
                      </w:pPr>
                      <w:r>
                        <w:rPr>
                          <w:sz w:val="18"/>
                          <w:szCs w:val="18"/>
                        </w:rPr>
                        <w:t>20,000</w:t>
                      </w:r>
                    </w:p>
                    <w:p w14:paraId="11BFF39C" w14:textId="77777777" w:rsidR="00596807" w:rsidRDefault="00596807" w:rsidP="00910C10">
                      <w:pPr>
                        <w:jc w:val="right"/>
                      </w:pPr>
                      <w:r>
                        <w:rPr>
                          <w:sz w:val="18"/>
                          <w:szCs w:val="18"/>
                        </w:rPr>
                        <w:t>-</w:t>
                      </w:r>
                    </w:p>
                  </w:txbxContent>
                </v:textbox>
              </v:shape>
            </w:pict>
          </mc:Fallback>
        </mc:AlternateContent>
      </w:r>
      <w:r w:rsidRPr="00236418">
        <w:rPr>
          <w:noProof/>
          <w:lang w:val="en-US"/>
        </w:rPr>
        <mc:AlternateContent>
          <mc:Choice Requires="wps">
            <w:drawing>
              <wp:anchor distT="45720" distB="45720" distL="114300" distR="114300" simplePos="0" relativeHeight="251732992" behindDoc="0" locked="0" layoutInCell="1" allowOverlap="1" wp14:anchorId="7B2D5179" wp14:editId="149B99F4">
                <wp:simplePos x="0" y="0"/>
                <wp:positionH relativeFrom="column">
                  <wp:posOffset>3307715</wp:posOffset>
                </wp:positionH>
                <wp:positionV relativeFrom="paragraph">
                  <wp:posOffset>2227580</wp:posOffset>
                </wp:positionV>
                <wp:extent cx="570129" cy="336499"/>
                <wp:effectExtent l="0" t="0" r="1905" b="698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29" cy="336499"/>
                        </a:xfrm>
                        <a:prstGeom prst="rect">
                          <a:avLst/>
                        </a:prstGeom>
                        <a:solidFill>
                          <a:srgbClr val="FFFFFF"/>
                        </a:solidFill>
                        <a:ln w="9525">
                          <a:noFill/>
                          <a:miter lim="800000"/>
                          <a:headEnd/>
                          <a:tailEnd/>
                        </a:ln>
                      </wps:spPr>
                      <wps:txbx>
                        <w:txbxContent>
                          <w:p w14:paraId="0BF15E99" w14:textId="77777777" w:rsidR="00596807" w:rsidRPr="00845244" w:rsidRDefault="00596807" w:rsidP="00910C10">
                            <w:pPr>
                              <w:spacing w:before="40"/>
                              <w:jc w:val="center"/>
                              <w:rPr>
                                <w:sz w:val="16"/>
                                <w:szCs w:val="16"/>
                                <w:lang w:val="fr-CH"/>
                              </w:rPr>
                            </w:pPr>
                            <w:r>
                              <w:rPr>
                                <w:sz w:val="16"/>
                                <w:szCs w:val="16"/>
                                <w:lang w:val="fr-CH"/>
                              </w:rPr>
                              <w:t>Autres 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D5179" id="_x0000_s1050" type="#_x0000_t202" style="position:absolute;left:0;text-align:left;margin-left:260.45pt;margin-top:175.4pt;width:44.9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rmCQIAAO0DAAAOAAAAZHJzL2Uyb0RvYy54bWysU9tu2zAMfR+wfxD0vthJm64x4hRdugwD&#10;ugvQ7QNkWY6FyaJGKbGzrx8lO+kub8P0IFASeUgeHq3vhs6wo0KvwZZ8Pss5U1ZCre2+5F+/7F7d&#10;cuaDsLUwYFXJT8rzu83LF+veFWoBLZhaISMQ64velbwNwRVZ5mWrOuFn4JSlxwawE4GOuM9qFD2h&#10;dyZb5PlN1gPWDkEq7+n2YXzkm4TfNEqGT03jVWCm5FRbSDumvYp7tlmLYo/CtVpOZYh/qKIT2lLS&#10;C9SDCIIdUP8F1WmJ4KEJMwldBk2jpUo9UDfz/I9unlrhVOqFyPHuQpP/f7Dy4/HJfUYWhjcw0ABT&#10;E949gvzmmYVtK+xe3SNC3ypRU+J5pCzrnS+m0Ei1L3wEqfoPUNOQxSFAAhoa7CIr1CcjdBrA6UK6&#10;GgKTdLl8nc8XK84kPV1d3VyvVimDKM7BDn14p6Bj0Sg50kwTuDg++hCLEcXZJebyYHS908akA+6r&#10;rUF2FDT/XVoT+m9uxrK+5KvlYpmQLcT4JI1OB9Kn0V3Jb/O4RsVEMt7aOrkEoc1oUyXGTuxEQkZq&#10;wlANTNclX1zH4MhWBfWJ+EIY9Uj/h4wW8AdnPWmx5P77QaDizLy3xHkU7tnAs1GdDWElhZY8cDaa&#10;25AEHvu3cE+zaHTi6TnzVCNpKtE36T+K9tdz8nr+pZufAAAA//8DAFBLAwQUAAYACAAAACEAgc/5&#10;KuEAAAALAQAADwAAAGRycy9kb3ducmV2LnhtbEyPy07DMBBF90j8gzVIbBC1m9K0hEwqaOkOFn2o&#10;azc2SUQ8jmynSf8es4LlaI7uPTdfjaZlF+18YwlhOhHANJVWNVQhHA/bxyUwHyQp2VrSCFftYVXc&#10;3uQyU3agnb7sQ8ViCPlMItQhdBnnvqy1kX5iO03x92WdkSGeruLKySGGm5YnQqTcyIZiQy07va51&#10;+b3vDUK6cf2wo/XD5vj+IT+7Kjm9XU+I93fj6wuwoMfwB8OvflSHIjqdbU/KsxZhnojniCLM5iJu&#10;iEQ6FQtgZ4QnMVsCL3L+f0PxAwAA//8DAFBLAQItABQABgAIAAAAIQC2gziS/gAAAOEBAAATAAAA&#10;AAAAAAAAAAAAAAAAAABbQ29udGVudF9UeXBlc10ueG1sUEsBAi0AFAAGAAgAAAAhADj9If/WAAAA&#10;lAEAAAsAAAAAAAAAAAAAAAAALwEAAF9yZWxzLy5yZWxzUEsBAi0AFAAGAAgAAAAhALTJWuYJAgAA&#10;7QMAAA4AAAAAAAAAAAAAAAAALgIAAGRycy9lMm9Eb2MueG1sUEsBAi0AFAAGAAgAAAAhAIHP+Srh&#10;AAAACwEAAA8AAAAAAAAAAAAAAAAAYwQAAGRycy9kb3ducmV2LnhtbFBLBQYAAAAABAAEAPMAAABx&#10;BQAAAAA=&#10;" stroked="f">
                <v:textbox inset="0,0,0,0">
                  <w:txbxContent>
                    <w:p w14:paraId="0BF15E99" w14:textId="77777777" w:rsidR="00596807" w:rsidRPr="00845244" w:rsidRDefault="00596807" w:rsidP="00910C10">
                      <w:pPr>
                        <w:spacing w:before="40"/>
                        <w:jc w:val="center"/>
                        <w:rPr>
                          <w:sz w:val="16"/>
                          <w:szCs w:val="16"/>
                          <w:lang w:val="fr-CH"/>
                        </w:rPr>
                      </w:pPr>
                      <w:r>
                        <w:rPr>
                          <w:sz w:val="16"/>
                          <w:szCs w:val="16"/>
                          <w:lang w:val="fr-CH"/>
                        </w:rPr>
                        <w:t>Autres créances</w:t>
                      </w:r>
                    </w:p>
                  </w:txbxContent>
                </v:textbox>
              </v:shape>
            </w:pict>
          </mc:Fallback>
        </mc:AlternateContent>
      </w:r>
      <w:r w:rsidRPr="00236418">
        <w:rPr>
          <w:noProof/>
          <w:lang w:val="en-US"/>
        </w:rPr>
        <mc:AlternateContent>
          <mc:Choice Requires="wps">
            <w:drawing>
              <wp:anchor distT="45720" distB="45720" distL="114300" distR="114300" simplePos="0" relativeHeight="251735040" behindDoc="0" locked="0" layoutInCell="1" allowOverlap="1" wp14:anchorId="306DD705" wp14:editId="00DEA932">
                <wp:simplePos x="0" y="0"/>
                <wp:positionH relativeFrom="column">
                  <wp:posOffset>4656455</wp:posOffset>
                </wp:positionH>
                <wp:positionV relativeFrom="paragraph">
                  <wp:posOffset>2266315</wp:posOffset>
                </wp:positionV>
                <wp:extent cx="607161" cy="175564"/>
                <wp:effectExtent l="0" t="0" r="2540" b="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61" cy="175564"/>
                        </a:xfrm>
                        <a:prstGeom prst="rect">
                          <a:avLst/>
                        </a:prstGeom>
                        <a:solidFill>
                          <a:srgbClr val="FFFFFF"/>
                        </a:solidFill>
                        <a:ln w="9525">
                          <a:noFill/>
                          <a:miter lim="800000"/>
                          <a:headEnd/>
                          <a:tailEnd/>
                        </a:ln>
                      </wps:spPr>
                      <wps:txbx>
                        <w:txbxContent>
                          <w:p w14:paraId="45C6CC87" w14:textId="77777777" w:rsidR="00596807" w:rsidRPr="00845244" w:rsidRDefault="00596807" w:rsidP="00910C10">
                            <w:pPr>
                              <w:spacing w:before="40"/>
                              <w:jc w:val="center"/>
                              <w:rPr>
                                <w:sz w:val="16"/>
                                <w:szCs w:val="16"/>
                                <w:lang w:val="fr-CH"/>
                              </w:rPr>
                            </w:pPr>
                            <w:r>
                              <w:rPr>
                                <w:sz w:val="16"/>
                                <w:szCs w:val="16"/>
                                <w:lang w:val="fr-CH"/>
                              </w:rPr>
                              <w:t>Autres actifs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D705" id="_x0000_s1051" type="#_x0000_t202" style="position:absolute;left:0;text-align:left;margin-left:366.65pt;margin-top:178.45pt;width:47.8pt;height:13.8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gDCAIAAO0DAAAOAAAAZHJzL2Uyb0RvYy54bWysU9uO0zAQfUfiHyy/0yQV7S5R09XSpQhp&#10;WZAWPsBxnMbC8Zix22T5esZO2uXyhvCDNbZnzsycOd7cjL1hJ4Veg614scg5U1ZCo+2h4l+/7F9d&#10;c+aDsI0wYFXFn5TnN9uXLzaDK9USOjCNQkYg1peDq3gXgiuzzMtO9cIvwClLjy1gLwId8ZA1KAZC&#10;7022zPN1NgA2DkEq7+n2bnrk24TftkqGT23rVWCm4lRbSDumvY57tt2I8oDCdVrOZYh/qKIX2lLS&#10;C9SdCIIdUf8F1WuJ4KENCwl9Bm2rpUo9UDdF/kc3j51wKvVC5Hh3ocn/P1j5cHp0n5GF8S2MNMDU&#10;hHf3IL95ZmHXCXtQt4gwdEo0lLiIlGWD8+UcGqn2pY8g9fARGhqyOAZIQGOLfWSF+mSETgN4upCu&#10;xsAkXa7zq2JdcCbpqbhardavUwZRnoMd+vBeQc+iUXGkmSZwcbr3IRYjyrNLzOXB6GavjUkHPNQ7&#10;g+wkaP77tGb039yMZUPF36yWq4RsIcYnafQ6kD6N7it+ncc1KSaS8c42ySUIbSabKjF2ZicSMlET&#10;xnpkuqk4oVNAZKuG5on4Qpj0SP+HjA7wB2cDabHi/vtRoOLMfLDEeRTu2cCzUZ8NYSWFVjxwNpm7&#10;kAQe+7dwS7NodeLpOfNcI2kq0TfrP4r213Pyev6l258AAAD//wMAUEsDBBQABgAIAAAAIQCQpVrg&#10;4AAAAAsBAAAPAAAAZHJzL2Rvd25yZXYueG1sTI9NT4NAEIbvJv6HzZh4MXYRLCKyNNrqTQ+tTc9b&#10;dgQiO0vYpdB/73jS23w8eeeZYjXbTpxw8K0jBXeLCARS5UxLtYL959ttBsIHTUZ3jlDBGT2sysuL&#10;QufGTbTF0y7UgkPI51pBE0KfS+mrBq32C9cj8e7LDVYHbodamkFPHG47GUdRKq1uiS80usd1g9X3&#10;brQK0s0wTlta32z2r+/6o6/jw8v5oNT11fz8BCLgHP5g+NVndSjZ6ehGMl50Ch6SJGFUQbJMH0Ew&#10;kcUZF0eeZPdLkGUh//9Q/gAAAP//AwBQSwECLQAUAAYACAAAACEAtoM4kv4AAADhAQAAEwAAAAAA&#10;AAAAAAAAAAAAAAAAW0NvbnRlbnRfVHlwZXNdLnhtbFBLAQItABQABgAIAAAAIQA4/SH/1gAAAJQB&#10;AAALAAAAAAAAAAAAAAAAAC8BAABfcmVscy8ucmVsc1BLAQItABQABgAIAAAAIQBQsfgDCAIAAO0D&#10;AAAOAAAAAAAAAAAAAAAAAC4CAABkcnMvZTJvRG9jLnhtbFBLAQItABQABgAIAAAAIQCQpVrg4AAA&#10;AAsBAAAPAAAAAAAAAAAAAAAAAGIEAABkcnMvZG93bnJldi54bWxQSwUGAAAAAAQABADzAAAAbwUA&#10;AAAA&#10;" stroked="f">
                <v:textbox inset="0,0,0,0">
                  <w:txbxContent>
                    <w:p w14:paraId="45C6CC87" w14:textId="77777777" w:rsidR="00596807" w:rsidRPr="00845244" w:rsidRDefault="00596807" w:rsidP="00910C10">
                      <w:pPr>
                        <w:spacing w:before="40"/>
                        <w:jc w:val="center"/>
                        <w:rPr>
                          <w:sz w:val="16"/>
                          <w:szCs w:val="16"/>
                          <w:lang w:val="fr-CH"/>
                        </w:rPr>
                      </w:pPr>
                      <w:r>
                        <w:rPr>
                          <w:sz w:val="16"/>
                          <w:szCs w:val="16"/>
                          <w:lang w:val="fr-CH"/>
                        </w:rPr>
                        <w:t>Autres actifs</w:t>
                      </w:r>
                    </w:p>
                  </w:txbxContent>
                </v:textbox>
              </v:shape>
            </w:pict>
          </mc:Fallback>
        </mc:AlternateContent>
      </w:r>
      <w:r w:rsidRPr="00236418">
        <w:rPr>
          <w:noProof/>
          <w:lang w:val="en-US"/>
        </w:rPr>
        <mc:AlternateContent>
          <mc:Choice Requires="wps">
            <w:drawing>
              <wp:anchor distT="45720" distB="45720" distL="114300" distR="114300" simplePos="0" relativeHeight="251734016" behindDoc="0" locked="0" layoutInCell="1" allowOverlap="1" wp14:anchorId="790D967D" wp14:editId="19532383">
                <wp:simplePos x="0" y="0"/>
                <wp:positionH relativeFrom="column">
                  <wp:posOffset>3910330</wp:posOffset>
                </wp:positionH>
                <wp:positionV relativeFrom="paragraph">
                  <wp:posOffset>2252345</wp:posOffset>
                </wp:positionV>
                <wp:extent cx="709118" cy="460730"/>
                <wp:effectExtent l="0" t="0"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18" cy="460730"/>
                        </a:xfrm>
                        <a:prstGeom prst="rect">
                          <a:avLst/>
                        </a:prstGeom>
                        <a:solidFill>
                          <a:srgbClr val="FFFFFF"/>
                        </a:solidFill>
                        <a:ln w="9525">
                          <a:noFill/>
                          <a:miter lim="800000"/>
                          <a:headEnd/>
                          <a:tailEnd/>
                        </a:ln>
                      </wps:spPr>
                      <wps:txbx>
                        <w:txbxContent>
                          <w:p w14:paraId="76A132AD" w14:textId="77777777" w:rsidR="00596807" w:rsidRDefault="00596807" w:rsidP="00910C10">
                            <w:pPr>
                              <w:spacing w:before="40"/>
                              <w:jc w:val="center"/>
                              <w:rPr>
                                <w:sz w:val="16"/>
                                <w:szCs w:val="16"/>
                                <w:lang w:val="fr-CH"/>
                              </w:rPr>
                            </w:pPr>
                            <w:r>
                              <w:rPr>
                                <w:sz w:val="16"/>
                                <w:szCs w:val="16"/>
                                <w:lang w:val="fr-CH"/>
                              </w:rPr>
                              <w:t>Immobilisations</w:t>
                            </w:r>
                          </w:p>
                          <w:p w14:paraId="21221CAC" w14:textId="77777777" w:rsidR="00596807" w:rsidRPr="00845244" w:rsidRDefault="00596807" w:rsidP="00910C10">
                            <w:pPr>
                              <w:spacing w:before="0"/>
                              <w:jc w:val="center"/>
                              <w:rPr>
                                <w:sz w:val="16"/>
                                <w:szCs w:val="16"/>
                                <w:lang w:val="fr-CH"/>
                              </w:rPr>
                            </w:pPr>
                            <w:r>
                              <w:rPr>
                                <w:sz w:val="16"/>
                                <w:szCs w:val="16"/>
                                <w:lang w:val="fr-CH"/>
                              </w:rPr>
                              <w:t>corporelles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967D" id="_x0000_s1052" type="#_x0000_t202" style="position:absolute;left:0;text-align:left;margin-left:307.9pt;margin-top:177.35pt;width:55.85pt;height:36.3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neCAIAAO0DAAAOAAAAZHJzL2Uyb0RvYy54bWysU9tu2zAMfR+wfxD0vtjJ1rQ14hRdugwD&#10;ugvQ7QNkSY6FyaJGKbG7ry8lJ+nQvQ3Tg0BJ5CF5eLS6GXvLDhqDAVfz+azkTDsJyrhdzX983765&#10;4ixE4ZSw4HTNH3XgN+vXr1aDr/QCOrBKIyMQF6rB17yL0VdFEWSnexFm4LWjxxawF5GOuCsUioHQ&#10;e1ssynJZDIDKI0gdAt3eTY98nfHbVsv4tW2DjszWnGqLece8N2kv1itR7VD4zshjGeIfquiFcZT0&#10;DHUnomB7NH9B9UYiBGjjTEJfQNsaqXMP1M28fNHNQye8zr0QOcGfaQr/D1Z+OTz4b8ji+B5GGmBu&#10;Ivh7kD8Dc7DphNvpW0QYOi0UJZ4nyorBh+oYmqgOVUggzfAZFA1Z7CNkoLHFPrFCfTJCpwE8nknX&#10;Y2SSLi/L6/mcVCLp6d2yvHybh1KI6hTsMcSPGnqWjJojzTSDi8N9iKkYUZ1cUq4A1qitsTYfcNds&#10;LLKDoPlv88r1v3Czjg01v75YXGRkByk+S6M3kfRpTV/zqzKtSTGJjA9OZZcojJ1sqsS6IzuJkIma&#10;ODYjM6rmi2UKTmw1oB6JL4RJj/R/yOgAf3M2kBZrHn7tBWrO7CdHnCfhngw8Gc3JEE5SaM0jZ5O5&#10;iVngqX8HtzSL1mSenjMfayRNZfqO+k+i/fOcvZ5/6foJAAD//wMAUEsDBBQABgAIAAAAIQAeQCZG&#10;4QAAAAsBAAAPAAAAZHJzL2Rvd25yZXYueG1sTI9BT4NAEIXvJv6HzZh4MXYpLcUgS6Ot3uqhtel5&#10;y45AZGcJuxT67x1PenyZl2++l68n24oL9r5xpGA+i0Aglc40VCk4fr4/PoHwQZPRrSNUcEUP6+L2&#10;JteZcSPt8XIIlWAI+UwrqEPoMil9WaPVfuY6JL59ud7qwLGvpOn1yHDbyjiKVtLqhvhDrTvc1Fh+&#10;HwarYLXth3FPm4ft8W2nP7oqPr1eT0rd300vzyACTuGvDL/6rA4FO53dQMaLlhnzhNWDgkWyTEFw&#10;I43TBMRZwTJOFyCLXP7fUPwAAAD//wMAUEsBAi0AFAAGAAgAAAAhALaDOJL+AAAA4QEAABMAAAAA&#10;AAAAAAAAAAAAAAAAAFtDb250ZW50X1R5cGVzXS54bWxQSwECLQAUAAYACAAAACEAOP0h/9YAAACU&#10;AQAACwAAAAAAAAAAAAAAAAAvAQAAX3JlbHMvLnJlbHNQSwECLQAUAAYACAAAACEAKS953ggCAADt&#10;AwAADgAAAAAAAAAAAAAAAAAuAgAAZHJzL2Uyb0RvYy54bWxQSwECLQAUAAYACAAAACEAHkAmRuEA&#10;AAALAQAADwAAAAAAAAAAAAAAAABiBAAAZHJzL2Rvd25yZXYueG1sUEsFBgAAAAAEAAQA8wAAAHAF&#10;AAAAAA==&#10;" stroked="f">
                <v:textbox inset="0,0,0,0">
                  <w:txbxContent>
                    <w:p w14:paraId="76A132AD" w14:textId="77777777" w:rsidR="00596807" w:rsidRDefault="00596807" w:rsidP="00910C10">
                      <w:pPr>
                        <w:spacing w:before="40"/>
                        <w:jc w:val="center"/>
                        <w:rPr>
                          <w:sz w:val="16"/>
                          <w:szCs w:val="16"/>
                          <w:lang w:val="fr-CH"/>
                        </w:rPr>
                      </w:pPr>
                      <w:r>
                        <w:rPr>
                          <w:sz w:val="16"/>
                          <w:szCs w:val="16"/>
                          <w:lang w:val="fr-CH"/>
                        </w:rPr>
                        <w:t>Immobilisations</w:t>
                      </w:r>
                    </w:p>
                    <w:p w14:paraId="21221CAC" w14:textId="77777777" w:rsidR="00596807" w:rsidRPr="00845244" w:rsidRDefault="00596807" w:rsidP="00910C10">
                      <w:pPr>
                        <w:spacing w:before="0"/>
                        <w:jc w:val="center"/>
                        <w:rPr>
                          <w:sz w:val="16"/>
                          <w:szCs w:val="16"/>
                          <w:lang w:val="fr-CH"/>
                        </w:rPr>
                      </w:pPr>
                      <w:r>
                        <w:rPr>
                          <w:sz w:val="16"/>
                          <w:szCs w:val="16"/>
                          <w:lang w:val="fr-CH"/>
                        </w:rPr>
                        <w:t>corporelles</w:t>
                      </w:r>
                    </w:p>
                  </w:txbxContent>
                </v:textbox>
              </v:shape>
            </w:pict>
          </mc:Fallback>
        </mc:AlternateContent>
      </w:r>
      <w:r w:rsidRPr="00236418">
        <w:rPr>
          <w:noProof/>
          <w:lang w:val="en-US"/>
        </w:rPr>
        <mc:AlternateContent>
          <mc:Choice Requires="wps">
            <w:drawing>
              <wp:anchor distT="45720" distB="45720" distL="114300" distR="114300" simplePos="0" relativeHeight="251731968" behindDoc="0" locked="0" layoutInCell="1" allowOverlap="1" wp14:anchorId="25861F66" wp14:editId="256F587C">
                <wp:simplePos x="0" y="0"/>
                <wp:positionH relativeFrom="column">
                  <wp:posOffset>2637155</wp:posOffset>
                </wp:positionH>
                <wp:positionV relativeFrom="paragraph">
                  <wp:posOffset>2243455</wp:posOffset>
                </wp:positionV>
                <wp:extent cx="621792" cy="189865"/>
                <wp:effectExtent l="0" t="0" r="6985" b="6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189865"/>
                        </a:xfrm>
                        <a:prstGeom prst="rect">
                          <a:avLst/>
                        </a:prstGeom>
                        <a:solidFill>
                          <a:srgbClr val="FFFFFF"/>
                        </a:solidFill>
                        <a:ln w="9525">
                          <a:noFill/>
                          <a:miter lim="800000"/>
                          <a:headEnd/>
                          <a:tailEnd/>
                        </a:ln>
                      </wps:spPr>
                      <wps:txbx>
                        <w:txbxContent>
                          <w:p w14:paraId="34B2B5D9" w14:textId="77777777" w:rsidR="00596807" w:rsidRPr="00845244" w:rsidRDefault="00596807" w:rsidP="00910C10">
                            <w:pPr>
                              <w:spacing w:before="60"/>
                              <w:jc w:val="center"/>
                              <w:rPr>
                                <w:sz w:val="16"/>
                                <w:szCs w:val="16"/>
                                <w:lang w:val="fr-CH"/>
                              </w:rPr>
                            </w:pPr>
                            <w:r>
                              <w:rPr>
                                <w:sz w:val="16"/>
                                <w:szCs w:val="16"/>
                                <w:lang w:val="fr-CH"/>
                              </w:rP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61F66" id="_x0000_s1053" type="#_x0000_t202" style="position:absolute;left:0;text-align:left;margin-left:207.65pt;margin-top:176.65pt;width:48.95pt;height:14.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MKCAIAAO0DAAAOAAAAZHJzL2Uyb0RvYy54bWysU9tu2zAMfR+wfxD0vjgxkDQ14hRdugwD&#10;unVAtw+QZTkWJosapcTOvn6U7KS7vA3Tg0BJ5CF5eLS5GzrDTgq9BlvyxWzOmbISam0PJf/6Zf9m&#10;zZkPwtbCgFUlPyvP77avX216V6gcWjC1QkYg1he9K3kbgiuyzMtWdcLPwClLjw1gJwId8ZDVKHpC&#10;70yWz+errAesHYJU3tPtw/jItwm/aZQMT03jVWCm5FRbSDumvYp7tt2I4oDCtVpOZYh/qKIT2lLS&#10;K9SDCIIdUf8F1WmJ4KEJMwldBk2jpUo9UDeL+R/dPLfCqdQLkePdlSb//2Dlp9Oz+4wsDG9hoAGm&#10;Jrx7BPnNMwu7VtiDukeEvlWipsSLSFnWO19MoZFqX/gIUvUfoaYhi2OABDQ02EVWqE9G6DSA85V0&#10;NQQm6XKVL25uc84kPS3Wt+vVMmUQxSXYoQ/vFXQsGiVHmmkCF6dHH2Ixori4xFwejK732ph0wEO1&#10;M8hOgua/T2tC/83NWNaX/HaZLxOyhRifpNHpQPo0uiv5eh7XqJhIxjtbJ5cgtBltqsTYiZ1IyEhN&#10;GKqB6brk+U0MjmxVUJ+JL4RRj/R/yGgBf3DWkxZL7r8fBSrOzAdLnEfhXgy8GNXFEFZSaMkDZ6O5&#10;C0ngsX8L9zSLRieeXjJPNZKmEn2T/qNofz0nr5dfuv0JAAD//wMAUEsDBBQABgAIAAAAIQA39/EE&#10;4AAAAAsBAAAPAAAAZHJzL2Rvd25yZXYueG1sTI/NTsMwEITvSLyDtUhcEHV+SFWFOBW0cINDS9Xz&#10;NjZJRLyOYqdJ357lRG+zO6PZb4v1bDtxNoNvHSmIFxEIQ5XTLdUKDl/vjysQPiBp7BwZBRfjYV3e&#10;3hSYazfRzpz3oRZcQj5HBU0IfS6lrxpj0S9cb4i9bzdYDDwOtdQDTlxuO5lE0VJabIkvNNibTWOq&#10;n/1oFSy3wzjtaPOwPbx94GdfJ8fXy1Gp+7v55RlEMHP4D8MfPqNDyUwnN5L2olPwFGcpRxWkWcqC&#10;E1mcJiBOvFmxkGUhr38ofwEAAP//AwBQSwECLQAUAAYACAAAACEAtoM4kv4AAADhAQAAEwAAAAAA&#10;AAAAAAAAAAAAAAAAW0NvbnRlbnRfVHlwZXNdLnhtbFBLAQItABQABgAIAAAAIQA4/SH/1gAAAJQB&#10;AAALAAAAAAAAAAAAAAAAAC8BAABfcmVscy8ucmVsc1BLAQItABQABgAIAAAAIQD1JZMKCAIAAO0D&#10;AAAOAAAAAAAAAAAAAAAAAC4CAABkcnMvZTJvRG9jLnhtbFBLAQItABQABgAIAAAAIQA39/EE4AAA&#10;AAsBAAAPAAAAAAAAAAAAAAAAAGIEAABkcnMvZG93bnJldi54bWxQSwUGAAAAAAQABADzAAAAbwUA&#10;AAAA&#10;" stroked="f">
                <v:textbox inset="0,0,0,0">
                  <w:txbxContent>
                    <w:p w14:paraId="34B2B5D9" w14:textId="77777777" w:rsidR="00596807" w:rsidRPr="00845244" w:rsidRDefault="00596807" w:rsidP="00910C10">
                      <w:pPr>
                        <w:spacing w:before="60"/>
                        <w:jc w:val="center"/>
                        <w:rPr>
                          <w:sz w:val="16"/>
                          <w:szCs w:val="16"/>
                          <w:lang w:val="fr-CH"/>
                        </w:rPr>
                      </w:pPr>
                      <w:r>
                        <w:rPr>
                          <w:sz w:val="16"/>
                          <w:szCs w:val="16"/>
                          <w:lang w:val="fr-CH"/>
                        </w:rPr>
                        <w:t>Créances</w:t>
                      </w:r>
                    </w:p>
                  </w:txbxContent>
                </v:textbox>
              </v:shape>
            </w:pict>
          </mc:Fallback>
        </mc:AlternateContent>
      </w:r>
      <w:r w:rsidRPr="00236418">
        <w:rPr>
          <w:noProof/>
          <w:lang w:val="en-US"/>
        </w:rPr>
        <mc:AlternateContent>
          <mc:Choice Requires="wps">
            <w:drawing>
              <wp:anchor distT="45720" distB="45720" distL="114300" distR="114300" simplePos="0" relativeHeight="251730944" behindDoc="0" locked="0" layoutInCell="1" allowOverlap="1" wp14:anchorId="3BA24B03" wp14:editId="5C24943F">
                <wp:simplePos x="0" y="0"/>
                <wp:positionH relativeFrom="column">
                  <wp:posOffset>1997710</wp:posOffset>
                </wp:positionH>
                <wp:positionV relativeFrom="paragraph">
                  <wp:posOffset>2264410</wp:posOffset>
                </wp:positionV>
                <wp:extent cx="592429" cy="175564"/>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29" cy="175564"/>
                        </a:xfrm>
                        <a:prstGeom prst="rect">
                          <a:avLst/>
                        </a:prstGeom>
                        <a:solidFill>
                          <a:srgbClr val="FFFFFF"/>
                        </a:solidFill>
                        <a:ln w="9525">
                          <a:noFill/>
                          <a:miter lim="800000"/>
                          <a:headEnd/>
                          <a:tailEnd/>
                        </a:ln>
                      </wps:spPr>
                      <wps:txbx>
                        <w:txbxContent>
                          <w:p w14:paraId="46F7049F" w14:textId="77777777" w:rsidR="00596807" w:rsidRPr="00845244" w:rsidRDefault="00596807" w:rsidP="00910C10">
                            <w:pPr>
                              <w:spacing w:before="40"/>
                              <w:jc w:val="center"/>
                              <w:rPr>
                                <w:sz w:val="16"/>
                                <w:szCs w:val="16"/>
                                <w:lang w:val="fr-CH"/>
                              </w:rPr>
                            </w:pPr>
                            <w:r>
                              <w:rPr>
                                <w:sz w:val="16"/>
                                <w:szCs w:val="16"/>
                                <w:lang w:val="fr-CH"/>
                              </w:rPr>
                              <w:t>Placements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24B03" id="_x0000_s1054" type="#_x0000_t202" style="position:absolute;left:0;text-align:left;margin-left:157.3pt;margin-top:178.3pt;width:46.65pt;height:13.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J2CAIAAO0DAAAOAAAAZHJzL2Uyb0RvYy54bWysU9uO2yAQfa/Uf0C8N06szTax4qy22aaq&#10;tL1I234AxjhGxQwdSOz06ztgJ9vLW1Ue0AAzZ2bOHDZ3Q2fYSaHXYEu+mM05U1ZCre2h5F+/7F+t&#10;OPNB2FoYsKrkZ+X53fbli03vCpVDC6ZWyAjE+qJ3JW9DcEWWedmqTvgZOGXpsQHsRKAjHrIaRU/o&#10;ncny+fw26wFrhyCV93T7MD7ybcJvGiXDp6bxKjBTcqotpB3TXsU9225EcUDhWi2nMsQ/VNEJbSnp&#10;FepBBMGOqP+C6rRE8NCEmYQug6bRUqUeqJvF/I9unlrhVOqFyPHuSpP/f7Dy4+nJfUYWhjcw0ABT&#10;E949gvzmmYVdK+xB3SNC3ypRU+JFpCzrnS+m0Ei1L3wEqfoPUNOQxTFAAhoa7CIr1CcjdBrA+Uq6&#10;GgKTdLlc5zf5mjNJT4vXy+XtTcogikuwQx/eKehYNEqONNMELk6PPsRiRHFxibk8GF3vtTHpgIdq&#10;Z5CdBM1/n9aE/pubsawv+XqZLxOyhRifpNHpQPo0uiv5ah7XqJhIxltbJ5cgtBltqsTYiZ1IyEhN&#10;GKqB6brk+SoGR7YqqM/EF8KoR/o/ZLSAPzjrSYsl99+PAhVn5r0lzqNwLwZejOpiCCsptOSBs9Hc&#10;hSTw2L+Fe5pFoxNPz5mnGklTib5J/1G0v56T1/Mv3f4EAAD//wMAUEsDBBQABgAIAAAAIQBqrzuf&#10;4AAAAAsBAAAPAAAAZHJzL2Rvd25yZXYueG1sTI9BT8MwDIXvSPyHyEhcEEtXSreVphNscIPDxrRz&#10;1pi2onGqJl27f485we3Z7+n5c76ebCvO2PvGkYL5LAKBVDrTUKXg8Pl2vwThgyajW0eo4IIe1sX1&#10;Va4z40ba4XkfKsEl5DOtoA6hy6T0ZY1W+5nrkNj7cr3Vgce+kqbXI5fbVsZRlEqrG+ILte5wU2P5&#10;vR+sgnTbD+OONnfbw+u7/uiq+PhyOSp1ezM9P4EIOIW/MPziMzoUzHRyAxkvWgUP8yTlKIvHlAUn&#10;kmixAnHizTKJQRa5/P9D8QMAAP//AwBQSwECLQAUAAYACAAAACEAtoM4kv4AAADhAQAAEwAAAAAA&#10;AAAAAAAAAAAAAAAAW0NvbnRlbnRfVHlwZXNdLnhtbFBLAQItABQABgAIAAAAIQA4/SH/1gAAAJQB&#10;AAALAAAAAAAAAAAAAAAAAC8BAABfcmVscy8ucmVsc1BLAQItABQABgAIAAAAIQDVwAJ2CAIAAO0D&#10;AAAOAAAAAAAAAAAAAAAAAC4CAABkcnMvZTJvRG9jLnhtbFBLAQItABQABgAIAAAAIQBqrzuf4AAA&#10;AAsBAAAPAAAAAAAAAAAAAAAAAGIEAABkcnMvZG93bnJldi54bWxQSwUGAAAAAAQABADzAAAAbwUA&#10;AAAA&#10;" stroked="f">
                <v:textbox inset="0,0,0,0">
                  <w:txbxContent>
                    <w:p w14:paraId="46F7049F" w14:textId="77777777" w:rsidR="00596807" w:rsidRPr="00845244" w:rsidRDefault="00596807" w:rsidP="00910C10">
                      <w:pPr>
                        <w:spacing w:before="40"/>
                        <w:jc w:val="center"/>
                        <w:rPr>
                          <w:sz w:val="16"/>
                          <w:szCs w:val="16"/>
                          <w:lang w:val="fr-CH"/>
                        </w:rPr>
                      </w:pPr>
                      <w:r>
                        <w:rPr>
                          <w:sz w:val="16"/>
                          <w:szCs w:val="16"/>
                          <w:lang w:val="fr-CH"/>
                        </w:rPr>
                        <w:t>Placements</w:t>
                      </w:r>
                    </w:p>
                  </w:txbxContent>
                </v:textbox>
              </v:shape>
            </w:pict>
          </mc:Fallback>
        </mc:AlternateContent>
      </w:r>
      <w:r w:rsidRPr="00236418">
        <w:rPr>
          <w:noProof/>
          <w:lang w:val="en-US"/>
        </w:rPr>
        <mc:AlternateContent>
          <mc:Choice Requires="wps">
            <w:drawing>
              <wp:anchor distT="45720" distB="45720" distL="114300" distR="114300" simplePos="0" relativeHeight="251729920" behindDoc="0" locked="0" layoutInCell="1" allowOverlap="1" wp14:anchorId="02580CC8" wp14:editId="06EF0A9C">
                <wp:simplePos x="0" y="0"/>
                <wp:positionH relativeFrom="column">
                  <wp:posOffset>1283970</wp:posOffset>
                </wp:positionH>
                <wp:positionV relativeFrom="paragraph">
                  <wp:posOffset>2230120</wp:posOffset>
                </wp:positionV>
                <wp:extent cx="709574" cy="4387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74" cy="438785"/>
                        </a:xfrm>
                        <a:prstGeom prst="rect">
                          <a:avLst/>
                        </a:prstGeom>
                        <a:solidFill>
                          <a:srgbClr val="FFFFFF"/>
                        </a:solidFill>
                        <a:ln w="9525">
                          <a:noFill/>
                          <a:miter lim="800000"/>
                          <a:headEnd/>
                          <a:tailEnd/>
                        </a:ln>
                      </wps:spPr>
                      <wps:txbx>
                        <w:txbxContent>
                          <w:p w14:paraId="0D7929D9" w14:textId="77777777" w:rsidR="00596807" w:rsidRPr="00845244" w:rsidRDefault="00596807" w:rsidP="00910C10">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80CC8" id="_x0000_s1055" type="#_x0000_t202" style="position:absolute;left:0;text-align:left;margin-left:101.1pt;margin-top:175.6pt;width:55.85pt;height:34.5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FECQIAAO0DAAAOAAAAZHJzL2Uyb0RvYy54bWysU9uO2yAQfa/Uf0C8N3bSTZNYcVbbbFNV&#10;2l6kbT8AYxyjYoYOJHb69TvgJNvLW1Ue0AAzZ2bOHNa3Q2fYUaHXYEs+neScKSuh1nZf8m9fd6+W&#10;nPkgbC0MWFXyk/L8dvPyxbp3hZpBC6ZWyAjE+qJ3JW9DcEWWedmqTvgJOGXpsQHsRKAj7rMaRU/o&#10;nclmef4m6wFrhyCV93R7Pz7yTcJvGiXD56bxKjBTcqotpB3TXsU926xFsUfhWi3PZYh/qKIT2lLS&#10;K9S9CIIdUP8F1WmJ4KEJEwldBk2jpUo9UDfT/I9uHlvhVOqFyPHuSpP/f7Dy0/HRfUEWhrcw0ABT&#10;E949gPzumYVtK+xe3SFC3ypRU+JppCzrnS/OoZFqX/gIUvUfoaYhi0OABDQ02EVWqE9G6DSA05V0&#10;NQQm6XKRr+aLG84kPd28Xi6W85RBFJdghz68V9CxaJQcaaYJXBwffIjFiOLiEnN5MLreaWPSAffV&#10;1iA7Cpr/Lq0z+m9uxrK+5Kv5bJ6QLcT4JI1OB9Kn0V3Jl3lco2IiGe9snVyC0Ga0qRJjz+xEQkZq&#10;wlANTNcln61icGSrgvpEfCGMeqT/Q0YL+JOznrRYcv/jIFBxZj5Y4jwK92LgxaguhrCSQkseOBvN&#10;bUgCj/1buKNZNDrx9Jz5XCNpKtF31n8U7a/n5PX8SzdPAAAA//8DAFBLAwQUAAYACAAAACEAgNSw&#10;o+AAAAALAQAADwAAAGRycy9kb3ducmV2LnhtbEyPwU7DMAyG70i8Q2QkLoglTWGC0nSCDW5w2Jh2&#10;zprQVjROlaRr9/aYE9xs+dPv7y9Xs+vZyYbYeVSQLQQwi7U3HTYK9p9vtw/AYtJodO/RKjjbCKvq&#10;8qLUhfETbu1plxpGIRgLraBNaSg4j3VrnY4LP1ik25cPTidaQ8NN0BOFu55LIZbc6Q7pQ6sHu25t&#10;/b0bnYLlJozTFtc3m/3ru/4YGnl4OR+Uur6an5+AJTunPxh+9UkdKnI6+hFNZL0CKaQkVEF+n9FA&#10;RJ7lj8COCu6kyIFXJf/fofoBAAD//wMAUEsBAi0AFAAGAAgAAAAhALaDOJL+AAAA4QEAABMAAAAA&#10;AAAAAAAAAAAAAAAAAFtDb250ZW50X1R5cGVzXS54bWxQSwECLQAUAAYACAAAACEAOP0h/9YAAACU&#10;AQAACwAAAAAAAAAAAAAAAAAvAQAAX3JlbHMvLnJlbHNQSwECLQAUAAYACAAAACEAHQvBRAkCAADt&#10;AwAADgAAAAAAAAAAAAAAAAAuAgAAZHJzL2Uyb0RvYy54bWxQSwECLQAUAAYACAAAACEAgNSwo+AA&#10;AAALAQAADwAAAAAAAAAAAAAAAABjBAAAZHJzL2Rvd25yZXYueG1sUEsFBgAAAAAEAAQA8wAAAHAF&#10;AAAAAA==&#10;" stroked="f">
                <v:textbox inset="0,0,0,0">
                  <w:txbxContent>
                    <w:p w14:paraId="0D7929D9" w14:textId="77777777" w:rsidR="00596807" w:rsidRPr="00845244" w:rsidRDefault="00596807" w:rsidP="00910C10">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v:textbox>
              </v:shape>
            </w:pict>
          </mc:Fallback>
        </mc:AlternateContent>
      </w:r>
      <w:r w:rsidRPr="00236418">
        <w:rPr>
          <w:noProof/>
          <w:lang w:val="en-US"/>
        </w:rPr>
        <w:drawing>
          <wp:inline distT="0" distB="0" distL="0" distR="0" wp14:anchorId="1B76ADC3" wp14:editId="32F4C6F5">
            <wp:extent cx="4705350" cy="3033712"/>
            <wp:effectExtent l="0" t="0" r="0" b="14605"/>
            <wp:docPr id="48" name="Chart 4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E4CA1E" w14:textId="61A82EEB" w:rsidR="00DF6159" w:rsidRPr="00236418" w:rsidRDefault="00FC04EF" w:rsidP="009B3D24">
      <w:pPr>
        <w:spacing w:before="240"/>
        <w:rPr>
          <w:lang w:eastAsia="zh-CN"/>
        </w:rPr>
      </w:pPr>
      <w:r w:rsidRPr="00236418">
        <w:t>3</w:t>
      </w:r>
      <w:r w:rsidR="005F4C4E" w:rsidRPr="00236418">
        <w:t>2</w:t>
      </w:r>
      <w:r w:rsidR="00DF6159" w:rsidRPr="00236418">
        <w:tab/>
      </w:r>
      <w:r w:rsidR="00DF6159" w:rsidRPr="00236418">
        <w:rPr>
          <w:lang w:eastAsia="zh-CN"/>
        </w:rPr>
        <w:t>La comparaison de l'actif montre une situation stable. Depuis l'introduction, en 2015, des taux d'intérêts négatifs sur le franc suisse et l'euro, l'UIT a dû procéder à un réaménagement de la trésorerie. La situation des marchés financiers est restée inchangée en 201</w:t>
      </w:r>
      <w:r w:rsidRPr="00236418">
        <w:rPr>
          <w:lang w:eastAsia="zh-CN"/>
        </w:rPr>
        <w:t>9</w:t>
      </w:r>
      <w:r w:rsidR="00DF6159" w:rsidRPr="00236418">
        <w:rPr>
          <w:lang w:eastAsia="zh-CN"/>
        </w:rPr>
        <w:t>, ce qui explique le faible niveau des investissements par rapport à la trésor</w:t>
      </w:r>
      <w:r w:rsidR="00E53A00" w:rsidRPr="00236418">
        <w:rPr>
          <w:lang w:eastAsia="zh-CN"/>
        </w:rPr>
        <w:t>er</w:t>
      </w:r>
      <w:r w:rsidR="00DF6159" w:rsidRPr="00236418">
        <w:rPr>
          <w:lang w:eastAsia="zh-CN"/>
        </w:rPr>
        <w:t>ie et aux équivalents de trésorerie. Les investissements consistent principalement en des dépôts à court terme en USD.</w:t>
      </w:r>
    </w:p>
    <w:p w14:paraId="6064E0AE" w14:textId="47DC6B3C" w:rsidR="009A423B" w:rsidRPr="00236418" w:rsidRDefault="00FC04EF" w:rsidP="009B3D24">
      <w:pPr>
        <w:spacing w:before="240"/>
        <w:rPr>
          <w:lang w:eastAsia="zh-CN"/>
        </w:rPr>
      </w:pPr>
      <w:r w:rsidRPr="00236418">
        <w:rPr>
          <w:lang w:eastAsia="zh-CN"/>
        </w:rPr>
        <w:t>3</w:t>
      </w:r>
      <w:r w:rsidR="005F4C4E" w:rsidRPr="00236418">
        <w:rPr>
          <w:lang w:eastAsia="zh-CN"/>
        </w:rPr>
        <w:t>3</w:t>
      </w:r>
      <w:r w:rsidRPr="00236418">
        <w:rPr>
          <w:lang w:eastAsia="zh-CN"/>
        </w:rPr>
        <w:tab/>
      </w:r>
      <w:r w:rsidR="009A423B" w:rsidRPr="00236418">
        <w:rPr>
          <w:lang w:eastAsia="zh-CN"/>
        </w:rPr>
        <w:t>Les charges habituelles pour l'exécution du budget 2019 sont restées stables grâce à un suivi rigoureux du budget.</w:t>
      </w:r>
    </w:p>
    <w:p w14:paraId="6A2AAB13" w14:textId="272DC7A5" w:rsidR="00DF6159" w:rsidRPr="00236418" w:rsidRDefault="00DF6159" w:rsidP="009B3D24">
      <w:pPr>
        <w:pStyle w:val="Headingb"/>
        <w:spacing w:after="240"/>
        <w:rPr>
          <w:rFonts w:eastAsia="SimSun"/>
          <w:lang w:eastAsia="zh-CN"/>
        </w:rPr>
      </w:pPr>
      <w:bookmarkStart w:id="96" w:name="_Toc9605677"/>
      <w:bookmarkStart w:id="97" w:name="_Toc10450687"/>
      <w:bookmarkStart w:id="98" w:name="_Toc41566300"/>
      <w:bookmarkStart w:id="99" w:name="_Toc41814919"/>
      <w:r w:rsidRPr="00236418">
        <w:rPr>
          <w:rFonts w:eastAsia="SimSun"/>
          <w:lang w:eastAsia="zh-CN"/>
        </w:rPr>
        <w:t>Position financière: représentation du passif pour 201</w:t>
      </w:r>
      <w:bookmarkEnd w:id="96"/>
      <w:bookmarkEnd w:id="97"/>
      <w:r w:rsidR="00612B31" w:rsidRPr="00236418">
        <w:rPr>
          <w:rFonts w:eastAsia="SimSun"/>
          <w:lang w:eastAsia="zh-CN"/>
        </w:rPr>
        <w:t>9</w:t>
      </w:r>
      <w:bookmarkEnd w:id="98"/>
      <w:bookmarkEnd w:id="99"/>
    </w:p>
    <w:p w14:paraId="10EA4E14" w14:textId="515F6D03" w:rsidR="00612B31" w:rsidRPr="00236418" w:rsidRDefault="00612B31" w:rsidP="005C34CD">
      <w:pPr>
        <w:pStyle w:val="Figure"/>
        <w:keepNext w:val="0"/>
      </w:pPr>
      <w:r w:rsidRPr="00236418">
        <w:rPr>
          <w:noProof/>
          <w:lang w:val="en-US"/>
        </w:rPr>
        <w:drawing>
          <wp:inline distT="0" distB="0" distL="0" distR="0" wp14:anchorId="54E5F5BD" wp14:editId="151131D9">
            <wp:extent cx="4572000" cy="2852737"/>
            <wp:effectExtent l="0" t="0" r="0" b="5080"/>
            <wp:docPr id="49" name="Chart 4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C5411F" w14:textId="15879C0E" w:rsidR="00DF6159" w:rsidRPr="00236418" w:rsidRDefault="00DF6159" w:rsidP="009B3D24">
      <w:pPr>
        <w:pStyle w:val="Headingb"/>
        <w:spacing w:after="240"/>
        <w:rPr>
          <w:rFonts w:eastAsia="SimSun"/>
          <w:lang w:eastAsia="zh-CN"/>
        </w:rPr>
      </w:pPr>
      <w:bookmarkStart w:id="100" w:name="_Toc9605678"/>
      <w:bookmarkStart w:id="101" w:name="_Toc10450688"/>
      <w:bookmarkStart w:id="102" w:name="_Toc41566301"/>
      <w:bookmarkStart w:id="103" w:name="_Toc41814920"/>
      <w:r w:rsidRPr="00236418">
        <w:rPr>
          <w:rFonts w:eastAsia="SimSun"/>
          <w:lang w:eastAsia="zh-CN"/>
        </w:rPr>
        <w:lastRenderedPageBreak/>
        <w:t>Comparaison du passif: le passif au 31 décembre 201</w:t>
      </w:r>
      <w:r w:rsidR="00612B31" w:rsidRPr="00236418">
        <w:rPr>
          <w:rFonts w:eastAsia="SimSun"/>
          <w:lang w:eastAsia="zh-CN"/>
        </w:rPr>
        <w:t>9</w:t>
      </w:r>
      <w:r w:rsidRPr="00236418">
        <w:rPr>
          <w:rFonts w:eastAsia="SimSun"/>
          <w:lang w:eastAsia="zh-CN"/>
        </w:rPr>
        <w:t xml:space="preserve"> s'établissait au total à 8</w:t>
      </w:r>
      <w:r w:rsidR="00612B31" w:rsidRPr="00236418">
        <w:rPr>
          <w:rFonts w:eastAsia="SimSun"/>
          <w:lang w:eastAsia="zh-CN"/>
        </w:rPr>
        <w:t>68</w:t>
      </w:r>
      <w:r w:rsidRPr="00236418">
        <w:rPr>
          <w:rFonts w:eastAsia="SimSun"/>
          <w:lang w:eastAsia="zh-CN"/>
        </w:rPr>
        <w:t> </w:t>
      </w:r>
      <w:r w:rsidR="00612B31" w:rsidRPr="00236418">
        <w:rPr>
          <w:rFonts w:eastAsia="SimSun"/>
          <w:lang w:eastAsia="zh-CN"/>
        </w:rPr>
        <w:t>116</w:t>
      </w:r>
      <w:r w:rsidRPr="00236418">
        <w:rPr>
          <w:rFonts w:eastAsia="SimSun"/>
          <w:lang w:eastAsia="zh-CN"/>
        </w:rPr>
        <w:t xml:space="preserve"> CHF</w:t>
      </w:r>
      <w:bookmarkEnd w:id="100"/>
      <w:bookmarkEnd w:id="101"/>
      <w:bookmarkEnd w:id="102"/>
      <w:bookmarkEnd w:id="103"/>
    </w:p>
    <w:p w14:paraId="0C9250ED" w14:textId="18689016" w:rsidR="00612B31" w:rsidRPr="00236418" w:rsidRDefault="00612B31" w:rsidP="009B3D24">
      <w:pPr>
        <w:pStyle w:val="Figure"/>
      </w:pPr>
      <w:r w:rsidRPr="00236418">
        <w:rPr>
          <w:noProof/>
          <w:lang w:val="en-US"/>
        </w:rPr>
        <mc:AlternateContent>
          <mc:Choice Requires="wps">
            <w:drawing>
              <wp:anchor distT="45720" distB="45720" distL="114300" distR="114300" simplePos="0" relativeHeight="251691008" behindDoc="0" locked="0" layoutInCell="1" allowOverlap="1" wp14:anchorId="2FD92791" wp14:editId="28CD03E9">
                <wp:simplePos x="0" y="0"/>
                <wp:positionH relativeFrom="column">
                  <wp:posOffset>4641850</wp:posOffset>
                </wp:positionH>
                <wp:positionV relativeFrom="paragraph">
                  <wp:posOffset>2114550</wp:posOffset>
                </wp:positionV>
                <wp:extent cx="555828" cy="292608"/>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28" cy="292608"/>
                        </a:xfrm>
                        <a:prstGeom prst="rect">
                          <a:avLst/>
                        </a:prstGeom>
                        <a:solidFill>
                          <a:srgbClr val="FFFFFF"/>
                        </a:solidFill>
                        <a:ln w="9525">
                          <a:noFill/>
                          <a:miter lim="800000"/>
                          <a:headEnd/>
                          <a:tailEnd/>
                        </a:ln>
                      </wps:spPr>
                      <wps:txbx>
                        <w:txbxContent>
                          <w:p w14:paraId="27019484" w14:textId="77777777" w:rsidR="00596807" w:rsidRPr="00845244" w:rsidRDefault="00596807" w:rsidP="00DF6159">
                            <w:pPr>
                              <w:spacing w:before="0"/>
                              <w:jc w:val="center"/>
                              <w:rPr>
                                <w:sz w:val="16"/>
                                <w:szCs w:val="16"/>
                                <w:lang w:val="fr-CH"/>
                              </w:rPr>
                            </w:pPr>
                            <w:r>
                              <w:rPr>
                                <w:sz w:val="16"/>
                                <w:szCs w:val="16"/>
                                <w:lang w:val="fr-CH"/>
                              </w:rPr>
                              <w:t xml:space="preserve">Fonds </w:t>
                            </w:r>
                            <w:r>
                              <w:rPr>
                                <w:sz w:val="16"/>
                                <w:szCs w:val="16"/>
                                <w:lang w:val="fr-CH"/>
                              </w:rPr>
                              <w:br/>
                              <w:t>de tiers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92791" id="_x0000_s1056" type="#_x0000_t202" style="position:absolute;left:0;text-align:left;margin-left:365.5pt;margin-top:166.5pt;width:43.75pt;height:23.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QkBgIAAO0DAAAOAAAAZHJzL2Uyb0RvYy54bWysU9uO2yAQfa/Uf0C8N3ZcZZW14qy22aaq&#10;tL1I234AxjhGxQwdSOz06ztgJ9vLW1Ue0AAzZ2bOHDZ3Y2/YSaHXYCu+XOScKSuh0fZQ8a9f9q/W&#10;nPkgbCMMWFXxs/L8bvvyxWZwpSqgA9MoZARifTm4inchuDLLvOxUL/wCnLL02AL2ItARD1mDYiD0&#10;3mRFnt9kA2DjEKTynm4fpke+Tfhtq2T41LZeBWYqTrWFtGPa67hn240oDyhcp+VchviHKnqhLSW9&#10;Qj2IINgR9V9QvZYIHtqwkNBn0LZaqtQDdbPM/+jmqRNOpV6IHO+uNPn/Bys/np7cZ2RhfAMjDTA1&#10;4d0jyG+eWdh1wh7UPSIMnRINJV5GyrLB+XIOjVT70keQevgADQ1ZHAMkoLHFPrJCfTJCpwGcr6Sr&#10;MTBJl6vVal2QSiQ9FbfFTb5OGUR5CXbowzsFPYtGxZFmmsDF6dGHWIwoLy4xlwejm702Jh3wUO8M&#10;spOg+e/TmtF/czOWDRW/XRWrhGwhxidp9DqQPo3uK77O45oUE8l4a5vkEoQ2k02VGDuzEwmZqAlj&#10;PTLdVPx1Co5s1dCciS+ESY/0f8joAH9wNpAWK+6/HwUqzsx7S5xH4V4MvBj1xRBWUmjFA2eTuQtJ&#10;4LF/C/c0i1Ynnp4zzzWSphJ9s/6jaH89J6/nX7r9CQAA//8DAFBLAwQUAAYACAAAACEAdScuGOEA&#10;AAALAQAADwAAAGRycy9kb3ducmV2LnhtbEyPQU/DMAyF70j8h8hIXBBLu4qtdE0n2OAGh41p56zx&#10;2orGqZp07f495gQ32+/p+Xv5erKtuGDvG0cK4lkEAql0pqFKweHr/TEF4YMmo1tHqOCKHtbF7U2u&#10;M+NG2uFlHyrBIeQzraAOocuk9GWNVvuZ65BYO7ve6sBrX0nT65HDbSvnUbSQVjfEH2rd4abG8ns/&#10;WAWLbT+MO9o8bA9vH/qzq+bH1+tRqfu76WUFIuAU/szwi8/oUDDTyQ1kvGgVLJOYuwQFSZLwwI40&#10;Tp9AnPiyfI5BFrn836H4AQAA//8DAFBLAQItABQABgAIAAAAIQC2gziS/gAAAOEBAAATAAAAAAAA&#10;AAAAAAAAAAAAAABbQ29udGVudF9UeXBlc10ueG1sUEsBAi0AFAAGAAgAAAAhADj9If/WAAAAlAEA&#10;AAsAAAAAAAAAAAAAAAAALwEAAF9yZWxzLy5yZWxzUEsBAi0AFAAGAAgAAAAhAObfhCQGAgAA7QMA&#10;AA4AAAAAAAAAAAAAAAAALgIAAGRycy9lMm9Eb2MueG1sUEsBAi0AFAAGAAgAAAAhAHUnLhjhAAAA&#10;CwEAAA8AAAAAAAAAAAAAAAAAYAQAAGRycy9kb3ducmV2LnhtbFBLBQYAAAAABAAEAPMAAABuBQAA&#10;AAA=&#10;" stroked="f">
                <v:textbox inset="0,0,0,0">
                  <w:txbxContent>
                    <w:p w14:paraId="27019484" w14:textId="77777777" w:rsidR="00596807" w:rsidRPr="00845244" w:rsidRDefault="00596807" w:rsidP="00DF6159">
                      <w:pPr>
                        <w:spacing w:before="0"/>
                        <w:jc w:val="center"/>
                        <w:rPr>
                          <w:sz w:val="16"/>
                          <w:szCs w:val="16"/>
                          <w:lang w:val="fr-CH"/>
                        </w:rPr>
                      </w:pPr>
                      <w:r>
                        <w:rPr>
                          <w:sz w:val="16"/>
                          <w:szCs w:val="16"/>
                          <w:lang w:val="fr-CH"/>
                        </w:rPr>
                        <w:t xml:space="preserve">Fonds </w:t>
                      </w:r>
                      <w:r>
                        <w:rPr>
                          <w:sz w:val="16"/>
                          <w:szCs w:val="16"/>
                          <w:lang w:val="fr-CH"/>
                        </w:rPr>
                        <w:br/>
                        <w:t>de tiers</w:t>
                      </w:r>
                    </w:p>
                  </w:txbxContent>
                </v:textbox>
              </v:shape>
            </w:pict>
          </mc:Fallback>
        </mc:AlternateContent>
      </w:r>
      <w:r w:rsidRPr="00236418">
        <w:rPr>
          <w:noProof/>
          <w:lang w:val="en-US"/>
        </w:rPr>
        <mc:AlternateContent>
          <mc:Choice Requires="wps">
            <w:drawing>
              <wp:anchor distT="45720" distB="45720" distL="114300" distR="114300" simplePos="0" relativeHeight="251689984" behindDoc="0" locked="0" layoutInCell="1" allowOverlap="1" wp14:anchorId="10894F74" wp14:editId="7ACCA013">
                <wp:simplePos x="0" y="0"/>
                <wp:positionH relativeFrom="column">
                  <wp:posOffset>3954145</wp:posOffset>
                </wp:positionH>
                <wp:positionV relativeFrom="paragraph">
                  <wp:posOffset>2113280</wp:posOffset>
                </wp:positionV>
                <wp:extent cx="621335" cy="431470"/>
                <wp:effectExtent l="0" t="0" r="7620" b="698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35" cy="431470"/>
                        </a:xfrm>
                        <a:prstGeom prst="rect">
                          <a:avLst/>
                        </a:prstGeom>
                        <a:solidFill>
                          <a:srgbClr val="FFFFFF"/>
                        </a:solidFill>
                        <a:ln w="9525">
                          <a:noFill/>
                          <a:miter lim="800000"/>
                          <a:headEnd/>
                          <a:tailEnd/>
                        </a:ln>
                      </wps:spPr>
                      <wps:txbx>
                        <w:txbxContent>
                          <w:p w14:paraId="03EB943E" w14:textId="77777777" w:rsidR="00596807" w:rsidRPr="00845244" w:rsidRDefault="00596807" w:rsidP="00DF6159">
                            <w:pPr>
                              <w:spacing w:before="0"/>
                              <w:jc w:val="center"/>
                              <w:rPr>
                                <w:sz w:val="16"/>
                                <w:szCs w:val="16"/>
                                <w:lang w:val="fr-CH"/>
                              </w:rPr>
                            </w:pPr>
                            <w:r>
                              <w:rPr>
                                <w:sz w:val="16"/>
                                <w:szCs w:val="16"/>
                                <w:lang w:val="fr-CH"/>
                              </w:rPr>
                              <w:t xml:space="preserve">Avantages </w:t>
                            </w:r>
                            <w:r>
                              <w:rPr>
                                <w:sz w:val="16"/>
                                <w:szCs w:val="16"/>
                                <w:lang w:val="fr-CH"/>
                              </w:rPr>
                              <w:br/>
                              <w:t>accordés au</w:t>
                            </w:r>
                            <w:r>
                              <w:rPr>
                                <w:sz w:val="16"/>
                                <w:szCs w:val="16"/>
                                <w:lang w:val="fr-CH"/>
                              </w:rPr>
                              <w:b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94F74" id="_x0000_s1057" type="#_x0000_t202" style="position:absolute;left:0;text-align:left;margin-left:311.35pt;margin-top:166.4pt;width:48.9pt;height:3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i4CAIAAO0DAAAOAAAAZHJzL2Uyb0RvYy54bWysU9tu2zAMfR+wfxD0vjiXpuuMOEWXLsOA&#10;7gJ0+wBZlmNhkqhRSuzs60vJSTp0b8P0IFASeUgeHq1uB2vYQWHQ4Co+m0w5U05Co92u4j++b9/c&#10;cBaicI0w4FTFjyrw2/XrV6vel2oOHZhGISMQF8reV7yL0ZdFEWSnrAgT8MrRYwtoRaQj7ooGRU/o&#10;1hTz6fS66AEbjyBVCHR7Pz7ydcZvWyXj17YNKjJTcaot5h3zXqe9WK9EuUPhOy1PZYh/qMIK7Sjp&#10;BepeRMH2qP+CsloiBGjjRIItoG21VLkH6mY2fdHNYye8yr0QOcFfaAr/D1Z+OTz6b8ji8B4GGmBu&#10;IvgHkD8Dc7DphNupO0ToOyUaSjxLlBW9D+UpNFEdypBA6v4zNDRksY+QgYYWbWKF+mSETgM4XkhX&#10;Q2SSLq/ns8ViyZmkp6vF7OptHkohynOwxxA/KrAsGRVHmmkGF4eHEFMxojy7pFwBjG622ph8wF29&#10;McgOgua/zSvX/8LNONZX/N1yvszIDlJ8lobVkfRptK34zTStUTGJjA+uyS5RaDPaVIlxJ3YSISM1&#10;cagHppuKLzJ3ia0amiPxhTDqkf4PGR3gb8560mLFw6+9QMWZ+eSI8yTcs4Fnoz4bwkkKrXjkbDQ3&#10;MQs89e/gjmbR6szTc+ZTjaSpTN9J/0m0f56z1/MvXT8BAAD//wMAUEsDBBQABgAIAAAAIQDLD8Q4&#10;4AAAAAsBAAAPAAAAZHJzL2Rvd25yZXYueG1sTI/BTsMwEETvSPyDtUhcELVxoUFpnApauMGhperZ&#10;jd0kIl5HttOkf89yguNqn97MFKvJdexsQ2w9KniYCWAWK29arBXsv97vn4HFpNHozqNVcLERVuX1&#10;VaFz40fc2vMu1YwkGHOtoEmpzzmPVWOdjjPfW6TfyQenE52h5ibokeSu41KIBXe6RUpodG/Xja2+&#10;d4NTsNiEYdzi+m6zf/vQn30tD6+Xg1K3N9PLEliyU/qD4bc+VYeSOh39gCayjhxSZoQqmM8lbSAi&#10;k+IJ2FHBoxAZ8LLg/zeUPwAAAP//AwBQSwECLQAUAAYACAAAACEAtoM4kv4AAADhAQAAEwAAAAAA&#10;AAAAAAAAAAAAAAAAW0NvbnRlbnRfVHlwZXNdLnhtbFBLAQItABQABgAIAAAAIQA4/SH/1gAAAJQB&#10;AAALAAAAAAAAAAAAAAAAAC8BAABfcmVscy8ucmVsc1BLAQItABQABgAIAAAAIQBcZTi4CAIAAO0D&#10;AAAOAAAAAAAAAAAAAAAAAC4CAABkcnMvZTJvRG9jLnhtbFBLAQItABQABgAIAAAAIQDLD8Q44AAA&#10;AAsBAAAPAAAAAAAAAAAAAAAAAGIEAABkcnMvZG93bnJldi54bWxQSwUGAAAAAAQABADzAAAAbwUA&#10;AAAA&#10;" stroked="f">
                <v:textbox inset="0,0,0,0">
                  <w:txbxContent>
                    <w:p w14:paraId="03EB943E" w14:textId="77777777" w:rsidR="00596807" w:rsidRPr="00845244" w:rsidRDefault="00596807" w:rsidP="00DF6159">
                      <w:pPr>
                        <w:spacing w:before="0"/>
                        <w:jc w:val="center"/>
                        <w:rPr>
                          <w:sz w:val="16"/>
                          <w:szCs w:val="16"/>
                          <w:lang w:val="fr-CH"/>
                        </w:rPr>
                      </w:pPr>
                      <w:r>
                        <w:rPr>
                          <w:sz w:val="16"/>
                          <w:szCs w:val="16"/>
                          <w:lang w:val="fr-CH"/>
                        </w:rPr>
                        <w:t xml:space="preserve">Avantages </w:t>
                      </w:r>
                      <w:r>
                        <w:rPr>
                          <w:sz w:val="16"/>
                          <w:szCs w:val="16"/>
                          <w:lang w:val="fr-CH"/>
                        </w:rPr>
                        <w:br/>
                        <w:t>accordés au</w:t>
                      </w:r>
                      <w:r>
                        <w:rPr>
                          <w:sz w:val="16"/>
                          <w:szCs w:val="16"/>
                          <w:lang w:val="fr-CH"/>
                        </w:rPr>
                        <w:br/>
                        <w:t>personnel</w:t>
                      </w:r>
                    </w:p>
                  </w:txbxContent>
                </v:textbox>
              </v:shape>
            </w:pict>
          </mc:Fallback>
        </mc:AlternateContent>
      </w:r>
      <w:r w:rsidRPr="00236418">
        <w:rPr>
          <w:noProof/>
          <w:lang w:val="en-US"/>
        </w:rPr>
        <mc:AlternateContent>
          <mc:Choice Requires="wps">
            <w:drawing>
              <wp:anchor distT="45720" distB="45720" distL="114300" distR="114300" simplePos="0" relativeHeight="251688960" behindDoc="0" locked="0" layoutInCell="1" allowOverlap="1" wp14:anchorId="397FF97E" wp14:editId="66601B6F">
                <wp:simplePos x="0" y="0"/>
                <wp:positionH relativeFrom="column">
                  <wp:posOffset>3293110</wp:posOffset>
                </wp:positionH>
                <wp:positionV relativeFrom="paragraph">
                  <wp:posOffset>2111375</wp:posOffset>
                </wp:positionV>
                <wp:extent cx="585216" cy="182880"/>
                <wp:effectExtent l="0" t="0" r="5715" b="762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82880"/>
                        </a:xfrm>
                        <a:prstGeom prst="rect">
                          <a:avLst/>
                        </a:prstGeom>
                        <a:solidFill>
                          <a:srgbClr val="FFFFFF"/>
                        </a:solidFill>
                        <a:ln w="9525">
                          <a:noFill/>
                          <a:miter lim="800000"/>
                          <a:headEnd/>
                          <a:tailEnd/>
                        </a:ln>
                      </wps:spPr>
                      <wps:txbx>
                        <w:txbxContent>
                          <w:p w14:paraId="20F3CE70" w14:textId="77777777" w:rsidR="00596807" w:rsidRPr="00845244" w:rsidRDefault="00596807" w:rsidP="00DF6159">
                            <w:pPr>
                              <w:spacing w:before="0"/>
                              <w:jc w:val="center"/>
                              <w:rPr>
                                <w:sz w:val="16"/>
                                <w:szCs w:val="16"/>
                                <w:lang w:val="fr-CH"/>
                              </w:rPr>
                            </w:pPr>
                            <w:r>
                              <w:rPr>
                                <w:sz w:val="16"/>
                                <w:szCs w:val="16"/>
                                <w:lang w:val="fr-CH"/>
                              </w:rPr>
                              <w:t>Emprunts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F97E" id="_x0000_s1058" type="#_x0000_t202" style="position:absolute;left:0;text-align:left;margin-left:259.3pt;margin-top:166.25pt;width:46.1pt;height:14.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zBwIAAO0DAAAOAAAAZHJzL2Uyb0RvYy54bWysU8GO0zAQvSPxD5bvNG1QVyFqulq6FCEt&#10;LNLCBziO01g4HjN2m5SvZ+ykXbTcED5YY3vmzcyb583t2Bt2Uug12IqvFkvOlJXQaHuo+Pdv+zcF&#10;Zz4I2wgDVlX8rDy/3b5+tRlcqXLowDQKGYFYXw6u4l0IrswyLzvVC78Apyw9toC9CHTEQ9agGAi9&#10;N1m+XN5kA2DjEKTynm7vp0e+Tfhtq2R4bFuvAjMVp9pC2jHtddyz7UaUBxSu03IuQ/xDFb3QlpJe&#10;oe5FEOyI+i+oXksED21YSOgzaFstVeqBulktX3Tz1AmnUi9EjndXmvz/g5VfTk/uK7IwvoeRBpia&#10;8O4B5A/PLOw6YQ/qDhGGTomGEq8iZdngfDmHRqp96SNIPXyGhoYsjgES0NhiH1mhPhmh0wDOV9LV&#10;GJiky3Wxzlc3nEl6WhV5UaShZKK8BDv04aOCnkWj4kgzTeDi9OBDLEaUF5eYy4PRzV4bkw54qHcG&#10;2UnQ/PdppfpfuBnLhoq/W+frhGwhxidp9DqQPo3uK14s45oUE8n4YJvkEoQ2k02VGDuzEwmZqAlj&#10;PTLdVPxtHoMjWzU0Z+ILYdIj/R8yOsBfnA2kxYr7n0eBijPzyRLnUbgXAy9GfTGElRRa8cDZZO5C&#10;Enjs38IdzaLViafnzHONpKlE36z/KNo/z8nr+ZdufwMAAP//AwBQSwMEFAAGAAgAAAAhAJxa+wng&#10;AAAACwEAAA8AAABkcnMvZG93bnJldi54bWxMj8tOwzAQRfdI/IM1SGwQdR6qVYU4FbSwg0VL1bUb&#10;u0nUeBzZTpP+PcMKljNzdOfccj3bnl2ND51DCekiAWawdrrDRsLh++N5BSxEhVr1Do2Emwmwru7v&#10;SlVoN+HOXPexYRSCoVAS2hiHgvNQt8aqsHCDQbqdnbcq0ugbrr2aKNz2PEsSwa3qkD60ajCb1tSX&#10;/WgliK0fpx1unraH90/1NTTZ8e12lPLxYX59ARbNHP9g+NUndajI6eRG1IH1EpbpShAqIc+zJTAi&#10;RJpQmRNtRJoDr0r+v0P1AwAA//8DAFBLAQItABQABgAIAAAAIQC2gziS/gAAAOEBAAATAAAAAAAA&#10;AAAAAAAAAAAAAABbQ29udGVudF9UeXBlc10ueG1sUEsBAi0AFAAGAAgAAAAhADj9If/WAAAAlAEA&#10;AAsAAAAAAAAAAAAAAAAALwEAAF9yZWxzLy5yZWxzUEsBAi0AFAAGAAgAAAAhAKJV77MHAgAA7QMA&#10;AA4AAAAAAAAAAAAAAAAALgIAAGRycy9lMm9Eb2MueG1sUEsBAi0AFAAGAAgAAAAhAJxa+wngAAAA&#10;CwEAAA8AAAAAAAAAAAAAAAAAYQQAAGRycy9kb3ducmV2LnhtbFBLBQYAAAAABAAEAPMAAABuBQAA&#10;AAA=&#10;" stroked="f">
                <v:textbox inset="0,0,0,0">
                  <w:txbxContent>
                    <w:p w14:paraId="20F3CE70" w14:textId="77777777" w:rsidR="00596807" w:rsidRPr="00845244" w:rsidRDefault="00596807" w:rsidP="00DF6159">
                      <w:pPr>
                        <w:spacing w:before="0"/>
                        <w:jc w:val="center"/>
                        <w:rPr>
                          <w:sz w:val="16"/>
                          <w:szCs w:val="16"/>
                          <w:lang w:val="fr-CH"/>
                        </w:rPr>
                      </w:pPr>
                      <w:r>
                        <w:rPr>
                          <w:sz w:val="16"/>
                          <w:szCs w:val="16"/>
                          <w:lang w:val="fr-CH"/>
                        </w:rPr>
                        <w:t>Emprunts</w:t>
                      </w:r>
                    </w:p>
                  </w:txbxContent>
                </v:textbox>
              </v:shape>
            </w:pict>
          </mc:Fallback>
        </mc:AlternateContent>
      </w:r>
      <w:r w:rsidRPr="00236418">
        <w:rPr>
          <w:noProof/>
          <w:lang w:val="en-US"/>
        </w:rPr>
        <mc:AlternateContent>
          <mc:Choice Requires="wps">
            <w:drawing>
              <wp:anchor distT="45720" distB="45720" distL="114300" distR="114300" simplePos="0" relativeHeight="251687936" behindDoc="0" locked="0" layoutInCell="1" allowOverlap="1" wp14:anchorId="11135BDA" wp14:editId="65BCD5F3">
                <wp:simplePos x="0" y="0"/>
                <wp:positionH relativeFrom="column">
                  <wp:posOffset>2695575</wp:posOffset>
                </wp:positionH>
                <wp:positionV relativeFrom="paragraph">
                  <wp:posOffset>2106295</wp:posOffset>
                </wp:positionV>
                <wp:extent cx="504292" cy="329184"/>
                <wp:effectExtent l="0" t="0" r="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92" cy="329184"/>
                        </a:xfrm>
                        <a:prstGeom prst="rect">
                          <a:avLst/>
                        </a:prstGeom>
                        <a:solidFill>
                          <a:srgbClr val="FFFFFF"/>
                        </a:solidFill>
                        <a:ln w="9525">
                          <a:noFill/>
                          <a:miter lim="800000"/>
                          <a:headEnd/>
                          <a:tailEnd/>
                        </a:ln>
                      </wps:spPr>
                      <wps:txbx>
                        <w:txbxContent>
                          <w:p w14:paraId="66775E22" w14:textId="77777777" w:rsidR="00596807" w:rsidRPr="00845244" w:rsidRDefault="00596807" w:rsidP="00DF6159">
                            <w:pPr>
                              <w:spacing w:before="0"/>
                              <w:jc w:val="center"/>
                              <w:rPr>
                                <w:sz w:val="16"/>
                                <w:szCs w:val="16"/>
                                <w:lang w:val="fr-CH"/>
                              </w:rPr>
                            </w:pPr>
                            <w:r>
                              <w:rPr>
                                <w:sz w:val="16"/>
                                <w:szCs w:val="16"/>
                                <w:lang w:val="fr-CH"/>
                              </w:rPr>
                              <w:t>Autres</w:t>
                            </w:r>
                            <w:r>
                              <w:rPr>
                                <w:sz w:val="16"/>
                                <w:szCs w:val="16"/>
                                <w:lang w:val="fr-CH"/>
                              </w:rPr>
                              <w:br/>
                              <w:t>passifs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35BDA" id="_x0000_s1059" type="#_x0000_t202" style="position:absolute;left:0;text-align:left;margin-left:212.25pt;margin-top:165.85pt;width:39.7pt;height:25.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OpCAIAAO0DAAAOAAAAZHJzL2Uyb0RvYy54bWysU9uO2yAQfa/Uf0C8N068myqx4qy22aaq&#10;tL1I234AxjhGxQwdSOz06ztgJ9vLW1Ue0AAzZ2bOHDZ3Q2fYSaHXYEu+mM05U1ZCre2h5F+/7F+t&#10;OPNB2FoYsKrkZ+X53fbli03vCpVDC6ZWyAjE+qJ3JW9DcEWWedmqTvgZOGXpsQHsRKAjHrIaRU/o&#10;ncny+fx11gPWDkEq7+n2YXzk24TfNEqGT03jVWCm5FRbSDumvYp7tt2I4oDCtVpOZYh/qKIT2lLS&#10;K9SDCIIdUf8F1WmJ4KEJMwldBk2jpUo9UDeL+R/dPLXCqdQLkePdlSb//2Dlx9OT+4wsDG9goAGm&#10;Jrx7BPnNMwu7VtiDukeEvlWipsSLSFnWO19MoZFqX/gIUvUfoKYhi2OABDQ02EVWqE9G6DSA85V0&#10;NQQm6XI5v83XOWeSnm7y9WJ1mzKI4hLs0Id3CjoWjZIjzTSBi9OjD7EYUVxcYi4PRtd7bUw64KHa&#10;GWQnQfPfpzWh/+ZmLOtLvl7my4RsIcYnaXQ6kD6N7kq+msc1KiaS8dbWySUIbUabKjF2YicSMlIT&#10;hmpguqbubmJwZKuC+kx8IYx6pP9DRgv4g7OetFhy//0oUHFm3lviPAr3YuDFqC6GsJJCSx44G81d&#10;SAKP/Vu4p1k0OvH0nHmqkTSV6Jv0H0X76zl5Pf/S7U8AAAD//wMAUEsDBBQABgAIAAAAIQAchcVb&#10;4QAAAAsBAAAPAAAAZHJzL2Rvd25yZXYueG1sTI/BTsMwDIbvSLxDZCQuiKVr1zFK0wk2uMFhY9o5&#10;a0xb0ThVk67d22NOcLT96ff35+vJtuKMvW8cKZjPIhBIpTMNVQoOn2/3KxA+aDK6dYQKLuhhXVxf&#10;5TozbqQdnvehEhxCPtMK6hC6TEpf1mi1n7kOiW9frrc68NhX0vR65HDbyjiKltLqhvhDrTvc1Fh+&#10;7werYLnth3FHm7vt4fVdf3RVfHy5HJW6vZmen0AEnMIfDL/6rA4FO53cQMaLVsEiXqSMKkiS+QMI&#10;JtIoeQRx4s0qSUEWufzfofgBAAD//wMAUEsBAi0AFAAGAAgAAAAhALaDOJL+AAAA4QEAABMAAAAA&#10;AAAAAAAAAAAAAAAAAFtDb250ZW50X1R5cGVzXS54bWxQSwECLQAUAAYACAAAACEAOP0h/9YAAACU&#10;AQAACwAAAAAAAAAAAAAAAAAvAQAAX3JlbHMvLnJlbHNQSwECLQAUAAYACAAAACEACLMzqQgCAADt&#10;AwAADgAAAAAAAAAAAAAAAAAuAgAAZHJzL2Uyb0RvYy54bWxQSwECLQAUAAYACAAAACEAHIXFW+EA&#10;AAALAQAADwAAAAAAAAAAAAAAAABiBAAAZHJzL2Rvd25yZXYueG1sUEsFBgAAAAAEAAQA8wAAAHAF&#10;AAAAAA==&#10;" stroked="f">
                <v:textbox inset="0,0,0,0">
                  <w:txbxContent>
                    <w:p w14:paraId="66775E22" w14:textId="77777777" w:rsidR="00596807" w:rsidRPr="00845244" w:rsidRDefault="00596807" w:rsidP="00DF6159">
                      <w:pPr>
                        <w:spacing w:before="0"/>
                        <w:jc w:val="center"/>
                        <w:rPr>
                          <w:sz w:val="16"/>
                          <w:szCs w:val="16"/>
                          <w:lang w:val="fr-CH"/>
                        </w:rPr>
                      </w:pPr>
                      <w:r>
                        <w:rPr>
                          <w:sz w:val="16"/>
                          <w:szCs w:val="16"/>
                          <w:lang w:val="fr-CH"/>
                        </w:rPr>
                        <w:t>Autres</w:t>
                      </w:r>
                      <w:r>
                        <w:rPr>
                          <w:sz w:val="16"/>
                          <w:szCs w:val="16"/>
                          <w:lang w:val="fr-CH"/>
                        </w:rPr>
                        <w:br/>
                        <w:t>passifs</w:t>
                      </w:r>
                    </w:p>
                  </w:txbxContent>
                </v:textbox>
              </v:shape>
            </w:pict>
          </mc:Fallback>
        </mc:AlternateContent>
      </w:r>
      <w:r w:rsidRPr="00236418">
        <w:rPr>
          <w:noProof/>
          <w:lang w:val="en-US"/>
        </w:rPr>
        <mc:AlternateContent>
          <mc:Choice Requires="wps">
            <w:drawing>
              <wp:anchor distT="45720" distB="45720" distL="114300" distR="114300" simplePos="0" relativeHeight="251686912" behindDoc="0" locked="0" layoutInCell="1" allowOverlap="1" wp14:anchorId="4D563866" wp14:editId="2117A777">
                <wp:simplePos x="0" y="0"/>
                <wp:positionH relativeFrom="column">
                  <wp:posOffset>2014855</wp:posOffset>
                </wp:positionH>
                <wp:positionV relativeFrom="paragraph">
                  <wp:posOffset>2105660</wp:posOffset>
                </wp:positionV>
                <wp:extent cx="680313" cy="292608"/>
                <wp:effectExtent l="0" t="0" r="5715" b="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292608"/>
                        </a:xfrm>
                        <a:prstGeom prst="rect">
                          <a:avLst/>
                        </a:prstGeom>
                        <a:solidFill>
                          <a:srgbClr val="FFFFFF"/>
                        </a:solidFill>
                        <a:ln w="9525">
                          <a:noFill/>
                          <a:miter lim="800000"/>
                          <a:headEnd/>
                          <a:tailEnd/>
                        </a:ln>
                      </wps:spPr>
                      <wps:txbx>
                        <w:txbxContent>
                          <w:p w14:paraId="5491F435" w14:textId="77777777" w:rsidR="00596807" w:rsidRPr="00845244" w:rsidRDefault="00596807" w:rsidP="00DF6159">
                            <w:pPr>
                              <w:spacing w:before="0"/>
                              <w:jc w:val="center"/>
                              <w:rPr>
                                <w:sz w:val="16"/>
                                <w:szCs w:val="16"/>
                                <w:lang w:val="fr-CH"/>
                              </w:rPr>
                            </w:pPr>
                            <w:r>
                              <w:rPr>
                                <w:sz w:val="16"/>
                                <w:szCs w:val="16"/>
                                <w:lang w:val="fr-CH"/>
                              </w:rPr>
                              <w:t>Produits différés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63866" id="_x0000_s1060" type="#_x0000_t202" style="position:absolute;left:0;text-align:left;margin-left:158.65pt;margin-top:165.8pt;width:53.55pt;height:23.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N5CAIAAO0DAAAOAAAAZHJzL2Uyb0RvYy54bWysU9uO2yAQfa/Uf0C8N3aSbp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rfDlfcibpaXG7WOXrlEEUl2CHPrxT0LFolBxppglcnB59iMWI4uISc3kwut5rY9IBD9XO&#10;IDsJmv8+rQn9NzdjWV/y25vFTUK2EOOTNDodSJ9GdyVf53GNiolkvLV1cglCm9GmSoyd2ImEjNSE&#10;oRqYrku+fB2DI1sV1GfiC2HUI/0fMlrAH5z1pMWS++9HgYoz894S51G4FwMvRnUxhJUUWvLA2Wju&#10;QhJ47N/CPc2i0Ymn58xTjaSpRN+k/yjaX8/J6/mXbn8CAAD//wMAUEsDBBQABgAIAAAAIQBjgAMf&#10;4AAAAAsBAAAPAAAAZHJzL2Rvd25yZXYueG1sTI/LTsMwEEX3SPyDNUhsEHVeSlCIU0ELO1i0VF27&#10;sUki4nFkO0369wwrupvH0Z0z1XoxAztr53uLAuJVBExjY1WPrYDD1/vjEzAfJCo5WNQCLtrDur69&#10;qWSp7Iw7fd6HllEI+lIK6EIYS85902kj/cqOGmn3bZ2RgVrXcuXkTOFm4EkU5dzIHulCJ0e96XTz&#10;s5+MgHzrpnmHm4ft4e1Dfo5tcny9HIW4v1tenoEFvYR/GP70SR1qcjrZCZVng4A0LlJCqUjjHBgR&#10;WZJlwE40KYoCeF3x6x/qXwAAAP//AwBQSwECLQAUAAYACAAAACEAtoM4kv4AAADhAQAAEwAAAAAA&#10;AAAAAAAAAAAAAAAAW0NvbnRlbnRfVHlwZXNdLnhtbFBLAQItABQABgAIAAAAIQA4/SH/1gAAAJQB&#10;AAALAAAAAAAAAAAAAAAAAC8BAABfcmVscy8ucmVsc1BLAQItABQABgAIAAAAIQDYZNN5CAIAAO0D&#10;AAAOAAAAAAAAAAAAAAAAAC4CAABkcnMvZTJvRG9jLnhtbFBLAQItABQABgAIAAAAIQBjgAMf4AAA&#10;AAsBAAAPAAAAAAAAAAAAAAAAAGIEAABkcnMvZG93bnJldi54bWxQSwUGAAAAAAQABADzAAAAbwUA&#10;AAAA&#10;" stroked="f">
                <v:textbox inset="0,0,0,0">
                  <w:txbxContent>
                    <w:p w14:paraId="5491F435" w14:textId="77777777" w:rsidR="00596807" w:rsidRPr="00845244" w:rsidRDefault="00596807" w:rsidP="00DF6159">
                      <w:pPr>
                        <w:spacing w:before="0"/>
                        <w:jc w:val="center"/>
                        <w:rPr>
                          <w:sz w:val="16"/>
                          <w:szCs w:val="16"/>
                          <w:lang w:val="fr-CH"/>
                        </w:rPr>
                      </w:pPr>
                      <w:r>
                        <w:rPr>
                          <w:sz w:val="16"/>
                          <w:szCs w:val="16"/>
                          <w:lang w:val="fr-CH"/>
                        </w:rPr>
                        <w:t>Produits différés</w:t>
                      </w:r>
                    </w:p>
                  </w:txbxContent>
                </v:textbox>
              </v:shape>
            </w:pict>
          </mc:Fallback>
        </mc:AlternateContent>
      </w:r>
      <w:r w:rsidRPr="00236418">
        <w:rPr>
          <w:noProof/>
          <w:lang w:val="en-US"/>
        </w:rPr>
        <mc:AlternateContent>
          <mc:Choice Requires="wps">
            <w:drawing>
              <wp:anchor distT="45720" distB="45720" distL="114300" distR="114300" simplePos="0" relativeHeight="251685888" behindDoc="0" locked="0" layoutInCell="1" allowOverlap="1" wp14:anchorId="4983349B" wp14:editId="42565481">
                <wp:simplePos x="0" y="0"/>
                <wp:positionH relativeFrom="column">
                  <wp:posOffset>1351280</wp:posOffset>
                </wp:positionH>
                <wp:positionV relativeFrom="paragraph">
                  <wp:posOffset>2105025</wp:posOffset>
                </wp:positionV>
                <wp:extent cx="702259" cy="299923"/>
                <wp:effectExtent l="0" t="0" r="3175" b="508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59" cy="299923"/>
                        </a:xfrm>
                        <a:prstGeom prst="rect">
                          <a:avLst/>
                        </a:prstGeom>
                        <a:solidFill>
                          <a:srgbClr val="FFFFFF"/>
                        </a:solidFill>
                        <a:ln w="9525">
                          <a:noFill/>
                          <a:miter lim="800000"/>
                          <a:headEnd/>
                          <a:tailEnd/>
                        </a:ln>
                      </wps:spPr>
                      <wps:txbx>
                        <w:txbxContent>
                          <w:p w14:paraId="3DBBA387" w14:textId="77777777" w:rsidR="00596807" w:rsidRPr="00845244" w:rsidRDefault="00596807" w:rsidP="00DF6159">
                            <w:pPr>
                              <w:spacing w:before="0"/>
                              <w:jc w:val="center"/>
                              <w:rPr>
                                <w:sz w:val="16"/>
                                <w:szCs w:val="16"/>
                                <w:lang w:val="fr-CH"/>
                              </w:rPr>
                            </w:pPr>
                            <w:r>
                              <w:rPr>
                                <w:sz w:val="16"/>
                                <w:szCs w:val="16"/>
                                <w:lang w:val="fr-CH"/>
                              </w:rPr>
                              <w:t>Dettes et</w:t>
                            </w:r>
                            <w:r>
                              <w:rPr>
                                <w:sz w:val="16"/>
                                <w:szCs w:val="16"/>
                                <w:lang w:val="fr-CH"/>
                              </w:rPr>
                              <w:b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3349B" id="_x0000_s1061" type="#_x0000_t202" style="position:absolute;left:0;text-align:left;margin-left:106.4pt;margin-top:165.75pt;width:55.3pt;height:23.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T6CAIAAO0DAAAOAAAAZHJzL2Uyb0RvYy54bWysU9uO0zAQfUfiHyy/06RZFbbRpqulSxHS&#10;siAtfIDjOI2F4zFjt0n5esZO2uXyhvCDNbZnzsycOb65HXvDjgq9Blvx5SLnTFkJjbb7in/9snt1&#10;zZkPwjbCgFUVPynPbzcvX9wMrlQFdGAahYxArC8HV/EuBFdmmZed6oVfgFOWHlvAXgQ64j5rUAyE&#10;3pusyPPX2QDYOASpvKfb++mRbxJ+2yoZPrWtV4GZilNtIe2Y9jru2eZGlHsUrtNyLkP8QxW90JaS&#10;XqDuRRDsgPovqF5LBA9tWEjoM2hbLVXqgbpZ5n9089QJp1IvRI53F5r8/4OVj8cn9xlZGN/CSANM&#10;TXj3APKbZxa2nbB7dYcIQ6dEQ4mXkbJscL6cQyPVvvQRpB4+QkNDFocACWhssY+sUJ+M0GkApwvp&#10;agxM0uWbvChWa84kPRXr9bq4ShlEeQ526MN7BT2LRsWRZprAxfHBh1iMKM8uMZcHo5udNiYdcF9v&#10;DbKjoPnv0prRf3Mzlg0VX6+KVUK2EOOTNHodSJ9G9xW/zuOaFBPJeGeb5BKENpNNlRg7sxMJmagJ&#10;Yz0y3VT8ahWDI1s1NCfiC2HSI/0fMjrAH5wNpMWK++8HgYoz88ES51G4ZwPPRn02hJUUWvHA2WRu&#10;QxJ47N/CHc2i1Ymn58xzjaSpRN+s/yjaX8/J6/mXbn4CAAD//wMAUEsDBBQABgAIAAAAIQCkL2yz&#10;4QAAAAsBAAAPAAAAZHJzL2Rvd25yZXYueG1sTI/BTsMwEETvSPyDtZW4IOrEgbYKcSpo4QaHlqpn&#10;N3aTiHgd2U6T/j3LCW472tHMm2I92Y5djA+tQwnpPAFmsHK6xVrC4ev9YQUsRIVadQ6NhKsJsC5v&#10;bwqVazfizlz2sWYUgiFXEpoY+5zzUDXGqjB3vUH6nZ23KpL0NddejRRuOy6SZMGtapEaGtWbTWOq&#10;7/1gJSy2fhh3uLnfHt4+1Gdfi+Pr9Sjl3Wx6eQYWzRT/zPCLT+hQEtPJDagD6ySIVBB6lJBl6RMw&#10;cmQiewR2omO5WgIvC/5/Q/kDAAD//wMAUEsBAi0AFAAGAAgAAAAhALaDOJL+AAAA4QEAABMAAAAA&#10;AAAAAAAAAAAAAAAAAFtDb250ZW50X1R5cGVzXS54bWxQSwECLQAUAAYACAAAACEAOP0h/9YAAACU&#10;AQAACwAAAAAAAAAAAAAAAAAvAQAAX3JlbHMvLnJlbHNQSwECLQAUAAYACAAAACEA+MtE+ggCAADt&#10;AwAADgAAAAAAAAAAAAAAAAAuAgAAZHJzL2Uyb0RvYy54bWxQSwECLQAUAAYACAAAACEApC9ss+EA&#10;AAALAQAADwAAAAAAAAAAAAAAAABiBAAAZHJzL2Rvd25yZXYueG1sUEsFBgAAAAAEAAQA8wAAAHAF&#10;AAAAAA==&#10;" stroked="f">
                <v:textbox inset="0,0,0,0">
                  <w:txbxContent>
                    <w:p w14:paraId="3DBBA387" w14:textId="77777777" w:rsidR="00596807" w:rsidRPr="00845244" w:rsidRDefault="00596807" w:rsidP="00DF6159">
                      <w:pPr>
                        <w:spacing w:before="0"/>
                        <w:jc w:val="center"/>
                        <w:rPr>
                          <w:sz w:val="16"/>
                          <w:szCs w:val="16"/>
                          <w:lang w:val="fr-CH"/>
                        </w:rPr>
                      </w:pPr>
                      <w:r>
                        <w:rPr>
                          <w:sz w:val="16"/>
                          <w:szCs w:val="16"/>
                          <w:lang w:val="fr-CH"/>
                        </w:rPr>
                        <w:t>Dettes et</w:t>
                      </w:r>
                      <w:r>
                        <w:rPr>
                          <w:sz w:val="16"/>
                          <w:szCs w:val="16"/>
                          <w:lang w:val="fr-CH"/>
                        </w:rPr>
                        <w:br/>
                        <w:t>créances</w:t>
                      </w:r>
                    </w:p>
                  </w:txbxContent>
                </v:textbox>
              </v:shape>
            </w:pict>
          </mc:Fallback>
        </mc:AlternateContent>
      </w:r>
      <w:r w:rsidRPr="00236418">
        <w:rPr>
          <w:noProof/>
          <w:lang w:val="en-US"/>
        </w:rPr>
        <w:drawing>
          <wp:inline distT="0" distB="0" distL="0" distR="0" wp14:anchorId="09BD9DE9" wp14:editId="4A5FBA74">
            <wp:extent cx="4572000" cy="2743200"/>
            <wp:effectExtent l="0" t="0" r="0" b="0"/>
            <wp:docPr id="50" name="Chart 50">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2910E3" w14:textId="2EBF3DDA" w:rsidR="00DF6159" w:rsidRPr="00236418" w:rsidRDefault="00612B31" w:rsidP="009B3D24">
      <w:pPr>
        <w:spacing w:before="240"/>
      </w:pPr>
      <w:r w:rsidRPr="00236418">
        <w:t>3</w:t>
      </w:r>
      <w:r w:rsidR="005F4C4E" w:rsidRPr="00236418">
        <w:t>4</w:t>
      </w:r>
      <w:r w:rsidR="00DF6159" w:rsidRPr="00236418">
        <w:tab/>
        <w:t>Le passif le plus important est constitué par les futurs avantages du personnel acquis par les fonctionnaires en service et les retraités. Il représentait 7</w:t>
      </w:r>
      <w:r w:rsidRPr="00236418">
        <w:t>3</w:t>
      </w:r>
      <w:r w:rsidR="00DF6159" w:rsidRPr="00236418">
        <w:t>% du passif total de l'UIT au 31 décembre 201</w:t>
      </w:r>
      <w:r w:rsidRPr="00236418">
        <w:t>9</w:t>
      </w:r>
      <w:r w:rsidR="00DF6159" w:rsidRPr="00236418">
        <w:t>.</w:t>
      </w:r>
    </w:p>
    <w:p w14:paraId="7114D214" w14:textId="1EFC1531" w:rsidR="00B37F28" w:rsidRPr="00236418" w:rsidRDefault="003B694B" w:rsidP="009B3D24">
      <w:r w:rsidRPr="00236418">
        <w:t>3</w:t>
      </w:r>
      <w:r w:rsidR="005F4C4E" w:rsidRPr="00236418">
        <w:t>5</w:t>
      </w:r>
      <w:r w:rsidR="00DF6159" w:rsidRPr="00236418">
        <w:tab/>
        <w:t>Le passif de l'ASHI représentait</w:t>
      </w:r>
      <w:r w:rsidR="00B37F28" w:rsidRPr="00236418">
        <w:t xml:space="preserve"> toujours</w:t>
      </w:r>
      <w:r w:rsidR="00DF6159" w:rsidRPr="00236418">
        <w:t xml:space="preserve"> 96% du passif de l'ensemble des avantages du personnel</w:t>
      </w:r>
      <w:r w:rsidR="00B37F28" w:rsidRPr="00236418">
        <w:t xml:space="preserve">, </w:t>
      </w:r>
      <w:r w:rsidR="008F3967" w:rsidRPr="00236418">
        <w:t>soit un chiffre stable malgré une augmentation du passif de l'ASHI due à la baisse du taux d'actualisation</w:t>
      </w:r>
      <w:r w:rsidR="00F07330" w:rsidRPr="00236418">
        <w:t>,</w:t>
      </w:r>
      <w:r w:rsidR="008F3967" w:rsidRPr="00236418">
        <w:t xml:space="preserve"> qui est passé de 1,2% à 0,6%</w:t>
      </w:r>
      <w:r w:rsidR="00F07330" w:rsidRPr="00236418">
        <w:t>,</w:t>
      </w:r>
      <w:r w:rsidR="008F3967" w:rsidRPr="00236418">
        <w:t xml:space="preserve"> et du passage de CIGNA à </w:t>
      </w:r>
      <w:r w:rsidR="00F07330" w:rsidRPr="00236418">
        <w:t>l'</w:t>
      </w:r>
      <w:r w:rsidR="008F3967" w:rsidRPr="00236418">
        <w:t>UNSMIS.</w:t>
      </w:r>
    </w:p>
    <w:p w14:paraId="2469F0DC" w14:textId="07ADD79A" w:rsidR="00DF6159" w:rsidRPr="00236418" w:rsidRDefault="003B694B" w:rsidP="009B3D24">
      <w:r w:rsidRPr="00236418">
        <w:t>3</w:t>
      </w:r>
      <w:r w:rsidR="005F4C4E" w:rsidRPr="00236418">
        <w:t>6</w:t>
      </w:r>
      <w:r w:rsidR="00DF6159" w:rsidRPr="00236418">
        <w:tab/>
        <w:t>L'excédent budgétaire pour l'exercice 201</w:t>
      </w:r>
      <w:r w:rsidRPr="00236418">
        <w:t>9</w:t>
      </w:r>
      <w:r w:rsidR="00DF6159" w:rsidRPr="00236418">
        <w:t xml:space="preserve"> est le résultat d'une gestion rigoureuse constante des ressources de l'UIT.</w:t>
      </w:r>
    </w:p>
    <w:p w14:paraId="0F49EA3D" w14:textId="11C4B98B" w:rsidR="00DF6159" w:rsidRPr="00236418" w:rsidRDefault="003B694B" w:rsidP="009B3D24">
      <w:r w:rsidRPr="00236418">
        <w:t>3</w:t>
      </w:r>
      <w:r w:rsidR="005F4C4E" w:rsidRPr="00236418">
        <w:t>7</w:t>
      </w:r>
      <w:r w:rsidRPr="00236418">
        <w:tab/>
      </w:r>
      <w:r w:rsidR="00DF6159" w:rsidRPr="00236418">
        <w:t>Il convient de souligner que certaines charges n'étaient pas inscrites au budget. Il s'agit notamment des amortissements, des pertes et des gains sur cours non réalisés et d'un ajustement de la provision pour les prestations maladie après cessation de service des fonctionnaires (ASHI). Ces charges sont essentiellement statistiques et ne représentent pas de sorties de fonds pendant l'année. Un aperçu de ces positions figure dans le Tableau V du présent document (Comparaison des montants budgétés et des montants effectifs pour l'exercice 201</w:t>
      </w:r>
      <w:r w:rsidRPr="00236418">
        <w:t>9</w:t>
      </w:r>
      <w:r w:rsidR="00DF6159" w:rsidRPr="00236418">
        <w:t>).</w:t>
      </w:r>
    </w:p>
    <w:p w14:paraId="21ABD01F" w14:textId="2906DC06" w:rsidR="00DF6159" w:rsidRPr="00236418" w:rsidRDefault="003B694B" w:rsidP="009B3D24">
      <w:r w:rsidRPr="00236418">
        <w:t>3</w:t>
      </w:r>
      <w:r w:rsidR="005F4C4E" w:rsidRPr="00236418">
        <w:t>8</w:t>
      </w:r>
      <w:r w:rsidR="00DF6159" w:rsidRPr="00236418">
        <w:tab/>
      </w:r>
      <w:r w:rsidR="00DF6159" w:rsidRPr="00236418">
        <w:rPr>
          <w:color w:val="000000"/>
        </w:rPr>
        <w:t>Les contributions en espèces reçues pour les fonds d'affectation spéciale se sont chiffrées à</w:t>
      </w:r>
      <w:r w:rsidR="00DF6159" w:rsidRPr="00236418">
        <w:t> 1</w:t>
      </w:r>
      <w:r w:rsidRPr="00236418">
        <w:t>1,8</w:t>
      </w:r>
      <w:r w:rsidR="00DF6159" w:rsidRPr="00236418">
        <w:t xml:space="preserve"> millions CHF en 201</w:t>
      </w:r>
      <w:r w:rsidRPr="00236418">
        <w:t>9</w:t>
      </w:r>
      <w:r w:rsidR="00DF6159" w:rsidRPr="00236418">
        <w:t xml:space="preserve"> (</w:t>
      </w:r>
      <w:r w:rsidRPr="00236418">
        <w:t>12</w:t>
      </w:r>
      <w:r w:rsidR="00DF6159" w:rsidRPr="00236418">
        <w:t> millions CHF en 201</w:t>
      </w:r>
      <w:r w:rsidRPr="00236418">
        <w:t>8</w:t>
      </w:r>
      <w:r w:rsidR="00DF6159" w:rsidRPr="00236418">
        <w:t>).</w:t>
      </w:r>
    </w:p>
    <w:p w14:paraId="575C044F" w14:textId="641050D9" w:rsidR="00DF6159" w:rsidRPr="00236418" w:rsidRDefault="003B694B" w:rsidP="009B3D24">
      <w:r w:rsidRPr="00236418">
        <w:t>3</w:t>
      </w:r>
      <w:r w:rsidR="005F4C4E" w:rsidRPr="00236418">
        <w:t>9</w:t>
      </w:r>
      <w:r w:rsidR="00DF6159" w:rsidRPr="00236418">
        <w:tab/>
      </w:r>
      <w:r w:rsidR="00DF6159" w:rsidRPr="00236418">
        <w:rPr>
          <w:color w:val="000000"/>
        </w:rPr>
        <w:t>Les contributions volontaires en espèce reçues pour les diverses activités se sont chiffrées à </w:t>
      </w:r>
      <w:r w:rsidRPr="00236418">
        <w:t>2</w:t>
      </w:r>
      <w:r w:rsidR="00DF6159" w:rsidRPr="00236418">
        <w:t>,</w:t>
      </w:r>
      <w:r w:rsidRPr="00236418">
        <w:t>1</w:t>
      </w:r>
      <w:r w:rsidR="00DF6159" w:rsidRPr="00236418">
        <w:t> million</w:t>
      </w:r>
      <w:r w:rsidR="00F07330" w:rsidRPr="00236418">
        <w:t>s</w:t>
      </w:r>
      <w:r w:rsidR="00DF6159" w:rsidRPr="00236418">
        <w:t xml:space="preserve"> CHF en 201</w:t>
      </w:r>
      <w:r w:rsidRPr="00236418">
        <w:t>9</w:t>
      </w:r>
      <w:r w:rsidR="008A2AD3" w:rsidRPr="00236418">
        <w:t>, soit une augmentation de</w:t>
      </w:r>
      <w:r w:rsidRPr="00236418">
        <w:t xml:space="preserve"> 16</w:t>
      </w:r>
      <w:r w:rsidR="005E6E8B" w:rsidRPr="00236418">
        <w:t>,</w:t>
      </w:r>
      <w:r w:rsidRPr="00236418">
        <w:t>6</w:t>
      </w:r>
      <w:r w:rsidR="005E6E8B" w:rsidRPr="00236418">
        <w:t>%</w:t>
      </w:r>
      <w:r w:rsidRPr="00236418">
        <w:t xml:space="preserve"> </w:t>
      </w:r>
      <w:r w:rsidR="008A2AD3" w:rsidRPr="00236418">
        <w:t>par rapport à</w:t>
      </w:r>
      <w:r w:rsidRPr="00236418">
        <w:t xml:space="preserve"> 2018</w:t>
      </w:r>
      <w:r w:rsidR="00DF6159" w:rsidRPr="00236418">
        <w:t xml:space="preserve"> (1,</w:t>
      </w:r>
      <w:r w:rsidRPr="00236418">
        <w:t>8</w:t>
      </w:r>
      <w:r w:rsidR="00DF6159" w:rsidRPr="00236418">
        <w:t xml:space="preserve"> million CHF).</w:t>
      </w:r>
    </w:p>
    <w:p w14:paraId="001E3CBF" w14:textId="1A83E230" w:rsidR="00DF6159" w:rsidRPr="00236418" w:rsidRDefault="005F4C4E" w:rsidP="009B3D24">
      <w:pPr>
        <w:rPr>
          <w:color w:val="000000" w:themeColor="text1"/>
        </w:rPr>
      </w:pPr>
      <w:r w:rsidRPr="00236418">
        <w:t>40</w:t>
      </w:r>
      <w:r w:rsidR="00DF6159" w:rsidRPr="00236418">
        <w:tab/>
        <w:t xml:space="preserve">Le solde du Fonds pour le développement des TIC s'établissait à </w:t>
      </w:r>
      <w:r w:rsidR="006B40D0" w:rsidRPr="00236418">
        <w:t>4</w:t>
      </w:r>
      <w:r w:rsidR="00DF6159" w:rsidRPr="00236418">
        <w:t>,</w:t>
      </w:r>
      <w:r w:rsidR="006B40D0" w:rsidRPr="00236418">
        <w:t>6</w:t>
      </w:r>
      <w:r w:rsidR="00DF6159" w:rsidRPr="00236418">
        <w:t xml:space="preserve"> millions CHF au 31 décembre 201</w:t>
      </w:r>
      <w:r w:rsidR="006B40D0" w:rsidRPr="00236418">
        <w:t>9</w:t>
      </w:r>
      <w:r w:rsidR="00DF6159" w:rsidRPr="00236418">
        <w:t xml:space="preserve"> (4,</w:t>
      </w:r>
      <w:r w:rsidR="006B40D0" w:rsidRPr="00236418">
        <w:t>3</w:t>
      </w:r>
      <w:r w:rsidR="00DF6159" w:rsidRPr="00236418">
        <w:t xml:space="preserve"> millions CHF au 31 décembre 201</w:t>
      </w:r>
      <w:r w:rsidR="006B40D0" w:rsidRPr="00236418">
        <w:t>8</w:t>
      </w:r>
      <w:r w:rsidR="00DF6159" w:rsidRPr="00236418">
        <w:t>).</w:t>
      </w:r>
    </w:p>
    <w:p w14:paraId="230D0A09" w14:textId="362060B8" w:rsidR="00DF6159" w:rsidRPr="00236418" w:rsidRDefault="006B40D0" w:rsidP="009B3D24">
      <w:r w:rsidRPr="00236418">
        <w:t>4</w:t>
      </w:r>
      <w:r w:rsidR="005F4C4E" w:rsidRPr="00236418">
        <w:t>1</w:t>
      </w:r>
      <w:r w:rsidR="00DF6159" w:rsidRPr="00236418">
        <w:tab/>
        <w:t>En 201</w:t>
      </w:r>
      <w:r w:rsidRPr="00236418">
        <w:t>9</w:t>
      </w:r>
      <w:r w:rsidR="00DF6159" w:rsidRPr="00236418">
        <w:t xml:space="preserve">, le total des charges pour les projets financés sur des fonds d'affectation spéciale se chiffrait à </w:t>
      </w:r>
      <w:r w:rsidRPr="00236418">
        <w:t>8,2</w:t>
      </w:r>
      <w:r w:rsidR="00DF6159" w:rsidRPr="00236418">
        <w:t xml:space="preserve"> millions CHF, ce qui équivaut à 0,4</w:t>
      </w:r>
      <w:r w:rsidRPr="00236418">
        <w:t>1</w:t>
      </w:r>
      <w:r w:rsidR="00DF6159" w:rsidRPr="00236418">
        <w:t xml:space="preserve"> million CHF de produits au titre de l'appui aux projets.</w:t>
      </w:r>
    </w:p>
    <w:p w14:paraId="4646B9E9" w14:textId="7DFBD4D2" w:rsidR="00DF6159" w:rsidRPr="00236418" w:rsidRDefault="006B40D0" w:rsidP="009B3D24">
      <w:r w:rsidRPr="00236418">
        <w:t>4</w:t>
      </w:r>
      <w:r w:rsidR="005F4C4E" w:rsidRPr="00236418">
        <w:t>2</w:t>
      </w:r>
      <w:r w:rsidR="00DF6159" w:rsidRPr="00236418">
        <w:tab/>
        <w:t>La manifestation ITU Telecom World 201</w:t>
      </w:r>
      <w:r w:rsidRPr="00236418">
        <w:t>9</w:t>
      </w:r>
      <w:r w:rsidR="00DF6159" w:rsidRPr="00236418">
        <w:t xml:space="preserve"> a affiché un excédent de </w:t>
      </w:r>
      <w:r w:rsidRPr="00236418">
        <w:t>847</w:t>
      </w:r>
      <w:r w:rsidR="00DF6159" w:rsidRPr="00236418">
        <w:t xml:space="preserve"> 000 CHF qui a été versé au Fonds de roulement des expositions. Le solde du Fonds de roulement des expositions était de </w:t>
      </w:r>
      <w:r w:rsidRPr="00236418">
        <w:t>8</w:t>
      </w:r>
      <w:r w:rsidR="00DF6159" w:rsidRPr="00236418">
        <w:t>,</w:t>
      </w:r>
      <w:r w:rsidRPr="00236418">
        <w:t>21</w:t>
      </w:r>
      <w:r w:rsidR="00DF6159" w:rsidRPr="00236418">
        <w:t xml:space="preserve"> millions </w:t>
      </w:r>
      <w:r w:rsidR="00DF6159" w:rsidRPr="00236418">
        <w:rPr>
          <w:rFonts w:asciiTheme="minorHAnsi" w:hAnsiTheme="minorHAnsi"/>
        </w:rPr>
        <w:t>CHF</w:t>
      </w:r>
      <w:r w:rsidR="00DF6159" w:rsidRPr="00236418">
        <w:t xml:space="preserve"> au 31 décembre 201</w:t>
      </w:r>
      <w:r w:rsidRPr="00236418">
        <w:t>9</w:t>
      </w:r>
      <w:r w:rsidR="00DF6159" w:rsidRPr="00236418">
        <w:t xml:space="preserve"> (contre </w:t>
      </w:r>
      <w:r w:rsidRPr="00236418">
        <w:t>7</w:t>
      </w:r>
      <w:r w:rsidR="00DF6159" w:rsidRPr="00236418">
        <w:t>,</w:t>
      </w:r>
      <w:r w:rsidRPr="00236418">
        <w:t>95</w:t>
      </w:r>
      <w:r w:rsidR="00DF6159" w:rsidRPr="00236418">
        <w:t> millions CHF au 31 décembre 201</w:t>
      </w:r>
      <w:r w:rsidRPr="00236418">
        <w:t>8</w:t>
      </w:r>
      <w:r w:rsidR="00DF6159" w:rsidRPr="00236418">
        <w:t>).</w:t>
      </w:r>
    </w:p>
    <w:p w14:paraId="4AAC4262" w14:textId="17DE8DBB" w:rsidR="006B40D0" w:rsidRPr="00236418" w:rsidRDefault="006B40D0" w:rsidP="009B3D24">
      <w:r w:rsidRPr="00236418">
        <w:lastRenderedPageBreak/>
        <w:t>4</w:t>
      </w:r>
      <w:r w:rsidR="005F4C4E" w:rsidRPr="00236418">
        <w:t>3</w:t>
      </w:r>
      <w:r w:rsidRPr="00236418">
        <w:tab/>
      </w:r>
      <w:r w:rsidR="008A2AD3" w:rsidRPr="00236418">
        <w:t>Au titre de la Résolution 11 (Rév. Dubaï, 2018) de la Conférence de plénipotentiaires, 750 000 CHF ont été affectés en vue de procéder à un examen des activités de TELECOM. U</w:t>
      </w:r>
      <w:r w:rsidR="00A430B8" w:rsidRPr="00236418">
        <w:t>n cabinet de conseil a été recruté et a débuté l'examen. Les fonds disponibles pour ce projet au 31</w:t>
      </w:r>
      <w:r w:rsidR="0004000E" w:rsidRPr="00236418">
        <w:t> </w:t>
      </w:r>
      <w:r w:rsidR="00A430B8" w:rsidRPr="00236418">
        <w:t xml:space="preserve">décembre 2019 s'élèvent à </w:t>
      </w:r>
      <w:r w:rsidRPr="00236418">
        <w:t>351</w:t>
      </w:r>
      <w:r w:rsidR="00A430B8" w:rsidRPr="00236418">
        <w:t> </w:t>
      </w:r>
      <w:r w:rsidRPr="00236418">
        <w:t>350</w:t>
      </w:r>
      <w:r w:rsidR="00A430B8" w:rsidRPr="00236418">
        <w:t> CHF</w:t>
      </w:r>
      <w:r w:rsidRPr="00236418">
        <w:t>.</w:t>
      </w:r>
    </w:p>
    <w:p w14:paraId="2257022D" w14:textId="44C305D7" w:rsidR="00DF6159" w:rsidRPr="00236418" w:rsidRDefault="006B40D0" w:rsidP="009B3D24">
      <w:r w:rsidRPr="00236418">
        <w:t>4</w:t>
      </w:r>
      <w:r w:rsidR="005F4C4E" w:rsidRPr="00236418">
        <w:t>4</w:t>
      </w:r>
      <w:r w:rsidR="00DF6159" w:rsidRPr="00236418">
        <w:tab/>
        <w:t>L'Annexe D du présent document montre l'évolution des arriérés pour ce qui est des manifestations TELECOM.</w:t>
      </w:r>
    </w:p>
    <w:p w14:paraId="7EFB4CB7" w14:textId="5E398BD5" w:rsidR="00DF6159" w:rsidRPr="00236418" w:rsidRDefault="006B40D0" w:rsidP="009B3D24">
      <w:r w:rsidRPr="00236418">
        <w:t>4</w:t>
      </w:r>
      <w:r w:rsidR="005F4C4E" w:rsidRPr="00236418">
        <w:t>5</w:t>
      </w:r>
      <w:r w:rsidR="00DF6159" w:rsidRPr="00236418">
        <w:tab/>
        <w:t>Les notes relatives aux états financiers fournissent des informations utiles sur les aspects financiers concernant l'exercice 201</w:t>
      </w:r>
      <w:r w:rsidRPr="00236418">
        <w:t>9</w:t>
      </w:r>
      <w:r w:rsidR="00DF6159" w:rsidRPr="00236418">
        <w:t>.</w:t>
      </w:r>
    </w:p>
    <w:p w14:paraId="09BAF68E" w14:textId="1FD4E188" w:rsidR="00DF6159" w:rsidRPr="00236418" w:rsidRDefault="00DF6159" w:rsidP="009B3D24">
      <w:pPr>
        <w:pStyle w:val="Headingb"/>
      </w:pPr>
      <w:bookmarkStart w:id="104" w:name="_Toc452138591"/>
      <w:bookmarkStart w:id="105" w:name="_Toc452139038"/>
      <w:bookmarkStart w:id="106" w:name="_Toc452139397"/>
      <w:bookmarkStart w:id="107" w:name="_Toc452139796"/>
      <w:bookmarkStart w:id="108" w:name="_Toc452140383"/>
      <w:bookmarkStart w:id="109" w:name="_Toc452140663"/>
      <w:bookmarkStart w:id="110" w:name="_Toc482801459"/>
      <w:bookmarkStart w:id="111" w:name="_Toc482888703"/>
      <w:bookmarkStart w:id="112" w:name="_Toc511649423"/>
      <w:bookmarkStart w:id="113" w:name="_Toc511649797"/>
      <w:bookmarkStart w:id="114" w:name="_Toc511649904"/>
      <w:bookmarkStart w:id="115" w:name="_Toc511650022"/>
      <w:bookmarkStart w:id="116" w:name="_Toc511650515"/>
      <w:bookmarkStart w:id="117" w:name="_Toc511651160"/>
      <w:bookmarkStart w:id="118" w:name="_Toc511724025"/>
      <w:bookmarkStart w:id="119" w:name="_Toc511739014"/>
      <w:bookmarkStart w:id="120" w:name="_Toc511741183"/>
      <w:bookmarkStart w:id="121" w:name="_Toc9605679"/>
      <w:bookmarkStart w:id="122" w:name="_Toc10450689"/>
      <w:bookmarkStart w:id="123" w:name="_Toc41566302"/>
      <w:bookmarkStart w:id="124" w:name="_Toc41814921"/>
      <w:r w:rsidRPr="00236418">
        <w:t>Principaux indicateurs financiers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491529E" w14:textId="5068D035" w:rsidR="00DF6159" w:rsidRPr="00236418" w:rsidRDefault="006B40D0" w:rsidP="009B3D24">
      <w:r w:rsidRPr="00236418">
        <w:t>4</w:t>
      </w:r>
      <w:r w:rsidR="005F4C4E" w:rsidRPr="00236418">
        <w:t>6</w:t>
      </w:r>
      <w:r w:rsidR="00DF6159" w:rsidRPr="00236418">
        <w:tab/>
      </w:r>
      <w:r w:rsidR="00710592" w:rsidRPr="00236418">
        <w:t>Depuis</w:t>
      </w:r>
      <w:r w:rsidRPr="00236418">
        <w:t xml:space="preserve"> 2015, </w:t>
      </w:r>
      <w:r w:rsidR="00710592" w:rsidRPr="00236418">
        <w:t>l'UIT présente</w:t>
      </w:r>
      <w:r w:rsidRPr="00236418">
        <w:t xml:space="preserve"> </w:t>
      </w:r>
      <w:r w:rsidR="00DF6159" w:rsidRPr="00236418">
        <w:t xml:space="preserve">des indicateurs clés qui </w:t>
      </w:r>
      <w:r w:rsidR="00710592" w:rsidRPr="00236418">
        <w:t>constituent</w:t>
      </w:r>
      <w:r w:rsidR="00DF6159" w:rsidRPr="00236418">
        <w:t xml:space="preserve"> un outil utile pour comprendre l'évolution de la situation financière d'une organisation et qui </w:t>
      </w:r>
      <w:r w:rsidR="00155B3B" w:rsidRPr="00236418">
        <w:t>sont</w:t>
      </w:r>
      <w:r w:rsidR="00DF6159" w:rsidRPr="00236418">
        <w:t xml:space="preserve"> très important</w:t>
      </w:r>
      <w:r w:rsidR="00155B3B" w:rsidRPr="00236418">
        <w:t>s</w:t>
      </w:r>
      <w:r w:rsidR="00DF6159" w:rsidRPr="00236418">
        <w:t xml:space="preserve"> dans un cadre de budgétisation axée sur les résultats et de gestion axée sur les résultats.</w:t>
      </w:r>
    </w:p>
    <w:p w14:paraId="361B579B" w14:textId="3B705B55" w:rsidR="00DF6159" w:rsidRPr="00236418" w:rsidRDefault="006B40D0" w:rsidP="009B3D24">
      <w:pPr>
        <w:rPr>
          <w:rFonts w:asciiTheme="minorHAnsi" w:hAnsiTheme="minorHAnsi"/>
          <w:b/>
          <w:bCs/>
          <w:sz w:val="28"/>
          <w:szCs w:val="28"/>
        </w:rPr>
      </w:pPr>
      <w:r w:rsidRPr="00236418">
        <w:t>4</w:t>
      </w:r>
      <w:r w:rsidR="005F4C4E" w:rsidRPr="00236418">
        <w:t>7</w:t>
      </w:r>
      <w:r w:rsidR="00DF6159" w:rsidRPr="00236418">
        <w:tab/>
        <w:t>Il faut interpréter avec soin les résultats fournis par ces indicateurs pour que la comparaison avec d'autres organisations et institutions spécialisées du système des Nations Unies soit significative.</w:t>
      </w:r>
    </w:p>
    <w:p w14:paraId="51FCB7D7" w14:textId="1E1FF373" w:rsidR="00DF6159" w:rsidRDefault="00DF6159" w:rsidP="009B3D24">
      <w:pPr>
        <w:pStyle w:val="Headingb"/>
      </w:pPr>
      <w:bookmarkStart w:id="125" w:name="_Toc482888704"/>
      <w:bookmarkStart w:id="126" w:name="_Toc511649424"/>
      <w:bookmarkStart w:id="127" w:name="_Toc511649798"/>
      <w:bookmarkStart w:id="128" w:name="_Toc511649905"/>
      <w:bookmarkStart w:id="129" w:name="_Toc511650023"/>
      <w:bookmarkStart w:id="130" w:name="_Toc511650516"/>
      <w:bookmarkStart w:id="131" w:name="_Toc511651161"/>
      <w:bookmarkStart w:id="132" w:name="_Toc511724026"/>
      <w:bookmarkStart w:id="133" w:name="_Toc511739015"/>
      <w:bookmarkStart w:id="134" w:name="_Toc511741184"/>
      <w:bookmarkStart w:id="135" w:name="_Toc9605680"/>
      <w:bookmarkStart w:id="136" w:name="_Toc10450690"/>
      <w:bookmarkStart w:id="137" w:name="_Toc41566303"/>
      <w:bookmarkStart w:id="138" w:name="_Toc41814922"/>
      <w:bookmarkStart w:id="139" w:name="_Hlk132892809"/>
      <w:r w:rsidRPr="00236418">
        <w:t>Stabilité et sécurité financière/risque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ACB37FA" w14:textId="79FA8989" w:rsidR="004B4070" w:rsidRPr="004B4070" w:rsidRDefault="004B4070" w:rsidP="004B4070">
      <w:r w:rsidRPr="004B4070">
        <w:drawing>
          <wp:inline distT="0" distB="0" distL="0" distR="0" wp14:anchorId="30B53313" wp14:editId="6FE4E6D5">
            <wp:extent cx="6120765" cy="1838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838325"/>
                    </a:xfrm>
                    <a:prstGeom prst="rect">
                      <a:avLst/>
                    </a:prstGeom>
                    <a:noFill/>
                    <a:ln>
                      <a:noFill/>
                    </a:ln>
                  </pic:spPr>
                </pic:pic>
              </a:graphicData>
            </a:graphic>
          </wp:inline>
        </w:drawing>
      </w:r>
    </w:p>
    <w:p w14:paraId="25CB1B07" w14:textId="06662555" w:rsidR="00DF6159" w:rsidRDefault="00DF6159" w:rsidP="009B3D24">
      <w:pPr>
        <w:pStyle w:val="Headingb"/>
      </w:pPr>
      <w:bookmarkStart w:id="140" w:name="_Toc482888705"/>
      <w:bookmarkStart w:id="141" w:name="_Toc511649425"/>
      <w:bookmarkStart w:id="142" w:name="_Toc511649799"/>
      <w:bookmarkStart w:id="143" w:name="_Toc511649906"/>
      <w:bookmarkStart w:id="144" w:name="_Toc511650024"/>
      <w:bookmarkStart w:id="145" w:name="_Toc511650517"/>
      <w:bookmarkStart w:id="146" w:name="_Toc511651162"/>
      <w:bookmarkStart w:id="147" w:name="_Toc511724027"/>
      <w:bookmarkStart w:id="148" w:name="_Toc511739016"/>
      <w:bookmarkStart w:id="149" w:name="_Toc511741185"/>
      <w:bookmarkStart w:id="150" w:name="_Toc9605681"/>
      <w:bookmarkStart w:id="151" w:name="_Toc10450691"/>
      <w:bookmarkStart w:id="152" w:name="_Toc41566304"/>
      <w:bookmarkStart w:id="153" w:name="_Toc41814923"/>
      <w:bookmarkStart w:id="154" w:name="_Hlk132892815"/>
      <w:bookmarkEnd w:id="139"/>
      <w:r w:rsidRPr="00236418">
        <w:t>Réserve de capitaux propres et de trésorerie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7B2E7CD" w14:textId="627DBFF4" w:rsidR="004B4070" w:rsidRPr="004B4070" w:rsidRDefault="004B4070" w:rsidP="004B4070">
      <w:r w:rsidRPr="004B4070">
        <w:drawing>
          <wp:inline distT="0" distB="0" distL="0" distR="0" wp14:anchorId="09109CE3" wp14:editId="2A442948">
            <wp:extent cx="6120765" cy="1953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953260"/>
                    </a:xfrm>
                    <a:prstGeom prst="rect">
                      <a:avLst/>
                    </a:prstGeom>
                    <a:noFill/>
                    <a:ln>
                      <a:noFill/>
                    </a:ln>
                  </pic:spPr>
                </pic:pic>
              </a:graphicData>
            </a:graphic>
          </wp:inline>
        </w:drawing>
      </w:r>
    </w:p>
    <w:bookmarkEnd w:id="154"/>
    <w:p w14:paraId="7BD8AEDC" w14:textId="13F07A03" w:rsidR="00DF6159" w:rsidRPr="00236418" w:rsidRDefault="00DF6159" w:rsidP="009B3D24">
      <w:pPr>
        <w:pStyle w:val="Figure"/>
        <w:rPr>
          <w:sz w:val="2"/>
          <w:szCs w:val="2"/>
        </w:rPr>
      </w:pPr>
    </w:p>
    <w:p w14:paraId="42B92D86" w14:textId="40D11007" w:rsidR="00DF6159" w:rsidRPr="00236418" w:rsidRDefault="006B40D0" w:rsidP="009B3D24">
      <w:pPr>
        <w:spacing w:before="360"/>
      </w:pPr>
      <w:r w:rsidRPr="00236418">
        <w:t>4</w:t>
      </w:r>
      <w:r w:rsidR="005F4C4E" w:rsidRPr="00236418">
        <w:t>8</w:t>
      </w:r>
      <w:r w:rsidR="00DF6159" w:rsidRPr="00236418">
        <w:tab/>
        <w:t>La réserve de trésorerie est évaluée en nombre de mois et fait apparaître une stabilité au fil des ans. Il est à noter qu'une partie de la trésorerie n'est pas immédiatement disponible et qu'il faut donc être vigilant pour couvrir les besoins mensuels.</w:t>
      </w:r>
    </w:p>
    <w:p w14:paraId="55145468" w14:textId="070C5AF0" w:rsidR="00DF6159" w:rsidRDefault="00DF6159" w:rsidP="009B3D24">
      <w:pPr>
        <w:pStyle w:val="Headingb"/>
        <w:spacing w:before="240" w:after="240"/>
        <w:rPr>
          <w:bCs/>
        </w:rPr>
      </w:pPr>
      <w:bookmarkStart w:id="155" w:name="_Toc482888706"/>
      <w:bookmarkStart w:id="156" w:name="_Toc511649426"/>
      <w:bookmarkStart w:id="157" w:name="_Toc511649800"/>
      <w:bookmarkStart w:id="158" w:name="_Toc511649907"/>
      <w:bookmarkStart w:id="159" w:name="_Toc511650025"/>
      <w:bookmarkStart w:id="160" w:name="_Toc511650518"/>
      <w:bookmarkStart w:id="161" w:name="_Toc511651163"/>
      <w:bookmarkStart w:id="162" w:name="_Toc511724028"/>
      <w:bookmarkStart w:id="163" w:name="_Toc511739017"/>
      <w:bookmarkStart w:id="164" w:name="_Toc511741186"/>
      <w:bookmarkStart w:id="165" w:name="_Toc9605682"/>
      <w:bookmarkStart w:id="166" w:name="_Toc10450692"/>
      <w:bookmarkStart w:id="167" w:name="_Toc41566305"/>
      <w:bookmarkStart w:id="168" w:name="_Toc41814924"/>
      <w:bookmarkStart w:id="169" w:name="_Hlk132892845"/>
      <w:r w:rsidRPr="00236418">
        <w:rPr>
          <w:bCs/>
        </w:rPr>
        <w:lastRenderedPageBreak/>
        <w:t>Solvabilité immédiate</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0095074" w14:textId="3534BD34" w:rsidR="004B4070" w:rsidRDefault="004B4070" w:rsidP="004B4070">
      <w:r w:rsidRPr="004B4070">
        <w:drawing>
          <wp:inline distT="0" distB="0" distL="0" distR="0" wp14:anchorId="2ED42396" wp14:editId="480469BE">
            <wp:extent cx="6120765" cy="1953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953260"/>
                    </a:xfrm>
                    <a:prstGeom prst="rect">
                      <a:avLst/>
                    </a:prstGeom>
                    <a:noFill/>
                    <a:ln>
                      <a:noFill/>
                    </a:ln>
                  </pic:spPr>
                </pic:pic>
              </a:graphicData>
            </a:graphic>
          </wp:inline>
        </w:drawing>
      </w:r>
    </w:p>
    <w:p w14:paraId="434B5286" w14:textId="177831C1" w:rsidR="004B4070" w:rsidRPr="004B4070" w:rsidRDefault="004B4070" w:rsidP="004B4070">
      <w:r w:rsidRPr="004B4070">
        <w:drawing>
          <wp:inline distT="0" distB="0" distL="0" distR="0" wp14:anchorId="272C2A04" wp14:editId="46C83A18">
            <wp:extent cx="6120765" cy="18611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861185"/>
                    </a:xfrm>
                    <a:prstGeom prst="rect">
                      <a:avLst/>
                    </a:prstGeom>
                    <a:noFill/>
                    <a:ln>
                      <a:noFill/>
                    </a:ln>
                  </pic:spPr>
                </pic:pic>
              </a:graphicData>
            </a:graphic>
          </wp:inline>
        </w:drawing>
      </w:r>
    </w:p>
    <w:bookmarkEnd w:id="169"/>
    <w:p w14:paraId="3D576C13" w14:textId="2C4FFEA1" w:rsidR="00DF6159" w:rsidRPr="00236418" w:rsidRDefault="002F3F33" w:rsidP="009B3D24">
      <w:pPr>
        <w:spacing w:before="240"/>
      </w:pPr>
      <w:r w:rsidRPr="00236418">
        <w:t>4</w:t>
      </w:r>
      <w:r w:rsidR="005F4C4E" w:rsidRPr="00236418">
        <w:t>9</w:t>
      </w:r>
      <w:r w:rsidR="00DF6159" w:rsidRPr="00236418">
        <w:tab/>
        <w:t xml:space="preserve">Le ratio de solvabilité permet d'évaluer plus facilement la santé financière de l'Union à court terme. Les bons résultats, respectivement </w:t>
      </w:r>
      <w:r w:rsidRPr="00236418">
        <w:t>208</w:t>
      </w:r>
      <w:r w:rsidR="00DF6159" w:rsidRPr="00236418">
        <w:t>% et 1</w:t>
      </w:r>
      <w:r w:rsidRPr="00236418">
        <w:t>40</w:t>
      </w:r>
      <w:r w:rsidR="00DF6159" w:rsidRPr="00236418">
        <w:t>% pour ces deux ratios, confirment la bonne santé de l'Union et le fait qu'elle est en mesure de faire face à ses engagements à court terme.</w:t>
      </w:r>
    </w:p>
    <w:p w14:paraId="5DD9E8BF" w14:textId="77777777" w:rsidR="00DF6159" w:rsidRPr="00236418" w:rsidRDefault="00DF6159" w:rsidP="009B3D24">
      <w:pPr>
        <w:pStyle w:val="Headingb"/>
      </w:pPr>
      <w:bookmarkStart w:id="170" w:name="_Toc482888707"/>
      <w:bookmarkStart w:id="171" w:name="_Toc511649427"/>
      <w:bookmarkStart w:id="172" w:name="_Toc511649801"/>
      <w:bookmarkStart w:id="173" w:name="_Toc511649908"/>
      <w:bookmarkStart w:id="174" w:name="_Toc511650026"/>
      <w:bookmarkStart w:id="175" w:name="_Toc511650519"/>
      <w:bookmarkStart w:id="176" w:name="_Toc511651164"/>
      <w:bookmarkStart w:id="177" w:name="_Toc511724029"/>
      <w:bookmarkStart w:id="178" w:name="_Toc511739018"/>
      <w:bookmarkStart w:id="179" w:name="_Toc511741187"/>
      <w:bookmarkStart w:id="180" w:name="_Toc9605683"/>
      <w:bookmarkStart w:id="181" w:name="_Toc10450693"/>
      <w:bookmarkStart w:id="182" w:name="_Toc41566306"/>
      <w:bookmarkStart w:id="183" w:name="_Toc41814925"/>
      <w:bookmarkStart w:id="184" w:name="_Hlk132892893"/>
      <w:r w:rsidRPr="00236418">
        <w:t>Résultats financiers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84"/>
    <w:p w14:paraId="0BC2CB0B" w14:textId="5B5A68F8" w:rsidR="00DF6159" w:rsidRDefault="005F4C4E" w:rsidP="009B3D24">
      <w:pPr>
        <w:snapToGrid w:val="0"/>
        <w:spacing w:after="240"/>
      </w:pPr>
      <w:r w:rsidRPr="00236418">
        <w:t>50</w:t>
      </w:r>
      <w:r w:rsidR="00DF6159" w:rsidRPr="00236418">
        <w:tab/>
        <w:t>Ce ratio représente les résultats financiers pour le budget ordinaire approuvé et il est basé sur les résultats budgétaires.</w:t>
      </w:r>
    </w:p>
    <w:p w14:paraId="3679E556" w14:textId="43F73770" w:rsidR="004B4070" w:rsidRPr="00236418" w:rsidRDefault="004B4070" w:rsidP="009B3D24">
      <w:pPr>
        <w:snapToGrid w:val="0"/>
        <w:spacing w:after="240"/>
        <w:rPr>
          <w:lang w:eastAsia="zh-CN"/>
        </w:rPr>
      </w:pPr>
      <w:r w:rsidRPr="004B4070">
        <w:drawing>
          <wp:inline distT="0" distB="0" distL="0" distR="0" wp14:anchorId="63D6D63B" wp14:editId="75F2B164">
            <wp:extent cx="6120765" cy="2022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022475"/>
                    </a:xfrm>
                    <a:prstGeom prst="rect">
                      <a:avLst/>
                    </a:prstGeom>
                    <a:noFill/>
                    <a:ln>
                      <a:noFill/>
                    </a:ln>
                  </pic:spPr>
                </pic:pic>
              </a:graphicData>
            </a:graphic>
          </wp:inline>
        </w:drawing>
      </w:r>
    </w:p>
    <w:p w14:paraId="575C455E" w14:textId="313C12D0" w:rsidR="002F3F33" w:rsidRPr="00236418" w:rsidRDefault="004B4070" w:rsidP="004D361C">
      <w:pPr>
        <w:pStyle w:val="Figure"/>
        <w:keepNext w:val="0"/>
        <w:spacing w:after="240"/>
        <w:rPr>
          <w:lang w:eastAsia="zh-CN"/>
        </w:rPr>
      </w:pPr>
      <w:r w:rsidRPr="004B4070">
        <w:lastRenderedPageBreak/>
        <w:drawing>
          <wp:inline distT="0" distB="0" distL="0" distR="0" wp14:anchorId="133766BD" wp14:editId="0068FEE7">
            <wp:extent cx="6120765" cy="2098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098675"/>
                    </a:xfrm>
                    <a:prstGeom prst="rect">
                      <a:avLst/>
                    </a:prstGeom>
                    <a:noFill/>
                    <a:ln>
                      <a:noFill/>
                    </a:ln>
                  </pic:spPr>
                </pic:pic>
              </a:graphicData>
            </a:graphic>
          </wp:inline>
        </w:drawing>
      </w:r>
    </w:p>
    <w:p w14:paraId="62CB5C4B" w14:textId="5305BEA3" w:rsidR="00DF6159" w:rsidRPr="00236418" w:rsidRDefault="002F3F33" w:rsidP="009B3D24">
      <w:pPr>
        <w:spacing w:before="240"/>
      </w:pPr>
      <w:r w:rsidRPr="00236418">
        <w:t>5</w:t>
      </w:r>
      <w:r w:rsidR="005F4C4E" w:rsidRPr="00236418">
        <w:t>1</w:t>
      </w:r>
      <w:r w:rsidR="00DF6159" w:rsidRPr="00236418">
        <w:tab/>
        <w:t xml:space="preserve">L'évolution du ratio pour les dépenses de personnel a été relativement stable au cours des quatre dernières années. La majeure partie des </w:t>
      </w:r>
      <w:r w:rsidR="005F4C4E" w:rsidRPr="00236418">
        <w:t>charges</w:t>
      </w:r>
      <w:r w:rsidR="00DF6159" w:rsidRPr="00236418">
        <w:t xml:space="preserve"> (8</w:t>
      </w:r>
      <w:r w:rsidRPr="00236418">
        <w:t>3</w:t>
      </w:r>
      <w:r w:rsidR="00DF6159" w:rsidRPr="00236418">
        <w:t>% en 201</w:t>
      </w:r>
      <w:r w:rsidRPr="00236418">
        <w:t>9</w:t>
      </w:r>
      <w:r w:rsidR="00DF6159" w:rsidRPr="00236418">
        <w:t xml:space="preserve">) est affectée aux dépenses de personnel, ce qui permet à l'UIT de mettre en </w:t>
      </w:r>
      <w:r w:rsidR="00DF6159" w:rsidRPr="00236418">
        <w:rPr>
          <w:rFonts w:cs="Calibri"/>
          <w:lang w:eastAsia="fr-FR"/>
        </w:rPr>
        <w:t>œ</w:t>
      </w:r>
      <w:r w:rsidR="00DF6159" w:rsidRPr="00236418">
        <w:t>uvre son programme d'activités, conformément à ce qui a été décidé dans le plan opérationnel pendant la Conférence de plénipotentiaires de 201</w:t>
      </w:r>
      <w:r w:rsidRPr="00236418">
        <w:t>8</w:t>
      </w:r>
      <w:r w:rsidR="00DF6159" w:rsidRPr="00236418">
        <w:t>.</w:t>
      </w:r>
      <w:r w:rsidR="005F4C4E" w:rsidRPr="00236418">
        <w:t xml:space="preserve"> L'augmentation du ratio entre les dépenses de personnel et les produits pourrait s'expliquer par le changement de caisse d'assurance </w:t>
      </w:r>
      <w:r w:rsidR="00596807">
        <w:t>maladie, pour passer de CIGNA à </w:t>
      </w:r>
      <w:r w:rsidR="005F4C4E" w:rsidRPr="00236418">
        <w:t>UNSMIS. Ce changement aura un effet unique qui entraînera l'inscription des coûts des prestations au titre des services rendus dans le passé pour un montant de 50 millions CHF (voir la note 17.2). Pour 2020, nous pourrions attendre le retour d'un ratio dépenses de personnel/produits équivalent à celui des années précédentes.</w:t>
      </w:r>
    </w:p>
    <w:p w14:paraId="2EA09A64" w14:textId="77777777" w:rsidR="00DF6159" w:rsidRPr="00236418" w:rsidRDefault="00DF6159" w:rsidP="009B3D24">
      <w:pPr>
        <w:pStyle w:val="headingb0"/>
      </w:pPr>
      <w:bookmarkStart w:id="185" w:name="_Toc329204972"/>
      <w:bookmarkStart w:id="186" w:name="_Toc329206809"/>
      <w:bookmarkStart w:id="187" w:name="_Toc358379889"/>
      <w:bookmarkStart w:id="188" w:name="_Toc358380430"/>
      <w:bookmarkStart w:id="189" w:name="_Toc387166334"/>
      <w:bookmarkStart w:id="190" w:name="_Toc387166612"/>
      <w:bookmarkStart w:id="191" w:name="_Toc387167417"/>
      <w:bookmarkStart w:id="192" w:name="_Toc395260897"/>
      <w:bookmarkStart w:id="193" w:name="_Toc395511677"/>
      <w:bookmarkStart w:id="194" w:name="_Toc482888026"/>
      <w:bookmarkStart w:id="195" w:name="_Toc482888252"/>
      <w:bookmarkStart w:id="196" w:name="_Toc482888368"/>
      <w:bookmarkStart w:id="197" w:name="_Toc482888708"/>
      <w:bookmarkStart w:id="198" w:name="_Toc511649428"/>
      <w:bookmarkStart w:id="199" w:name="_Toc511649909"/>
      <w:bookmarkStart w:id="200" w:name="_Toc511650027"/>
      <w:bookmarkStart w:id="201" w:name="_Toc511650520"/>
      <w:bookmarkStart w:id="202" w:name="_Toc511651165"/>
      <w:bookmarkStart w:id="203" w:name="_Toc511724030"/>
      <w:bookmarkStart w:id="204" w:name="_Toc511739019"/>
      <w:bookmarkStart w:id="205" w:name="_Toc511740806"/>
      <w:bookmarkStart w:id="206" w:name="_Toc511741188"/>
      <w:bookmarkStart w:id="207" w:name="_Toc10450694"/>
      <w:bookmarkStart w:id="208" w:name="_Toc41566593"/>
      <w:bookmarkStart w:id="209" w:name="_Toc41567333"/>
      <w:r w:rsidRPr="00236418">
        <w:t>Continuité</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24FAC71" w14:textId="1510029B" w:rsidR="00DF6159" w:rsidRPr="00236418" w:rsidRDefault="002F3F33" w:rsidP="009B3D24">
      <w:r w:rsidRPr="00236418">
        <w:t>5</w:t>
      </w:r>
      <w:r w:rsidR="00060478" w:rsidRPr="00236418">
        <w:t>2</w:t>
      </w:r>
      <w:r w:rsidR="00DF6159" w:rsidRPr="00236418">
        <w:tab/>
        <w:t>J'ai évalué les incidences de toute réduction potentielle des contributions que pourraient entraîner les crises économique et financière mondiales et analysé la question de savoir si cela entraînerait une réduction des activités de l'Union. Compte tenu des activités projetées et des risques correspondants, je peux affirmer que l'Union dispose de ressources suffisantes pour continuer à opérer à moyen terme. Nous continuerons par conséquent d'établir les états financiers de l'Union sur la base de la méthode de l'activité continue.</w:t>
      </w:r>
    </w:p>
    <w:p w14:paraId="25975B25" w14:textId="28E1341F" w:rsidR="00DF6159" w:rsidRPr="00236418" w:rsidRDefault="002F3F33" w:rsidP="009B3D24">
      <w:bookmarkStart w:id="210" w:name="_Toc329202540"/>
      <w:bookmarkStart w:id="211" w:name="_Toc329204973"/>
      <w:bookmarkStart w:id="212" w:name="_Toc329206810"/>
      <w:r w:rsidRPr="00236418">
        <w:t>5</w:t>
      </w:r>
      <w:r w:rsidR="00060478" w:rsidRPr="00236418">
        <w:t>3</w:t>
      </w:r>
      <w:r w:rsidR="00DF6159" w:rsidRPr="00236418">
        <w:tab/>
        <w:t>Je suis conscient de la responsabilité qui est la mienne quant à la transparence du rapport annuel du CCIG, du rapport annuel du Vérificateur extérieur des comptes et du rapport annuel d'audit interne et à leur accessibilité pour le public, une fois qu'ils auront été approuvés par le Conseil.</w:t>
      </w:r>
    </w:p>
    <w:p w14:paraId="3A906A17" w14:textId="2E170348" w:rsidR="00DF6159" w:rsidRPr="00236418" w:rsidRDefault="002F3F33" w:rsidP="009B3D24">
      <w:r w:rsidRPr="00236418">
        <w:t>5</w:t>
      </w:r>
      <w:r w:rsidR="00E72BD9" w:rsidRPr="00236418">
        <w:t>4</w:t>
      </w:r>
      <w:r w:rsidR="00DF6159" w:rsidRPr="00236418">
        <w:tab/>
        <w:t>La déclaration sur le contrôle interne pour 201</w:t>
      </w:r>
      <w:r w:rsidRPr="00236418">
        <w:t>9</w:t>
      </w:r>
      <w:r w:rsidR="00DF6159" w:rsidRPr="00236418">
        <w:t xml:space="preserve"> est jointe au présent Rapport de gestion financière.</w:t>
      </w:r>
    </w:p>
    <w:p w14:paraId="5142D16A" w14:textId="77777777" w:rsidR="00DF6159" w:rsidRPr="00236418" w:rsidRDefault="00DF6159" w:rsidP="009B3D24">
      <w:pPr>
        <w:pStyle w:val="headingb0"/>
      </w:pPr>
      <w:bookmarkStart w:id="213" w:name="_Toc358379890"/>
      <w:bookmarkStart w:id="214" w:name="_Toc358380431"/>
      <w:bookmarkStart w:id="215" w:name="_Toc387166335"/>
      <w:bookmarkStart w:id="216" w:name="_Toc387166613"/>
      <w:bookmarkStart w:id="217" w:name="_Toc387167418"/>
      <w:bookmarkStart w:id="218" w:name="_Toc395260898"/>
      <w:bookmarkStart w:id="219" w:name="_Toc395511678"/>
      <w:bookmarkStart w:id="220" w:name="_Toc482888027"/>
      <w:bookmarkStart w:id="221" w:name="_Toc482888253"/>
      <w:bookmarkStart w:id="222" w:name="_Toc482888369"/>
      <w:bookmarkStart w:id="223" w:name="_Toc482888709"/>
      <w:bookmarkStart w:id="224" w:name="_Toc511649429"/>
      <w:bookmarkStart w:id="225" w:name="_Toc511649910"/>
      <w:bookmarkStart w:id="226" w:name="_Toc511650028"/>
      <w:bookmarkStart w:id="227" w:name="_Toc511650521"/>
      <w:bookmarkStart w:id="228" w:name="_Toc511651166"/>
      <w:bookmarkStart w:id="229" w:name="_Toc511724031"/>
      <w:bookmarkStart w:id="230" w:name="_Toc511739020"/>
      <w:bookmarkStart w:id="231" w:name="_Toc511740807"/>
      <w:bookmarkStart w:id="232" w:name="_Toc511741189"/>
      <w:bookmarkStart w:id="233" w:name="_Toc10450695"/>
      <w:bookmarkStart w:id="234" w:name="_Toc41566594"/>
      <w:bookmarkStart w:id="235" w:name="_Toc41567334"/>
      <w:r w:rsidRPr="00236418">
        <w:t>Responsabilité</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B68C047" w14:textId="5F9F962B" w:rsidR="00DF6159" w:rsidRPr="00236418" w:rsidRDefault="002F3F33" w:rsidP="009B3D24">
      <w:pPr>
        <w:keepNext/>
        <w:keepLines/>
      </w:pPr>
      <w:r w:rsidRPr="00236418">
        <w:t>5</w:t>
      </w:r>
      <w:r w:rsidR="00E72BD9" w:rsidRPr="00236418">
        <w:t>5</w:t>
      </w:r>
      <w:r w:rsidR="00DF6159" w:rsidRPr="00236418">
        <w:tab/>
        <w:t>Comme prévu par l'Article 30 du Règlement financier de l'Union, j'ai le plaisir de soumettre les états financiers ci-après, qui ont été élaborés conformément aux normes IPSAS. Je certifie que, pour autant que je sache, toutes les opérations de l'exercice ont été dûment comptabilisées dans les écritures et que ces opérations, ainsi que les états financiers et notes y afférentes, qui font partie intégrante du présent document, donnent une image fidèle de la situation financière de l'Union au 31 décembre 201</w:t>
      </w:r>
      <w:r w:rsidRPr="00236418">
        <w:t>9</w:t>
      </w:r>
      <w:r w:rsidR="00DF6159" w:rsidRPr="00236418">
        <w:t>.</w:t>
      </w:r>
    </w:p>
    <w:p w14:paraId="4CA5256E" w14:textId="6B6FA4B8" w:rsidR="00DF6159" w:rsidRPr="00236418" w:rsidRDefault="00DF6159" w:rsidP="009B3D24">
      <w:r w:rsidRPr="00236418">
        <w:t>I</w:t>
      </w:r>
      <w:r w:rsidRPr="00236418">
        <w:tab/>
        <w:t>État de la situation financière – Bilan au 31 décembre 201</w:t>
      </w:r>
      <w:r w:rsidR="002F3F33" w:rsidRPr="00236418">
        <w:t>9</w:t>
      </w:r>
    </w:p>
    <w:p w14:paraId="7699CB4B" w14:textId="1DA813BB" w:rsidR="00DF6159" w:rsidRPr="00236418" w:rsidRDefault="00DF6159" w:rsidP="009B3D24">
      <w:r w:rsidRPr="00236418">
        <w:t>II</w:t>
      </w:r>
      <w:r w:rsidRPr="00236418">
        <w:tab/>
        <w:t>État de la performance financière pour l'exercice clos le 31 décembre 201</w:t>
      </w:r>
      <w:r w:rsidR="002F3F33" w:rsidRPr="00236418">
        <w:t>9</w:t>
      </w:r>
    </w:p>
    <w:p w14:paraId="0518F064" w14:textId="14581FE9" w:rsidR="00DF6159" w:rsidRPr="00236418" w:rsidRDefault="00DF6159" w:rsidP="009B3D24">
      <w:r w:rsidRPr="00236418">
        <w:lastRenderedPageBreak/>
        <w:t>III</w:t>
      </w:r>
      <w:r w:rsidRPr="00236418">
        <w:tab/>
        <w:t>État des variations de l'actif net pour l'exercice clos le 31 décembre 201</w:t>
      </w:r>
      <w:r w:rsidR="002F3F33" w:rsidRPr="00236418">
        <w:t>9</w:t>
      </w:r>
    </w:p>
    <w:p w14:paraId="28CACE6C" w14:textId="350D9DA2" w:rsidR="00DF6159" w:rsidRPr="00236418" w:rsidRDefault="00DF6159" w:rsidP="009B3D24">
      <w:r w:rsidRPr="00236418">
        <w:t>IV</w:t>
      </w:r>
      <w:r w:rsidRPr="00236418">
        <w:tab/>
        <w:t>État des flux de trésorerie pour l'exercice clos le 31 décembre 201</w:t>
      </w:r>
      <w:r w:rsidR="002F3F33" w:rsidRPr="00236418">
        <w:t>9</w:t>
      </w:r>
    </w:p>
    <w:p w14:paraId="79003AAE" w14:textId="77777777" w:rsidR="00201DC9" w:rsidRPr="00236418" w:rsidRDefault="00DF6159" w:rsidP="009B3D24">
      <w:pPr>
        <w:ind w:left="567" w:hanging="567"/>
      </w:pPr>
      <w:r w:rsidRPr="00236418">
        <w:t>V</w:t>
      </w:r>
      <w:r w:rsidRPr="00236418">
        <w:tab/>
        <w:t>État de la comparaison des montants budgétés et des montants effectifs pour l'exercice 201</w:t>
      </w:r>
      <w:r w:rsidR="002F3F33" w:rsidRPr="00236418">
        <w:t>9</w:t>
      </w:r>
    </w:p>
    <w:p w14:paraId="075DD184" w14:textId="62C6A04B" w:rsidR="00DF6159" w:rsidRPr="00236418" w:rsidRDefault="00DF6159" w:rsidP="009B3D24">
      <w:pPr>
        <w:ind w:left="567" w:hanging="567"/>
      </w:pPr>
      <w:r w:rsidRPr="00236418">
        <w:br w:type="page"/>
      </w:r>
    </w:p>
    <w:p w14:paraId="353B64FC" w14:textId="77984EDF" w:rsidR="00DF6159" w:rsidRPr="00236418" w:rsidRDefault="00DF6159" w:rsidP="009B3D24">
      <w:pPr>
        <w:pStyle w:val="Heading1"/>
        <w:spacing w:before="600"/>
        <w:jc w:val="center"/>
        <w:rPr>
          <w:w w:val="105"/>
        </w:rPr>
      </w:pPr>
      <w:bookmarkStart w:id="236" w:name="_Toc357005995"/>
      <w:bookmarkStart w:id="237" w:name="_Toc358379891"/>
      <w:bookmarkStart w:id="238" w:name="_Toc358380432"/>
      <w:bookmarkStart w:id="239" w:name="_Toc387166336"/>
      <w:bookmarkStart w:id="240" w:name="_Toc387167419"/>
      <w:bookmarkStart w:id="241" w:name="_Toc395260899"/>
      <w:bookmarkStart w:id="242" w:name="_Toc395261093"/>
      <w:bookmarkStart w:id="243" w:name="_Toc395511679"/>
      <w:bookmarkStart w:id="244" w:name="_Toc452138592"/>
      <w:bookmarkStart w:id="245" w:name="_Toc452139398"/>
      <w:bookmarkStart w:id="246" w:name="_Toc452139797"/>
      <w:bookmarkStart w:id="247" w:name="_Toc452140384"/>
      <w:bookmarkStart w:id="248" w:name="_Toc452140664"/>
      <w:bookmarkStart w:id="249" w:name="_Toc482801460"/>
      <w:bookmarkStart w:id="250" w:name="_Toc482888028"/>
      <w:bookmarkStart w:id="251" w:name="_Toc482888710"/>
      <w:bookmarkStart w:id="252" w:name="_Toc511649430"/>
      <w:bookmarkStart w:id="253" w:name="_Toc511649802"/>
      <w:bookmarkStart w:id="254" w:name="_Toc511649911"/>
      <w:bookmarkStart w:id="255" w:name="_Toc511650029"/>
      <w:bookmarkStart w:id="256" w:name="_Toc511650522"/>
      <w:bookmarkStart w:id="257" w:name="_Toc511651167"/>
      <w:bookmarkStart w:id="258" w:name="_Toc511724032"/>
      <w:bookmarkStart w:id="259" w:name="_Toc511739021"/>
      <w:bookmarkStart w:id="260" w:name="_Toc511740808"/>
      <w:bookmarkStart w:id="261" w:name="_Toc511741190"/>
      <w:bookmarkStart w:id="262" w:name="_Toc9605684"/>
      <w:bookmarkStart w:id="263" w:name="_Toc10450696"/>
      <w:bookmarkStart w:id="264" w:name="_Toc41566307"/>
      <w:bookmarkStart w:id="265" w:name="_Toc41566595"/>
      <w:bookmarkStart w:id="266" w:name="_Toc41567335"/>
      <w:bookmarkStart w:id="267" w:name="_Toc41567821"/>
      <w:bookmarkStart w:id="268" w:name="_Toc41814926"/>
      <w:r w:rsidRPr="00236418">
        <w:rPr>
          <w:w w:val="105"/>
        </w:rPr>
        <w:lastRenderedPageBreak/>
        <w:t xml:space="preserve">Rapport de gestion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236418">
        <w:rPr>
          <w:w w:val="105"/>
        </w:rPr>
        <w:t>201</w:t>
      </w:r>
      <w:bookmarkEnd w:id="262"/>
      <w:bookmarkEnd w:id="263"/>
      <w:r w:rsidR="009D1F20" w:rsidRPr="00236418">
        <w:rPr>
          <w:w w:val="105"/>
        </w:rPr>
        <w:t>9</w:t>
      </w:r>
      <w:bookmarkEnd w:id="264"/>
      <w:bookmarkEnd w:id="265"/>
      <w:bookmarkEnd w:id="266"/>
      <w:bookmarkEnd w:id="267"/>
      <w:bookmarkEnd w:id="268"/>
    </w:p>
    <w:p w14:paraId="429DDB95" w14:textId="55C0E6F6" w:rsidR="00DF6159" w:rsidRPr="00236418" w:rsidRDefault="00DF6159" w:rsidP="009B3D24">
      <w:pPr>
        <w:spacing w:before="480"/>
        <w:jc w:val="right"/>
      </w:pPr>
      <w:r w:rsidRPr="00236418">
        <w:rPr>
          <w:lang w:eastAsia="zh-CN"/>
        </w:rPr>
        <w:t xml:space="preserve">Genève, le </w:t>
      </w:r>
      <w:r w:rsidR="009D1F20" w:rsidRPr="00236418">
        <w:rPr>
          <w:lang w:eastAsia="zh-CN"/>
        </w:rPr>
        <w:t>30</w:t>
      </w:r>
      <w:r w:rsidRPr="00236418">
        <w:rPr>
          <w:lang w:eastAsia="zh-CN"/>
        </w:rPr>
        <w:t xml:space="preserve"> mars 20</w:t>
      </w:r>
      <w:r w:rsidR="009D1F20" w:rsidRPr="00236418">
        <w:rPr>
          <w:lang w:eastAsia="zh-CN"/>
        </w:rPr>
        <w:t>20</w:t>
      </w:r>
    </w:p>
    <w:p w14:paraId="3CFDBA45" w14:textId="4536B63B" w:rsidR="00DF6159" w:rsidRPr="00236418" w:rsidRDefault="00DF6159" w:rsidP="009B3D24">
      <w:pPr>
        <w:pStyle w:val="Headingb"/>
        <w:spacing w:before="720"/>
      </w:pPr>
      <w:bookmarkStart w:id="269" w:name="_Toc358379892"/>
      <w:bookmarkStart w:id="270" w:name="_Toc358380433"/>
      <w:bookmarkStart w:id="271" w:name="_Toc387166337"/>
      <w:bookmarkStart w:id="272" w:name="_Toc387166615"/>
      <w:bookmarkStart w:id="273" w:name="_Toc387167420"/>
      <w:bookmarkStart w:id="274" w:name="_Toc395260900"/>
      <w:bookmarkStart w:id="275" w:name="_Toc395511680"/>
      <w:bookmarkStart w:id="276" w:name="_Toc452138593"/>
      <w:bookmarkStart w:id="277" w:name="_Toc452139040"/>
      <w:bookmarkStart w:id="278" w:name="_Toc452139399"/>
      <w:bookmarkStart w:id="279" w:name="_Toc452139798"/>
      <w:bookmarkStart w:id="280" w:name="_Toc452140385"/>
      <w:bookmarkStart w:id="281" w:name="_Toc452140665"/>
      <w:bookmarkStart w:id="282" w:name="_Toc482801461"/>
      <w:bookmarkStart w:id="283" w:name="_Toc482888711"/>
      <w:bookmarkStart w:id="284" w:name="_Toc511649431"/>
      <w:bookmarkStart w:id="285" w:name="_Toc511649803"/>
      <w:bookmarkStart w:id="286" w:name="_Toc511649912"/>
      <w:bookmarkStart w:id="287" w:name="_Toc511650030"/>
      <w:bookmarkStart w:id="288" w:name="_Toc511650523"/>
      <w:bookmarkStart w:id="289" w:name="_Toc511651168"/>
      <w:bookmarkStart w:id="290" w:name="_Toc511724033"/>
      <w:bookmarkStart w:id="291" w:name="_Toc511739022"/>
      <w:bookmarkStart w:id="292" w:name="_Toc511741191"/>
      <w:bookmarkStart w:id="293" w:name="_Toc9605685"/>
      <w:bookmarkStart w:id="294" w:name="_Toc10450697"/>
      <w:bookmarkStart w:id="295" w:name="_Toc41566308"/>
      <w:bookmarkStart w:id="296" w:name="_Toc41814927"/>
      <w:r w:rsidRPr="00236418">
        <w:t>Rapport de gestion de la direction de l'Union internationale des télécommunications (UIT)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CDFCC6B" w14:textId="2A1E0F71" w:rsidR="00DF6159" w:rsidRPr="00236418" w:rsidRDefault="00DF6159" w:rsidP="009B3D24">
      <w:pPr>
        <w:rPr>
          <w:lang w:eastAsia="zh-CN"/>
        </w:rPr>
      </w:pPr>
      <w:r w:rsidRPr="00236418">
        <w:rPr>
          <w:lang w:eastAsia="zh-CN"/>
        </w:rPr>
        <w:t>Dans le cadre de la vérification des comptes annuels de l'Union internationale des télécommunications (UIT) pour l'exercice 201</w:t>
      </w:r>
      <w:r w:rsidR="009D1F20" w:rsidRPr="00236418">
        <w:rPr>
          <w:lang w:eastAsia="zh-CN"/>
        </w:rPr>
        <w:t>9</w:t>
      </w:r>
      <w:r w:rsidRPr="00236418">
        <w:rPr>
          <w:lang w:eastAsia="zh-CN"/>
        </w:rPr>
        <w:t xml:space="preserve"> clos le 31 décembre 201</w:t>
      </w:r>
      <w:r w:rsidR="009D1F20" w:rsidRPr="00236418">
        <w:rPr>
          <w:lang w:eastAsia="zh-CN"/>
        </w:rPr>
        <w:t>9</w:t>
      </w:r>
      <w:r w:rsidRPr="00236418">
        <w:rPr>
          <w:lang w:eastAsia="zh-CN"/>
        </w:rPr>
        <w:t>, nous présentons le rapport de gestion ci-après.</w:t>
      </w:r>
    </w:p>
    <w:p w14:paraId="60B21F87" w14:textId="77777777" w:rsidR="00DF6159" w:rsidRPr="00236418" w:rsidRDefault="00DF6159" w:rsidP="009B3D24">
      <w:pPr>
        <w:rPr>
          <w:lang w:eastAsia="zh-CN"/>
        </w:rPr>
      </w:pPr>
      <w:r w:rsidRPr="00236418">
        <w:rPr>
          <w:lang w:eastAsia="zh-CN"/>
        </w:rPr>
        <w:t>Nous avons établi les comptes annuels, lesquels seront soumis au Vérificateur extérieur, puis transmis au Conseil de l'UIT pour approbation. Nous sommes conscients de notre responsabilité en ce qui concerne la transparence des comptes annuels et l'accessibilité à ces comptes, la mise en place et la tenue à jour de systèmes viables pour la comptabilité et le contrôle interne, ainsi que les mesures à prendre pour éviter et déceler des erreurs graves et des cas de fraude.</w:t>
      </w:r>
    </w:p>
    <w:p w14:paraId="2C706539" w14:textId="77777777" w:rsidR="00DF6159" w:rsidRPr="00236418" w:rsidRDefault="00DF6159" w:rsidP="009B3D24">
      <w:pPr>
        <w:pStyle w:val="enumlev1"/>
        <w:rPr>
          <w:lang w:eastAsia="zh-CN"/>
        </w:rPr>
      </w:pPr>
      <w:r w:rsidRPr="00236418">
        <w:rPr>
          <w:lang w:eastAsia="zh-CN"/>
        </w:rPr>
        <w:t>1)</w:t>
      </w:r>
      <w:r w:rsidRPr="00236418">
        <w:rPr>
          <w:lang w:eastAsia="zh-CN"/>
        </w:rPr>
        <w:tab/>
        <w:t>Les comptes annuels et les notes y relatives ainsi que les informations financières associées sont conformes aux normes IPSAS, au Règlement financier et aux Règles financières et aux résolutions pertinentes adoptées par les organes directeurs de l'Organisation.</w:t>
      </w:r>
    </w:p>
    <w:p w14:paraId="6EE7F3C0" w14:textId="77777777" w:rsidR="00DF6159" w:rsidRPr="00236418" w:rsidRDefault="00DF6159" w:rsidP="009B3D24">
      <w:pPr>
        <w:pStyle w:val="enumlev1"/>
        <w:rPr>
          <w:lang w:eastAsia="zh-CN"/>
        </w:rPr>
      </w:pPr>
      <w:r w:rsidRPr="00236418">
        <w:rPr>
          <w:lang w:eastAsia="zh-CN"/>
        </w:rPr>
        <w:t>2)</w:t>
      </w:r>
      <w:r w:rsidRPr="00236418">
        <w:rPr>
          <w:lang w:eastAsia="zh-CN"/>
        </w:rPr>
        <w:tab/>
        <w:t>Toutes les opérations ont été dûment documentées. Nous avons communiqué toutes les informations pertinentes au Vérificateur extérieur de l'UIT, nous lui avons fourni ainsi qu'à ses collègues un accès aux comptes et aux pièces comptables de l'organisation ainsi qu'à la correspondance commerciale, et nous les avons informés de toute décision pouvant avoir des répercussions importantes sur les comptes annuels. Nos Vérificateurs extérieurs ont pu s'entretenir librement avec les personnes au sein de l'entité auprès desquelles il a été estimé nécessaire de recueillir des éléments probants.</w:t>
      </w:r>
    </w:p>
    <w:p w14:paraId="537F07DB" w14:textId="54B3A79F" w:rsidR="00DF6159" w:rsidRPr="00236418" w:rsidRDefault="00DF6159" w:rsidP="009B3D24">
      <w:pPr>
        <w:pStyle w:val="enumlev1"/>
        <w:rPr>
          <w:lang w:eastAsia="zh-CN"/>
        </w:rPr>
      </w:pPr>
      <w:r w:rsidRPr="00236418">
        <w:rPr>
          <w:lang w:eastAsia="zh-CN"/>
        </w:rPr>
        <w:t>3)</w:t>
      </w:r>
      <w:r w:rsidRPr="00236418">
        <w:rPr>
          <w:lang w:eastAsia="zh-CN"/>
        </w:rPr>
        <w:tab/>
        <w:t>Toutes les opérations pour l'exercice 201</w:t>
      </w:r>
      <w:r w:rsidR="009D1F20" w:rsidRPr="00236418">
        <w:rPr>
          <w:lang w:eastAsia="zh-CN"/>
        </w:rPr>
        <w:t>9</w:t>
      </w:r>
      <w:r w:rsidRPr="00236418">
        <w:rPr>
          <w:lang w:eastAsia="zh-CN"/>
        </w:rPr>
        <w:t xml:space="preserve"> ont été comptabilisées, avec les montants qui leur ont été affectés, dans l'état de la performance financière. Tous les actifs, les passifs et les soldes de capitaux propres, avec les montants qui leur ont été affectés, ont été comptabilisés dans l'état de la situation financière. L'UIT détient juridiquement suffisamment de droits sur tous les actifs inscrits dans le bilan financier, de sorte qu'il n'existe pas d'autres actifs de l'UIT donnés en nantissement ou grevés que ceux qui sont indiqués dans l'annexe. Les relations et opérations avec les parties liées ont été dûment comptabilisées et communiquées, conformément aux exigences des normes IPSAS. Aucun autre contrat, accord de crédit, litige ou autre différend n'est susceptible de modifier sensiblement l'analyse des comptes annuels de l'UIT.</w:t>
      </w:r>
    </w:p>
    <w:p w14:paraId="4B5D472E" w14:textId="77777777" w:rsidR="00DF6159" w:rsidRPr="00236418" w:rsidRDefault="00DF6159" w:rsidP="009B3D24">
      <w:pPr>
        <w:pStyle w:val="enumlev1"/>
        <w:rPr>
          <w:lang w:eastAsia="zh-CN"/>
        </w:rPr>
      </w:pPr>
      <w:r w:rsidRPr="00236418">
        <w:rPr>
          <w:lang w:eastAsia="zh-CN"/>
        </w:rPr>
        <w:t>4)</w:t>
      </w:r>
      <w:r w:rsidRPr="00236418">
        <w:rPr>
          <w:lang w:eastAsia="zh-CN"/>
        </w:rPr>
        <w:tab/>
        <w:t>Tous les événements postérieurs à la date des états financiers pour lesquels les normes IPSAS requièrent un ajustement ou une information à fournir, ont fait l'objet du traitement requis.</w:t>
      </w:r>
    </w:p>
    <w:p w14:paraId="54809BC2" w14:textId="77777777" w:rsidR="00DF6159" w:rsidRPr="00236418" w:rsidRDefault="00DF6159" w:rsidP="009B3D24">
      <w:pPr>
        <w:pStyle w:val="enumlev1"/>
        <w:rPr>
          <w:lang w:eastAsia="zh-CN"/>
        </w:rPr>
      </w:pPr>
      <w:r w:rsidRPr="00236418">
        <w:rPr>
          <w:lang w:eastAsia="zh-CN"/>
        </w:rPr>
        <w:t>5)</w:t>
      </w:r>
      <w:r w:rsidRPr="00236418">
        <w:rPr>
          <w:lang w:eastAsia="zh-CN"/>
        </w:rPr>
        <w:tab/>
        <w:t>Les principales hypothèses utilisées pour les évaluations et les informations relatives aux justes valeurs sont, d'après nous, appropriées, traduisent notre intention et sont conformes aux principes comptables appliqués.</w:t>
      </w:r>
    </w:p>
    <w:p w14:paraId="64E43877" w14:textId="77777777" w:rsidR="00DF6159" w:rsidRPr="00236418" w:rsidRDefault="00DF6159" w:rsidP="009B3D24">
      <w:pPr>
        <w:pStyle w:val="enumlev1"/>
        <w:rPr>
          <w:lang w:eastAsia="zh-CN"/>
        </w:rPr>
      </w:pPr>
      <w:r w:rsidRPr="00236418">
        <w:rPr>
          <w:lang w:eastAsia="zh-CN"/>
        </w:rPr>
        <w:br w:type="page"/>
      </w:r>
    </w:p>
    <w:p w14:paraId="22572904" w14:textId="77777777" w:rsidR="00DF6159" w:rsidRPr="00236418" w:rsidRDefault="00DF6159" w:rsidP="009B3D24">
      <w:pPr>
        <w:pStyle w:val="enumlev1"/>
        <w:rPr>
          <w:lang w:eastAsia="zh-CN"/>
        </w:rPr>
      </w:pPr>
      <w:r w:rsidRPr="00236418">
        <w:rPr>
          <w:lang w:eastAsia="zh-CN"/>
        </w:rPr>
        <w:lastRenderedPageBreak/>
        <w:t>6)</w:t>
      </w:r>
      <w:r w:rsidRPr="00236418">
        <w:rPr>
          <w:lang w:eastAsia="zh-CN"/>
        </w:rPr>
        <w:tab/>
        <w:t>Nous confirmons qu'un système de contrôle interne de l'information financière a été mis en place quant à la fiabilité de l'information financière et la préparation des comptes annuels destinés à un usage externe, selon le Règlement financier et les Règles financières. Ce système inclut les politiques et les procédés appropriés qui:</w:t>
      </w:r>
    </w:p>
    <w:p w14:paraId="04CD34A1" w14:textId="77777777" w:rsidR="00DF6159" w:rsidRPr="00236418" w:rsidRDefault="00DF6159" w:rsidP="009B3D24">
      <w:pPr>
        <w:pStyle w:val="enumlev2"/>
        <w:rPr>
          <w:lang w:eastAsia="zh-CN"/>
        </w:rPr>
      </w:pPr>
      <w:r w:rsidRPr="00236418">
        <w:rPr>
          <w:lang w:eastAsia="zh-CN"/>
        </w:rPr>
        <w:t>•</w:t>
      </w:r>
      <w:r w:rsidRPr="00236418">
        <w:rPr>
          <w:lang w:eastAsia="zh-CN"/>
        </w:rPr>
        <w:tab/>
        <w:t>se rapportent à la tenue de registres raisonnablement détaillés qui reflètent avec précision les opérations et en donnent une image fidèle;</w:t>
      </w:r>
    </w:p>
    <w:p w14:paraId="4F68C47A" w14:textId="77777777" w:rsidR="00DF6159" w:rsidRPr="00236418" w:rsidRDefault="00DF6159" w:rsidP="009B3D24">
      <w:pPr>
        <w:pStyle w:val="enumlev2"/>
        <w:rPr>
          <w:lang w:eastAsia="zh-CN"/>
        </w:rPr>
      </w:pPr>
      <w:r w:rsidRPr="00236418">
        <w:rPr>
          <w:lang w:eastAsia="zh-CN"/>
        </w:rPr>
        <w:t>•</w:t>
      </w:r>
      <w:r w:rsidRPr="00236418">
        <w:rPr>
          <w:lang w:eastAsia="zh-CN"/>
        </w:rPr>
        <w:tab/>
        <w:t>fournissent une assurance raisonnable que les opérations sont dûment comptabilisées pour permettre la préparation des comptes annuels et que les recouvrements et dépenses sont effectués conformément aux autorisations de la direction, selon le Règlement financier et les Règles financières;</w:t>
      </w:r>
    </w:p>
    <w:p w14:paraId="01465ACF" w14:textId="77777777" w:rsidR="00DF6159" w:rsidRPr="00236418" w:rsidRDefault="00DF6159" w:rsidP="009B3D24">
      <w:pPr>
        <w:pStyle w:val="enumlev2"/>
        <w:rPr>
          <w:lang w:eastAsia="zh-CN"/>
        </w:rPr>
      </w:pPr>
      <w:r w:rsidRPr="00236418">
        <w:rPr>
          <w:lang w:eastAsia="zh-CN"/>
        </w:rPr>
        <w:t>•</w:t>
      </w:r>
      <w:r w:rsidRPr="00236418">
        <w:rPr>
          <w:lang w:eastAsia="zh-CN"/>
        </w:rPr>
        <w:tab/>
        <w:t>fournissent une assurance raisonnable quant à la prévention ou à la détection en temps utile d'acquisitions, d'utilisations ou de cessions non autorisées des actifs.</w:t>
      </w:r>
    </w:p>
    <w:p w14:paraId="03166C8D" w14:textId="0B324F9D" w:rsidR="00DF6159" w:rsidRPr="00236418" w:rsidRDefault="00DF6159" w:rsidP="009B3D24">
      <w:pPr>
        <w:pStyle w:val="enumlev1"/>
        <w:rPr>
          <w:lang w:eastAsia="zh-CN"/>
        </w:rPr>
      </w:pPr>
      <w:r w:rsidRPr="00236418">
        <w:rPr>
          <w:lang w:eastAsia="zh-CN"/>
        </w:rPr>
        <w:t>7)</w:t>
      </w:r>
      <w:r w:rsidRPr="00236418">
        <w:rPr>
          <w:lang w:eastAsia="zh-CN"/>
        </w:rPr>
        <w:tab/>
        <w:t>Nous confirmons que les risques identifiés et les recommandations formulées par l'auditeur interne, le Vérificateur extérieur et le Comité consultatif indépendant pour les questions de gestion (CCIG) sont pris en compte et que nous y donnerons suite, le cas échéant. Le Groupe de travail du Conseil sur les ressources financières et les ressources humaines est informé chaque année de l'état d'avancement de la mise en œuvre de ces recommandations.</w:t>
      </w:r>
    </w:p>
    <w:p w14:paraId="2424ED23" w14:textId="5BBD5982" w:rsidR="009D1F20" w:rsidRPr="00236418" w:rsidRDefault="009D1F20" w:rsidP="009B3D24">
      <w:pPr>
        <w:pStyle w:val="enumlev1"/>
        <w:rPr>
          <w:lang w:eastAsia="zh-CN"/>
        </w:rPr>
      </w:pPr>
      <w:r w:rsidRPr="00236418">
        <w:rPr>
          <w:lang w:eastAsia="zh-CN"/>
        </w:rPr>
        <w:t>8)</w:t>
      </w:r>
      <w:r w:rsidRPr="00236418">
        <w:rPr>
          <w:lang w:eastAsia="zh-CN"/>
        </w:rPr>
        <w:tab/>
        <w:t xml:space="preserve">En </w:t>
      </w:r>
      <w:r w:rsidR="00710592" w:rsidRPr="00236418">
        <w:rPr>
          <w:lang w:eastAsia="zh-CN"/>
        </w:rPr>
        <w:t>outre</w:t>
      </w:r>
      <w:r w:rsidRPr="00236418">
        <w:rPr>
          <w:lang w:eastAsia="zh-CN"/>
        </w:rPr>
        <w:t xml:space="preserve">, un groupe de travail interne a été créé pour renforcer les contrôles internes du BDT (au siège et </w:t>
      </w:r>
      <w:r w:rsidR="00155B3B" w:rsidRPr="00236418">
        <w:rPr>
          <w:lang w:eastAsia="zh-CN"/>
        </w:rPr>
        <w:t>dans les</w:t>
      </w:r>
      <w:r w:rsidRPr="00236418">
        <w:rPr>
          <w:lang w:eastAsia="zh-CN"/>
        </w:rPr>
        <w:t xml:space="preserve"> bureaux régionaux/de zone), </w:t>
      </w:r>
      <w:r w:rsidR="00155B3B" w:rsidRPr="00236418">
        <w:rPr>
          <w:lang w:eastAsia="zh-CN"/>
        </w:rPr>
        <w:t>auquel participent</w:t>
      </w:r>
      <w:r w:rsidRPr="00236418">
        <w:rPr>
          <w:lang w:eastAsia="zh-CN"/>
        </w:rPr>
        <w:t xml:space="preserve"> toutes les parties prenantes concernées du BDT</w:t>
      </w:r>
      <w:r w:rsidR="00155B3B" w:rsidRPr="00236418">
        <w:rPr>
          <w:lang w:eastAsia="zh-CN"/>
        </w:rPr>
        <w:t xml:space="preserve"> et</w:t>
      </w:r>
      <w:r w:rsidRPr="00236418">
        <w:rPr>
          <w:lang w:eastAsia="zh-CN"/>
        </w:rPr>
        <w:t xml:space="preserve"> des départements du Secrétariat général. Ce groupe est chargé de coordonner l'élaboration et la mise en œuvre d'un plan d'action pour </w:t>
      </w:r>
      <w:r w:rsidR="00B55A89" w:rsidRPr="00236418">
        <w:rPr>
          <w:lang w:eastAsia="zh-CN"/>
        </w:rPr>
        <w:t>le</w:t>
      </w:r>
      <w:r w:rsidRPr="00236418">
        <w:rPr>
          <w:lang w:eastAsia="zh-CN"/>
        </w:rPr>
        <w:t xml:space="preserve"> BDT, et l'UIT </w:t>
      </w:r>
      <w:r w:rsidR="00B55A89" w:rsidRPr="00236418">
        <w:rPr>
          <w:lang w:eastAsia="zh-CN"/>
        </w:rPr>
        <w:t>en général</w:t>
      </w:r>
      <w:r w:rsidRPr="00236418">
        <w:rPr>
          <w:lang w:eastAsia="zh-CN"/>
        </w:rPr>
        <w:t xml:space="preserve">, </w:t>
      </w:r>
      <w:r w:rsidR="00B55A89" w:rsidRPr="00236418">
        <w:rPr>
          <w:lang w:eastAsia="zh-CN"/>
        </w:rPr>
        <w:t xml:space="preserve">et </w:t>
      </w:r>
      <w:r w:rsidRPr="00236418">
        <w:rPr>
          <w:lang w:eastAsia="zh-CN"/>
        </w:rPr>
        <w:t>de traiter toutes les premières conclusions et les recommandations de l'Unité de l'audit interne et du vérificateur extérieur des comptes.</w:t>
      </w:r>
    </w:p>
    <w:p w14:paraId="0E4F1D4A" w14:textId="2003B1CF" w:rsidR="00DF6159" w:rsidRPr="00236418" w:rsidRDefault="009D1F20" w:rsidP="009B3D24">
      <w:pPr>
        <w:pStyle w:val="enumlev1"/>
        <w:rPr>
          <w:lang w:eastAsia="zh-CN"/>
        </w:rPr>
      </w:pPr>
      <w:r w:rsidRPr="00236418">
        <w:rPr>
          <w:lang w:eastAsia="zh-CN"/>
        </w:rPr>
        <w:t>9</w:t>
      </w:r>
      <w:r w:rsidR="00DF6159" w:rsidRPr="00236418">
        <w:rPr>
          <w:lang w:eastAsia="zh-CN"/>
        </w:rPr>
        <w:t>)</w:t>
      </w:r>
      <w:r w:rsidR="00DF6159" w:rsidRPr="00236418">
        <w:rPr>
          <w:lang w:eastAsia="zh-CN"/>
        </w:rPr>
        <w:tab/>
        <w:t>Nous sommes d'avis que l'incidence des différences non ajustées – prises séparément ou ensemble – identifiées au cours de la vérification est négligeable pour ce qui est des états financiers globaux.</w:t>
      </w:r>
    </w:p>
    <w:p w14:paraId="0C236A7A" w14:textId="349F5FCF" w:rsidR="00DF6159" w:rsidRPr="00236418" w:rsidRDefault="009D1F20" w:rsidP="009B3D24">
      <w:pPr>
        <w:pStyle w:val="enumlev1"/>
        <w:rPr>
          <w:lang w:eastAsia="zh-CN"/>
        </w:rPr>
      </w:pPr>
      <w:r w:rsidRPr="00236418">
        <w:rPr>
          <w:lang w:eastAsia="zh-CN"/>
        </w:rPr>
        <w:t>10</w:t>
      </w:r>
      <w:r w:rsidR="00DF6159" w:rsidRPr="00236418">
        <w:rPr>
          <w:lang w:eastAsia="zh-CN"/>
        </w:rPr>
        <w:t>)</w:t>
      </w:r>
      <w:r w:rsidR="00DF6159" w:rsidRPr="00236418">
        <w:rPr>
          <w:lang w:eastAsia="zh-CN"/>
        </w:rPr>
        <w:tab/>
        <w:t>Aucun nouveau cas de fraude ou de présomption de fraude n'a été signalé en 201</w:t>
      </w:r>
      <w:r w:rsidRPr="00236418">
        <w:rPr>
          <w:lang w:eastAsia="zh-CN"/>
        </w:rPr>
        <w:t>9</w:t>
      </w:r>
      <w:r w:rsidR="00DF6159" w:rsidRPr="00236418">
        <w:rPr>
          <w:lang w:eastAsia="zh-CN"/>
        </w:rPr>
        <w:t>, ni pendant la vérification extérieure des comptes. À notre connaissance, les comptes annuels donnent une image fidèle de la situation financière au 31 décembre 201</w:t>
      </w:r>
      <w:r w:rsidRPr="00236418">
        <w:rPr>
          <w:lang w:eastAsia="zh-CN"/>
        </w:rPr>
        <w:t>9</w:t>
      </w:r>
      <w:r w:rsidR="00DF6159" w:rsidRPr="00236418">
        <w:rPr>
          <w:lang w:eastAsia="zh-CN"/>
        </w:rPr>
        <w:t>. Nous n'avons pas connaissance d'autres faits susceptibles de jeter un doute important sur la capacité de l'UIT à poursuivre son activité.</w:t>
      </w:r>
    </w:p>
    <w:p w14:paraId="45B87332" w14:textId="56858083" w:rsidR="00DF6159" w:rsidRPr="00236418" w:rsidRDefault="00DF6159" w:rsidP="009B3D24">
      <w:pPr>
        <w:pStyle w:val="enumlev1"/>
        <w:rPr>
          <w:lang w:eastAsia="zh-CN"/>
        </w:rPr>
      </w:pPr>
      <w:r w:rsidRPr="00236418">
        <w:rPr>
          <w:lang w:eastAsia="zh-CN"/>
        </w:rPr>
        <w:t>1</w:t>
      </w:r>
      <w:r w:rsidR="009D1F20" w:rsidRPr="00236418">
        <w:rPr>
          <w:lang w:eastAsia="zh-CN"/>
        </w:rPr>
        <w:t>1</w:t>
      </w:r>
      <w:r w:rsidRPr="00236418">
        <w:rPr>
          <w:lang w:eastAsia="zh-CN"/>
        </w:rPr>
        <w:t>)</w:t>
      </w:r>
      <w:r w:rsidRPr="00236418">
        <w:rPr>
          <w:lang w:eastAsia="zh-CN"/>
        </w:rPr>
        <w:tab/>
        <w:t xml:space="preserve">Nous confirmons que nous respectons le </w:t>
      </w:r>
      <w:r w:rsidRPr="00236418">
        <w:rPr>
          <w:color w:val="000000"/>
        </w:rPr>
        <w:t xml:space="preserve">Règlement financier et les Règles financières de l'UIT (paragraphe 9 de l'Article 28), selon lesquels </w:t>
      </w:r>
      <w:r w:rsidRPr="00236418">
        <w:rPr>
          <w:i/>
          <w:iCs/>
          <w:color w:val="000000"/>
        </w:rPr>
        <w:t>tout</w:t>
      </w:r>
      <w:r w:rsidRPr="00236418">
        <w:rPr>
          <w:i/>
          <w:iCs/>
          <w:lang w:eastAsia="zh-CN"/>
        </w:rPr>
        <w:t xml:space="preserve"> cas de fraude ou de présomption de fraude </w:t>
      </w:r>
      <w:r w:rsidRPr="00236418">
        <w:rPr>
          <w:i/>
          <w:iCs/>
          <w:color w:val="000000"/>
        </w:rPr>
        <w:t>est soumis sans délai par le Secrétaire général au Vérificateur extérieur des comptes</w:t>
      </w:r>
      <w:r w:rsidRPr="00236418">
        <w:rPr>
          <w:color w:val="000000"/>
        </w:rPr>
        <w:t>.</w:t>
      </w:r>
      <w:r w:rsidRPr="00236418">
        <w:rPr>
          <w:lang w:eastAsia="zh-CN"/>
        </w:rPr>
        <w:t xml:space="preserve"> Nous n'avons pas non plus connaissance d'autres faits susceptibles de jeter un doute important sur la capacité de l'UIT à poursuivre son activité.</w:t>
      </w:r>
    </w:p>
    <w:p w14:paraId="50280F15" w14:textId="319CD613" w:rsidR="00DF6159" w:rsidRPr="00236418" w:rsidRDefault="00DF6159" w:rsidP="009B3D24">
      <w:pPr>
        <w:pStyle w:val="enumlev1"/>
        <w:rPr>
          <w:color w:val="000000" w:themeColor="text1"/>
        </w:rPr>
      </w:pPr>
      <w:r w:rsidRPr="00236418">
        <w:rPr>
          <w:lang w:eastAsia="zh-CN"/>
        </w:rPr>
        <w:t>1</w:t>
      </w:r>
      <w:r w:rsidR="009D1F20" w:rsidRPr="00236418">
        <w:rPr>
          <w:lang w:eastAsia="zh-CN"/>
        </w:rPr>
        <w:t>2</w:t>
      </w:r>
      <w:r w:rsidRPr="00236418">
        <w:rPr>
          <w:lang w:eastAsia="zh-CN"/>
        </w:rPr>
        <w:t>)</w:t>
      </w:r>
      <w:r w:rsidRPr="00236418">
        <w:rPr>
          <w:lang w:eastAsia="zh-CN"/>
        </w:rPr>
        <w:tab/>
        <w:t xml:space="preserve">À cet égard, et en vue de limiter le risque de fraude, une nouvelle procédure de passation de marchés a été élaborée pour des types de cas spécifiques, afin de garantir un niveau de contrôle approprié, ainsi qu'une séparation des tâches entre les fonctions liées aux demandes, à l'approbation du financement et à la passation de marchés. </w:t>
      </w:r>
      <w:r w:rsidRPr="00236418">
        <w:rPr>
          <w:color w:val="000000" w:themeColor="text1"/>
        </w:rPr>
        <w:t xml:space="preserve">Ces procédures </w:t>
      </w:r>
      <w:r w:rsidR="00710592" w:rsidRPr="00236418">
        <w:rPr>
          <w:color w:val="000000" w:themeColor="text1"/>
        </w:rPr>
        <w:t>ont été</w:t>
      </w:r>
      <w:r w:rsidRPr="00236418">
        <w:rPr>
          <w:color w:val="000000" w:themeColor="text1"/>
        </w:rPr>
        <w:t xml:space="preserve"> introduites </w:t>
      </w:r>
      <w:r w:rsidR="00710592" w:rsidRPr="00236418">
        <w:rPr>
          <w:color w:val="000000" w:themeColor="text1"/>
        </w:rPr>
        <w:t>en</w:t>
      </w:r>
      <w:r w:rsidRPr="00236418">
        <w:rPr>
          <w:color w:val="000000" w:themeColor="text1"/>
        </w:rPr>
        <w:t xml:space="preserve"> 2019. En outre, un manuel sur la passation de marchés a été </w:t>
      </w:r>
      <w:r w:rsidR="00710592" w:rsidRPr="00236418">
        <w:rPr>
          <w:color w:val="000000" w:themeColor="text1"/>
        </w:rPr>
        <w:t>publié en juin</w:t>
      </w:r>
      <w:r w:rsidR="00345C4D" w:rsidRPr="00236418">
        <w:rPr>
          <w:color w:val="000000" w:themeColor="text1"/>
        </w:rPr>
        <w:t> </w:t>
      </w:r>
      <w:r w:rsidRPr="00236418">
        <w:rPr>
          <w:color w:val="000000" w:themeColor="text1"/>
        </w:rPr>
        <w:t>2019, ce qui permet également de renforcer encore la fonction de passation de marchés à l'UIT.</w:t>
      </w:r>
    </w:p>
    <w:p w14:paraId="01862BD5" w14:textId="2AEC0EFE" w:rsidR="00DF6159" w:rsidRPr="00236418" w:rsidRDefault="00134B2F" w:rsidP="009B3D24">
      <w:pPr>
        <w:pStyle w:val="enumlev1"/>
        <w:spacing w:after="240"/>
        <w:rPr>
          <w:lang w:eastAsia="zh-CN"/>
        </w:rPr>
      </w:pPr>
      <w:r w:rsidRPr="00236418">
        <w:rPr>
          <w:noProof/>
          <w:lang w:val="en-US"/>
        </w:rPr>
        <w:lastRenderedPageBreak/>
        <w:drawing>
          <wp:anchor distT="0" distB="0" distL="114300" distR="114300" simplePos="0" relativeHeight="251716608" behindDoc="0" locked="0" layoutInCell="1" allowOverlap="1" wp14:anchorId="22A28F14" wp14:editId="2C6BB8A5">
            <wp:simplePos x="0" y="0"/>
            <wp:positionH relativeFrom="margin">
              <wp:align>left</wp:align>
            </wp:positionH>
            <wp:positionV relativeFrom="paragraph">
              <wp:posOffset>1337346</wp:posOffset>
            </wp:positionV>
            <wp:extent cx="5953125" cy="14859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953125" cy="1485900"/>
                    </a:xfrm>
                    <a:prstGeom prst="rect">
                      <a:avLst/>
                    </a:prstGeom>
                  </pic:spPr>
                </pic:pic>
              </a:graphicData>
            </a:graphic>
          </wp:anchor>
        </w:drawing>
      </w:r>
      <w:r w:rsidR="00DF6159" w:rsidRPr="00236418">
        <w:rPr>
          <w:lang w:eastAsia="zh-CN"/>
        </w:rPr>
        <w:t>1</w:t>
      </w:r>
      <w:r w:rsidR="009D1F20" w:rsidRPr="00236418">
        <w:rPr>
          <w:lang w:eastAsia="zh-CN"/>
        </w:rPr>
        <w:t>3</w:t>
      </w:r>
      <w:r w:rsidR="00DF6159" w:rsidRPr="00236418">
        <w:rPr>
          <w:lang w:eastAsia="zh-CN"/>
        </w:rPr>
        <w:t>)</w:t>
      </w:r>
      <w:r w:rsidR="00DF6159" w:rsidRPr="00236418">
        <w:rPr>
          <w:lang w:eastAsia="zh-CN"/>
        </w:rPr>
        <w:tab/>
        <w:t>Toutes les circonstances ayant une incidence sur les comptes qui se sont produites avant la fin des travaux de vérification extérieure ont été dûment prises en compte dans l'établissement des comptes annuels. Nous ne manquerons pas d'informer immédiatement le Vérificateur extérieur au cas où des faits nouveaux susceptibles d'avoir une incidence a posteriori sur les comptes annuels serait porté à notre attention d'ici à la date de la prochaine session du Conseil.</w:t>
      </w:r>
    </w:p>
    <w:p w14:paraId="075952A4" w14:textId="6D71FC2A" w:rsidR="00134B2F" w:rsidRPr="00236418" w:rsidRDefault="00134B2F" w:rsidP="00134B2F">
      <w:pPr>
        <w:pStyle w:val="enumlev1"/>
        <w:tabs>
          <w:tab w:val="left" w:pos="6946"/>
        </w:tabs>
        <w:spacing w:after="240"/>
        <w:rPr>
          <w:lang w:eastAsia="zh-CN"/>
        </w:rPr>
      </w:pPr>
      <w:r w:rsidRPr="00236418">
        <w:rPr>
          <w:szCs w:val="24"/>
        </w:rPr>
        <w:t xml:space="preserve">Chef du Département de la gestion </w:t>
      </w:r>
      <w:r w:rsidRPr="00236418">
        <w:rPr>
          <w:szCs w:val="24"/>
        </w:rPr>
        <w:tab/>
        <w:t>Secrétaire général</w:t>
      </w:r>
      <w:r w:rsidRPr="00236418">
        <w:rPr>
          <w:szCs w:val="24"/>
        </w:rPr>
        <w:br/>
        <w:t>des ressources financières</w:t>
      </w:r>
    </w:p>
    <w:p w14:paraId="6CEC2085" w14:textId="69D3EB84" w:rsidR="00134B2F" w:rsidRPr="00236418" w:rsidRDefault="00134B2F" w:rsidP="009B3D24">
      <w:pPr>
        <w:pStyle w:val="enumlev1"/>
        <w:spacing w:after="240"/>
        <w:rPr>
          <w:lang w:eastAsia="zh-CN"/>
        </w:rPr>
      </w:pPr>
    </w:p>
    <w:p w14:paraId="6F5267B4" w14:textId="2563FE03" w:rsidR="00DF6159" w:rsidRPr="00236418" w:rsidRDefault="00DF6159" w:rsidP="00134B2F">
      <w:pPr>
        <w:pStyle w:val="enumlev1"/>
        <w:spacing w:after="840"/>
        <w:rPr>
          <w:lang w:eastAsia="zh-CN"/>
        </w:rPr>
      </w:pPr>
      <w:r w:rsidRPr="00236418">
        <w:rPr>
          <w:lang w:eastAsia="zh-CN"/>
        </w:rPr>
        <w:br w:type="page"/>
      </w:r>
    </w:p>
    <w:p w14:paraId="4761527F" w14:textId="25EC899A" w:rsidR="00DF6159" w:rsidRPr="00236418" w:rsidRDefault="00DF6159" w:rsidP="009B3D24">
      <w:pPr>
        <w:pStyle w:val="Heading1"/>
        <w:tabs>
          <w:tab w:val="left" w:pos="6804"/>
        </w:tabs>
        <w:spacing w:before="240" w:after="120"/>
        <w:jc w:val="center"/>
      </w:pPr>
      <w:bookmarkStart w:id="297" w:name="_Toc358379317"/>
      <w:bookmarkStart w:id="298" w:name="_Toc358379893"/>
      <w:bookmarkStart w:id="299" w:name="_Toc358380434"/>
      <w:bookmarkStart w:id="300" w:name="_Toc387166338"/>
      <w:bookmarkStart w:id="301" w:name="_Toc387167421"/>
      <w:bookmarkStart w:id="302" w:name="_Toc395260901"/>
      <w:bookmarkStart w:id="303" w:name="_Toc395261094"/>
      <w:bookmarkStart w:id="304" w:name="_Toc395511681"/>
      <w:bookmarkStart w:id="305" w:name="_Toc452138594"/>
      <w:bookmarkStart w:id="306" w:name="_Toc452139400"/>
      <w:bookmarkStart w:id="307" w:name="_Toc452139799"/>
      <w:bookmarkStart w:id="308" w:name="_Toc452140386"/>
      <w:bookmarkStart w:id="309" w:name="_Toc452140666"/>
      <w:bookmarkStart w:id="310" w:name="_Toc482801462"/>
      <w:bookmarkStart w:id="311" w:name="_Toc482888029"/>
      <w:bookmarkStart w:id="312" w:name="_Toc482888712"/>
      <w:bookmarkStart w:id="313" w:name="_Toc511649432"/>
      <w:bookmarkStart w:id="314" w:name="_Toc511649804"/>
      <w:bookmarkStart w:id="315" w:name="_Toc511649913"/>
      <w:bookmarkStart w:id="316" w:name="_Toc511650031"/>
      <w:bookmarkStart w:id="317" w:name="_Toc511650524"/>
      <w:bookmarkStart w:id="318" w:name="_Toc511651169"/>
      <w:bookmarkStart w:id="319" w:name="_Toc511724034"/>
      <w:bookmarkStart w:id="320" w:name="_Toc511739023"/>
      <w:bookmarkStart w:id="321" w:name="_Toc511740809"/>
      <w:bookmarkStart w:id="322" w:name="_Toc511741192"/>
      <w:bookmarkStart w:id="323" w:name="_Toc9605686"/>
      <w:bookmarkStart w:id="324" w:name="_Toc10450698"/>
      <w:bookmarkStart w:id="325" w:name="_Toc41566309"/>
      <w:bookmarkStart w:id="326" w:name="_Toc41566596"/>
      <w:bookmarkStart w:id="327" w:name="_Toc41567336"/>
      <w:bookmarkStart w:id="328" w:name="_Toc41567822"/>
      <w:bookmarkStart w:id="329" w:name="_Toc41814928"/>
      <w:r w:rsidRPr="00236418">
        <w:lastRenderedPageBreak/>
        <w:t>D</w:t>
      </w:r>
      <w:r w:rsidR="008F0534" w:rsidRPr="00236418">
        <w:t xml:space="preserve">éclaration sur le contrôle interne pour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008F0534" w:rsidRPr="00236418">
        <w:t>201</w:t>
      </w:r>
      <w:bookmarkEnd w:id="323"/>
      <w:bookmarkEnd w:id="324"/>
      <w:r w:rsidR="008F0534" w:rsidRPr="00236418">
        <w:t>9</w:t>
      </w:r>
      <w:bookmarkEnd w:id="325"/>
      <w:bookmarkEnd w:id="326"/>
      <w:bookmarkEnd w:id="327"/>
      <w:bookmarkEnd w:id="328"/>
      <w:bookmarkEnd w:id="329"/>
    </w:p>
    <w:p w14:paraId="7BA6BC28" w14:textId="77777777" w:rsidR="00DF6159" w:rsidRPr="00236418" w:rsidRDefault="00DF6159" w:rsidP="009B3D24">
      <w:pPr>
        <w:pStyle w:val="Headingb"/>
        <w:spacing w:before="480"/>
      </w:pPr>
      <w:bookmarkStart w:id="330" w:name="_Toc358379894"/>
      <w:bookmarkStart w:id="331" w:name="_Toc358380435"/>
      <w:bookmarkStart w:id="332" w:name="_Toc387167422"/>
      <w:bookmarkStart w:id="333" w:name="_Toc452138595"/>
      <w:bookmarkStart w:id="334" w:name="_Toc452139042"/>
      <w:bookmarkStart w:id="335" w:name="_Toc452139401"/>
      <w:bookmarkStart w:id="336" w:name="_Toc452139800"/>
      <w:bookmarkStart w:id="337" w:name="_Toc452140387"/>
      <w:bookmarkStart w:id="338" w:name="_Toc452140667"/>
      <w:bookmarkStart w:id="339" w:name="_Toc482801463"/>
      <w:bookmarkStart w:id="340" w:name="_Toc482888713"/>
      <w:bookmarkStart w:id="341" w:name="_Toc511649433"/>
      <w:bookmarkStart w:id="342" w:name="_Toc511649805"/>
      <w:bookmarkStart w:id="343" w:name="_Toc511649914"/>
      <w:bookmarkStart w:id="344" w:name="_Toc511650032"/>
      <w:bookmarkStart w:id="345" w:name="_Toc511650525"/>
      <w:bookmarkStart w:id="346" w:name="_Toc511651170"/>
      <w:bookmarkStart w:id="347" w:name="_Toc511724035"/>
      <w:bookmarkStart w:id="348" w:name="_Toc511739024"/>
      <w:bookmarkStart w:id="349" w:name="_Toc511741193"/>
      <w:bookmarkStart w:id="350" w:name="_Toc9605687"/>
      <w:bookmarkStart w:id="351" w:name="_Toc10450699"/>
      <w:bookmarkStart w:id="352" w:name="_Toc41566310"/>
      <w:bookmarkStart w:id="353" w:name="_Toc41814929"/>
      <w:r w:rsidRPr="00236418">
        <w:t>Champ de responsabilité</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68D4B8F" w14:textId="77777777" w:rsidR="00DF6159" w:rsidRPr="00236418" w:rsidRDefault="00DF6159" w:rsidP="009B3D24">
      <w:pPr>
        <w:rPr>
          <w:b/>
        </w:rPr>
      </w:pPr>
      <w:r w:rsidRPr="00236418">
        <w:t>En qualité de Secrétaire général de l</w:t>
      </w:r>
      <w:r w:rsidRPr="00236418">
        <w:rPr>
          <w:b/>
        </w:rPr>
        <w:t>'</w:t>
      </w:r>
      <w:r w:rsidRPr="00236418">
        <w:t>Union internationale des télécommunications (UIT), j</w:t>
      </w:r>
      <w:r w:rsidRPr="00236418">
        <w:rPr>
          <w:b/>
        </w:rPr>
        <w:t>'</w:t>
      </w:r>
      <w:r w:rsidRPr="00236418">
        <w:t>agis en tant que représentant légal de l</w:t>
      </w:r>
      <w:r w:rsidRPr="00236418">
        <w:rPr>
          <w:b/>
        </w:rPr>
        <w:t>'</w:t>
      </w:r>
      <w:r w:rsidRPr="00236418">
        <w:t>Union. Je prends toutes les mesures requises pour faire en sorte que les ressources de l</w:t>
      </w:r>
      <w:r w:rsidRPr="00236418">
        <w:rPr>
          <w:b/>
        </w:rPr>
        <w:t>'</w:t>
      </w:r>
      <w:r w:rsidRPr="00236418">
        <w:t>Union soient utilisées avec économie et suis responsable devant le Conseil pour la totalité des aspects administratifs et financiers des activités de l</w:t>
      </w:r>
      <w:r w:rsidRPr="00236418">
        <w:rPr>
          <w:b/>
        </w:rPr>
        <w:t>'</w:t>
      </w:r>
      <w:r w:rsidRPr="00236418">
        <w:t>Union, conformément aux responsabilités qui m'incombent, en application, notamment des dispositions des numéros 73</w:t>
      </w:r>
      <w:r w:rsidRPr="00236418">
        <w:rPr>
          <w:i/>
        </w:rPr>
        <w:t>bis</w:t>
      </w:r>
      <w:r w:rsidRPr="00236418">
        <w:t xml:space="preserve"> et 75 (article 11) de la Constitution et des Articles 1, 10, 16, 28, 29 et 30 des Règles financières et du Règlement financier.</w:t>
      </w:r>
    </w:p>
    <w:p w14:paraId="35987EB2" w14:textId="77777777" w:rsidR="00DF6159" w:rsidRPr="00236418" w:rsidRDefault="00DF6159" w:rsidP="009B3D24">
      <w:pPr>
        <w:pStyle w:val="Headingb"/>
      </w:pPr>
      <w:bookmarkStart w:id="354" w:name="_Toc387166339"/>
      <w:bookmarkStart w:id="355" w:name="_Toc387166617"/>
      <w:bookmarkStart w:id="356" w:name="_Toc387167423"/>
      <w:bookmarkStart w:id="357" w:name="_Toc395260902"/>
      <w:bookmarkStart w:id="358" w:name="_Toc395511682"/>
      <w:bookmarkStart w:id="359" w:name="_Toc452138596"/>
      <w:bookmarkStart w:id="360" w:name="_Toc452139043"/>
      <w:bookmarkStart w:id="361" w:name="_Toc452139402"/>
      <w:bookmarkStart w:id="362" w:name="_Toc452139801"/>
      <w:bookmarkStart w:id="363" w:name="_Toc452140388"/>
      <w:bookmarkStart w:id="364" w:name="_Toc452140668"/>
      <w:bookmarkStart w:id="365" w:name="_Toc482801464"/>
      <w:bookmarkStart w:id="366" w:name="_Toc482888714"/>
      <w:bookmarkStart w:id="367" w:name="_Toc511649434"/>
      <w:bookmarkStart w:id="368" w:name="_Toc511649806"/>
      <w:bookmarkStart w:id="369" w:name="_Toc511649915"/>
      <w:bookmarkStart w:id="370" w:name="_Toc511650033"/>
      <w:bookmarkStart w:id="371" w:name="_Toc511650526"/>
      <w:bookmarkStart w:id="372" w:name="_Toc511651171"/>
      <w:bookmarkStart w:id="373" w:name="_Toc511724036"/>
      <w:bookmarkStart w:id="374" w:name="_Toc511739025"/>
      <w:bookmarkStart w:id="375" w:name="_Toc511741194"/>
      <w:bookmarkStart w:id="376" w:name="_Toc9605688"/>
      <w:bookmarkStart w:id="377" w:name="_Toc10450700"/>
      <w:bookmarkStart w:id="378" w:name="_Toc41566311"/>
      <w:bookmarkStart w:id="379" w:name="_Toc41814930"/>
      <w:r w:rsidRPr="00236418">
        <w:t>Objet du système de contrôle interne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6415306" w14:textId="77777777" w:rsidR="00DF6159" w:rsidRPr="00236418" w:rsidRDefault="00DF6159" w:rsidP="009B3D24">
      <w:r w:rsidRPr="00236418">
        <w:t>Le contrôle interne a pour objet de réduire et gérer, et non de supprimer le risque de ne pas atteindre les buts et objectifs de l'Organisation et de ne pas mettre en œuvre les politiques correspondantes. En conséquence, il ne peut fournir qu'une assurance raisonnable, et non absolue d'efficacité. Il repose sur un processus continu visant à recenser les principaux risques, à en évaluer la nature et la portée, et à les gérer de manière efficiente, efficace et économique. La direction de l'UIT doit mettre en place une série de processus propres à contrôler les activités de l'Union, de manière à donner aux organes directeurs une assurance raisonnable que:</w:t>
      </w:r>
    </w:p>
    <w:p w14:paraId="031AD74A" w14:textId="77777777" w:rsidR="00DF6159" w:rsidRPr="00236418" w:rsidRDefault="00DF6159" w:rsidP="009B3D24">
      <w:pPr>
        <w:pStyle w:val="enumlev1"/>
      </w:pPr>
      <w:r w:rsidRPr="00236418">
        <w:t>•</w:t>
      </w:r>
      <w:r w:rsidRPr="00236418">
        <w:tab/>
        <w:t>les plans, les programmes, les buts et les objectifs de l'Organisation sont atteints;</w:t>
      </w:r>
    </w:p>
    <w:p w14:paraId="37C1D7A6" w14:textId="77777777" w:rsidR="00DF6159" w:rsidRPr="00236418" w:rsidRDefault="00DF6159" w:rsidP="009B3D24">
      <w:pPr>
        <w:pStyle w:val="enumlev1"/>
      </w:pPr>
      <w:r w:rsidRPr="00236418">
        <w:t>•</w:t>
      </w:r>
      <w:r w:rsidRPr="00236418">
        <w:tab/>
        <w:t>les ressources sont acquises de manière rationnelle et employées de façon rentable; des processus administratifs de qualité et leur amélioration constante sont privilégiés;</w:t>
      </w:r>
    </w:p>
    <w:p w14:paraId="227AC3C4" w14:textId="77777777" w:rsidR="00DF6159" w:rsidRPr="00236418" w:rsidRDefault="00DF6159" w:rsidP="009B3D24">
      <w:pPr>
        <w:pStyle w:val="enumlev1"/>
      </w:pPr>
      <w:r w:rsidRPr="00236418">
        <w:t>•</w:t>
      </w:r>
      <w:r w:rsidRPr="00236418">
        <w:tab/>
        <w:t>les ressources dont dispose l'Organisation (y compris son personnel, ses systèmes, ses données et informations) sont protégées comme il convient;</w:t>
      </w:r>
    </w:p>
    <w:p w14:paraId="5AB4F31E" w14:textId="77777777" w:rsidR="00DF6159" w:rsidRPr="00236418" w:rsidRDefault="00DF6159" w:rsidP="009B3D24">
      <w:pPr>
        <w:pStyle w:val="enumlev1"/>
      </w:pPr>
      <w:r w:rsidRPr="00236418">
        <w:t>•</w:t>
      </w:r>
      <w:r w:rsidRPr="00236418">
        <w:tab/>
        <w:t>les fonctionnaires élus et les fonctionnaires de la catégorie des conseillers supérieurs de la catégorie professionnelle et de la catégorie des services généraux agissent dans le respect des politiques, normes, plans et procédures de l'Organisation et de toutes les lois, règles et règlements en vigueur;</w:t>
      </w:r>
    </w:p>
    <w:p w14:paraId="6ADFB996" w14:textId="77777777" w:rsidR="00DF6159" w:rsidRPr="00236418" w:rsidRDefault="00DF6159" w:rsidP="009B3D24">
      <w:pPr>
        <w:pStyle w:val="enumlev1"/>
      </w:pPr>
      <w:r w:rsidRPr="00236418">
        <w:t>•</w:t>
      </w:r>
      <w:r w:rsidRPr="00236418">
        <w:tab/>
        <w:t>les données et informations publiées, qu'elles soient destinées à un usage interne ou externe, sont exactes, fiables et à jour.</w:t>
      </w:r>
    </w:p>
    <w:p w14:paraId="23DF9AB7" w14:textId="77777777" w:rsidR="00DF6159" w:rsidRPr="00236418" w:rsidRDefault="00DF6159" w:rsidP="009B3D24">
      <w:r w:rsidRPr="00236418">
        <w:t>La gestion des risques et la gestion des contrôles internes sont des fonctions de la direction et font partie intégrante du processus global de gestion des activités. En conséquence, la direction de l'UIT doit, à tous les niveaux:</w:t>
      </w:r>
    </w:p>
    <w:p w14:paraId="543F359F" w14:textId="77777777" w:rsidR="00DF6159" w:rsidRPr="00236418" w:rsidRDefault="00DF6159" w:rsidP="009B3D24">
      <w:pPr>
        <w:pStyle w:val="enumlev1"/>
      </w:pPr>
      <w:r w:rsidRPr="00236418">
        <w:t>•</w:t>
      </w:r>
      <w:r w:rsidRPr="00236418">
        <w:tab/>
        <w:t>identifier et évaluer les risques de perte éventuelle dans la sphère qui relève de sa responsabilité;</w:t>
      </w:r>
    </w:p>
    <w:p w14:paraId="17F8F81F" w14:textId="77777777" w:rsidR="00DF6159" w:rsidRPr="00236418" w:rsidRDefault="00DF6159" w:rsidP="009B3D24">
      <w:pPr>
        <w:pStyle w:val="enumlev1"/>
      </w:pPr>
      <w:r w:rsidRPr="00236418">
        <w:t>•</w:t>
      </w:r>
      <w:r w:rsidRPr="00236418">
        <w:tab/>
        <w:t>définir et proposer des politiques, plans, normes opérationnelles, procédures, systèmes et autres lignes directrices à mettre en œuvre pour réduire au minimum, atténuer et/ou limiter les risques associés aux situations exposées qui ont été recensées;</w:t>
      </w:r>
    </w:p>
    <w:p w14:paraId="45536B31" w14:textId="77777777" w:rsidR="00DF6159" w:rsidRPr="00236418" w:rsidRDefault="00DF6159" w:rsidP="009B3D24">
      <w:pPr>
        <w:pStyle w:val="enumlev1"/>
      </w:pPr>
      <w:r w:rsidRPr="00236418">
        <w:t>•</w:t>
      </w:r>
      <w:r w:rsidRPr="00236418">
        <w:tab/>
        <w:t>établir des processus concrets de contrôle amenant et incitant les employés à s'acquitter de leurs tâches et responsabilités de manière à concourir aux cinq objectifs de contrôle définis dans le paragraphe précédent;</w:t>
      </w:r>
    </w:p>
    <w:p w14:paraId="2C441DE7" w14:textId="77777777" w:rsidR="00DF6159" w:rsidRPr="00236418" w:rsidRDefault="00DF6159" w:rsidP="009B3D24">
      <w:pPr>
        <w:pStyle w:val="enumlev1"/>
      </w:pPr>
      <w:r w:rsidRPr="00236418">
        <w:t>•</w:t>
      </w:r>
      <w:r w:rsidRPr="00236418">
        <w:tab/>
        <w:t>maintenir l'efficacité des processus de contrôle mis en place et favoriser leur amélioration.</w:t>
      </w:r>
    </w:p>
    <w:p w14:paraId="4C3BFE5C" w14:textId="77777777" w:rsidR="00DF6159" w:rsidRPr="00236418" w:rsidRDefault="00DF6159" w:rsidP="009B3D24">
      <w:pPr>
        <w:pStyle w:val="Headingb"/>
      </w:pPr>
      <w:bookmarkStart w:id="380" w:name="_Toc387166340"/>
      <w:bookmarkStart w:id="381" w:name="_Toc387166618"/>
      <w:bookmarkStart w:id="382" w:name="_Toc387167424"/>
      <w:bookmarkStart w:id="383" w:name="_Toc395260903"/>
      <w:bookmarkStart w:id="384" w:name="_Toc395511683"/>
      <w:bookmarkStart w:id="385" w:name="_Toc452138597"/>
      <w:bookmarkStart w:id="386" w:name="_Toc452139044"/>
      <w:bookmarkStart w:id="387" w:name="_Toc452139403"/>
      <w:bookmarkStart w:id="388" w:name="_Toc452139802"/>
      <w:bookmarkStart w:id="389" w:name="_Toc452140389"/>
      <w:bookmarkStart w:id="390" w:name="_Toc452140669"/>
      <w:bookmarkStart w:id="391" w:name="_Toc482801465"/>
      <w:bookmarkStart w:id="392" w:name="_Toc482888715"/>
      <w:bookmarkStart w:id="393" w:name="_Toc511649435"/>
      <w:bookmarkStart w:id="394" w:name="_Toc511649807"/>
      <w:bookmarkStart w:id="395" w:name="_Toc511649916"/>
      <w:bookmarkStart w:id="396" w:name="_Toc511650034"/>
      <w:bookmarkStart w:id="397" w:name="_Toc511650527"/>
      <w:bookmarkStart w:id="398" w:name="_Toc511651172"/>
      <w:bookmarkStart w:id="399" w:name="_Toc511724037"/>
      <w:bookmarkStart w:id="400" w:name="_Toc511739026"/>
      <w:bookmarkStart w:id="401" w:name="_Toc511741195"/>
      <w:bookmarkStart w:id="402" w:name="_Toc9605689"/>
      <w:bookmarkStart w:id="403" w:name="_Toc10450701"/>
      <w:bookmarkStart w:id="404" w:name="_Toc41566312"/>
      <w:bookmarkStart w:id="405" w:name="_Toc41814931"/>
      <w:r w:rsidRPr="00236418">
        <w:lastRenderedPageBreak/>
        <w:t>Capacité de gérer les risques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499E84A" w14:textId="77777777" w:rsidR="00DF6159" w:rsidRPr="00236418" w:rsidRDefault="00DF6159" w:rsidP="009B3D24">
      <w:r w:rsidRPr="00236418">
        <w:t>La Direction de l'UIT s'emploie à mettre en œuvre, dans l'ensemble de l'organisation, un processus de gestion intégrée des risques (GIR) qui fait partie intégrante du système de contrôle interne de l'organisation.</w:t>
      </w:r>
    </w:p>
    <w:p w14:paraId="0F7122B2" w14:textId="4E7F5383" w:rsidR="00DF6159" w:rsidRPr="00236418" w:rsidRDefault="00A964D0" w:rsidP="009B3D24">
      <w:pPr>
        <w:pStyle w:val="enumlev1"/>
      </w:pPr>
      <w:r w:rsidRPr="00236418">
        <w:t>a)</w:t>
      </w:r>
      <w:r w:rsidRPr="00236418">
        <w:tab/>
      </w:r>
      <w:r w:rsidR="00DF6159" w:rsidRPr="00236418">
        <w:t>Le système de contrôle interne repose sur l'utilisation du système SAP de gestion intégrée de l'information qui:</w:t>
      </w:r>
    </w:p>
    <w:p w14:paraId="024CC8E8" w14:textId="77777777" w:rsidR="00DF6159" w:rsidRPr="00236418" w:rsidRDefault="00DF6159" w:rsidP="009B3D24">
      <w:pPr>
        <w:pStyle w:val="enumlev2"/>
      </w:pPr>
      <w:r w:rsidRPr="00236418">
        <w:t>•</w:t>
      </w:r>
      <w:r w:rsidRPr="00236418">
        <w:tab/>
        <w:t>reflète la structure, les activités et les flux hiérarchiques de l'Organisation;</w:t>
      </w:r>
    </w:p>
    <w:p w14:paraId="56C40F46" w14:textId="77777777" w:rsidR="00DF6159" w:rsidRPr="00236418" w:rsidRDefault="00DF6159" w:rsidP="009B3D24">
      <w:pPr>
        <w:pStyle w:val="enumlev2"/>
      </w:pPr>
      <w:r w:rsidRPr="00236418">
        <w:t>•</w:t>
      </w:r>
      <w:r w:rsidRPr="00236418">
        <w:tab/>
        <w:t>met en évidence la répartition des ressources budgétaires allouées à l'organisation, conformément aux textes fondamentaux de l'Union adoptés par la Conférence de plénipotentiaires;</w:t>
      </w:r>
    </w:p>
    <w:p w14:paraId="3A8AC39A" w14:textId="77777777" w:rsidR="00DF6159" w:rsidRPr="00236418" w:rsidRDefault="00DF6159" w:rsidP="009B3D24">
      <w:pPr>
        <w:pStyle w:val="enumlev2"/>
      </w:pPr>
      <w:r w:rsidRPr="00236418">
        <w:t>•</w:t>
      </w:r>
      <w:r w:rsidRPr="00236418">
        <w:tab/>
        <w:t>permet d'effectuer des contrôles intégrés aux systèmes et d'appliquer le principe des quatre yeux;</w:t>
      </w:r>
    </w:p>
    <w:p w14:paraId="787ECD40" w14:textId="77777777" w:rsidR="00DF6159" w:rsidRPr="00236418" w:rsidRDefault="00DF6159" w:rsidP="009B3D24">
      <w:pPr>
        <w:pStyle w:val="enumlev2"/>
      </w:pPr>
      <w:r w:rsidRPr="00236418">
        <w:t>•</w:t>
      </w:r>
      <w:r w:rsidRPr="00236418">
        <w:tab/>
        <w:t>permet de définir, de suivre et d'évaluer l'utilisation des ressources avec une comptabilité et l'établissement de rapports selon les normes IPSAS, des points réguliers sur la situation et des processus et contrôles documentés de l'approvisionnement.</w:t>
      </w:r>
    </w:p>
    <w:p w14:paraId="3394F614" w14:textId="4CA0B04A" w:rsidR="00DF6159" w:rsidRPr="00236418" w:rsidRDefault="00A964D0" w:rsidP="009B3D24">
      <w:pPr>
        <w:pStyle w:val="enumlev1"/>
      </w:pPr>
      <w:r w:rsidRPr="00236418">
        <w:t>b)</w:t>
      </w:r>
      <w:r w:rsidRPr="00236418">
        <w:tab/>
      </w:r>
      <w:r w:rsidR="00DF6159" w:rsidRPr="00236418">
        <w:t>La fiabilité des rapports financiers de l'UIT et le suivi de l'utilisation des ressources selon les objectifs stratégiques reposent sur le système de gestion intégré de l'information et une stricte maîtrise des engagements de ressources.</w:t>
      </w:r>
    </w:p>
    <w:p w14:paraId="74B13168" w14:textId="13B95693" w:rsidR="00DF6159" w:rsidRPr="00236418" w:rsidRDefault="00A964D0" w:rsidP="009B3D24">
      <w:pPr>
        <w:pStyle w:val="enumlev1"/>
        <w:rPr>
          <w:rFonts w:cs="Arial"/>
          <w:szCs w:val="24"/>
        </w:rPr>
      </w:pPr>
      <w:r w:rsidRPr="00236418">
        <w:t>c)</w:t>
      </w:r>
      <w:r w:rsidRPr="00236418">
        <w:tab/>
      </w:r>
      <w:r w:rsidR="00DF6159" w:rsidRPr="00236418">
        <w:t>En outre, la Commission des marchés aide le Secrétaire général à garantir une utilisation efficace des ressources de l'UIT en prenant en considération l'intérêt supérieur de l'Union, et l'Unité des affaires juridiques fournit des conseils au niveau de l'organisation en ce qui concerne les lois, règles et règlements ainsi que la diffusion et la promotion des politiques de l'UIT en matière de déontologie.</w:t>
      </w:r>
      <w:r w:rsidR="00DF6159" w:rsidRPr="00236418">
        <w:rPr>
          <w:rFonts w:cs="Arial"/>
          <w:szCs w:val="24"/>
        </w:rPr>
        <w:t xml:space="preserve"> Dans le cadre de ses activités d'audit, l'Unité de l'audit interne fournit des assurances au Secrétaire général en ce qui concerne la gouvernance de l'organisation, la gestion des risques et l'efficacité des contrôles.</w:t>
      </w:r>
    </w:p>
    <w:p w14:paraId="4CC1624F" w14:textId="43D5FEAF" w:rsidR="00DF6159" w:rsidRPr="00236418" w:rsidRDefault="00A964D0" w:rsidP="009B3D24">
      <w:pPr>
        <w:pStyle w:val="enumlev1"/>
      </w:pPr>
      <w:r w:rsidRPr="00236418">
        <w:t>d)</w:t>
      </w:r>
      <w:r w:rsidRPr="00236418">
        <w:tab/>
      </w:r>
      <w:r w:rsidR="00DF6159" w:rsidRPr="00236418">
        <w:t>La gestion des risques stratégiques est intégrée dans le processus de planification stratégique en vigueur à l'UIT dans la mesure où les risques stratégiques sont identifiés et des mesures d'atténuation sont prises en conséquence. Le cadre de gestion des risques fait partie intégrante du Plan stratégique de l'UIT pour la période 2016-2019 (Résolution 71) qui a été approuvé par la Conférence de plénipotentiaires de 2014. Ce cadre de gestion des risques continue d'être défini plus avant grâce à l'élaboration d'une politique de gestion des risques, d'une déclaration sur la gestion des risques institutionnels et d'un registre de gestion des risques stratégiques.</w:t>
      </w:r>
    </w:p>
    <w:p w14:paraId="31E55089" w14:textId="09B4F2C4" w:rsidR="00DF6159" w:rsidRPr="00236418" w:rsidRDefault="00A964D0" w:rsidP="009B3D24">
      <w:pPr>
        <w:pStyle w:val="enumlev1"/>
      </w:pPr>
      <w:r w:rsidRPr="00236418">
        <w:t>e)</w:t>
      </w:r>
      <w:r w:rsidRPr="00236418">
        <w:tab/>
      </w:r>
      <w:r w:rsidR="00DF6159" w:rsidRPr="00236418">
        <w:t>La gestion des risques opérationnels fait aussi partie des processus de gestion opérationnels de l'UIT. La direction de l'Union, y compris les trois Bureaux et le Secrétariat général passe en revue régulièrement les risques associés à la réalisation des objectifs de chaque entité constitutive de l'organisation et prend les mesures nécessaires pour atténuer ces risques tout en mettant en place les mécanismes de contrôle des risques afin de suivre l'évolution des risques résiduels.</w:t>
      </w:r>
    </w:p>
    <w:p w14:paraId="454F5775" w14:textId="77777777" w:rsidR="00DF6159" w:rsidRPr="00236418" w:rsidRDefault="00DF6159" w:rsidP="009B3D24">
      <w:pPr>
        <w:pStyle w:val="Headingb"/>
      </w:pPr>
      <w:bookmarkStart w:id="406" w:name="_Toc387166341"/>
      <w:bookmarkStart w:id="407" w:name="_Toc387166619"/>
      <w:bookmarkStart w:id="408" w:name="_Toc387167425"/>
      <w:bookmarkStart w:id="409" w:name="_Toc395260904"/>
      <w:bookmarkStart w:id="410" w:name="_Toc395511684"/>
      <w:bookmarkStart w:id="411" w:name="_Toc452138598"/>
      <w:bookmarkStart w:id="412" w:name="_Toc452139045"/>
      <w:bookmarkStart w:id="413" w:name="_Toc452139404"/>
      <w:bookmarkStart w:id="414" w:name="_Toc452139803"/>
      <w:bookmarkStart w:id="415" w:name="_Toc452140390"/>
      <w:bookmarkStart w:id="416" w:name="_Toc452140670"/>
      <w:bookmarkStart w:id="417" w:name="_Toc482801466"/>
      <w:bookmarkStart w:id="418" w:name="_Toc482888716"/>
      <w:bookmarkStart w:id="419" w:name="_Toc511649436"/>
      <w:bookmarkStart w:id="420" w:name="_Toc511649808"/>
      <w:bookmarkStart w:id="421" w:name="_Toc511649917"/>
      <w:bookmarkStart w:id="422" w:name="_Toc511650035"/>
      <w:bookmarkStart w:id="423" w:name="_Toc511650528"/>
      <w:bookmarkStart w:id="424" w:name="_Toc511651173"/>
      <w:bookmarkStart w:id="425" w:name="_Toc511724038"/>
      <w:bookmarkStart w:id="426" w:name="_Toc511739027"/>
      <w:bookmarkStart w:id="427" w:name="_Toc511741196"/>
      <w:bookmarkStart w:id="428" w:name="_Toc9605690"/>
      <w:bookmarkStart w:id="429" w:name="_Toc10450702"/>
      <w:bookmarkStart w:id="430" w:name="_Toc41566313"/>
      <w:bookmarkStart w:id="431" w:name="_Toc41814932"/>
      <w:r w:rsidRPr="00236418">
        <w:lastRenderedPageBreak/>
        <w:t>Examen de l'efficacité</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FDB0C7B" w14:textId="56AC5686" w:rsidR="00DF6159" w:rsidRPr="00236418" w:rsidRDefault="00A964D0" w:rsidP="00ED3E13">
      <w:pPr>
        <w:pStyle w:val="enumlev1"/>
        <w:keepLines/>
      </w:pPr>
      <w:r w:rsidRPr="00236418">
        <w:t>1</w:t>
      </w:r>
      <w:r w:rsidRPr="00236418">
        <w:tab/>
      </w:r>
      <w:r w:rsidR="00DF6159" w:rsidRPr="00236418">
        <w:t>Mon examen de l'efficacité du système de contrôle interne s'appuie sur le travail réalisé par les hauts responsables de l'UIT, qui sont tenus de définir et de faire appliquer le cadre de contrôle interne dans leurs domaines de responsabilité. J'obtiens les garanties au moyen des lettres de représentation interne signées par les principaux dirigeants et responsables de l'UIT, qui confirment que les exigences suivantes pour l'exercice 201</w:t>
      </w:r>
      <w:r w:rsidR="00143E76" w:rsidRPr="00236418">
        <w:t>9</w:t>
      </w:r>
      <w:r w:rsidR="00DF6159" w:rsidRPr="00236418">
        <w:t xml:space="preserve"> ont été respectées</w:t>
      </w:r>
      <w:r w:rsidR="00DF6159" w:rsidRPr="00236418">
        <w:rPr>
          <w:rFonts w:cs="Arial"/>
          <w:szCs w:val="24"/>
        </w:rPr>
        <w:t>:</w:t>
      </w:r>
    </w:p>
    <w:p w14:paraId="617A9084" w14:textId="77777777" w:rsidR="00DF6159" w:rsidRPr="00236418" w:rsidRDefault="00DF6159" w:rsidP="009B3D24">
      <w:pPr>
        <w:pStyle w:val="enumlev2"/>
      </w:pPr>
      <w:r w:rsidRPr="00236418">
        <w:t>•</w:t>
      </w:r>
      <w:r w:rsidRPr="00236418">
        <w:tab/>
        <w:t>la conformité des engagements ou obligations et des charges avec les crédits budgétaires ou autres dispositions financières approuvées par le Conseil ou avec les buts, règles et dispositions applicables aux fonds en question;</w:t>
      </w:r>
    </w:p>
    <w:p w14:paraId="3606FCE2" w14:textId="77777777" w:rsidR="00DF6159" w:rsidRPr="00236418" w:rsidRDefault="00DF6159" w:rsidP="009B3D24">
      <w:pPr>
        <w:pStyle w:val="enumlev2"/>
      </w:pPr>
      <w:r w:rsidRPr="00236418">
        <w:t>•</w:t>
      </w:r>
      <w:r w:rsidRPr="00236418">
        <w:tab/>
        <w:t>l'emploi efficace, efficient et économique des ressources de l'Union;</w:t>
      </w:r>
    </w:p>
    <w:p w14:paraId="45203747" w14:textId="77777777" w:rsidR="00DF6159" w:rsidRPr="00236418" w:rsidRDefault="00DF6159" w:rsidP="009B3D24">
      <w:pPr>
        <w:pStyle w:val="enumlev2"/>
      </w:pPr>
      <w:r w:rsidRPr="00236418">
        <w:t>•</w:t>
      </w:r>
      <w:r w:rsidRPr="00236418">
        <w:tab/>
        <w:t>la régularité des opérations de réception, de garde et de déboursement de tous les fonds et autres ressources de l'Union;</w:t>
      </w:r>
    </w:p>
    <w:p w14:paraId="7FF57C13" w14:textId="77777777" w:rsidR="00DF6159" w:rsidRPr="00236418" w:rsidRDefault="00DF6159" w:rsidP="009B3D24">
      <w:pPr>
        <w:pStyle w:val="enumlev2"/>
      </w:pPr>
      <w:r w:rsidRPr="00236418">
        <w:t>•</w:t>
      </w:r>
      <w:r w:rsidRPr="00236418">
        <w:tab/>
        <w:t>l'exactitude, l'exhaustivité et la fourniture dans les délais des données financières et autres données administratives.</w:t>
      </w:r>
    </w:p>
    <w:p w14:paraId="07A5EA94" w14:textId="692CF02A" w:rsidR="00DF6159" w:rsidRPr="00236418" w:rsidRDefault="00A964D0" w:rsidP="009B3D24">
      <w:pPr>
        <w:pStyle w:val="enumlev1"/>
      </w:pPr>
      <w:r w:rsidRPr="00236418">
        <w:t>2</w:t>
      </w:r>
      <w:r w:rsidRPr="00236418">
        <w:tab/>
      </w:r>
      <w:r w:rsidR="00DF6159" w:rsidRPr="00236418">
        <w:t>Le cadre réglementaire de l'UIT est constitué des textes fondamentaux de l'Union, des règles et règlements, des ordres de service, des notes de service et des circulaires d'information.</w:t>
      </w:r>
    </w:p>
    <w:p w14:paraId="0324E50B" w14:textId="1E14A28D" w:rsidR="00DF6159" w:rsidRPr="00236418" w:rsidRDefault="00A964D0" w:rsidP="009B3D24">
      <w:pPr>
        <w:pStyle w:val="enumlev1"/>
      </w:pPr>
      <w:r w:rsidRPr="00236418">
        <w:t>3</w:t>
      </w:r>
      <w:r w:rsidRPr="00236418">
        <w:tab/>
      </w:r>
      <w:r w:rsidR="00DF6159" w:rsidRPr="00236418">
        <w:t>Tous les systèmes, processus, opérations, fonctions et activités de l'UIT font l'objet d'un audit interne effectué par l'Unité de l'audit interne. Dans le cadre de ses travaux, l'Unité de l'audit interne s'emploie à se conformer aux Normes internationales pour la pratique professionnelle de l'audit interne. J</w:t>
      </w:r>
      <w:r w:rsidR="00DF6159" w:rsidRPr="00236418">
        <w:rPr>
          <w:color w:val="000000"/>
        </w:rPr>
        <w:t>e m'appuie sur les travaux d'audit et d'enquête pour obtenir l'assurance que la gouvernance de l'organisation et la gestion des risques sont adéquats et que les contrôles internes sont efficaces</w:t>
      </w:r>
      <w:r w:rsidR="00DF6159" w:rsidRPr="00236418">
        <w:t xml:space="preserve">. </w:t>
      </w:r>
    </w:p>
    <w:p w14:paraId="1A0CC583" w14:textId="2E74CBED" w:rsidR="00A964D0" w:rsidRPr="00236418" w:rsidRDefault="00A964D0" w:rsidP="009B3D24">
      <w:pPr>
        <w:pStyle w:val="enumlev1"/>
      </w:pPr>
      <w:r w:rsidRPr="00236418">
        <w:t>4</w:t>
      </w:r>
      <w:r w:rsidRPr="00236418">
        <w:tab/>
      </w:r>
      <w:r w:rsidR="00B20F08" w:rsidRPr="00236418">
        <w:t>Un ordre de service sur l</w:t>
      </w:r>
      <w:r w:rsidRPr="00236418">
        <w:t>a Politique de lutte contre les pratiques frauduleuses et autres pratiques prohibées de l'UIT (la "Politique")</w:t>
      </w:r>
      <w:r w:rsidR="00156AA4" w:rsidRPr="00236418">
        <w:t xml:space="preserve"> qui</w:t>
      </w:r>
      <w:r w:rsidRPr="00236418">
        <w:t xml:space="preserve"> présente les grandes lignes des stratégies et procédures adoptées par l'UIT pour prévenir et détecter des pratiques frauduleuses et autres pratiques prohibées et pour lutter contre ces pratiques</w:t>
      </w:r>
      <w:r w:rsidR="00156AA4" w:rsidRPr="00236418">
        <w:t xml:space="preserve"> a été publié le 2 mai 2019</w:t>
      </w:r>
      <w:r w:rsidRPr="00236418">
        <w:t>. Tout membre du personnel</w:t>
      </w:r>
      <w:r w:rsidR="00B20F08" w:rsidRPr="00236418">
        <w:t xml:space="preserve"> de l'UIT</w:t>
      </w:r>
      <w:r w:rsidRPr="00236418">
        <w:t xml:space="preserve"> qui dispose d'informations ou d'éléments de preuve de nature à établir une présomption raisonnable de fraude, de corruption ou d'autres pratiques prohibées a le devoir de la ou les signaler et sera protégé contre les éventuelles représailles découlant de tels signalements. </w:t>
      </w:r>
      <w:r w:rsidR="00B20F08" w:rsidRPr="00236418">
        <w:t>Cette</w:t>
      </w:r>
      <w:r w:rsidRPr="00236418">
        <w:t xml:space="preserve"> Politique s'inscrit dans le cadre de la gestion des risques institutionnels de l'UIT et est mise en œuvre par l'adoption de mesures de prévention et de détection dans tous les processus institutionnels essentiels. Elle traduit l'engagement de l'UIT en faveur du respect des normes les plus strictes en matière d'éthique, de transparence et de responsabilité</w:t>
      </w:r>
      <w:r w:rsidR="00F67A61" w:rsidRPr="00236418">
        <w:t>.</w:t>
      </w:r>
    </w:p>
    <w:p w14:paraId="20F6ADC4" w14:textId="3A3770DC" w:rsidR="00F67A61" w:rsidRPr="00236418" w:rsidRDefault="00F67A61" w:rsidP="009B3D24">
      <w:pPr>
        <w:pStyle w:val="enumlev1"/>
      </w:pPr>
      <w:r w:rsidRPr="00236418">
        <w:t>5</w:t>
      </w:r>
      <w:r w:rsidRPr="00236418">
        <w:tab/>
      </w:r>
      <w:r w:rsidR="005E4926" w:rsidRPr="00236418">
        <w:t xml:space="preserve">Un Ordre de service sur les lignes directrices en matière d'enquête à l'UIT contenant les procédures à suivre dans la conduite d'une enquête, y compris les mesures visant à éviter toute fuite d'informations confidentielles et à veiller à ce que des mesures soient prises rapidement aux cas de fraude a été publié </w:t>
      </w:r>
      <w:r w:rsidR="00B20F08" w:rsidRPr="00236418">
        <w:t>le 2 mai</w:t>
      </w:r>
      <w:r w:rsidR="005E4926" w:rsidRPr="00236418">
        <w:t xml:space="preserve"> 2019.</w:t>
      </w:r>
    </w:p>
    <w:p w14:paraId="09EDF742" w14:textId="0736A60A" w:rsidR="005E4926" w:rsidRPr="00236418" w:rsidRDefault="005E4926" w:rsidP="009B3D24">
      <w:pPr>
        <w:pStyle w:val="enumlev1"/>
        <w:rPr>
          <w:lang w:eastAsia="zh-CN"/>
        </w:rPr>
      </w:pPr>
      <w:r w:rsidRPr="00236418">
        <w:t>6</w:t>
      </w:r>
      <w:r w:rsidRPr="00236418">
        <w:tab/>
      </w:r>
      <w:r w:rsidR="00B20F08" w:rsidRPr="00236418">
        <w:rPr>
          <w:lang w:eastAsia="zh-CN"/>
        </w:rPr>
        <w:t>En outre, un groupe de travail interne a été créé pour renforcer les contrôles internes du</w:t>
      </w:r>
      <w:r w:rsidR="0034590E" w:rsidRPr="00236418">
        <w:rPr>
          <w:lang w:eastAsia="zh-CN"/>
        </w:rPr>
        <w:t> </w:t>
      </w:r>
      <w:r w:rsidR="00B20F08" w:rsidRPr="00236418">
        <w:rPr>
          <w:lang w:eastAsia="zh-CN"/>
        </w:rPr>
        <w:t>BDT (au siège et d</w:t>
      </w:r>
      <w:r w:rsidR="00156AA4" w:rsidRPr="00236418">
        <w:rPr>
          <w:lang w:eastAsia="zh-CN"/>
        </w:rPr>
        <w:t>ans l</w:t>
      </w:r>
      <w:r w:rsidR="00B20F08" w:rsidRPr="00236418">
        <w:rPr>
          <w:lang w:eastAsia="zh-CN"/>
        </w:rPr>
        <w:t xml:space="preserve">es bureaux régionaux/de zone), </w:t>
      </w:r>
      <w:r w:rsidR="00156AA4" w:rsidRPr="00236418">
        <w:rPr>
          <w:lang w:eastAsia="zh-CN"/>
        </w:rPr>
        <w:t>auquel participent</w:t>
      </w:r>
      <w:r w:rsidR="00B20F08" w:rsidRPr="00236418">
        <w:rPr>
          <w:lang w:eastAsia="zh-CN"/>
        </w:rPr>
        <w:t xml:space="preserve"> toutes les parties prenantes concernées du BDT</w:t>
      </w:r>
      <w:r w:rsidR="00345C4D" w:rsidRPr="00236418">
        <w:rPr>
          <w:lang w:eastAsia="zh-CN"/>
        </w:rPr>
        <w:t xml:space="preserve"> </w:t>
      </w:r>
      <w:r w:rsidR="00156AA4" w:rsidRPr="00236418">
        <w:rPr>
          <w:lang w:eastAsia="zh-CN"/>
        </w:rPr>
        <w:t>et</w:t>
      </w:r>
      <w:r w:rsidR="00B20F08" w:rsidRPr="00236418">
        <w:rPr>
          <w:lang w:eastAsia="zh-CN"/>
        </w:rPr>
        <w:t xml:space="preserve"> des départements du Secrétariat général. Ce groupe était chargé de coordonner l'élaboration et la mise en œuvre d'un plan d'action pour le BDT, et l'UIT en général, et de traiter toutes les premières conclusions et les recommandations de l'Unité de l'audit interne et du vérificateur extérieur des comptes</w:t>
      </w:r>
      <w:r w:rsidR="00B55A89" w:rsidRPr="00236418">
        <w:rPr>
          <w:lang w:eastAsia="zh-CN"/>
        </w:rPr>
        <w:t>.</w:t>
      </w:r>
    </w:p>
    <w:p w14:paraId="39739018" w14:textId="0635DDC7" w:rsidR="00DF6159" w:rsidRPr="00236418" w:rsidRDefault="005E4926" w:rsidP="009B3D24">
      <w:pPr>
        <w:pStyle w:val="enumlev1"/>
      </w:pPr>
      <w:r w:rsidRPr="00236418">
        <w:lastRenderedPageBreak/>
        <w:t>7</w:t>
      </w:r>
      <w:r w:rsidRPr="00236418">
        <w:tab/>
      </w:r>
      <w:r w:rsidR="00DF6159" w:rsidRPr="00236418">
        <w:t xml:space="preserve">Par ailleurs, je reçois les rapports du Vérificateur extérieur, qui contiennent des recommandations concernant les questions de contrôle interne. Toutes les recommandations formulées par le Vérificateur extérieur sont prises en considération et des plans d'action sont établis selon qu'il convient en vue d'éliminer tout éventuel point faible constaté, dans un souci d'amélioration constante. Le Groupe de travail du Conseil sur les ressources financières et les ressources humaines (CWG-FHR) assure le suivi des mesures prises par la direction en application des recommandations du Vérificateur extérieur. </w:t>
      </w:r>
    </w:p>
    <w:p w14:paraId="216BABEF" w14:textId="51160A01" w:rsidR="00DF6159" w:rsidRPr="00236418" w:rsidRDefault="005E4926" w:rsidP="009B3D24">
      <w:pPr>
        <w:pStyle w:val="enumlev1"/>
      </w:pPr>
      <w:r w:rsidRPr="00236418">
        <w:t>8</w:t>
      </w:r>
      <w:r w:rsidR="00A964D0" w:rsidRPr="00236418">
        <w:tab/>
      </w:r>
      <w:r w:rsidR="00DF6159" w:rsidRPr="00236418">
        <w:t>J'ai pris note des conclusions de l'auditeur interne relatives à la nécessité d'améliorer la gouvernance et la gestion des risques de certains des processus ayant été révisés et de rendre les contrôles plus efficaces dans les divers domaines contrôlés. Des mesures ont été prises et continueront d'être prises pour renforcer les contrôles internes et réduire les risques.</w:t>
      </w:r>
    </w:p>
    <w:p w14:paraId="3AAFB7AE" w14:textId="1958FEFB" w:rsidR="00DF6159" w:rsidRPr="00236418" w:rsidRDefault="00760E92" w:rsidP="009B3D24">
      <w:pPr>
        <w:pStyle w:val="enumlev1"/>
      </w:pPr>
      <w:r w:rsidRPr="00236418">
        <w:t>9</w:t>
      </w:r>
      <w:r w:rsidRPr="00236418">
        <w:tab/>
      </w:r>
      <w:r w:rsidR="00DF6159" w:rsidRPr="00236418">
        <w:t>Je bénéficie en outre des avis du Comité consultatif indépendant pour les questions de gestion (CCIG), qui exerce des fonctions consultatives spécialisées et aide le Conseil ainsi que le Secrétaire général à s'acquitter de leurs responsabilités en matière de gouvernance, et notamment à assurer l'efficacité des systèmes de contrôle interne, des procédures de gestion des risques et des procédures de gouvernance de l'UIT.</w:t>
      </w:r>
    </w:p>
    <w:p w14:paraId="02266F79" w14:textId="77777777" w:rsidR="00DF6159" w:rsidRPr="00236418" w:rsidRDefault="00DF6159" w:rsidP="009B3D24">
      <w:pPr>
        <w:pStyle w:val="Headingb"/>
        <w:spacing w:before="120"/>
      </w:pPr>
      <w:bookmarkStart w:id="432" w:name="_Toc387166342"/>
      <w:bookmarkStart w:id="433" w:name="_Toc387166620"/>
      <w:bookmarkStart w:id="434" w:name="_Toc387167426"/>
      <w:bookmarkStart w:id="435" w:name="_Toc395260905"/>
      <w:bookmarkStart w:id="436" w:name="_Toc395511685"/>
      <w:bookmarkStart w:id="437" w:name="_Toc452138599"/>
      <w:bookmarkStart w:id="438" w:name="_Toc452139046"/>
      <w:bookmarkStart w:id="439" w:name="_Toc452139405"/>
      <w:bookmarkStart w:id="440" w:name="_Toc452139804"/>
      <w:bookmarkStart w:id="441" w:name="_Toc452140391"/>
      <w:bookmarkStart w:id="442" w:name="_Toc452140671"/>
      <w:bookmarkStart w:id="443" w:name="_Toc482801467"/>
      <w:bookmarkStart w:id="444" w:name="_Toc482888717"/>
      <w:bookmarkStart w:id="445" w:name="_Toc511649437"/>
      <w:bookmarkStart w:id="446" w:name="_Toc511649809"/>
      <w:bookmarkStart w:id="447" w:name="_Toc511649918"/>
      <w:bookmarkStart w:id="448" w:name="_Toc511650036"/>
      <w:bookmarkStart w:id="449" w:name="_Toc511650529"/>
      <w:bookmarkStart w:id="450" w:name="_Toc511651174"/>
      <w:bookmarkStart w:id="451" w:name="_Toc511724039"/>
      <w:bookmarkStart w:id="452" w:name="_Toc511739028"/>
      <w:bookmarkStart w:id="453" w:name="_Toc511741197"/>
      <w:bookmarkStart w:id="454" w:name="_Toc9605691"/>
      <w:bookmarkStart w:id="455" w:name="_Toc10450703"/>
      <w:bookmarkStart w:id="456" w:name="_Toc41566314"/>
      <w:bookmarkStart w:id="457" w:name="_Toc41814933"/>
      <w:r w:rsidRPr="00236418">
        <w:t>Faits importants survenus au cours de l'année en matière de contrôle interne</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178F1F98" w14:textId="456FC097" w:rsidR="00DF6159" w:rsidRPr="00236418" w:rsidRDefault="00760E92" w:rsidP="009B3D24">
      <w:pPr>
        <w:pStyle w:val="enumlev1"/>
        <w:rPr>
          <w:lang w:eastAsia="zh-CN"/>
        </w:rPr>
      </w:pPr>
      <w:r w:rsidRPr="00236418">
        <w:rPr>
          <w:lang w:eastAsia="zh-CN"/>
        </w:rPr>
        <w:t>10</w:t>
      </w:r>
      <w:r w:rsidRPr="00236418">
        <w:rPr>
          <w:lang w:eastAsia="zh-CN"/>
        </w:rPr>
        <w:tab/>
      </w:r>
      <w:r w:rsidR="00DF6159" w:rsidRPr="00236418">
        <w:rPr>
          <w:lang w:eastAsia="zh-CN"/>
        </w:rPr>
        <w:t>J'ai été informé qu'il pourrait être nécessaire de renforcer certains domaines relevant de la fonction de passation de marchés et j'ai</w:t>
      </w:r>
      <w:r w:rsidR="00DF6159" w:rsidRPr="00236418">
        <w:t xml:space="preserve"> donc sollicité les bureaux concernés afin qu'ils prennent les mesures nécessaires en vue d'améliorer les contrôles dans ces domaines.</w:t>
      </w:r>
      <w:r w:rsidR="00DF6159" w:rsidRPr="00236418">
        <w:rPr>
          <w:lang w:eastAsia="zh-CN"/>
        </w:rPr>
        <w:t xml:space="preserve"> </w:t>
      </w:r>
    </w:p>
    <w:p w14:paraId="68BBCB42" w14:textId="636C6F7A" w:rsidR="00DF6159" w:rsidRPr="00236418" w:rsidRDefault="00760E92" w:rsidP="009B3D24">
      <w:pPr>
        <w:pStyle w:val="enumlev1"/>
      </w:pPr>
      <w:r w:rsidRPr="00236418">
        <w:rPr>
          <w:lang w:eastAsia="zh-CN"/>
        </w:rPr>
        <w:t>11</w:t>
      </w:r>
      <w:r w:rsidRPr="00236418">
        <w:rPr>
          <w:lang w:eastAsia="zh-CN"/>
        </w:rPr>
        <w:tab/>
      </w:r>
      <w:r w:rsidR="00DF6159" w:rsidRPr="00236418">
        <w:rPr>
          <w:lang w:eastAsia="zh-CN"/>
        </w:rPr>
        <w:t>Dans cette optique, de nouvelles procédures ont été élaborées pour la passation des marchés d'une valeur inférieure à 20 000 CHF, afin de garantir une séparation appropriée des tâches entre les demandes, l'approbation du financement et la fonction de passation de marchés. Ces procédures ont</w:t>
      </w:r>
      <w:r w:rsidR="00E5783D" w:rsidRPr="00236418">
        <w:rPr>
          <w:lang w:eastAsia="zh-CN"/>
        </w:rPr>
        <w:t xml:space="preserve"> été</w:t>
      </w:r>
      <w:r w:rsidR="00DF6159" w:rsidRPr="00236418">
        <w:rPr>
          <w:lang w:eastAsia="zh-CN"/>
        </w:rPr>
        <w:t xml:space="preserve"> introduites </w:t>
      </w:r>
      <w:r w:rsidR="00E5783D" w:rsidRPr="00236418">
        <w:rPr>
          <w:lang w:eastAsia="zh-CN"/>
        </w:rPr>
        <w:t>en</w:t>
      </w:r>
      <w:r w:rsidR="00DF6159" w:rsidRPr="00236418">
        <w:rPr>
          <w:lang w:eastAsia="zh-CN"/>
        </w:rPr>
        <w:t xml:space="preserve"> 2019. </w:t>
      </w:r>
      <w:r w:rsidR="00DF6159" w:rsidRPr="00236418">
        <w:rPr>
          <w:color w:val="000000" w:themeColor="text1"/>
        </w:rPr>
        <w:t xml:space="preserve">En outre, un manuel sur la passation de marchés a été publié en </w:t>
      </w:r>
      <w:r w:rsidR="00E5783D" w:rsidRPr="00236418">
        <w:rPr>
          <w:color w:val="000000" w:themeColor="text1"/>
        </w:rPr>
        <w:t xml:space="preserve">juin </w:t>
      </w:r>
      <w:r w:rsidR="00DF6159" w:rsidRPr="00236418">
        <w:rPr>
          <w:color w:val="000000" w:themeColor="text1"/>
        </w:rPr>
        <w:t>2019, ce qui permettra également de renforcer encore la fonction de passation de marchés à l'UIT.</w:t>
      </w:r>
    </w:p>
    <w:p w14:paraId="077186EF" w14:textId="77777777" w:rsidR="00DF6159" w:rsidRPr="00236418" w:rsidRDefault="00DF6159" w:rsidP="009B3D24">
      <w:pPr>
        <w:pStyle w:val="Headingb"/>
        <w:spacing w:before="120"/>
      </w:pPr>
      <w:bookmarkStart w:id="458" w:name="_Toc387166343"/>
      <w:bookmarkStart w:id="459" w:name="_Toc387166621"/>
      <w:bookmarkStart w:id="460" w:name="_Toc387167427"/>
      <w:bookmarkStart w:id="461" w:name="_Toc395260906"/>
      <w:bookmarkStart w:id="462" w:name="_Toc395511686"/>
      <w:bookmarkStart w:id="463" w:name="_Toc452138600"/>
      <w:bookmarkStart w:id="464" w:name="_Toc452139047"/>
      <w:bookmarkStart w:id="465" w:name="_Toc452139406"/>
      <w:bookmarkStart w:id="466" w:name="_Toc452139805"/>
      <w:bookmarkStart w:id="467" w:name="_Toc452140392"/>
      <w:bookmarkStart w:id="468" w:name="_Toc452140672"/>
      <w:bookmarkStart w:id="469" w:name="_Toc482801468"/>
      <w:bookmarkStart w:id="470" w:name="_Toc482888718"/>
      <w:bookmarkStart w:id="471" w:name="_Toc511649438"/>
      <w:bookmarkStart w:id="472" w:name="_Toc511649810"/>
      <w:bookmarkStart w:id="473" w:name="_Toc511649919"/>
      <w:bookmarkStart w:id="474" w:name="_Toc511650037"/>
      <w:bookmarkStart w:id="475" w:name="_Toc511650530"/>
      <w:bookmarkStart w:id="476" w:name="_Toc511651175"/>
      <w:bookmarkStart w:id="477" w:name="_Toc511724040"/>
      <w:bookmarkStart w:id="478" w:name="_Toc511739029"/>
      <w:bookmarkStart w:id="479" w:name="_Toc511741198"/>
      <w:bookmarkStart w:id="480" w:name="_Toc9605692"/>
      <w:bookmarkStart w:id="481" w:name="_Toc10450704"/>
      <w:bookmarkStart w:id="482" w:name="_Toc41566315"/>
      <w:bookmarkStart w:id="483" w:name="_Toc41814934"/>
      <w:r w:rsidRPr="00236418">
        <w:t>Déclaration</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9523E24" w14:textId="5F9105FA" w:rsidR="00DF6159" w:rsidRPr="00236418" w:rsidRDefault="00760E92" w:rsidP="009B3D24">
      <w:pPr>
        <w:pStyle w:val="enumlev1"/>
        <w:rPr>
          <w:rFonts w:eastAsia="SimSun"/>
          <w:lang w:eastAsia="zh-CN"/>
        </w:rPr>
      </w:pPr>
      <w:r w:rsidRPr="00236418">
        <w:rPr>
          <w:rFonts w:eastAsia="SimSun"/>
          <w:lang w:eastAsia="zh-CN"/>
        </w:rPr>
        <w:t>12</w:t>
      </w:r>
      <w:r w:rsidRPr="00236418">
        <w:rPr>
          <w:rFonts w:eastAsia="SimSun"/>
          <w:lang w:eastAsia="zh-CN"/>
        </w:rPr>
        <w:tab/>
      </w:r>
      <w:r w:rsidR="00DF6159" w:rsidRPr="00236418">
        <w:rPr>
          <w:rFonts w:eastAsia="SimSun"/>
          <w:lang w:eastAsia="zh-CN"/>
        </w:rPr>
        <w:t>Je m'engage à garantir une amélioration continue du système de contrôle interne. Aussi bien conçu et efficace soit-il, le contrôle interne souffre intrinsèquement de limites, compte tenu notamment de la possibilité de le contourner. Il ne peut donc offrir qu'une assurance raisonnable d'efficacité, et pas une assurance absolue. En outre, la situation pouvant évoluer, l'efficacité du contrôle interne peut varier dans le temps.</w:t>
      </w:r>
    </w:p>
    <w:p w14:paraId="5326B136" w14:textId="50B5840E" w:rsidR="00DF6159" w:rsidRPr="00236418" w:rsidRDefault="0034590E" w:rsidP="009B3D24">
      <w:pPr>
        <w:pStyle w:val="enumlev1"/>
      </w:pPr>
      <w:r w:rsidRPr="00236418">
        <w:rPr>
          <w:noProof/>
          <w:lang w:val="en-US"/>
        </w:rPr>
        <w:drawing>
          <wp:anchor distT="0" distB="0" distL="114300" distR="114300" simplePos="0" relativeHeight="251662336" behindDoc="1" locked="0" layoutInCell="1" allowOverlap="1" wp14:anchorId="1C686816" wp14:editId="5E97E640">
            <wp:simplePos x="0" y="0"/>
            <wp:positionH relativeFrom="margin">
              <wp:align>right</wp:align>
            </wp:positionH>
            <wp:positionV relativeFrom="paragraph">
              <wp:posOffset>824446</wp:posOffset>
            </wp:positionV>
            <wp:extent cx="3481422" cy="1858645"/>
            <wp:effectExtent l="0" t="0" r="508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481422" cy="1858645"/>
                    </a:xfrm>
                    <a:prstGeom prst="rect">
                      <a:avLst/>
                    </a:prstGeom>
                  </pic:spPr>
                </pic:pic>
              </a:graphicData>
            </a:graphic>
            <wp14:sizeRelH relativeFrom="page">
              <wp14:pctWidth>0</wp14:pctWidth>
            </wp14:sizeRelH>
            <wp14:sizeRelV relativeFrom="page">
              <wp14:pctHeight>0</wp14:pctHeight>
            </wp14:sizeRelV>
          </wp:anchor>
        </w:drawing>
      </w:r>
      <w:r w:rsidR="00760E92" w:rsidRPr="00236418">
        <w:t>13</w:t>
      </w:r>
      <w:r w:rsidR="00760E92" w:rsidRPr="00236418">
        <w:tab/>
      </w:r>
      <w:r w:rsidR="00DF6159" w:rsidRPr="00236418">
        <w:t>La direction s'efforce de remédier aux insuffisances qui ont été constatées dans les contrôles internes pendant les activités courantes de l'UIT ou qui ont été identifiées dans les observations relatives à la supervision, essentiellement à travers la procédure de suivi mise en place l'an dernier pour la mise en œuvre des recommandations relatives au contrôle. Sur cette base, je conclus que l'Union disposait d'un système efficace de contrôle interne pour l'exercice clos le 31 décembre 201</w:t>
      </w:r>
      <w:r w:rsidR="00760E92" w:rsidRPr="00236418">
        <w:t>9</w:t>
      </w:r>
      <w:r w:rsidR="00DF6159" w:rsidRPr="00236418">
        <w:t xml:space="preserve"> et jusqu'à la date de l'approbation des états financiers.</w:t>
      </w:r>
    </w:p>
    <w:p w14:paraId="6B69BBB3" w14:textId="68C621EF" w:rsidR="00345C4D" w:rsidRPr="00236418" w:rsidRDefault="00345C4D" w:rsidP="0034590E">
      <w:pPr>
        <w:jc w:val="right"/>
        <w:rPr>
          <w:rFonts w:asciiTheme="minorHAnsi" w:hAnsiTheme="minorHAnsi" w:cstheme="minorHAnsi"/>
          <w:szCs w:val="24"/>
        </w:rPr>
      </w:pPr>
    </w:p>
    <w:p w14:paraId="3119F156" w14:textId="77777777" w:rsidR="0034590E" w:rsidRPr="00236418" w:rsidRDefault="0034590E" w:rsidP="0034590E">
      <w:pPr>
        <w:rPr>
          <w:lang w:eastAsia="zh-CN"/>
        </w:rPr>
      </w:pPr>
    </w:p>
    <w:p w14:paraId="440E6F7D" w14:textId="7DF41FAD" w:rsidR="0034590E" w:rsidRPr="00236418" w:rsidRDefault="0034590E" w:rsidP="0034590E">
      <w:pPr>
        <w:rPr>
          <w:lang w:eastAsia="zh-CN"/>
        </w:rPr>
      </w:pPr>
      <w:r w:rsidRPr="00236418">
        <w:rPr>
          <w:noProof/>
          <w:lang w:val="en-US"/>
        </w:rPr>
        <mc:AlternateContent>
          <mc:Choice Requires="wps">
            <w:drawing>
              <wp:anchor distT="45720" distB="45720" distL="114300" distR="114300" simplePos="0" relativeHeight="251661312" behindDoc="0" locked="0" layoutInCell="1" allowOverlap="1" wp14:anchorId="4BC64A0A" wp14:editId="0A128806">
                <wp:simplePos x="0" y="0"/>
                <wp:positionH relativeFrom="column">
                  <wp:posOffset>3885828</wp:posOffset>
                </wp:positionH>
                <wp:positionV relativeFrom="paragraph">
                  <wp:posOffset>206782</wp:posOffset>
                </wp:positionV>
                <wp:extent cx="1748790" cy="57797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577970"/>
                        </a:xfrm>
                        <a:prstGeom prst="rect">
                          <a:avLst/>
                        </a:prstGeom>
                        <a:solidFill>
                          <a:srgbClr val="FFFFFF"/>
                        </a:solidFill>
                        <a:ln w="9525">
                          <a:noFill/>
                          <a:miter lim="800000"/>
                          <a:headEnd/>
                          <a:tailEnd/>
                        </a:ln>
                      </wps:spPr>
                      <wps:txbx>
                        <w:txbxContent>
                          <w:p w14:paraId="3B461DA2" w14:textId="77777777" w:rsidR="00596807" w:rsidRDefault="00596807" w:rsidP="0034590E">
                            <w:pPr>
                              <w:spacing w:before="0"/>
                              <w:jc w:val="center"/>
                              <w:rPr>
                                <w:rFonts w:asciiTheme="minorHAnsi" w:hAnsiTheme="minorHAnsi" w:cstheme="minorHAnsi"/>
                                <w:sz w:val="22"/>
                                <w:szCs w:val="22"/>
                                <w:lang w:val="fr-CH"/>
                              </w:rPr>
                            </w:pPr>
                            <w:r w:rsidRPr="009E26FE">
                              <w:rPr>
                                <w:rFonts w:asciiTheme="minorHAnsi" w:hAnsiTheme="minorHAnsi" w:cstheme="minorHAnsi"/>
                                <w:sz w:val="22"/>
                                <w:szCs w:val="22"/>
                                <w:lang w:val="fr-CH"/>
                              </w:rPr>
                              <w:t>Secrétaire général de l</w:t>
                            </w:r>
                            <w:r>
                              <w:rPr>
                                <w:rFonts w:asciiTheme="minorHAnsi" w:hAnsiTheme="minorHAnsi" w:cstheme="minorHAnsi"/>
                                <w:sz w:val="22"/>
                                <w:szCs w:val="22"/>
                                <w:lang w:val="fr-CH"/>
                              </w:rPr>
                              <w:t>'</w:t>
                            </w:r>
                            <w:r w:rsidRPr="009E26FE">
                              <w:rPr>
                                <w:rFonts w:asciiTheme="minorHAnsi" w:hAnsiTheme="minorHAnsi" w:cstheme="minorHAnsi"/>
                                <w:sz w:val="22"/>
                                <w:szCs w:val="22"/>
                                <w:lang w:val="fr-CH"/>
                              </w:rPr>
                              <w:t>UIT</w:t>
                            </w:r>
                          </w:p>
                          <w:p w14:paraId="77003A98" w14:textId="1797F2B1" w:rsidR="00596807" w:rsidRPr="00DD7E84" w:rsidRDefault="00596807" w:rsidP="0034590E">
                            <w:pPr>
                              <w:jc w:val="center"/>
                              <w:rPr>
                                <w:szCs w:val="24"/>
                                <w:lang w:val="fr-CH"/>
                              </w:rPr>
                            </w:pPr>
                            <w:r>
                              <w:rPr>
                                <w:rFonts w:asciiTheme="minorHAnsi" w:hAnsiTheme="minorHAnsi" w:cstheme="minorHAnsi"/>
                                <w:sz w:val="22"/>
                                <w:szCs w:val="22"/>
                                <w:lang w:val="fr-CH"/>
                              </w:rPr>
                              <w:t>Genève, le 30 mars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4A0A" id="_x0000_s1062" type="#_x0000_t202" style="position:absolute;margin-left:305.95pt;margin-top:16.3pt;width:137.7pt;height: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l/EgIAAP4DAAAOAAAAZHJzL2Uyb0RvYy54bWysU9tu2zAMfR+wfxD0vjjJkiYx4hRdugwD&#10;ugvQ7QNkWY6FyaJGKbGzry8lp2nQvQ3zgyCa5CF5eLS+7VvDjgq9BlvwyWjMmbISKm33Bf/5Y/du&#10;yZkPwlbCgFUFPynPbzdv36w7l6spNGAqhYxArM87V/AmBJdnmZeNaoUfgVOWnDVgKwKZuM8qFB2h&#10;tyabjsc3WQdYOQSpvKe/94OTbxJ+XSsZvtW1V4GZglNvIZ2YzjKe2WYt8j0K12h5bkP8Qxet0JaK&#10;XqDuRRDsgPovqFZLBA91GEloM6hrLVWagaaZjF9N89gIp9IsRI53F5r8/4OVX4+P7juy0H+AnhaY&#10;hvDuAeQvzyxsG2H36g4RukaJigpPImVZ53x+To1U+9xHkLL7AhUtWRwCJKC+xjayQnMyQqcFnC6k&#10;qz4wGUsuZsvFilySfPPFYrVIW8lE/pzt0IdPCloWLwVHWmpCF8cHH2I3In8OicU8GF3ttDHJwH25&#10;NciOggSwS18a4FWYsawr+Go+nSdkCzE/aaPVgQRqdFvw5Th+g2QiGx9tlUKC0Ga4UyfGnumJjAzc&#10;hL7sma4K/v4mJke6SqhORBjCIEh6QHRpAP9w1pEYC+5/HwQqzsxnS6SvJrNZVG8yZvPFlAy89pTX&#10;HmElQRU8cDZctyEpPvJh4Y6WU+vE20sn555JZInO84OIKr62U9TLs908AQAA//8DAFBLAwQUAAYA&#10;CAAAACEAervWYN8AAAAKAQAADwAAAGRycy9kb3ducmV2LnhtbEyPy07DMBBF90j8gzWV2CDqPMBJ&#10;Q5wKkEDdtvQDJrGbRI3HUew26d9jVrAc3aN7z5TbxQzsqifXW5IQryNgmhqremolHL8/n3JgziMp&#10;HCxpCTftYFvd35VYKDvTXl8PvmWhhFyBEjrvx4Jz13TaoFvbUVPITnYy6MM5tVxNOIdyM/AkigQ3&#10;2FNY6HDUH51uzoeLkXDazY8vm7n+8sds/yzesc9qe5PyYbW8vQLzevF/MPzqB3WoglNtL6QcGySI&#10;ON4EVEKaCGAByPMsBVYHMkkF8Krk/1+ofgAAAP//AwBQSwECLQAUAAYACAAAACEAtoM4kv4AAADh&#10;AQAAEwAAAAAAAAAAAAAAAAAAAAAAW0NvbnRlbnRfVHlwZXNdLnhtbFBLAQItABQABgAIAAAAIQA4&#10;/SH/1gAAAJQBAAALAAAAAAAAAAAAAAAAAC8BAABfcmVscy8ucmVsc1BLAQItABQABgAIAAAAIQBI&#10;8Sl/EgIAAP4DAAAOAAAAAAAAAAAAAAAAAC4CAABkcnMvZTJvRG9jLnhtbFBLAQItABQABgAIAAAA&#10;IQB6u9Zg3wAAAAoBAAAPAAAAAAAAAAAAAAAAAGwEAABkcnMvZG93bnJldi54bWxQSwUGAAAAAAQA&#10;BADzAAAAeAUAAAAA&#10;" stroked="f">
                <v:textbox>
                  <w:txbxContent>
                    <w:p w14:paraId="3B461DA2" w14:textId="77777777" w:rsidR="00596807" w:rsidRDefault="00596807" w:rsidP="0034590E">
                      <w:pPr>
                        <w:spacing w:before="0"/>
                        <w:jc w:val="center"/>
                        <w:rPr>
                          <w:rFonts w:asciiTheme="minorHAnsi" w:hAnsiTheme="minorHAnsi" w:cstheme="minorHAnsi"/>
                          <w:sz w:val="22"/>
                          <w:szCs w:val="22"/>
                          <w:lang w:val="fr-CH"/>
                        </w:rPr>
                      </w:pPr>
                      <w:r w:rsidRPr="009E26FE">
                        <w:rPr>
                          <w:rFonts w:asciiTheme="minorHAnsi" w:hAnsiTheme="minorHAnsi" w:cstheme="minorHAnsi"/>
                          <w:sz w:val="22"/>
                          <w:szCs w:val="22"/>
                          <w:lang w:val="fr-CH"/>
                        </w:rPr>
                        <w:t>Secrétaire général de l</w:t>
                      </w:r>
                      <w:r>
                        <w:rPr>
                          <w:rFonts w:asciiTheme="minorHAnsi" w:hAnsiTheme="minorHAnsi" w:cstheme="minorHAnsi"/>
                          <w:sz w:val="22"/>
                          <w:szCs w:val="22"/>
                          <w:lang w:val="fr-CH"/>
                        </w:rPr>
                        <w:t>'</w:t>
                      </w:r>
                      <w:r w:rsidRPr="009E26FE">
                        <w:rPr>
                          <w:rFonts w:asciiTheme="minorHAnsi" w:hAnsiTheme="minorHAnsi" w:cstheme="minorHAnsi"/>
                          <w:sz w:val="22"/>
                          <w:szCs w:val="22"/>
                          <w:lang w:val="fr-CH"/>
                        </w:rPr>
                        <w:t>UIT</w:t>
                      </w:r>
                    </w:p>
                    <w:p w14:paraId="77003A98" w14:textId="1797F2B1" w:rsidR="00596807" w:rsidRPr="00DD7E84" w:rsidRDefault="00596807" w:rsidP="0034590E">
                      <w:pPr>
                        <w:jc w:val="center"/>
                        <w:rPr>
                          <w:szCs w:val="24"/>
                          <w:lang w:val="fr-CH"/>
                        </w:rPr>
                      </w:pPr>
                      <w:r>
                        <w:rPr>
                          <w:rFonts w:asciiTheme="minorHAnsi" w:hAnsiTheme="minorHAnsi" w:cstheme="minorHAnsi"/>
                          <w:sz w:val="22"/>
                          <w:szCs w:val="22"/>
                          <w:lang w:val="fr-CH"/>
                        </w:rPr>
                        <w:t>Genève, le 30 mars 2020</w:t>
                      </w:r>
                    </w:p>
                  </w:txbxContent>
                </v:textbox>
              </v:shape>
            </w:pict>
          </mc:Fallback>
        </mc:AlternateContent>
      </w:r>
    </w:p>
    <w:p w14:paraId="0DF2D10E" w14:textId="6C75CADB" w:rsidR="0034590E" w:rsidRPr="00236418" w:rsidRDefault="0034590E" w:rsidP="0034590E">
      <w:pPr>
        <w:rPr>
          <w:lang w:eastAsia="zh-CN"/>
        </w:rPr>
      </w:pPr>
    </w:p>
    <w:p w14:paraId="728AFA0A" w14:textId="389F23EC" w:rsidR="00DF6159" w:rsidRPr="00236418" w:rsidRDefault="00DF6159" w:rsidP="009B3D24">
      <w:pPr>
        <w:pStyle w:val="Heading1"/>
        <w:spacing w:before="1440"/>
        <w:jc w:val="center"/>
        <w:rPr>
          <w:sz w:val="2"/>
          <w:szCs w:val="2"/>
        </w:rPr>
      </w:pPr>
      <w:bookmarkStart w:id="484" w:name="_Toc452139407"/>
      <w:bookmarkStart w:id="485" w:name="_Toc452139806"/>
      <w:bookmarkStart w:id="486" w:name="_Toc452140393"/>
      <w:bookmarkStart w:id="487" w:name="_Toc452140673"/>
      <w:bookmarkStart w:id="488" w:name="_Toc482801469"/>
      <w:bookmarkStart w:id="489" w:name="_Toc482888719"/>
      <w:bookmarkStart w:id="490" w:name="_Toc511649439"/>
      <w:bookmarkStart w:id="491" w:name="_Toc511649811"/>
      <w:bookmarkStart w:id="492" w:name="_Toc511649920"/>
      <w:bookmarkStart w:id="493" w:name="_Toc511650038"/>
      <w:bookmarkStart w:id="494" w:name="_Toc511650531"/>
      <w:bookmarkStart w:id="495" w:name="_Toc511651176"/>
      <w:bookmarkStart w:id="496" w:name="_Toc511724041"/>
      <w:bookmarkStart w:id="497" w:name="_Toc511739030"/>
      <w:bookmarkStart w:id="498" w:name="_Toc511740810"/>
      <w:bookmarkStart w:id="499" w:name="_Toc511741199"/>
    </w:p>
    <w:p w14:paraId="58A73476" w14:textId="36920E3A" w:rsidR="00DF6159" w:rsidRPr="00236418" w:rsidRDefault="00DF6159" w:rsidP="0034590E">
      <w:pPr>
        <w:pStyle w:val="Heading1"/>
        <w:spacing w:before="100" w:beforeAutospacing="1"/>
        <w:jc w:val="center"/>
        <w:rPr>
          <w:szCs w:val="28"/>
        </w:rPr>
      </w:pPr>
      <w:bookmarkStart w:id="500" w:name="_Toc9605693"/>
      <w:bookmarkStart w:id="501" w:name="_Toc10450705"/>
      <w:bookmarkStart w:id="502" w:name="_Toc41566316"/>
      <w:bookmarkStart w:id="503" w:name="_Toc41566597"/>
      <w:bookmarkStart w:id="504" w:name="_Toc41567337"/>
      <w:bookmarkStart w:id="505" w:name="_Toc41567823"/>
      <w:bookmarkStart w:id="506" w:name="_Toc41814935"/>
      <w:r w:rsidRPr="00236418">
        <w:rPr>
          <w:szCs w:val="28"/>
        </w:rPr>
        <w:t xml:space="preserve">Certification des états financiers pour l'année s'arrêtant au 31 décembre </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236418">
        <w:rPr>
          <w:szCs w:val="28"/>
        </w:rPr>
        <w:t>201</w:t>
      </w:r>
      <w:bookmarkEnd w:id="500"/>
      <w:bookmarkEnd w:id="501"/>
      <w:r w:rsidR="00760E92" w:rsidRPr="00236418">
        <w:rPr>
          <w:szCs w:val="28"/>
        </w:rPr>
        <w:t>9</w:t>
      </w:r>
      <w:bookmarkEnd w:id="502"/>
      <w:bookmarkEnd w:id="503"/>
      <w:bookmarkEnd w:id="504"/>
      <w:bookmarkEnd w:id="505"/>
      <w:bookmarkEnd w:id="506"/>
    </w:p>
    <w:p w14:paraId="21948330" w14:textId="4E6F324E" w:rsidR="00DF6159" w:rsidRPr="00236418" w:rsidRDefault="00DF6159" w:rsidP="009B3D24">
      <w:pPr>
        <w:tabs>
          <w:tab w:val="left" w:pos="284"/>
          <w:tab w:val="right" w:pos="5670"/>
          <w:tab w:val="right" w:pos="7655"/>
          <w:tab w:val="left" w:pos="8789"/>
        </w:tabs>
        <w:spacing w:before="720"/>
        <w:jc w:val="center"/>
        <w:rPr>
          <w:rFonts w:asciiTheme="minorHAnsi" w:hAnsiTheme="minorHAnsi"/>
          <w:b/>
          <w:smallCaps/>
          <w:sz w:val="28"/>
          <w:szCs w:val="28"/>
        </w:rPr>
      </w:pPr>
      <w:r w:rsidRPr="00236418">
        <w:rPr>
          <w:rFonts w:asciiTheme="minorHAnsi" w:hAnsiTheme="minorHAnsi"/>
          <w:b/>
          <w:smallCaps/>
          <w:sz w:val="28"/>
          <w:szCs w:val="28"/>
        </w:rPr>
        <w:t>Union internationale des télécommunications, Genève</w:t>
      </w:r>
    </w:p>
    <w:p w14:paraId="597986A0" w14:textId="0C59A346" w:rsidR="00DF6159" w:rsidRPr="00236418" w:rsidRDefault="00DF6159" w:rsidP="009B3D24">
      <w:pPr>
        <w:tabs>
          <w:tab w:val="left" w:pos="284"/>
          <w:tab w:val="right" w:pos="5670"/>
          <w:tab w:val="right" w:pos="7655"/>
          <w:tab w:val="left" w:pos="8789"/>
        </w:tabs>
        <w:spacing w:before="720"/>
        <w:rPr>
          <w:bCs/>
        </w:rPr>
      </w:pPr>
      <w:r w:rsidRPr="00236418">
        <w:rPr>
          <w:bCs/>
        </w:rPr>
        <w:t>Conformément à l'Article 30 du Règlement financier, les comptes et les états financiers de l'Union internationale des télécommunications ont été établis et tenus conformément aux normes IPSAS. Les états financiers pour l'année s'arrêtant au 31 décembre 201</w:t>
      </w:r>
      <w:r w:rsidR="00760E92" w:rsidRPr="00236418">
        <w:rPr>
          <w:bCs/>
        </w:rPr>
        <w:t>9</w:t>
      </w:r>
      <w:r w:rsidRPr="00236418">
        <w:rPr>
          <w:bCs/>
        </w:rPr>
        <w:t xml:space="preserve"> ainsi que les notes relatives à ces états financiers et les annexes pertinentes ont été examinés et sont approuvés.</w:t>
      </w:r>
    </w:p>
    <w:p w14:paraId="262E9F30" w14:textId="68884FBF" w:rsidR="00DF6159" w:rsidRPr="00236418" w:rsidRDefault="00DF6159" w:rsidP="009B3D24">
      <w:pPr>
        <w:spacing w:before="600"/>
      </w:pPr>
      <w:r w:rsidRPr="00236418">
        <w:t xml:space="preserve">Le </w:t>
      </w:r>
      <w:r w:rsidR="00760E92" w:rsidRPr="00236418">
        <w:t>30</w:t>
      </w:r>
      <w:r w:rsidRPr="00236418">
        <w:t xml:space="preserve"> mars 20</w:t>
      </w:r>
      <w:r w:rsidR="00760E92" w:rsidRPr="00236418">
        <w:t>20</w:t>
      </w:r>
    </w:p>
    <w:p w14:paraId="659DBFF7" w14:textId="50A2BB7D" w:rsidR="00DF6159" w:rsidRPr="00236418" w:rsidRDefault="00833950" w:rsidP="009B3D24">
      <w:pPr>
        <w:tabs>
          <w:tab w:val="left" w:pos="851"/>
          <w:tab w:val="left" w:pos="1191"/>
          <w:tab w:val="left" w:pos="1588"/>
          <w:tab w:val="left" w:pos="1985"/>
          <w:tab w:val="left" w:pos="5387"/>
        </w:tabs>
        <w:spacing w:before="360"/>
        <w:ind w:left="284"/>
        <w:rPr>
          <w:lang w:eastAsia="zh-CN"/>
        </w:rPr>
      </w:pPr>
      <w:r w:rsidRPr="00236418">
        <w:rPr>
          <w:noProof/>
          <w:lang w:val="en-US"/>
        </w:rPr>
        <w:drawing>
          <wp:anchor distT="0" distB="0" distL="114300" distR="114300" simplePos="0" relativeHeight="251737088" behindDoc="0" locked="0" layoutInCell="1" allowOverlap="1" wp14:anchorId="193DEDF1" wp14:editId="7D892968">
            <wp:simplePos x="0" y="0"/>
            <wp:positionH relativeFrom="column">
              <wp:posOffset>3575337</wp:posOffset>
            </wp:positionH>
            <wp:positionV relativeFrom="paragraph">
              <wp:posOffset>283534</wp:posOffset>
            </wp:positionV>
            <wp:extent cx="22574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257425" cy="1000125"/>
                    </a:xfrm>
                    <a:prstGeom prst="rect">
                      <a:avLst/>
                    </a:prstGeom>
                  </pic:spPr>
                </pic:pic>
              </a:graphicData>
            </a:graphic>
          </wp:anchor>
        </w:drawing>
      </w:r>
      <w:r w:rsidR="00DF6159" w:rsidRPr="00236418">
        <w:rPr>
          <w:noProof/>
          <w:lang w:val="en-US"/>
        </w:rPr>
        <mc:AlternateContent>
          <mc:Choice Requires="wps">
            <w:drawing>
              <wp:anchor distT="0" distB="0" distL="114300" distR="114300" simplePos="0" relativeHeight="251664384" behindDoc="0" locked="0" layoutInCell="1" allowOverlap="1" wp14:anchorId="04FA7ED0" wp14:editId="18DF93F5">
                <wp:simplePos x="0" y="0"/>
                <wp:positionH relativeFrom="column">
                  <wp:posOffset>118110</wp:posOffset>
                </wp:positionH>
                <wp:positionV relativeFrom="paragraph">
                  <wp:posOffset>1417320</wp:posOffset>
                </wp:positionV>
                <wp:extent cx="2399385" cy="445135"/>
                <wp:effectExtent l="0" t="0" r="127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385" cy="445135"/>
                        </a:xfrm>
                        <a:prstGeom prst="rect">
                          <a:avLst/>
                        </a:prstGeom>
                        <a:solidFill>
                          <a:srgbClr val="FFFFFF"/>
                        </a:solidFill>
                        <a:ln w="9525">
                          <a:noFill/>
                          <a:miter lim="800000"/>
                          <a:headEnd/>
                          <a:tailEnd/>
                        </a:ln>
                      </wps:spPr>
                      <wps:txbx>
                        <w:txbxContent>
                          <w:p w14:paraId="700969CC" w14:textId="77777777" w:rsidR="00596807" w:rsidRPr="00DD7E84" w:rsidRDefault="00596807"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Chef du Département de la</w:t>
                            </w:r>
                            <w:r>
                              <w:rPr>
                                <w:rFonts w:asciiTheme="minorHAnsi" w:hAnsiTheme="minorHAnsi" w:cstheme="minorHAnsi"/>
                                <w:szCs w:val="24"/>
                                <w:lang w:val="fr-CH"/>
                              </w:rPr>
                              <w:t xml:space="preserve"> </w:t>
                            </w:r>
                            <w:r w:rsidRPr="00DD7E84">
                              <w:rPr>
                                <w:rFonts w:asciiTheme="minorHAnsi" w:hAnsiTheme="minorHAnsi" w:cstheme="minorHAnsi"/>
                                <w:szCs w:val="24"/>
                                <w:lang w:val="fr-CH"/>
                              </w:rPr>
                              <w:t>gestion des ressources financières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FA7ED0" id="_x0000_s1063" type="#_x0000_t202" style="position:absolute;left:0;text-align:left;margin-left:9.3pt;margin-top:111.6pt;width:188.95pt;height:3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DHEwIAAP4DAAAOAAAAZHJzL2Uyb0RvYy54bWysU9uO2yAQfa/Uf0C8N87N3cSKs9pmm6rS&#10;9iJt+wEY4xgVGAokdvr1O2BvNm3fqvKAZpjhMHPmsLnttSIn4bwEU9LZZEqJMBxqaQ4l/f5t/2ZF&#10;iQ/M1EyBESU9C09vt69fbTpbiDm0oGrhCIIYX3S2pG0Itsgyz1uhmZ+AFQaDDTjNArrukNWOdYiu&#10;VTafTt9mHbjaOuDCezy9H4J0m/CbRvDwpWm8CESVFGsLaXdpr+KebTesODhmW8nHMtg/VKGZNPjo&#10;BeqeBUaOTv4FpSV34KEJEw46g6aRXKQesJvZ9I9uHltmReoFyfH2QpP/f7D88+nRfnUk9O+gxwGm&#10;Jrx9AP7DEwO7lpmDuHMOulawGh+eRcqyzvpivBqp9oWPIFX3CWocMjsGSEB943RkBfskiI4DOF9I&#10;F30gHA/ni/V6scop4RhbLvPZIk9PsOL5tnU+fBCgSTRK6nCoCZ2dHnyI1bDiOSU+5kHJei+VSo47&#10;VDvlyImhAPZpjei/pSlDupKu83mekA3E+0kbWgYUqJK6pKtpXINkIhvvTZ1SApNqsLESZUZ6IiMD&#10;N6GveiLrki5u4uVIVwX1GQlzMAgSPxAaLbhflHQoxpL6n0fmBCXqo0HS17PlMqo3Ocv8Zo6Ou45U&#10;1xFmOEKVNFAymLuQFB/5MHCHw2lk4u2lkrFmFFmic/wQUcXXfsp6+bbbJwAAAP//AwBQSwMEFAAG&#10;AAgAAAAhAIwXnV7eAAAACgEAAA8AAABkcnMvZG93bnJldi54bWxMj8FOg0AQhu8mvsNmmngxdhEs&#10;LcjSqInGa2sfYGGnQMrOEnZb6Ns7nuzxn/nyzzfFdra9uODoO0cKnpcRCKTamY4aBYefz6cNCB80&#10;Gd07QgVX9LAt7+8KnRs30Q4v+9AILiGfawVtCEMupa9btNov3YDEu6MbrQ4cx0aaUU9cbnsZR1Eq&#10;re6IL7R6wI8W69P+bBUcv6fHVTZVX+Gw3r2k77pbV+6q1MNifnsFEXAO/zD86bM6lOxUuTMZL3rO&#10;m5RJBXGcxCAYSLJ0BaLiSZYkIMtC3r5Q/gIAAP//AwBQSwECLQAUAAYACAAAACEAtoM4kv4AAADh&#10;AQAAEwAAAAAAAAAAAAAAAAAAAAAAW0NvbnRlbnRfVHlwZXNdLnhtbFBLAQItABQABgAIAAAAIQA4&#10;/SH/1gAAAJQBAAALAAAAAAAAAAAAAAAAAC8BAABfcmVscy8ucmVsc1BLAQItABQABgAIAAAAIQBR&#10;9aDHEwIAAP4DAAAOAAAAAAAAAAAAAAAAAC4CAABkcnMvZTJvRG9jLnhtbFBLAQItABQABgAIAAAA&#10;IQCMF51e3gAAAAoBAAAPAAAAAAAAAAAAAAAAAG0EAABkcnMvZG93bnJldi54bWxQSwUGAAAAAAQA&#10;BADzAAAAeAUAAAAA&#10;" stroked="f">
                <v:textbox>
                  <w:txbxContent>
                    <w:p w14:paraId="700969CC" w14:textId="77777777" w:rsidR="00596807" w:rsidRPr="00DD7E84" w:rsidRDefault="00596807"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Chef du Département de la</w:t>
                      </w:r>
                      <w:r>
                        <w:rPr>
                          <w:rFonts w:asciiTheme="minorHAnsi" w:hAnsiTheme="minorHAnsi" w:cstheme="minorHAnsi"/>
                          <w:szCs w:val="24"/>
                          <w:lang w:val="fr-CH"/>
                        </w:rPr>
                        <w:t xml:space="preserve"> </w:t>
                      </w:r>
                      <w:r w:rsidRPr="00DD7E84">
                        <w:rPr>
                          <w:rFonts w:asciiTheme="minorHAnsi" w:hAnsiTheme="minorHAnsi" w:cstheme="minorHAnsi"/>
                          <w:szCs w:val="24"/>
                          <w:lang w:val="fr-CH"/>
                        </w:rPr>
                        <w:t>gestion des ressources financières</w:t>
                      </w:r>
                    </w:p>
                  </w:txbxContent>
                </v:textbox>
              </v:shape>
            </w:pict>
          </mc:Fallback>
        </mc:AlternateContent>
      </w:r>
      <w:r w:rsidR="00DF6159" w:rsidRPr="00236418">
        <w:rPr>
          <w:noProof/>
          <w:lang w:val="en-US"/>
        </w:rPr>
        <mc:AlternateContent>
          <mc:Choice Requires="wps">
            <w:drawing>
              <wp:anchor distT="0" distB="0" distL="114300" distR="114300" simplePos="0" relativeHeight="251665408" behindDoc="0" locked="0" layoutInCell="1" allowOverlap="1" wp14:anchorId="543BDFCA" wp14:editId="24387828">
                <wp:simplePos x="0" y="0"/>
                <wp:positionH relativeFrom="column">
                  <wp:posOffset>3978910</wp:posOffset>
                </wp:positionH>
                <wp:positionV relativeFrom="paragraph">
                  <wp:posOffset>1449070</wp:posOffset>
                </wp:positionV>
                <wp:extent cx="1463040" cy="285115"/>
                <wp:effectExtent l="0" t="0" r="3810" b="6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85115"/>
                        </a:xfrm>
                        <a:prstGeom prst="rect">
                          <a:avLst/>
                        </a:prstGeom>
                        <a:solidFill>
                          <a:srgbClr val="FFFFFF"/>
                        </a:solidFill>
                        <a:ln w="9525">
                          <a:noFill/>
                          <a:miter lim="800000"/>
                          <a:headEnd/>
                          <a:tailEnd/>
                        </a:ln>
                      </wps:spPr>
                      <wps:txbx>
                        <w:txbxContent>
                          <w:p w14:paraId="2E459AA4" w14:textId="77777777" w:rsidR="00596807" w:rsidRPr="00DD7E84" w:rsidRDefault="00596807"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S</w:t>
                            </w:r>
                            <w:r>
                              <w:rPr>
                                <w:rFonts w:asciiTheme="minorHAnsi" w:hAnsiTheme="minorHAnsi" w:cstheme="minorHAnsi"/>
                                <w:szCs w:val="24"/>
                                <w:lang w:val="fr-CH"/>
                              </w:rPr>
                              <w:t>ecrétaire général</w:t>
                            </w:r>
                          </w:p>
                        </w:txbxContent>
                      </wps:txbx>
                      <wps:bodyPr rot="0" vert="horz" wrap="square" lIns="91440" tIns="45720" rIns="91440" bIns="45720" anchor="t" anchorCtr="0">
                        <a:noAutofit/>
                      </wps:bodyPr>
                    </wps:wsp>
                  </a:graphicData>
                </a:graphic>
              </wp:anchor>
            </w:drawing>
          </mc:Choice>
          <mc:Fallback>
            <w:pict>
              <v:shape w14:anchorId="543BDFCA" id="_x0000_s1064" type="#_x0000_t202" style="position:absolute;left:0;text-align:left;margin-left:313.3pt;margin-top:114.1pt;width:115.2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pAEgIAAP4DAAAOAAAAZHJzL2Uyb0RvYy54bWysU9tu2zAMfR+wfxD0vthOky414hRdugwD&#10;ugvQ7QNkSY6FyaImKbGzry8lu2m2vQ3zgyCa5CF5eLS+HTpNjtJ5BaaixSynRBoOQpl9Rb9/271Z&#10;UeIDM4JpMLKiJ+np7eb1q3VvSzmHFrSQjiCI8WVvK9qGYMss87yVHfMzsNKgswHXsYCm22fCsR7R&#10;O53N8/w668EJ64BL7/Hv/eikm4TfNJKHL03jZSC6othbSKdLZx3PbLNm5d4x2yo+tcH+oYuOKYNF&#10;z1D3LDBycOovqE5xBx6aMOPQZdA0iss0A05T5H9M89gyK9MsSI63Z5r8/4Pln4+P9qsjYXgHAy4w&#10;DeHtA/AfnhjYtszs5Z1z0LeSCSxcRMqy3vpySo1U+9JHkLr/BAKXzA4BEtDQuC6ygnMSRMcFnM6k&#10;yyEQHksurq/yBbo4+uarZVEsUwlWPmdb58MHCR2Jl4o6XGpCZ8cHH2I3rHwOicU8aCV2SutkuH29&#10;1Y4cGQpgl74J/bcwbUhf0ZvlfJmQDcT8pI1OBRSoVl1FV3n8RslENt4bkUICU3q8YyfaTPRERkZu&#10;wlAPRImKXq1icqSrBnFCwhyMgsQHhJcW3C9KehRjRf3PA3OSEv3RIOk3xSIyFJKxWL6do+EuPfWl&#10;hxmOUBUNlIzXbUiKj3wYuMPlNCrx9tLJ1DOKLNE5PYio4ks7Rb08280TAAAA//8DAFBLAwQUAAYA&#10;CAAAACEAaOqzYt8AAAALAQAADwAAAGRycy9kb3ducmV2LnhtbEyPwU7DMAyG70i8Q2QkLoilC6wt&#10;pekESCCuG3uAtPHaisapmmzt3h5zgqPtT7+/v9wubhBnnELvScN6lYBAarztqdVw+Hq/z0GEaMia&#10;wRNquGCAbXV9VZrC+pl2eN7HVnAIhcJo6GIcCylD06EzYeVHJL4d/eRM5HFqpZ3MzOFukCpJUulM&#10;T/yhMyO+ddh8709Ow/Fzvts8zfVHPGS7x/TV9FntL1rf3iwvzyAiLvEPhl99VoeKnWp/IhvEoCFV&#10;acqoBqVyBYKJfJNxu5o32cMaZFXK/x2qHwAAAP//AwBQSwECLQAUAAYACAAAACEAtoM4kv4AAADh&#10;AQAAEwAAAAAAAAAAAAAAAAAAAAAAW0NvbnRlbnRfVHlwZXNdLnhtbFBLAQItABQABgAIAAAAIQA4&#10;/SH/1gAAAJQBAAALAAAAAAAAAAAAAAAAAC8BAABfcmVscy8ucmVsc1BLAQItABQABgAIAAAAIQB7&#10;0YpAEgIAAP4DAAAOAAAAAAAAAAAAAAAAAC4CAABkcnMvZTJvRG9jLnhtbFBLAQItABQABgAIAAAA&#10;IQBo6rNi3wAAAAsBAAAPAAAAAAAAAAAAAAAAAGwEAABkcnMvZG93bnJldi54bWxQSwUGAAAAAAQA&#10;BADzAAAAeAUAAAAA&#10;" stroked="f">
                <v:textbox>
                  <w:txbxContent>
                    <w:p w14:paraId="2E459AA4" w14:textId="77777777" w:rsidR="00596807" w:rsidRPr="00DD7E84" w:rsidRDefault="00596807"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S</w:t>
                      </w:r>
                      <w:r>
                        <w:rPr>
                          <w:rFonts w:asciiTheme="minorHAnsi" w:hAnsiTheme="minorHAnsi" w:cstheme="minorHAnsi"/>
                          <w:szCs w:val="24"/>
                          <w:lang w:val="fr-CH"/>
                        </w:rPr>
                        <w:t>ecrétaire général</w:t>
                      </w:r>
                    </w:p>
                  </w:txbxContent>
                </v:textbox>
              </v:shape>
            </w:pict>
          </mc:Fallback>
        </mc:AlternateContent>
      </w:r>
      <w:r w:rsidR="00DF6159" w:rsidRPr="00236418">
        <w:rPr>
          <w:noProof/>
          <w:lang w:val="en-US"/>
        </w:rPr>
        <w:drawing>
          <wp:inline distT="0" distB="0" distL="0" distR="0" wp14:anchorId="1AC1D691" wp14:editId="195141BC">
            <wp:extent cx="5705475" cy="1991360"/>
            <wp:effectExtent l="0" t="0" r="952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05475" cy="1991360"/>
                    </a:xfrm>
                    <a:prstGeom prst="rect">
                      <a:avLst/>
                    </a:prstGeom>
                    <a:noFill/>
                    <a:ln>
                      <a:noFill/>
                    </a:ln>
                  </pic:spPr>
                </pic:pic>
              </a:graphicData>
            </a:graphic>
          </wp:inline>
        </w:drawing>
      </w:r>
    </w:p>
    <w:p w14:paraId="6FDA442A" w14:textId="78A4346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p>
    <w:p w14:paraId="2375EC81" w14:textId="77777777" w:rsidR="00DF6159" w:rsidRPr="00236418" w:rsidRDefault="00DF6159" w:rsidP="009B3D24">
      <w:pPr>
        <w:rPr>
          <w:rFonts w:eastAsia="SimSun"/>
          <w:lang w:eastAsia="zh-CN"/>
        </w:rPr>
      </w:pPr>
    </w:p>
    <w:p w14:paraId="7DFEE468"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r w:rsidRPr="00236418">
        <w:rPr>
          <w:rFonts w:eastAsia="SimSun" w:cs="Arial"/>
          <w:szCs w:val="24"/>
          <w:lang w:eastAsia="zh-CN"/>
        </w:rPr>
        <w:br w:type="page"/>
      </w:r>
    </w:p>
    <w:p w14:paraId="368D57ED" w14:textId="5FB422CF" w:rsidR="00DF6159" w:rsidRPr="00236418" w:rsidRDefault="00DF6159" w:rsidP="009B3D24">
      <w:pPr>
        <w:pStyle w:val="Heading1"/>
        <w:jc w:val="center"/>
        <w:rPr>
          <w:lang w:eastAsia="zh-CN"/>
        </w:rPr>
      </w:pPr>
      <w:bookmarkStart w:id="507" w:name="_Toc452139408"/>
      <w:bookmarkStart w:id="508" w:name="_Toc452139807"/>
      <w:bookmarkStart w:id="509" w:name="_Toc452140394"/>
      <w:bookmarkStart w:id="510" w:name="_Toc452140674"/>
      <w:bookmarkStart w:id="511" w:name="_Toc482801470"/>
      <w:bookmarkStart w:id="512" w:name="_Toc482888030"/>
      <w:bookmarkStart w:id="513" w:name="_Toc482888720"/>
      <w:bookmarkStart w:id="514" w:name="_Toc511649440"/>
      <w:bookmarkStart w:id="515" w:name="_Toc511649812"/>
      <w:bookmarkStart w:id="516" w:name="_Toc511649921"/>
      <w:bookmarkStart w:id="517" w:name="_Toc511650039"/>
      <w:bookmarkStart w:id="518" w:name="_Toc511650532"/>
      <w:bookmarkStart w:id="519" w:name="_Toc511651177"/>
      <w:bookmarkStart w:id="520" w:name="_Toc511724042"/>
      <w:bookmarkStart w:id="521" w:name="_Toc511739031"/>
      <w:bookmarkStart w:id="522" w:name="_Toc511740811"/>
      <w:bookmarkStart w:id="523" w:name="_Toc511741200"/>
      <w:bookmarkStart w:id="524" w:name="_Toc9605694"/>
      <w:bookmarkStart w:id="525" w:name="_Toc10450706"/>
      <w:bookmarkStart w:id="526" w:name="_Toc41566317"/>
      <w:bookmarkStart w:id="527" w:name="_Toc41566598"/>
      <w:bookmarkStart w:id="528" w:name="_Toc41567338"/>
      <w:bookmarkStart w:id="529" w:name="_Toc41567824"/>
      <w:bookmarkStart w:id="530" w:name="_Toc41814936"/>
      <w:r w:rsidRPr="00236418">
        <w:rPr>
          <w:lang w:eastAsia="zh-CN"/>
        </w:rPr>
        <w:lastRenderedPageBreak/>
        <w:t>ÉTATS FINANCIERS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C4CE8B6" w14:textId="2937FBBD" w:rsidR="00DA2839" w:rsidRPr="00236418" w:rsidRDefault="00DF6159" w:rsidP="00DA2839">
      <w:pPr>
        <w:pStyle w:val="toc0"/>
        <w:jc w:val="both"/>
      </w:pPr>
      <w:r w:rsidRPr="00236418">
        <w:tab/>
        <w:t>Page</w:t>
      </w:r>
      <w:r w:rsidR="00DA2839" w:rsidRPr="00236418">
        <w:fldChar w:fldCharType="begin"/>
      </w:r>
      <w:r w:rsidR="00DA2839" w:rsidRPr="00236418">
        <w:instrText xml:space="preserve"> TOC \o "2-2" \h \z \t "Heading 1;1;Heading 5;2" </w:instrText>
      </w:r>
      <w:r w:rsidR="00DA2839" w:rsidRPr="00236418">
        <w:fldChar w:fldCharType="separate"/>
      </w:r>
    </w:p>
    <w:p w14:paraId="7D883334" w14:textId="313749A8" w:rsidR="00DA2839" w:rsidRPr="00236418" w:rsidRDefault="003D539C" w:rsidP="0019179B">
      <w:pPr>
        <w:pStyle w:val="TOC1"/>
        <w:tabs>
          <w:tab w:val="clear" w:pos="964"/>
          <w:tab w:val="left" w:pos="567"/>
        </w:tabs>
        <w:spacing w:before="120" w:after="120"/>
        <w:ind w:left="567" w:hanging="567"/>
        <w:rPr>
          <w:rFonts w:asciiTheme="minorHAnsi" w:eastAsiaTheme="minorEastAsia" w:hAnsiTheme="minorHAnsi" w:cstheme="minorBidi"/>
          <w:sz w:val="22"/>
          <w:szCs w:val="22"/>
          <w:lang w:eastAsia="en-GB"/>
        </w:rPr>
      </w:pPr>
      <w:hyperlink w:anchor="_Toc41567825" w:history="1">
        <w:r w:rsidR="00DA2839" w:rsidRPr="00236418">
          <w:rPr>
            <w:rStyle w:val="Hyperlink"/>
          </w:rPr>
          <w:t>I</w:t>
        </w:r>
        <w:r w:rsidR="0019727B" w:rsidRPr="00236418">
          <w:rPr>
            <w:rStyle w:val="Hyperlink"/>
          </w:rPr>
          <w:tab/>
        </w:r>
        <w:r w:rsidR="00DA2839" w:rsidRPr="00236418">
          <w:rPr>
            <w:rStyle w:val="Hyperlink"/>
          </w:rPr>
          <w:t>État de la situation financière – Bilan au 31 décembre 2019 avec chiffres comparatifs</w:t>
        </w:r>
        <w:r w:rsidR="00D272A6" w:rsidRPr="00236418">
          <w:rPr>
            <w:rStyle w:val="Hyperlink"/>
          </w:rPr>
          <w:t xml:space="preserve"> </w:t>
        </w:r>
        <w:r w:rsidR="00DA2839" w:rsidRPr="00236418">
          <w:rPr>
            <w:rStyle w:val="Hyperlink"/>
          </w:rPr>
          <w:br/>
          <w:t>au 31 décembre 2018</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_Toc41567825 \h </w:instrText>
        </w:r>
        <w:r w:rsidR="00DA2839" w:rsidRPr="00236418">
          <w:rPr>
            <w:webHidden/>
          </w:rPr>
        </w:r>
        <w:r w:rsidR="00DA2839" w:rsidRPr="00236418">
          <w:rPr>
            <w:webHidden/>
          </w:rPr>
          <w:fldChar w:fldCharType="separate"/>
        </w:r>
        <w:r w:rsidR="00416481" w:rsidRPr="00236418">
          <w:rPr>
            <w:webHidden/>
          </w:rPr>
          <w:t>26</w:t>
        </w:r>
        <w:r w:rsidR="00DA2839" w:rsidRPr="00236418">
          <w:rPr>
            <w:webHidden/>
          </w:rPr>
          <w:fldChar w:fldCharType="end"/>
        </w:r>
      </w:hyperlink>
    </w:p>
    <w:p w14:paraId="6D214EB8" w14:textId="07A5ED68" w:rsidR="00DA2839" w:rsidRPr="00236418" w:rsidRDefault="003D539C" w:rsidP="0019179B">
      <w:pPr>
        <w:pStyle w:val="TOC1"/>
        <w:tabs>
          <w:tab w:val="clear" w:pos="964"/>
          <w:tab w:val="left" w:pos="567"/>
        </w:tabs>
        <w:spacing w:before="60" w:after="60"/>
        <w:ind w:left="567" w:hanging="567"/>
        <w:rPr>
          <w:rFonts w:asciiTheme="minorHAnsi" w:eastAsiaTheme="minorEastAsia" w:hAnsiTheme="minorHAnsi" w:cstheme="minorBidi"/>
          <w:sz w:val="22"/>
          <w:szCs w:val="22"/>
          <w:lang w:eastAsia="en-GB"/>
        </w:rPr>
      </w:pPr>
      <w:hyperlink w:anchor="_Toc41567826" w:history="1">
        <w:r w:rsidR="00DA2839" w:rsidRPr="00236418">
          <w:rPr>
            <w:rStyle w:val="Hyperlink"/>
          </w:rPr>
          <w:t>II</w:t>
        </w:r>
        <w:r w:rsidR="0019727B" w:rsidRPr="00236418">
          <w:rPr>
            <w:rStyle w:val="Hyperlink"/>
          </w:rPr>
          <w:tab/>
        </w:r>
        <w:r w:rsidR="00DA2839" w:rsidRPr="00236418">
          <w:rPr>
            <w:rStyle w:val="Hyperlink"/>
          </w:rPr>
          <w:t xml:space="preserve">État de la performance financière pour l'exercice clos le 31 décembre 2019 avec </w:t>
        </w:r>
        <w:r w:rsidR="00BF0C77" w:rsidRPr="00236418">
          <w:rPr>
            <w:rStyle w:val="Hyperlink"/>
          </w:rPr>
          <w:br/>
        </w:r>
        <w:r w:rsidR="00DA2839" w:rsidRPr="00236418">
          <w:rPr>
            <w:rStyle w:val="Hyperlink"/>
          </w:rPr>
          <w:t>chiffres comparatifs au 31 décembre 2018</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_Toc41567826 \h </w:instrText>
        </w:r>
        <w:r w:rsidR="00DA2839" w:rsidRPr="00236418">
          <w:rPr>
            <w:webHidden/>
          </w:rPr>
        </w:r>
        <w:r w:rsidR="00DA2839" w:rsidRPr="00236418">
          <w:rPr>
            <w:webHidden/>
          </w:rPr>
          <w:fldChar w:fldCharType="separate"/>
        </w:r>
        <w:r w:rsidR="00416481" w:rsidRPr="00236418">
          <w:rPr>
            <w:webHidden/>
          </w:rPr>
          <w:t>27</w:t>
        </w:r>
        <w:r w:rsidR="00DA2839" w:rsidRPr="00236418">
          <w:rPr>
            <w:webHidden/>
          </w:rPr>
          <w:fldChar w:fldCharType="end"/>
        </w:r>
      </w:hyperlink>
    </w:p>
    <w:p w14:paraId="31D5DA5C" w14:textId="79C1432C" w:rsidR="00DA2839" w:rsidRPr="00236418" w:rsidRDefault="003D539C" w:rsidP="0019179B">
      <w:pPr>
        <w:pStyle w:val="TOC1"/>
        <w:tabs>
          <w:tab w:val="clear" w:pos="964"/>
          <w:tab w:val="left" w:pos="567"/>
        </w:tabs>
        <w:spacing w:before="60" w:after="60"/>
        <w:ind w:left="567" w:hanging="567"/>
        <w:rPr>
          <w:rFonts w:asciiTheme="minorHAnsi" w:eastAsiaTheme="minorEastAsia" w:hAnsiTheme="minorHAnsi" w:cstheme="minorBidi"/>
          <w:sz w:val="22"/>
          <w:szCs w:val="22"/>
          <w:lang w:eastAsia="en-GB"/>
        </w:rPr>
      </w:pPr>
      <w:hyperlink w:anchor="_Toc41567827" w:history="1">
        <w:r w:rsidR="00DA2839" w:rsidRPr="00236418">
          <w:rPr>
            <w:rStyle w:val="Hyperlink"/>
          </w:rPr>
          <w:t>III</w:t>
        </w:r>
        <w:r w:rsidR="0019727B" w:rsidRPr="00236418">
          <w:rPr>
            <w:rStyle w:val="Hyperlink"/>
          </w:rPr>
          <w:tab/>
        </w:r>
        <w:r w:rsidR="00DA2839" w:rsidRPr="00236418">
          <w:rPr>
            <w:rStyle w:val="Hyperlink"/>
          </w:rPr>
          <w:t>État des variations de l'actif net pour l'exercice clos</w:t>
        </w:r>
        <w:r w:rsidR="000406A5" w:rsidRPr="00236418">
          <w:rPr>
            <w:rStyle w:val="Hyperlink"/>
          </w:rPr>
          <w:t xml:space="preserve"> </w:t>
        </w:r>
        <w:r w:rsidR="00DA2839" w:rsidRPr="00236418">
          <w:rPr>
            <w:rStyle w:val="Hyperlink"/>
          </w:rPr>
          <w:t>le 31 décembre 2019</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_Toc41567827 \h </w:instrText>
        </w:r>
        <w:r w:rsidR="00DA2839" w:rsidRPr="00236418">
          <w:rPr>
            <w:webHidden/>
          </w:rPr>
        </w:r>
        <w:r w:rsidR="00DA2839" w:rsidRPr="00236418">
          <w:rPr>
            <w:webHidden/>
          </w:rPr>
          <w:fldChar w:fldCharType="separate"/>
        </w:r>
        <w:r w:rsidR="00416481" w:rsidRPr="00236418">
          <w:rPr>
            <w:webHidden/>
          </w:rPr>
          <w:t>28</w:t>
        </w:r>
        <w:r w:rsidR="00DA2839" w:rsidRPr="00236418">
          <w:rPr>
            <w:webHidden/>
          </w:rPr>
          <w:fldChar w:fldCharType="end"/>
        </w:r>
      </w:hyperlink>
    </w:p>
    <w:p w14:paraId="7426DC73" w14:textId="1F2A686C" w:rsidR="00DA2839" w:rsidRPr="00236418" w:rsidRDefault="003D539C" w:rsidP="0019179B">
      <w:pPr>
        <w:pStyle w:val="TOC1"/>
        <w:tabs>
          <w:tab w:val="left" w:pos="567"/>
        </w:tabs>
        <w:spacing w:before="60" w:after="60"/>
        <w:rPr>
          <w:rFonts w:asciiTheme="minorHAnsi" w:eastAsiaTheme="minorEastAsia" w:hAnsiTheme="minorHAnsi" w:cstheme="minorBidi"/>
          <w:sz w:val="22"/>
          <w:szCs w:val="22"/>
          <w:lang w:eastAsia="en-GB"/>
        </w:rPr>
      </w:pPr>
      <w:hyperlink w:anchor="_Toc41567828" w:history="1">
        <w:r w:rsidR="00DA2839" w:rsidRPr="00236418">
          <w:rPr>
            <w:rStyle w:val="Hyperlink"/>
          </w:rPr>
          <w:t>IV</w:t>
        </w:r>
        <w:r w:rsidR="0019727B" w:rsidRPr="00236418">
          <w:rPr>
            <w:rStyle w:val="Hyperlink"/>
          </w:rPr>
          <w:tab/>
        </w:r>
        <w:r w:rsidR="00DA2839" w:rsidRPr="00236418">
          <w:rPr>
            <w:rStyle w:val="Hyperlink"/>
          </w:rPr>
          <w:t>État des flux de trésorerie pour l'exercice clos le 31 décembre 2019</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_Toc41567828 \h </w:instrText>
        </w:r>
        <w:r w:rsidR="00DA2839" w:rsidRPr="00236418">
          <w:rPr>
            <w:webHidden/>
          </w:rPr>
        </w:r>
        <w:r w:rsidR="00DA2839" w:rsidRPr="00236418">
          <w:rPr>
            <w:webHidden/>
          </w:rPr>
          <w:fldChar w:fldCharType="separate"/>
        </w:r>
        <w:r w:rsidR="00416481" w:rsidRPr="00236418">
          <w:rPr>
            <w:webHidden/>
          </w:rPr>
          <w:t>29</w:t>
        </w:r>
        <w:r w:rsidR="00DA2839" w:rsidRPr="00236418">
          <w:rPr>
            <w:webHidden/>
          </w:rPr>
          <w:fldChar w:fldCharType="end"/>
        </w:r>
      </w:hyperlink>
    </w:p>
    <w:p w14:paraId="11E43099" w14:textId="2233C104" w:rsidR="00DA2839" w:rsidRPr="00236418" w:rsidRDefault="003D539C" w:rsidP="0019179B">
      <w:pPr>
        <w:pStyle w:val="TOC1"/>
        <w:tabs>
          <w:tab w:val="left" w:pos="567"/>
        </w:tabs>
        <w:spacing w:before="60" w:after="60"/>
        <w:ind w:left="567" w:hanging="567"/>
        <w:rPr>
          <w:rFonts w:asciiTheme="minorHAnsi" w:eastAsiaTheme="minorEastAsia" w:hAnsiTheme="minorHAnsi" w:cstheme="minorBidi"/>
          <w:sz w:val="22"/>
          <w:szCs w:val="22"/>
          <w:lang w:eastAsia="en-GB"/>
        </w:rPr>
      </w:pPr>
      <w:hyperlink w:anchor="_Toc41567829" w:history="1">
        <w:r w:rsidR="00DA2839" w:rsidRPr="00236418">
          <w:rPr>
            <w:rStyle w:val="Hyperlink"/>
          </w:rPr>
          <w:t>V</w:t>
        </w:r>
        <w:r w:rsidR="0019727B" w:rsidRPr="00236418">
          <w:rPr>
            <w:rStyle w:val="Hyperlink"/>
          </w:rPr>
          <w:tab/>
        </w:r>
        <w:r w:rsidR="00DA2839" w:rsidRPr="00236418">
          <w:rPr>
            <w:rStyle w:val="Hyperlink"/>
          </w:rPr>
          <w:t>État de la comparaison des montants budgétés et des montants</w:t>
        </w:r>
        <w:r w:rsidR="000406A5" w:rsidRPr="00236418">
          <w:rPr>
            <w:rStyle w:val="Hyperlink"/>
          </w:rPr>
          <w:t xml:space="preserve"> </w:t>
        </w:r>
        <w:r w:rsidR="00DA2839" w:rsidRPr="00236418">
          <w:rPr>
            <w:rStyle w:val="Hyperlink"/>
          </w:rPr>
          <w:t xml:space="preserve">effectifs pour </w:t>
        </w:r>
        <w:r w:rsidR="00BF0C77" w:rsidRPr="00236418">
          <w:rPr>
            <w:rStyle w:val="Hyperlink"/>
          </w:rPr>
          <w:br/>
        </w:r>
        <w:r w:rsidR="00DA2839" w:rsidRPr="00236418">
          <w:rPr>
            <w:rStyle w:val="Hyperlink"/>
          </w:rPr>
          <w:t>l'exercice 2019</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_Toc41567829 \h </w:instrText>
        </w:r>
        <w:r w:rsidR="00DA2839" w:rsidRPr="00236418">
          <w:rPr>
            <w:webHidden/>
          </w:rPr>
        </w:r>
        <w:r w:rsidR="00DA2839" w:rsidRPr="00236418">
          <w:rPr>
            <w:webHidden/>
          </w:rPr>
          <w:fldChar w:fldCharType="separate"/>
        </w:r>
        <w:r w:rsidR="00416481" w:rsidRPr="00236418">
          <w:rPr>
            <w:webHidden/>
          </w:rPr>
          <w:t>30</w:t>
        </w:r>
        <w:r w:rsidR="00DA2839" w:rsidRPr="00236418">
          <w:rPr>
            <w:webHidden/>
          </w:rPr>
          <w:fldChar w:fldCharType="end"/>
        </w:r>
      </w:hyperlink>
    </w:p>
    <w:p w14:paraId="7A292B21" w14:textId="7C324A2A"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30" w:history="1">
        <w:r w:rsidR="00DA2839" w:rsidRPr="00236418">
          <w:rPr>
            <w:rStyle w:val="Hyperlink"/>
          </w:rPr>
          <w:t>Notes relatives aux états financiers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_Toc41567830 \h </w:instrText>
        </w:r>
        <w:r w:rsidR="00DA2839" w:rsidRPr="00236418">
          <w:rPr>
            <w:webHidden/>
          </w:rPr>
        </w:r>
        <w:r w:rsidR="00DA2839" w:rsidRPr="00236418">
          <w:rPr>
            <w:webHidden/>
          </w:rPr>
          <w:fldChar w:fldCharType="separate"/>
        </w:r>
        <w:r w:rsidR="00416481" w:rsidRPr="00236418">
          <w:rPr>
            <w:webHidden/>
          </w:rPr>
          <w:t>31</w:t>
        </w:r>
        <w:r w:rsidR="00DA2839" w:rsidRPr="00236418">
          <w:rPr>
            <w:webHidden/>
          </w:rPr>
          <w:fldChar w:fldCharType="end"/>
        </w:r>
      </w:hyperlink>
    </w:p>
    <w:p w14:paraId="1868911E" w14:textId="2A4C6393"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31" w:history="1">
        <w:r w:rsidR="00DA2839" w:rsidRPr="00236418">
          <w:rPr>
            <w:rStyle w:val="Hyperlink"/>
          </w:rPr>
          <w:t>Note 1</w:t>
        </w:r>
        <w:r w:rsidR="00DA2839" w:rsidRPr="00236418">
          <w:rPr>
            <w:rFonts w:asciiTheme="minorHAnsi" w:eastAsiaTheme="minorEastAsia" w:hAnsiTheme="minorHAnsi" w:cstheme="minorBidi"/>
            <w:sz w:val="22"/>
            <w:szCs w:val="22"/>
            <w:lang w:eastAsia="en-GB"/>
          </w:rPr>
          <w:tab/>
        </w:r>
        <w:r w:rsidR="00DA2839" w:rsidRPr="00236418">
          <w:rPr>
            <w:rStyle w:val="Hyperlink"/>
          </w:rPr>
          <w:t>Objectifs de l'Union</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_Toc41567831 \h </w:instrText>
        </w:r>
        <w:r w:rsidR="00DA2839" w:rsidRPr="00236418">
          <w:rPr>
            <w:webHidden/>
          </w:rPr>
        </w:r>
        <w:r w:rsidR="00DA2839" w:rsidRPr="00236418">
          <w:rPr>
            <w:webHidden/>
          </w:rPr>
          <w:fldChar w:fldCharType="separate"/>
        </w:r>
        <w:r w:rsidR="00416481" w:rsidRPr="00236418">
          <w:rPr>
            <w:webHidden/>
          </w:rPr>
          <w:t>31</w:t>
        </w:r>
        <w:r w:rsidR="00DA2839" w:rsidRPr="00236418">
          <w:rPr>
            <w:webHidden/>
          </w:rPr>
          <w:fldChar w:fldCharType="end"/>
        </w:r>
      </w:hyperlink>
    </w:p>
    <w:p w14:paraId="7E93F6C0" w14:textId="1C1EB55D"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32" w:history="1">
        <w:r w:rsidR="00DA2839" w:rsidRPr="00236418">
          <w:rPr>
            <w:rStyle w:val="Hyperlink"/>
          </w:rPr>
          <w:t>Note 2</w:t>
        </w:r>
        <w:r w:rsidR="00DA2839" w:rsidRPr="00236418">
          <w:rPr>
            <w:rFonts w:asciiTheme="minorHAnsi" w:eastAsiaTheme="minorEastAsia" w:hAnsiTheme="minorHAnsi" w:cstheme="minorBidi"/>
            <w:sz w:val="22"/>
            <w:szCs w:val="22"/>
            <w:lang w:eastAsia="en-GB"/>
          </w:rPr>
          <w:tab/>
        </w:r>
        <w:r w:rsidR="00DA2839" w:rsidRPr="00236418">
          <w:rPr>
            <w:rStyle w:val="Hyperlink"/>
          </w:rPr>
          <w:t>Principaux principes comptables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_Toc41567832 \h </w:instrText>
        </w:r>
        <w:r w:rsidR="00DA2839" w:rsidRPr="00236418">
          <w:rPr>
            <w:webHidden/>
          </w:rPr>
        </w:r>
        <w:r w:rsidR="00DA2839" w:rsidRPr="00236418">
          <w:rPr>
            <w:webHidden/>
          </w:rPr>
          <w:fldChar w:fldCharType="separate"/>
        </w:r>
        <w:r w:rsidR="00416481" w:rsidRPr="00236418">
          <w:rPr>
            <w:webHidden/>
          </w:rPr>
          <w:t>33</w:t>
        </w:r>
        <w:r w:rsidR="00DA2839" w:rsidRPr="00236418">
          <w:rPr>
            <w:webHidden/>
          </w:rPr>
          <w:fldChar w:fldCharType="end"/>
        </w:r>
      </w:hyperlink>
    </w:p>
    <w:p w14:paraId="0D6E0F33" w14:textId="327112FD"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33" w:history="1">
        <w:r w:rsidR="00DA2839" w:rsidRPr="00236418">
          <w:rPr>
            <w:rStyle w:val="Hyperlink"/>
          </w:rPr>
          <w:t>Monnaies étrangères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_Toc41567833 \h </w:instrText>
        </w:r>
        <w:r w:rsidR="00DA2839" w:rsidRPr="00236418">
          <w:rPr>
            <w:webHidden/>
          </w:rPr>
        </w:r>
        <w:r w:rsidR="00DA2839" w:rsidRPr="00236418">
          <w:rPr>
            <w:webHidden/>
          </w:rPr>
          <w:fldChar w:fldCharType="separate"/>
        </w:r>
        <w:r w:rsidR="00416481" w:rsidRPr="00236418">
          <w:rPr>
            <w:webHidden/>
          </w:rPr>
          <w:t>33</w:t>
        </w:r>
        <w:r w:rsidR="00DA2839" w:rsidRPr="00236418">
          <w:rPr>
            <w:webHidden/>
          </w:rPr>
          <w:fldChar w:fldCharType="end"/>
        </w:r>
      </w:hyperlink>
    </w:p>
    <w:p w14:paraId="5249DD49" w14:textId="05815440"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34" w:history="1">
        <w:r w:rsidR="00DA2839" w:rsidRPr="00236418">
          <w:rPr>
            <w:rStyle w:val="Hyperlink"/>
          </w:rPr>
          <w:t>Instruments financiers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_Toc41567834 \h </w:instrText>
        </w:r>
        <w:r w:rsidR="00DA2839" w:rsidRPr="00236418">
          <w:rPr>
            <w:webHidden/>
          </w:rPr>
        </w:r>
        <w:r w:rsidR="00DA2839" w:rsidRPr="00236418">
          <w:rPr>
            <w:webHidden/>
          </w:rPr>
          <w:fldChar w:fldCharType="separate"/>
        </w:r>
        <w:r w:rsidR="00416481" w:rsidRPr="00236418">
          <w:rPr>
            <w:webHidden/>
          </w:rPr>
          <w:t>33</w:t>
        </w:r>
        <w:r w:rsidR="00DA2839" w:rsidRPr="00236418">
          <w:rPr>
            <w:webHidden/>
          </w:rPr>
          <w:fldChar w:fldCharType="end"/>
        </w:r>
      </w:hyperlink>
    </w:p>
    <w:p w14:paraId="76BB177A" w14:textId="3953F82F"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35" w:history="1">
        <w:r w:rsidR="00DA2839" w:rsidRPr="00236418">
          <w:rPr>
            <w:rStyle w:val="Hyperlink"/>
          </w:rPr>
          <w:t>Évaluation de la provision pour dépréciation des créances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_Toc41567835 \h </w:instrText>
        </w:r>
        <w:r w:rsidR="00DA2839" w:rsidRPr="00236418">
          <w:rPr>
            <w:webHidden/>
          </w:rPr>
        </w:r>
        <w:r w:rsidR="00DA2839" w:rsidRPr="00236418">
          <w:rPr>
            <w:webHidden/>
          </w:rPr>
          <w:fldChar w:fldCharType="separate"/>
        </w:r>
        <w:r w:rsidR="00416481" w:rsidRPr="00236418">
          <w:rPr>
            <w:webHidden/>
          </w:rPr>
          <w:t>35</w:t>
        </w:r>
        <w:r w:rsidR="00DA2839" w:rsidRPr="00236418">
          <w:rPr>
            <w:webHidden/>
          </w:rPr>
          <w:fldChar w:fldCharType="end"/>
        </w:r>
      </w:hyperlink>
    </w:p>
    <w:p w14:paraId="02809AFC" w14:textId="6EA08AAB"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36" w:history="1">
        <w:r w:rsidR="00DA2839" w:rsidRPr="00236418">
          <w:rPr>
            <w:rStyle w:val="Hyperlink"/>
          </w:rPr>
          <w:t>Utilisation et dissolution d'une provision pour dépréciation d'actifs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_Toc41567836 \h </w:instrText>
        </w:r>
        <w:r w:rsidR="00DA2839" w:rsidRPr="00236418">
          <w:rPr>
            <w:webHidden/>
          </w:rPr>
        </w:r>
        <w:r w:rsidR="00DA2839" w:rsidRPr="00236418">
          <w:rPr>
            <w:webHidden/>
          </w:rPr>
          <w:fldChar w:fldCharType="separate"/>
        </w:r>
        <w:r w:rsidR="00416481" w:rsidRPr="00236418">
          <w:rPr>
            <w:webHidden/>
          </w:rPr>
          <w:t>36</w:t>
        </w:r>
        <w:r w:rsidR="00DA2839" w:rsidRPr="00236418">
          <w:rPr>
            <w:webHidden/>
          </w:rPr>
          <w:fldChar w:fldCharType="end"/>
        </w:r>
      </w:hyperlink>
    </w:p>
    <w:p w14:paraId="1AC66C2C" w14:textId="09D8B276"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37" w:history="1">
        <w:r w:rsidR="00DA2839" w:rsidRPr="00236418">
          <w:rPr>
            <w:rStyle w:val="Hyperlink"/>
          </w:rPr>
          <w:t>Stocks</w:t>
        </w:r>
        <w:r w:rsidR="00DA2839" w:rsidRPr="00236418">
          <w:rPr>
            <w:webHidden/>
          </w:rPr>
          <w:tab/>
        </w:r>
        <w:r w:rsidR="00681263" w:rsidRPr="00236418">
          <w:rPr>
            <w:webHidden/>
          </w:rPr>
          <w:tab/>
        </w:r>
        <w:r w:rsidR="00681263" w:rsidRPr="00236418">
          <w:rPr>
            <w:webHidden/>
          </w:rPr>
          <w:tab/>
        </w:r>
        <w:r w:rsidR="00DA2839" w:rsidRPr="00236418">
          <w:rPr>
            <w:webHidden/>
          </w:rPr>
          <w:fldChar w:fldCharType="begin"/>
        </w:r>
        <w:r w:rsidR="00DA2839" w:rsidRPr="00236418">
          <w:rPr>
            <w:webHidden/>
          </w:rPr>
          <w:instrText xml:space="preserve"> PAGEREF _Toc41567837 \h </w:instrText>
        </w:r>
        <w:r w:rsidR="00DA2839" w:rsidRPr="00236418">
          <w:rPr>
            <w:webHidden/>
          </w:rPr>
        </w:r>
        <w:r w:rsidR="00DA2839" w:rsidRPr="00236418">
          <w:rPr>
            <w:webHidden/>
          </w:rPr>
          <w:fldChar w:fldCharType="separate"/>
        </w:r>
        <w:r w:rsidR="00416481" w:rsidRPr="00236418">
          <w:rPr>
            <w:webHidden/>
          </w:rPr>
          <w:t>36</w:t>
        </w:r>
        <w:r w:rsidR="00DA2839" w:rsidRPr="00236418">
          <w:rPr>
            <w:webHidden/>
          </w:rPr>
          <w:fldChar w:fldCharType="end"/>
        </w:r>
      </w:hyperlink>
    </w:p>
    <w:p w14:paraId="4930976C" w14:textId="7B040BBC"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38" w:history="1">
        <w:r w:rsidR="00DA2839" w:rsidRPr="00236418">
          <w:rPr>
            <w:rStyle w:val="Hyperlink"/>
          </w:rPr>
          <w:t>Immobilisations corporelles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_Toc41567838 \h </w:instrText>
        </w:r>
        <w:r w:rsidR="00DA2839" w:rsidRPr="00236418">
          <w:rPr>
            <w:webHidden/>
          </w:rPr>
        </w:r>
        <w:r w:rsidR="00DA2839" w:rsidRPr="00236418">
          <w:rPr>
            <w:webHidden/>
          </w:rPr>
          <w:fldChar w:fldCharType="separate"/>
        </w:r>
        <w:r w:rsidR="00416481" w:rsidRPr="00236418">
          <w:rPr>
            <w:webHidden/>
          </w:rPr>
          <w:t>37</w:t>
        </w:r>
        <w:r w:rsidR="00DA2839" w:rsidRPr="00236418">
          <w:rPr>
            <w:webHidden/>
          </w:rPr>
          <w:fldChar w:fldCharType="end"/>
        </w:r>
      </w:hyperlink>
    </w:p>
    <w:p w14:paraId="682DE6FE" w14:textId="5B2B1337"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39" w:history="1">
        <w:r w:rsidR="00DA2839" w:rsidRPr="00236418">
          <w:rPr>
            <w:rStyle w:val="Hyperlink"/>
          </w:rPr>
          <w:t>Immobilisations acquises en contrats de location</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_Toc41567839 \h </w:instrText>
        </w:r>
        <w:r w:rsidR="00DA2839" w:rsidRPr="00236418">
          <w:rPr>
            <w:webHidden/>
          </w:rPr>
        </w:r>
        <w:r w:rsidR="00DA2839" w:rsidRPr="00236418">
          <w:rPr>
            <w:webHidden/>
          </w:rPr>
          <w:fldChar w:fldCharType="separate"/>
        </w:r>
        <w:r w:rsidR="00416481" w:rsidRPr="00236418">
          <w:rPr>
            <w:webHidden/>
          </w:rPr>
          <w:t>38</w:t>
        </w:r>
        <w:r w:rsidR="00DA2839" w:rsidRPr="00236418">
          <w:rPr>
            <w:webHidden/>
          </w:rPr>
          <w:fldChar w:fldCharType="end"/>
        </w:r>
      </w:hyperlink>
    </w:p>
    <w:p w14:paraId="44039988" w14:textId="25C485AC"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0" w:history="1">
        <w:r w:rsidR="00DA2839" w:rsidRPr="00236418">
          <w:rPr>
            <w:rStyle w:val="Hyperlink"/>
          </w:rPr>
          <w:t>Immobilisations incorporelles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_Toc41567840 \h </w:instrText>
        </w:r>
        <w:r w:rsidR="00DA2839" w:rsidRPr="00236418">
          <w:rPr>
            <w:webHidden/>
          </w:rPr>
        </w:r>
        <w:r w:rsidR="00DA2839" w:rsidRPr="00236418">
          <w:rPr>
            <w:webHidden/>
          </w:rPr>
          <w:fldChar w:fldCharType="separate"/>
        </w:r>
        <w:r w:rsidR="00416481" w:rsidRPr="00236418">
          <w:rPr>
            <w:webHidden/>
          </w:rPr>
          <w:t>39</w:t>
        </w:r>
        <w:r w:rsidR="00DA2839" w:rsidRPr="00236418">
          <w:rPr>
            <w:webHidden/>
          </w:rPr>
          <w:fldChar w:fldCharType="end"/>
        </w:r>
      </w:hyperlink>
    </w:p>
    <w:p w14:paraId="5925C887" w14:textId="2B92B802"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1" w:history="1">
        <w:r w:rsidR="00DA2839" w:rsidRPr="00236418">
          <w:rPr>
            <w:rStyle w:val="Hyperlink"/>
          </w:rPr>
          <w:t>Provisions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_Toc41567841 \h </w:instrText>
        </w:r>
        <w:r w:rsidR="00DA2839" w:rsidRPr="00236418">
          <w:rPr>
            <w:webHidden/>
          </w:rPr>
        </w:r>
        <w:r w:rsidR="00DA2839" w:rsidRPr="00236418">
          <w:rPr>
            <w:webHidden/>
          </w:rPr>
          <w:fldChar w:fldCharType="separate"/>
        </w:r>
        <w:r w:rsidR="00416481" w:rsidRPr="00236418">
          <w:rPr>
            <w:webHidden/>
          </w:rPr>
          <w:t>40</w:t>
        </w:r>
        <w:r w:rsidR="00DA2839" w:rsidRPr="00236418">
          <w:rPr>
            <w:webHidden/>
          </w:rPr>
          <w:fldChar w:fldCharType="end"/>
        </w:r>
      </w:hyperlink>
    </w:p>
    <w:p w14:paraId="198ABFE2" w14:textId="30646BB2"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2" w:history="1">
        <w:r w:rsidR="00DA2839" w:rsidRPr="00236418">
          <w:rPr>
            <w:rStyle w:val="Hyperlink"/>
          </w:rPr>
          <w:t>Actifs et passifs éventuels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_Toc41567842 \h </w:instrText>
        </w:r>
        <w:r w:rsidR="00DA2839" w:rsidRPr="00236418">
          <w:rPr>
            <w:webHidden/>
          </w:rPr>
        </w:r>
        <w:r w:rsidR="00DA2839" w:rsidRPr="00236418">
          <w:rPr>
            <w:webHidden/>
          </w:rPr>
          <w:fldChar w:fldCharType="separate"/>
        </w:r>
        <w:r w:rsidR="00416481" w:rsidRPr="00236418">
          <w:rPr>
            <w:webHidden/>
          </w:rPr>
          <w:t>40</w:t>
        </w:r>
        <w:r w:rsidR="00DA2839" w:rsidRPr="00236418">
          <w:rPr>
            <w:webHidden/>
          </w:rPr>
          <w:fldChar w:fldCharType="end"/>
        </w:r>
      </w:hyperlink>
    </w:p>
    <w:p w14:paraId="7AEFF699" w14:textId="4D7614B1"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3" w:history="1">
        <w:r w:rsidR="00DA2839" w:rsidRPr="00236418">
          <w:rPr>
            <w:rStyle w:val="Hyperlink"/>
          </w:rPr>
          <w:t>Prestations dues aux employés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_Toc41567843 \h </w:instrText>
        </w:r>
        <w:r w:rsidR="00DA2839" w:rsidRPr="00236418">
          <w:rPr>
            <w:webHidden/>
          </w:rPr>
        </w:r>
        <w:r w:rsidR="00DA2839" w:rsidRPr="00236418">
          <w:rPr>
            <w:webHidden/>
          </w:rPr>
          <w:fldChar w:fldCharType="separate"/>
        </w:r>
        <w:r w:rsidR="00416481" w:rsidRPr="00236418">
          <w:rPr>
            <w:webHidden/>
          </w:rPr>
          <w:t>40</w:t>
        </w:r>
        <w:r w:rsidR="00DA2839" w:rsidRPr="00236418">
          <w:rPr>
            <w:webHidden/>
          </w:rPr>
          <w:fldChar w:fldCharType="end"/>
        </w:r>
      </w:hyperlink>
    </w:p>
    <w:p w14:paraId="62D43FF2" w14:textId="38F1E395"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4" w:history="1">
        <w:r w:rsidR="00DA2839" w:rsidRPr="00236418">
          <w:rPr>
            <w:rStyle w:val="Hyperlink"/>
          </w:rPr>
          <w:t>Comptabilisation des fonds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_Toc41567844 \h </w:instrText>
        </w:r>
        <w:r w:rsidR="00DA2839" w:rsidRPr="00236418">
          <w:rPr>
            <w:webHidden/>
          </w:rPr>
        </w:r>
        <w:r w:rsidR="00DA2839" w:rsidRPr="00236418">
          <w:rPr>
            <w:webHidden/>
          </w:rPr>
          <w:fldChar w:fldCharType="separate"/>
        </w:r>
        <w:r w:rsidR="00416481" w:rsidRPr="00236418">
          <w:rPr>
            <w:webHidden/>
          </w:rPr>
          <w:t>41</w:t>
        </w:r>
        <w:r w:rsidR="00DA2839" w:rsidRPr="00236418">
          <w:rPr>
            <w:webHidden/>
          </w:rPr>
          <w:fldChar w:fldCharType="end"/>
        </w:r>
      </w:hyperlink>
    </w:p>
    <w:p w14:paraId="03A60434" w14:textId="54F0695F"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5" w:history="1">
        <w:r w:rsidR="00DA2839" w:rsidRPr="00236418">
          <w:rPr>
            <w:rStyle w:val="Hyperlink"/>
          </w:rPr>
          <w:t>Fonds de réserve</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_Toc41567845 \h </w:instrText>
        </w:r>
        <w:r w:rsidR="00DA2839" w:rsidRPr="00236418">
          <w:rPr>
            <w:webHidden/>
          </w:rPr>
        </w:r>
        <w:r w:rsidR="00DA2839" w:rsidRPr="00236418">
          <w:rPr>
            <w:webHidden/>
          </w:rPr>
          <w:fldChar w:fldCharType="separate"/>
        </w:r>
        <w:r w:rsidR="00416481" w:rsidRPr="00236418">
          <w:rPr>
            <w:webHidden/>
          </w:rPr>
          <w:t>42</w:t>
        </w:r>
        <w:r w:rsidR="00DA2839" w:rsidRPr="00236418">
          <w:rPr>
            <w:webHidden/>
          </w:rPr>
          <w:fldChar w:fldCharType="end"/>
        </w:r>
      </w:hyperlink>
    </w:p>
    <w:p w14:paraId="12FBF7D7" w14:textId="7FF82C4B"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6" w:history="1">
        <w:r w:rsidR="00DA2839" w:rsidRPr="00236418">
          <w:rPr>
            <w:rStyle w:val="Hyperlink"/>
          </w:rPr>
          <w:t>Autres fonds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_Toc41567846 \h </w:instrText>
        </w:r>
        <w:r w:rsidR="00DA2839" w:rsidRPr="00236418">
          <w:rPr>
            <w:webHidden/>
          </w:rPr>
        </w:r>
        <w:r w:rsidR="00DA2839" w:rsidRPr="00236418">
          <w:rPr>
            <w:webHidden/>
          </w:rPr>
          <w:fldChar w:fldCharType="separate"/>
        </w:r>
        <w:r w:rsidR="00416481" w:rsidRPr="00236418">
          <w:rPr>
            <w:webHidden/>
          </w:rPr>
          <w:t>43</w:t>
        </w:r>
        <w:r w:rsidR="00DA2839" w:rsidRPr="00236418">
          <w:rPr>
            <w:webHidden/>
          </w:rPr>
          <w:fldChar w:fldCharType="end"/>
        </w:r>
      </w:hyperlink>
    </w:p>
    <w:p w14:paraId="675FA861" w14:textId="11370F34"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7" w:history="1">
        <w:r w:rsidR="00DA2839" w:rsidRPr="00236418">
          <w:rPr>
            <w:rStyle w:val="Hyperlink"/>
          </w:rPr>
          <w:t>Fonds pour le nouveau bâtiment</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_Toc41567847 \h </w:instrText>
        </w:r>
        <w:r w:rsidR="00DA2839" w:rsidRPr="00236418">
          <w:rPr>
            <w:webHidden/>
          </w:rPr>
        </w:r>
        <w:r w:rsidR="00DA2839" w:rsidRPr="00236418">
          <w:rPr>
            <w:webHidden/>
          </w:rPr>
          <w:fldChar w:fldCharType="separate"/>
        </w:r>
        <w:r w:rsidR="00416481" w:rsidRPr="00236418">
          <w:rPr>
            <w:webHidden/>
          </w:rPr>
          <w:t>43</w:t>
        </w:r>
        <w:r w:rsidR="00DA2839" w:rsidRPr="00236418">
          <w:rPr>
            <w:webHidden/>
          </w:rPr>
          <w:fldChar w:fldCharType="end"/>
        </w:r>
      </w:hyperlink>
    </w:p>
    <w:p w14:paraId="5BCB70B2" w14:textId="55D3C8BC"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8" w:history="1">
        <w:r w:rsidR="00DA2839" w:rsidRPr="00236418">
          <w:rPr>
            <w:rStyle w:val="Hyperlink"/>
          </w:rPr>
          <w:t>Fonds destinés aux activités extrabudgétaires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_Toc41567848 \h </w:instrText>
        </w:r>
        <w:r w:rsidR="00DA2839" w:rsidRPr="00236418">
          <w:rPr>
            <w:webHidden/>
          </w:rPr>
        </w:r>
        <w:r w:rsidR="00DA2839" w:rsidRPr="00236418">
          <w:rPr>
            <w:webHidden/>
          </w:rPr>
          <w:fldChar w:fldCharType="separate"/>
        </w:r>
        <w:r w:rsidR="00416481" w:rsidRPr="00236418">
          <w:rPr>
            <w:webHidden/>
          </w:rPr>
          <w:t>44</w:t>
        </w:r>
        <w:r w:rsidR="00DA2839" w:rsidRPr="00236418">
          <w:rPr>
            <w:webHidden/>
          </w:rPr>
          <w:fldChar w:fldCharType="end"/>
        </w:r>
      </w:hyperlink>
    </w:p>
    <w:p w14:paraId="26AF463D" w14:textId="08DB2337"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49" w:history="1">
        <w:r w:rsidR="00DA2839" w:rsidRPr="00236418">
          <w:rPr>
            <w:rStyle w:val="Hyperlink"/>
          </w:rPr>
          <w:t>Comptabilisation des produits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_Toc41567849 \h </w:instrText>
        </w:r>
        <w:r w:rsidR="00DA2839" w:rsidRPr="00236418">
          <w:rPr>
            <w:webHidden/>
          </w:rPr>
        </w:r>
        <w:r w:rsidR="00DA2839" w:rsidRPr="00236418">
          <w:rPr>
            <w:webHidden/>
          </w:rPr>
          <w:fldChar w:fldCharType="separate"/>
        </w:r>
        <w:r w:rsidR="00416481" w:rsidRPr="00236418">
          <w:rPr>
            <w:webHidden/>
          </w:rPr>
          <w:t>45</w:t>
        </w:r>
        <w:r w:rsidR="00DA2839" w:rsidRPr="00236418">
          <w:rPr>
            <w:webHidden/>
          </w:rPr>
          <w:fldChar w:fldCharType="end"/>
        </w:r>
      </w:hyperlink>
    </w:p>
    <w:p w14:paraId="2D266961" w14:textId="6612316F"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50" w:history="1">
        <w:r w:rsidR="00DA2839" w:rsidRPr="00236418">
          <w:rPr>
            <w:rStyle w:val="Hyperlink"/>
          </w:rPr>
          <w:t>Présentation de l'information sectorielle</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_Toc41567850 \h </w:instrText>
        </w:r>
        <w:r w:rsidR="00DA2839" w:rsidRPr="00236418">
          <w:rPr>
            <w:webHidden/>
          </w:rPr>
        </w:r>
        <w:r w:rsidR="00DA2839" w:rsidRPr="00236418">
          <w:rPr>
            <w:webHidden/>
          </w:rPr>
          <w:fldChar w:fldCharType="separate"/>
        </w:r>
        <w:r w:rsidR="00416481" w:rsidRPr="00236418">
          <w:rPr>
            <w:webHidden/>
          </w:rPr>
          <w:t>46</w:t>
        </w:r>
        <w:r w:rsidR="00DA2839" w:rsidRPr="00236418">
          <w:rPr>
            <w:webHidden/>
          </w:rPr>
          <w:fldChar w:fldCharType="end"/>
        </w:r>
      </w:hyperlink>
    </w:p>
    <w:p w14:paraId="35A57233" w14:textId="7A77F5F5"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51" w:history="1">
        <w:r w:rsidR="00DA2839" w:rsidRPr="00236418">
          <w:rPr>
            <w:rStyle w:val="Hyperlink"/>
          </w:rPr>
          <w:t>Comparaison budgétaire</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_Toc41567851 \h </w:instrText>
        </w:r>
        <w:r w:rsidR="00DA2839" w:rsidRPr="00236418">
          <w:rPr>
            <w:webHidden/>
          </w:rPr>
        </w:r>
        <w:r w:rsidR="00DA2839" w:rsidRPr="00236418">
          <w:rPr>
            <w:webHidden/>
          </w:rPr>
          <w:fldChar w:fldCharType="separate"/>
        </w:r>
        <w:r w:rsidR="00416481" w:rsidRPr="00236418">
          <w:rPr>
            <w:webHidden/>
          </w:rPr>
          <w:t>47</w:t>
        </w:r>
        <w:r w:rsidR="00DA2839" w:rsidRPr="00236418">
          <w:rPr>
            <w:webHidden/>
          </w:rPr>
          <w:fldChar w:fldCharType="end"/>
        </w:r>
      </w:hyperlink>
    </w:p>
    <w:p w14:paraId="271ADEB4" w14:textId="5D4AFE6F"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2" w:history="1">
        <w:r w:rsidR="00DA2839" w:rsidRPr="00236418">
          <w:rPr>
            <w:rStyle w:val="Hyperlink"/>
          </w:rPr>
          <w:t>Note 3</w:t>
        </w:r>
        <w:r w:rsidR="00DA2839" w:rsidRPr="00236418">
          <w:rPr>
            <w:rFonts w:asciiTheme="minorHAnsi" w:eastAsiaTheme="minorEastAsia" w:hAnsiTheme="minorHAnsi" w:cstheme="minorBidi"/>
            <w:sz w:val="22"/>
            <w:szCs w:val="22"/>
            <w:lang w:eastAsia="en-GB"/>
          </w:rPr>
          <w:tab/>
        </w:r>
        <w:r w:rsidR="00DA2839" w:rsidRPr="00236418">
          <w:rPr>
            <w:rStyle w:val="Hyperlink"/>
          </w:rPr>
          <w:t>Gestion de l'actif net</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_Toc41567852 \h </w:instrText>
        </w:r>
        <w:r w:rsidR="00DA2839" w:rsidRPr="00236418">
          <w:rPr>
            <w:webHidden/>
          </w:rPr>
        </w:r>
        <w:r w:rsidR="00DA2839" w:rsidRPr="00236418">
          <w:rPr>
            <w:webHidden/>
          </w:rPr>
          <w:fldChar w:fldCharType="separate"/>
        </w:r>
        <w:r w:rsidR="00416481" w:rsidRPr="00236418">
          <w:rPr>
            <w:webHidden/>
          </w:rPr>
          <w:t>47</w:t>
        </w:r>
        <w:r w:rsidR="00DA2839" w:rsidRPr="00236418">
          <w:rPr>
            <w:webHidden/>
          </w:rPr>
          <w:fldChar w:fldCharType="end"/>
        </w:r>
      </w:hyperlink>
    </w:p>
    <w:p w14:paraId="4CDE6081" w14:textId="7810CEF7"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3" w:history="1">
        <w:r w:rsidR="00DA2839" w:rsidRPr="00236418">
          <w:rPr>
            <w:rStyle w:val="Hyperlink"/>
          </w:rPr>
          <w:t>Note 4</w:t>
        </w:r>
        <w:r w:rsidR="00DA2839" w:rsidRPr="00236418">
          <w:rPr>
            <w:rFonts w:asciiTheme="minorHAnsi" w:eastAsiaTheme="minorEastAsia" w:hAnsiTheme="minorHAnsi" w:cstheme="minorBidi"/>
            <w:sz w:val="22"/>
            <w:szCs w:val="22"/>
            <w:lang w:eastAsia="en-GB"/>
          </w:rPr>
          <w:tab/>
        </w:r>
        <w:r w:rsidR="00DA2839" w:rsidRPr="00236418">
          <w:rPr>
            <w:rStyle w:val="Hyperlink"/>
          </w:rPr>
          <w:t>Gestion des risques financiers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_Toc41567853 \h </w:instrText>
        </w:r>
        <w:r w:rsidR="00DA2839" w:rsidRPr="00236418">
          <w:rPr>
            <w:webHidden/>
          </w:rPr>
        </w:r>
        <w:r w:rsidR="00DA2839" w:rsidRPr="00236418">
          <w:rPr>
            <w:webHidden/>
          </w:rPr>
          <w:fldChar w:fldCharType="separate"/>
        </w:r>
        <w:r w:rsidR="00416481" w:rsidRPr="00236418">
          <w:rPr>
            <w:webHidden/>
          </w:rPr>
          <w:t>47</w:t>
        </w:r>
        <w:r w:rsidR="00DA2839" w:rsidRPr="00236418">
          <w:rPr>
            <w:webHidden/>
          </w:rPr>
          <w:fldChar w:fldCharType="end"/>
        </w:r>
      </w:hyperlink>
    </w:p>
    <w:p w14:paraId="0A2908C9" w14:textId="46E7A53A"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4" w:history="1">
        <w:r w:rsidR="00DA2839" w:rsidRPr="00236418">
          <w:rPr>
            <w:rStyle w:val="Hyperlink"/>
          </w:rPr>
          <w:t>Note 5</w:t>
        </w:r>
        <w:r w:rsidR="00DA2839" w:rsidRPr="00236418">
          <w:rPr>
            <w:rFonts w:asciiTheme="minorHAnsi" w:eastAsiaTheme="minorEastAsia" w:hAnsiTheme="minorHAnsi" w:cstheme="minorBidi"/>
            <w:sz w:val="22"/>
            <w:szCs w:val="22"/>
            <w:lang w:eastAsia="en-GB"/>
          </w:rPr>
          <w:tab/>
        </w:r>
        <w:r w:rsidR="00DA2839" w:rsidRPr="00236418">
          <w:rPr>
            <w:rStyle w:val="Hyperlink"/>
          </w:rPr>
          <w:t>Jugement et estimations comptables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_Toc41567854 \h </w:instrText>
        </w:r>
        <w:r w:rsidR="00DA2839" w:rsidRPr="00236418">
          <w:rPr>
            <w:webHidden/>
          </w:rPr>
        </w:r>
        <w:r w:rsidR="00DA2839" w:rsidRPr="00236418">
          <w:rPr>
            <w:webHidden/>
          </w:rPr>
          <w:fldChar w:fldCharType="separate"/>
        </w:r>
        <w:r w:rsidR="00416481" w:rsidRPr="00236418">
          <w:rPr>
            <w:webHidden/>
          </w:rPr>
          <w:t>50</w:t>
        </w:r>
        <w:r w:rsidR="00DA2839" w:rsidRPr="00236418">
          <w:rPr>
            <w:webHidden/>
          </w:rPr>
          <w:fldChar w:fldCharType="end"/>
        </w:r>
      </w:hyperlink>
    </w:p>
    <w:p w14:paraId="6342CB47" w14:textId="6E1123C2"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5" w:history="1">
        <w:r w:rsidR="00DA2839" w:rsidRPr="00236418">
          <w:rPr>
            <w:rStyle w:val="Hyperlink"/>
          </w:rPr>
          <w:t>Note 6</w:t>
        </w:r>
        <w:r w:rsidR="00DA2839" w:rsidRPr="00236418">
          <w:rPr>
            <w:rFonts w:asciiTheme="minorHAnsi" w:eastAsiaTheme="minorEastAsia" w:hAnsiTheme="minorHAnsi" w:cstheme="minorBidi"/>
            <w:sz w:val="22"/>
            <w:szCs w:val="22"/>
            <w:lang w:eastAsia="en-GB"/>
          </w:rPr>
          <w:tab/>
        </w:r>
        <w:r w:rsidR="00DA2839" w:rsidRPr="00236418">
          <w:rPr>
            <w:rStyle w:val="Hyperlink"/>
          </w:rPr>
          <w:t>Trésorerie et équivalents de trésorerie</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_Toc41567855 \h </w:instrText>
        </w:r>
        <w:r w:rsidR="00DA2839" w:rsidRPr="00236418">
          <w:rPr>
            <w:webHidden/>
          </w:rPr>
        </w:r>
        <w:r w:rsidR="00DA2839" w:rsidRPr="00236418">
          <w:rPr>
            <w:webHidden/>
          </w:rPr>
          <w:fldChar w:fldCharType="separate"/>
        </w:r>
        <w:r w:rsidR="00416481" w:rsidRPr="00236418">
          <w:rPr>
            <w:webHidden/>
          </w:rPr>
          <w:t>51</w:t>
        </w:r>
        <w:r w:rsidR="00DA2839" w:rsidRPr="00236418">
          <w:rPr>
            <w:webHidden/>
          </w:rPr>
          <w:fldChar w:fldCharType="end"/>
        </w:r>
      </w:hyperlink>
    </w:p>
    <w:p w14:paraId="147D4ED8" w14:textId="635378D4"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6" w:history="1">
        <w:r w:rsidR="00DA2839" w:rsidRPr="00236418">
          <w:rPr>
            <w:rStyle w:val="Hyperlink"/>
          </w:rPr>
          <w:t>Note 7</w:t>
        </w:r>
        <w:r w:rsidR="00DA2839" w:rsidRPr="00236418">
          <w:rPr>
            <w:rFonts w:asciiTheme="minorHAnsi" w:eastAsiaTheme="minorEastAsia" w:hAnsiTheme="minorHAnsi" w:cstheme="minorBidi"/>
            <w:sz w:val="22"/>
            <w:szCs w:val="22"/>
            <w:lang w:eastAsia="en-GB"/>
          </w:rPr>
          <w:tab/>
        </w:r>
        <w:r w:rsidR="00DA2839" w:rsidRPr="00236418">
          <w:rPr>
            <w:rStyle w:val="Hyperlink"/>
          </w:rPr>
          <w:t>Placements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_Toc41567856 \h </w:instrText>
        </w:r>
        <w:r w:rsidR="00DA2839" w:rsidRPr="00236418">
          <w:rPr>
            <w:webHidden/>
          </w:rPr>
        </w:r>
        <w:r w:rsidR="00DA2839" w:rsidRPr="00236418">
          <w:rPr>
            <w:webHidden/>
          </w:rPr>
          <w:fldChar w:fldCharType="separate"/>
        </w:r>
        <w:r w:rsidR="00416481" w:rsidRPr="00236418">
          <w:rPr>
            <w:webHidden/>
          </w:rPr>
          <w:t>52</w:t>
        </w:r>
        <w:r w:rsidR="00DA2839" w:rsidRPr="00236418">
          <w:rPr>
            <w:webHidden/>
          </w:rPr>
          <w:fldChar w:fldCharType="end"/>
        </w:r>
      </w:hyperlink>
    </w:p>
    <w:p w14:paraId="26466519" w14:textId="3DDE6265"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7" w:history="1">
        <w:r w:rsidR="00DA2839" w:rsidRPr="00236418">
          <w:rPr>
            <w:rStyle w:val="Hyperlink"/>
          </w:rPr>
          <w:t>Note 8</w:t>
        </w:r>
        <w:r w:rsidR="00DA2839" w:rsidRPr="00236418">
          <w:rPr>
            <w:rFonts w:asciiTheme="minorHAnsi" w:eastAsiaTheme="minorEastAsia" w:hAnsiTheme="minorHAnsi" w:cstheme="minorBidi"/>
            <w:sz w:val="22"/>
            <w:szCs w:val="22"/>
            <w:lang w:eastAsia="en-GB"/>
          </w:rPr>
          <w:tab/>
        </w:r>
        <w:r w:rsidR="00DA2839" w:rsidRPr="00236418">
          <w:rPr>
            <w:rStyle w:val="Hyperlink"/>
          </w:rPr>
          <w:t>Créances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_Toc41567857 \h </w:instrText>
        </w:r>
        <w:r w:rsidR="00DA2839" w:rsidRPr="00236418">
          <w:rPr>
            <w:webHidden/>
          </w:rPr>
        </w:r>
        <w:r w:rsidR="00DA2839" w:rsidRPr="00236418">
          <w:rPr>
            <w:webHidden/>
          </w:rPr>
          <w:fldChar w:fldCharType="separate"/>
        </w:r>
        <w:r w:rsidR="00416481" w:rsidRPr="00236418">
          <w:rPr>
            <w:webHidden/>
          </w:rPr>
          <w:t>52</w:t>
        </w:r>
        <w:r w:rsidR="00DA2839" w:rsidRPr="00236418">
          <w:rPr>
            <w:webHidden/>
          </w:rPr>
          <w:fldChar w:fldCharType="end"/>
        </w:r>
      </w:hyperlink>
    </w:p>
    <w:p w14:paraId="75A1457F" w14:textId="7B66940D"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8" w:history="1">
        <w:r w:rsidR="00DA2839" w:rsidRPr="00236418">
          <w:rPr>
            <w:rStyle w:val="Hyperlink"/>
          </w:rPr>
          <w:t>Note 9</w:t>
        </w:r>
        <w:r w:rsidR="00DA2839" w:rsidRPr="00236418">
          <w:rPr>
            <w:rFonts w:asciiTheme="minorHAnsi" w:eastAsiaTheme="minorEastAsia" w:hAnsiTheme="minorHAnsi" w:cstheme="minorBidi"/>
            <w:sz w:val="22"/>
            <w:szCs w:val="22"/>
            <w:lang w:eastAsia="en-GB"/>
          </w:rPr>
          <w:tab/>
        </w:r>
        <w:r w:rsidR="00DA2839" w:rsidRPr="00236418">
          <w:rPr>
            <w:rStyle w:val="Hyperlink"/>
          </w:rPr>
          <w:t>Stocks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_Toc41567858 \h </w:instrText>
        </w:r>
        <w:r w:rsidR="00DA2839" w:rsidRPr="00236418">
          <w:rPr>
            <w:webHidden/>
          </w:rPr>
        </w:r>
        <w:r w:rsidR="00DA2839" w:rsidRPr="00236418">
          <w:rPr>
            <w:webHidden/>
          </w:rPr>
          <w:fldChar w:fldCharType="separate"/>
        </w:r>
        <w:r w:rsidR="00416481" w:rsidRPr="00236418">
          <w:rPr>
            <w:webHidden/>
          </w:rPr>
          <w:t>53</w:t>
        </w:r>
        <w:r w:rsidR="00DA2839" w:rsidRPr="00236418">
          <w:rPr>
            <w:webHidden/>
          </w:rPr>
          <w:fldChar w:fldCharType="end"/>
        </w:r>
      </w:hyperlink>
    </w:p>
    <w:p w14:paraId="46F41C09" w14:textId="2F3C37BE"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59" w:history="1">
        <w:r w:rsidR="00DA2839" w:rsidRPr="00236418">
          <w:rPr>
            <w:rStyle w:val="Hyperlink"/>
          </w:rPr>
          <w:t>Note 10</w:t>
        </w:r>
        <w:r w:rsidR="00DA2839" w:rsidRPr="00236418">
          <w:rPr>
            <w:rFonts w:asciiTheme="minorHAnsi" w:eastAsiaTheme="minorEastAsia" w:hAnsiTheme="minorHAnsi" w:cstheme="minorBidi"/>
            <w:sz w:val="22"/>
            <w:szCs w:val="22"/>
            <w:lang w:eastAsia="en-GB"/>
          </w:rPr>
          <w:tab/>
        </w:r>
        <w:r w:rsidR="00DA2839" w:rsidRPr="00236418">
          <w:rPr>
            <w:rStyle w:val="Hyperlink"/>
          </w:rPr>
          <w:t>Autres créances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_Toc41567859 \h </w:instrText>
        </w:r>
        <w:r w:rsidR="00DA2839" w:rsidRPr="00236418">
          <w:rPr>
            <w:webHidden/>
          </w:rPr>
        </w:r>
        <w:r w:rsidR="00DA2839" w:rsidRPr="00236418">
          <w:rPr>
            <w:webHidden/>
          </w:rPr>
          <w:fldChar w:fldCharType="separate"/>
        </w:r>
        <w:r w:rsidR="00416481" w:rsidRPr="00236418">
          <w:rPr>
            <w:webHidden/>
          </w:rPr>
          <w:t>54</w:t>
        </w:r>
        <w:r w:rsidR="00DA2839" w:rsidRPr="00236418">
          <w:rPr>
            <w:webHidden/>
          </w:rPr>
          <w:fldChar w:fldCharType="end"/>
        </w:r>
      </w:hyperlink>
    </w:p>
    <w:p w14:paraId="1DE46BB3" w14:textId="2FDD01D8"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0" w:history="1">
        <w:r w:rsidR="00DA2839" w:rsidRPr="00236418">
          <w:rPr>
            <w:rStyle w:val="Hyperlink"/>
          </w:rPr>
          <w:t>Note 11</w:t>
        </w:r>
        <w:r w:rsidR="00DA2839" w:rsidRPr="00236418">
          <w:rPr>
            <w:rFonts w:asciiTheme="minorHAnsi" w:eastAsiaTheme="minorEastAsia" w:hAnsiTheme="minorHAnsi" w:cstheme="minorBidi"/>
            <w:sz w:val="22"/>
            <w:szCs w:val="22"/>
            <w:lang w:eastAsia="en-GB"/>
          </w:rPr>
          <w:tab/>
        </w:r>
        <w:r w:rsidR="00DA2839" w:rsidRPr="00236418">
          <w:rPr>
            <w:rStyle w:val="Hyperlink"/>
          </w:rPr>
          <w:t>Immobilisations corporelles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_Toc41567860 \h </w:instrText>
        </w:r>
        <w:r w:rsidR="00DA2839" w:rsidRPr="00236418">
          <w:rPr>
            <w:webHidden/>
          </w:rPr>
        </w:r>
        <w:r w:rsidR="00DA2839" w:rsidRPr="00236418">
          <w:rPr>
            <w:webHidden/>
          </w:rPr>
          <w:fldChar w:fldCharType="separate"/>
        </w:r>
        <w:r w:rsidR="00416481" w:rsidRPr="00236418">
          <w:rPr>
            <w:webHidden/>
          </w:rPr>
          <w:t>54</w:t>
        </w:r>
        <w:r w:rsidR="00DA2839" w:rsidRPr="00236418">
          <w:rPr>
            <w:webHidden/>
          </w:rPr>
          <w:fldChar w:fldCharType="end"/>
        </w:r>
      </w:hyperlink>
    </w:p>
    <w:p w14:paraId="5F04711E" w14:textId="2E8EA412"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1" w:history="1">
        <w:r w:rsidR="00DA2839" w:rsidRPr="00236418">
          <w:rPr>
            <w:rStyle w:val="Hyperlink"/>
          </w:rPr>
          <w:t>Note 12</w:t>
        </w:r>
        <w:r w:rsidR="00DA2839" w:rsidRPr="00236418">
          <w:rPr>
            <w:rFonts w:asciiTheme="minorHAnsi" w:eastAsiaTheme="minorEastAsia" w:hAnsiTheme="minorHAnsi" w:cstheme="minorBidi"/>
            <w:sz w:val="22"/>
            <w:szCs w:val="22"/>
            <w:lang w:eastAsia="en-GB"/>
          </w:rPr>
          <w:tab/>
        </w:r>
        <w:r w:rsidR="00DA2839" w:rsidRPr="00236418">
          <w:rPr>
            <w:rStyle w:val="Hyperlink"/>
          </w:rPr>
          <w:t>Immobilisations incorporelles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_Toc41567861 \h </w:instrText>
        </w:r>
        <w:r w:rsidR="00DA2839" w:rsidRPr="00236418">
          <w:rPr>
            <w:webHidden/>
          </w:rPr>
        </w:r>
        <w:r w:rsidR="00DA2839" w:rsidRPr="00236418">
          <w:rPr>
            <w:webHidden/>
          </w:rPr>
          <w:fldChar w:fldCharType="separate"/>
        </w:r>
        <w:r w:rsidR="00416481" w:rsidRPr="00236418">
          <w:rPr>
            <w:webHidden/>
          </w:rPr>
          <w:t>56</w:t>
        </w:r>
        <w:r w:rsidR="00DA2839" w:rsidRPr="00236418">
          <w:rPr>
            <w:webHidden/>
          </w:rPr>
          <w:fldChar w:fldCharType="end"/>
        </w:r>
      </w:hyperlink>
    </w:p>
    <w:p w14:paraId="4874637D" w14:textId="7537B674"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2" w:history="1">
        <w:r w:rsidR="00DA2839" w:rsidRPr="00236418">
          <w:rPr>
            <w:rStyle w:val="Hyperlink"/>
          </w:rPr>
          <w:t>Note 13</w:t>
        </w:r>
        <w:r w:rsidR="00DA2839" w:rsidRPr="00236418">
          <w:rPr>
            <w:rFonts w:asciiTheme="minorHAnsi" w:eastAsiaTheme="minorEastAsia" w:hAnsiTheme="minorHAnsi" w:cstheme="minorBidi"/>
            <w:sz w:val="22"/>
            <w:szCs w:val="22"/>
            <w:lang w:eastAsia="en-GB"/>
          </w:rPr>
          <w:tab/>
        </w:r>
        <w:r w:rsidR="00DA2839" w:rsidRPr="00236418">
          <w:rPr>
            <w:rStyle w:val="Hyperlink"/>
          </w:rPr>
          <w:t>Biens en construction</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_Toc41567862 \h </w:instrText>
        </w:r>
        <w:r w:rsidR="00DA2839" w:rsidRPr="00236418">
          <w:rPr>
            <w:webHidden/>
          </w:rPr>
        </w:r>
        <w:r w:rsidR="00DA2839" w:rsidRPr="00236418">
          <w:rPr>
            <w:webHidden/>
          </w:rPr>
          <w:fldChar w:fldCharType="separate"/>
        </w:r>
        <w:r w:rsidR="00416481" w:rsidRPr="00236418">
          <w:rPr>
            <w:webHidden/>
          </w:rPr>
          <w:t>56</w:t>
        </w:r>
        <w:r w:rsidR="00DA2839" w:rsidRPr="00236418">
          <w:rPr>
            <w:webHidden/>
          </w:rPr>
          <w:fldChar w:fldCharType="end"/>
        </w:r>
      </w:hyperlink>
    </w:p>
    <w:p w14:paraId="34199936" w14:textId="6B0AEA4E"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3" w:history="1">
        <w:r w:rsidR="00DA2839" w:rsidRPr="00236418">
          <w:rPr>
            <w:rStyle w:val="Hyperlink"/>
          </w:rPr>
          <w:t>Note 14</w:t>
        </w:r>
        <w:r w:rsidR="00DA2839" w:rsidRPr="00236418">
          <w:rPr>
            <w:rFonts w:asciiTheme="minorHAnsi" w:eastAsiaTheme="minorEastAsia" w:hAnsiTheme="minorHAnsi" w:cstheme="minorBidi"/>
            <w:sz w:val="22"/>
            <w:szCs w:val="22"/>
            <w:lang w:eastAsia="en-GB"/>
          </w:rPr>
          <w:tab/>
        </w:r>
        <w:r w:rsidR="00DA2839" w:rsidRPr="00236418">
          <w:rPr>
            <w:rStyle w:val="Hyperlink"/>
          </w:rPr>
          <w:t>Fournisseurs et autres créanciers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_Toc41567863 \h </w:instrText>
        </w:r>
        <w:r w:rsidR="00DA2839" w:rsidRPr="00236418">
          <w:rPr>
            <w:webHidden/>
          </w:rPr>
        </w:r>
        <w:r w:rsidR="00DA2839" w:rsidRPr="00236418">
          <w:rPr>
            <w:webHidden/>
          </w:rPr>
          <w:fldChar w:fldCharType="separate"/>
        </w:r>
        <w:r w:rsidR="00416481" w:rsidRPr="00236418">
          <w:rPr>
            <w:webHidden/>
          </w:rPr>
          <w:t>57</w:t>
        </w:r>
        <w:r w:rsidR="00DA2839" w:rsidRPr="00236418">
          <w:rPr>
            <w:webHidden/>
          </w:rPr>
          <w:fldChar w:fldCharType="end"/>
        </w:r>
      </w:hyperlink>
    </w:p>
    <w:p w14:paraId="55178E8C" w14:textId="48E15FAE"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4" w:history="1">
        <w:r w:rsidR="00DA2839" w:rsidRPr="00236418">
          <w:rPr>
            <w:rStyle w:val="Hyperlink"/>
          </w:rPr>
          <w:t>Note 15</w:t>
        </w:r>
        <w:r w:rsidR="00DA2839" w:rsidRPr="00236418">
          <w:rPr>
            <w:rFonts w:asciiTheme="minorHAnsi" w:eastAsiaTheme="minorEastAsia" w:hAnsiTheme="minorHAnsi" w:cstheme="minorBidi"/>
            <w:sz w:val="22"/>
            <w:szCs w:val="22"/>
            <w:lang w:eastAsia="en-GB"/>
          </w:rPr>
          <w:tab/>
        </w:r>
        <w:r w:rsidR="00DA2839" w:rsidRPr="00236418">
          <w:rPr>
            <w:rStyle w:val="Hyperlink"/>
          </w:rPr>
          <w:t>Produits différés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_Toc41567864 \h </w:instrText>
        </w:r>
        <w:r w:rsidR="00DA2839" w:rsidRPr="00236418">
          <w:rPr>
            <w:webHidden/>
          </w:rPr>
        </w:r>
        <w:r w:rsidR="00DA2839" w:rsidRPr="00236418">
          <w:rPr>
            <w:webHidden/>
          </w:rPr>
          <w:fldChar w:fldCharType="separate"/>
        </w:r>
        <w:r w:rsidR="00416481" w:rsidRPr="00236418">
          <w:rPr>
            <w:webHidden/>
          </w:rPr>
          <w:t>57</w:t>
        </w:r>
        <w:r w:rsidR="00DA2839" w:rsidRPr="00236418">
          <w:rPr>
            <w:webHidden/>
          </w:rPr>
          <w:fldChar w:fldCharType="end"/>
        </w:r>
      </w:hyperlink>
    </w:p>
    <w:p w14:paraId="03C47A36" w14:textId="3BA59DD6"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5" w:history="1">
        <w:r w:rsidR="00DA2839" w:rsidRPr="00236418">
          <w:rPr>
            <w:rStyle w:val="Hyperlink"/>
          </w:rPr>
          <w:t>Note 16</w:t>
        </w:r>
        <w:r w:rsidR="00DA2839" w:rsidRPr="00236418">
          <w:rPr>
            <w:rFonts w:asciiTheme="minorHAnsi" w:eastAsiaTheme="minorEastAsia" w:hAnsiTheme="minorHAnsi" w:cstheme="minorBidi"/>
            <w:sz w:val="22"/>
            <w:szCs w:val="22"/>
            <w:lang w:eastAsia="en-GB"/>
          </w:rPr>
          <w:tab/>
        </w:r>
        <w:r w:rsidR="00DA2839" w:rsidRPr="00236418">
          <w:rPr>
            <w:rStyle w:val="Hyperlink"/>
          </w:rPr>
          <w:t>Emprunts et autres dettes financières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_Toc41567865 \h </w:instrText>
        </w:r>
        <w:r w:rsidR="00DA2839" w:rsidRPr="00236418">
          <w:rPr>
            <w:webHidden/>
          </w:rPr>
        </w:r>
        <w:r w:rsidR="00DA2839" w:rsidRPr="00236418">
          <w:rPr>
            <w:webHidden/>
          </w:rPr>
          <w:fldChar w:fldCharType="separate"/>
        </w:r>
        <w:r w:rsidR="00416481" w:rsidRPr="00236418">
          <w:rPr>
            <w:webHidden/>
          </w:rPr>
          <w:t>58</w:t>
        </w:r>
        <w:r w:rsidR="00DA2839" w:rsidRPr="00236418">
          <w:rPr>
            <w:webHidden/>
          </w:rPr>
          <w:fldChar w:fldCharType="end"/>
        </w:r>
      </w:hyperlink>
    </w:p>
    <w:p w14:paraId="23912BEE" w14:textId="614DB50D"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6" w:history="1">
        <w:r w:rsidR="00DA2839" w:rsidRPr="00236418">
          <w:rPr>
            <w:rStyle w:val="Hyperlink"/>
          </w:rPr>
          <w:t>Note 17</w:t>
        </w:r>
        <w:r w:rsidR="00DA2839" w:rsidRPr="00236418">
          <w:rPr>
            <w:rFonts w:asciiTheme="minorHAnsi" w:eastAsiaTheme="minorEastAsia" w:hAnsiTheme="minorHAnsi" w:cstheme="minorBidi"/>
            <w:sz w:val="22"/>
            <w:szCs w:val="22"/>
            <w:lang w:eastAsia="en-GB"/>
          </w:rPr>
          <w:tab/>
        </w:r>
        <w:r w:rsidR="00DA2839" w:rsidRPr="00236418">
          <w:rPr>
            <w:rStyle w:val="Hyperlink"/>
          </w:rPr>
          <w:t>Avantages du personnel</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_Toc41567866 \h </w:instrText>
        </w:r>
        <w:r w:rsidR="00DA2839" w:rsidRPr="00236418">
          <w:rPr>
            <w:webHidden/>
          </w:rPr>
        </w:r>
        <w:r w:rsidR="00DA2839" w:rsidRPr="00236418">
          <w:rPr>
            <w:webHidden/>
          </w:rPr>
          <w:fldChar w:fldCharType="separate"/>
        </w:r>
        <w:r w:rsidR="00416481" w:rsidRPr="00236418">
          <w:rPr>
            <w:webHidden/>
          </w:rPr>
          <w:t>58</w:t>
        </w:r>
        <w:r w:rsidR="00DA2839" w:rsidRPr="00236418">
          <w:rPr>
            <w:webHidden/>
          </w:rPr>
          <w:fldChar w:fldCharType="end"/>
        </w:r>
      </w:hyperlink>
    </w:p>
    <w:p w14:paraId="134F19CA" w14:textId="735A28DE"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67" w:history="1">
        <w:r w:rsidR="00DA2839" w:rsidRPr="00236418">
          <w:rPr>
            <w:rStyle w:val="Hyperlink"/>
          </w:rPr>
          <w:t>17.1</w:t>
        </w:r>
        <w:r w:rsidR="00DA2839" w:rsidRPr="00236418">
          <w:rPr>
            <w:rFonts w:asciiTheme="minorHAnsi" w:eastAsiaTheme="minorEastAsia" w:hAnsiTheme="minorHAnsi" w:cstheme="minorBidi"/>
            <w:sz w:val="22"/>
            <w:szCs w:val="22"/>
            <w:lang w:eastAsia="en-GB"/>
          </w:rPr>
          <w:tab/>
        </w:r>
        <w:r w:rsidR="00DA2839" w:rsidRPr="00236418">
          <w:rPr>
            <w:rStyle w:val="Hyperlink"/>
          </w:rPr>
          <w:t>Avantages du personnel à court terme</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_Toc41567867 \h </w:instrText>
        </w:r>
        <w:r w:rsidR="00DA2839" w:rsidRPr="00236418">
          <w:rPr>
            <w:webHidden/>
          </w:rPr>
        </w:r>
        <w:r w:rsidR="00DA2839" w:rsidRPr="00236418">
          <w:rPr>
            <w:webHidden/>
          </w:rPr>
          <w:fldChar w:fldCharType="separate"/>
        </w:r>
        <w:r w:rsidR="00416481" w:rsidRPr="00236418">
          <w:rPr>
            <w:webHidden/>
          </w:rPr>
          <w:t>58</w:t>
        </w:r>
        <w:r w:rsidR="00DA2839" w:rsidRPr="00236418">
          <w:rPr>
            <w:webHidden/>
          </w:rPr>
          <w:fldChar w:fldCharType="end"/>
        </w:r>
      </w:hyperlink>
    </w:p>
    <w:p w14:paraId="5C9D0311" w14:textId="5037F208" w:rsidR="00DA2839" w:rsidRPr="00236418" w:rsidRDefault="003D539C" w:rsidP="0019179B">
      <w:pPr>
        <w:pStyle w:val="TOC2"/>
        <w:spacing w:before="60" w:after="60"/>
        <w:ind w:left="1928"/>
        <w:rPr>
          <w:rFonts w:asciiTheme="minorHAnsi" w:eastAsiaTheme="minorEastAsia" w:hAnsiTheme="minorHAnsi" w:cstheme="minorBidi"/>
          <w:sz w:val="22"/>
          <w:szCs w:val="22"/>
          <w:lang w:eastAsia="en-GB"/>
        </w:rPr>
      </w:pPr>
      <w:hyperlink w:anchor="_Toc41567868" w:history="1">
        <w:r w:rsidR="00DA2839" w:rsidRPr="00236418">
          <w:rPr>
            <w:rStyle w:val="Hyperlink"/>
          </w:rPr>
          <w:t>17.2</w:t>
        </w:r>
        <w:r w:rsidR="00DA2839" w:rsidRPr="00236418">
          <w:rPr>
            <w:rFonts w:asciiTheme="minorHAnsi" w:eastAsiaTheme="minorEastAsia" w:hAnsiTheme="minorHAnsi" w:cstheme="minorBidi"/>
            <w:sz w:val="22"/>
            <w:szCs w:val="22"/>
            <w:lang w:eastAsia="en-GB"/>
          </w:rPr>
          <w:tab/>
        </w:r>
        <w:r w:rsidR="00DA2839" w:rsidRPr="00236418">
          <w:rPr>
            <w:rStyle w:val="Hyperlink"/>
          </w:rPr>
          <w:t>Avantages du personnel à long terme</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_Toc41567868 \h </w:instrText>
        </w:r>
        <w:r w:rsidR="00DA2839" w:rsidRPr="00236418">
          <w:rPr>
            <w:webHidden/>
          </w:rPr>
        </w:r>
        <w:r w:rsidR="00DA2839" w:rsidRPr="00236418">
          <w:rPr>
            <w:webHidden/>
          </w:rPr>
          <w:fldChar w:fldCharType="separate"/>
        </w:r>
        <w:r w:rsidR="00416481" w:rsidRPr="00236418">
          <w:rPr>
            <w:webHidden/>
          </w:rPr>
          <w:t>59</w:t>
        </w:r>
        <w:r w:rsidR="00DA2839" w:rsidRPr="00236418">
          <w:rPr>
            <w:webHidden/>
          </w:rPr>
          <w:fldChar w:fldCharType="end"/>
        </w:r>
      </w:hyperlink>
    </w:p>
    <w:p w14:paraId="0E8B9538" w14:textId="5CB12E69"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69" w:history="1">
        <w:r w:rsidR="00DA2839" w:rsidRPr="00236418">
          <w:rPr>
            <w:rStyle w:val="Hyperlink"/>
          </w:rPr>
          <w:t>Note 18</w:t>
        </w:r>
        <w:r w:rsidR="00DA2839" w:rsidRPr="00236418">
          <w:rPr>
            <w:rFonts w:asciiTheme="minorHAnsi" w:eastAsiaTheme="minorEastAsia" w:hAnsiTheme="minorHAnsi" w:cstheme="minorBidi"/>
            <w:sz w:val="22"/>
            <w:szCs w:val="22"/>
            <w:lang w:eastAsia="en-GB"/>
          </w:rPr>
          <w:tab/>
        </w:r>
        <w:r w:rsidR="00DA2839" w:rsidRPr="00236418">
          <w:rPr>
            <w:rStyle w:val="Hyperlink"/>
          </w:rPr>
          <w:t>Provisions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_Toc41567869 \h </w:instrText>
        </w:r>
        <w:r w:rsidR="00DA2839" w:rsidRPr="00236418">
          <w:rPr>
            <w:webHidden/>
          </w:rPr>
        </w:r>
        <w:r w:rsidR="00DA2839" w:rsidRPr="00236418">
          <w:rPr>
            <w:webHidden/>
          </w:rPr>
          <w:fldChar w:fldCharType="separate"/>
        </w:r>
        <w:r w:rsidR="00416481" w:rsidRPr="00236418">
          <w:rPr>
            <w:webHidden/>
          </w:rPr>
          <w:t>65</w:t>
        </w:r>
        <w:r w:rsidR="00DA2839" w:rsidRPr="00236418">
          <w:rPr>
            <w:webHidden/>
          </w:rPr>
          <w:fldChar w:fldCharType="end"/>
        </w:r>
      </w:hyperlink>
    </w:p>
    <w:p w14:paraId="1BE84A5B" w14:textId="1D5DD659"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0" w:history="1">
        <w:r w:rsidR="00DA2839" w:rsidRPr="00236418">
          <w:rPr>
            <w:rStyle w:val="Hyperlink"/>
          </w:rPr>
          <w:t>Note 19</w:t>
        </w:r>
        <w:r w:rsidR="00DA2839" w:rsidRPr="00236418">
          <w:rPr>
            <w:rFonts w:asciiTheme="minorHAnsi" w:eastAsiaTheme="minorEastAsia" w:hAnsiTheme="minorHAnsi" w:cstheme="minorBidi"/>
            <w:sz w:val="22"/>
            <w:szCs w:val="22"/>
            <w:lang w:eastAsia="en-GB"/>
          </w:rPr>
          <w:tab/>
        </w:r>
        <w:r w:rsidR="00DA2839" w:rsidRPr="00236418">
          <w:rPr>
            <w:rStyle w:val="Hyperlink"/>
          </w:rPr>
          <w:t>Autres dettes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_Toc41567870 \h </w:instrText>
        </w:r>
        <w:r w:rsidR="00DA2839" w:rsidRPr="00236418">
          <w:rPr>
            <w:webHidden/>
          </w:rPr>
        </w:r>
        <w:r w:rsidR="00DA2839" w:rsidRPr="00236418">
          <w:rPr>
            <w:webHidden/>
          </w:rPr>
          <w:fldChar w:fldCharType="separate"/>
        </w:r>
        <w:r w:rsidR="00416481" w:rsidRPr="00236418">
          <w:rPr>
            <w:webHidden/>
          </w:rPr>
          <w:t>66</w:t>
        </w:r>
        <w:r w:rsidR="00DA2839" w:rsidRPr="00236418">
          <w:rPr>
            <w:webHidden/>
          </w:rPr>
          <w:fldChar w:fldCharType="end"/>
        </w:r>
      </w:hyperlink>
    </w:p>
    <w:p w14:paraId="397943B3" w14:textId="51A1F65C"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1" w:history="1">
        <w:r w:rsidR="00DA2839" w:rsidRPr="00236418">
          <w:rPr>
            <w:rStyle w:val="Hyperlink"/>
          </w:rPr>
          <w:t>Note 20</w:t>
        </w:r>
        <w:r w:rsidR="00DA2839" w:rsidRPr="00236418">
          <w:rPr>
            <w:rFonts w:asciiTheme="minorHAnsi" w:eastAsiaTheme="minorEastAsia" w:hAnsiTheme="minorHAnsi" w:cstheme="minorBidi"/>
            <w:sz w:val="22"/>
            <w:szCs w:val="22"/>
            <w:lang w:eastAsia="en-GB"/>
          </w:rPr>
          <w:tab/>
        </w:r>
        <w:r w:rsidR="00DA2839" w:rsidRPr="00236418">
          <w:rPr>
            <w:rStyle w:val="Hyperlink"/>
          </w:rPr>
          <w:t>Fonds extrabudgétaires affectés et non affectés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_Toc41567871 \h </w:instrText>
        </w:r>
        <w:r w:rsidR="00DA2839" w:rsidRPr="00236418">
          <w:rPr>
            <w:webHidden/>
          </w:rPr>
        </w:r>
        <w:r w:rsidR="00DA2839" w:rsidRPr="00236418">
          <w:rPr>
            <w:webHidden/>
          </w:rPr>
          <w:fldChar w:fldCharType="separate"/>
        </w:r>
        <w:r w:rsidR="00416481" w:rsidRPr="00236418">
          <w:rPr>
            <w:webHidden/>
          </w:rPr>
          <w:t>66</w:t>
        </w:r>
        <w:r w:rsidR="00DA2839" w:rsidRPr="00236418">
          <w:rPr>
            <w:webHidden/>
          </w:rPr>
          <w:fldChar w:fldCharType="end"/>
        </w:r>
      </w:hyperlink>
    </w:p>
    <w:p w14:paraId="7C26FE2B" w14:textId="1F33BCB1"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2" w:history="1">
        <w:r w:rsidR="00DA2839" w:rsidRPr="00236418">
          <w:rPr>
            <w:rStyle w:val="Hyperlink"/>
          </w:rPr>
          <w:t>Note 21</w:t>
        </w:r>
        <w:r w:rsidR="00DA2839" w:rsidRPr="00236418">
          <w:rPr>
            <w:rFonts w:asciiTheme="minorHAnsi" w:eastAsiaTheme="minorEastAsia" w:hAnsiTheme="minorHAnsi" w:cstheme="minorBidi"/>
            <w:sz w:val="22"/>
            <w:szCs w:val="22"/>
            <w:lang w:eastAsia="en-GB"/>
          </w:rPr>
          <w:tab/>
        </w:r>
        <w:r w:rsidR="00DA2839" w:rsidRPr="00236418">
          <w:rPr>
            <w:rStyle w:val="Hyperlink"/>
          </w:rPr>
          <w:t>Contributions mises en recouvrement</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_Toc41567872 \h </w:instrText>
        </w:r>
        <w:r w:rsidR="00DA2839" w:rsidRPr="00236418">
          <w:rPr>
            <w:webHidden/>
          </w:rPr>
        </w:r>
        <w:r w:rsidR="00DA2839" w:rsidRPr="00236418">
          <w:rPr>
            <w:webHidden/>
          </w:rPr>
          <w:fldChar w:fldCharType="separate"/>
        </w:r>
        <w:r w:rsidR="00416481" w:rsidRPr="00236418">
          <w:rPr>
            <w:webHidden/>
          </w:rPr>
          <w:t>67</w:t>
        </w:r>
        <w:r w:rsidR="00DA2839" w:rsidRPr="00236418">
          <w:rPr>
            <w:webHidden/>
          </w:rPr>
          <w:fldChar w:fldCharType="end"/>
        </w:r>
      </w:hyperlink>
    </w:p>
    <w:p w14:paraId="1A0C0CA4" w14:textId="42F43651"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3" w:history="1">
        <w:r w:rsidR="00DA2839" w:rsidRPr="00236418">
          <w:rPr>
            <w:rStyle w:val="Hyperlink"/>
          </w:rPr>
          <w:t>Note 22</w:t>
        </w:r>
        <w:r w:rsidR="00DA2839" w:rsidRPr="00236418">
          <w:rPr>
            <w:rFonts w:asciiTheme="minorHAnsi" w:eastAsiaTheme="minorEastAsia" w:hAnsiTheme="minorHAnsi" w:cstheme="minorBidi"/>
            <w:sz w:val="22"/>
            <w:szCs w:val="22"/>
            <w:lang w:eastAsia="en-GB"/>
          </w:rPr>
          <w:tab/>
        </w:r>
        <w:r w:rsidR="00DA2839" w:rsidRPr="00236418">
          <w:rPr>
            <w:rStyle w:val="Hyperlink"/>
          </w:rPr>
          <w:t>Produits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_Toc41567873 \h </w:instrText>
        </w:r>
        <w:r w:rsidR="00DA2839" w:rsidRPr="00236418">
          <w:rPr>
            <w:webHidden/>
          </w:rPr>
        </w:r>
        <w:r w:rsidR="00DA2839" w:rsidRPr="00236418">
          <w:rPr>
            <w:webHidden/>
          </w:rPr>
          <w:fldChar w:fldCharType="separate"/>
        </w:r>
        <w:r w:rsidR="00416481" w:rsidRPr="00236418">
          <w:rPr>
            <w:webHidden/>
          </w:rPr>
          <w:t>67</w:t>
        </w:r>
        <w:r w:rsidR="00DA2839" w:rsidRPr="00236418">
          <w:rPr>
            <w:webHidden/>
          </w:rPr>
          <w:fldChar w:fldCharType="end"/>
        </w:r>
      </w:hyperlink>
    </w:p>
    <w:p w14:paraId="5B4DAF57" w14:textId="4DA0908B"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5" w:history="1">
        <w:r w:rsidR="00DA2839" w:rsidRPr="00236418">
          <w:rPr>
            <w:rStyle w:val="Hyperlink"/>
          </w:rPr>
          <w:t>Note 23</w:t>
        </w:r>
        <w:r w:rsidR="00DA2839" w:rsidRPr="00236418">
          <w:rPr>
            <w:rFonts w:asciiTheme="minorHAnsi" w:eastAsiaTheme="minorEastAsia" w:hAnsiTheme="minorHAnsi" w:cstheme="minorBidi"/>
            <w:sz w:val="22"/>
            <w:szCs w:val="22"/>
            <w:lang w:eastAsia="en-GB"/>
          </w:rPr>
          <w:tab/>
        </w:r>
        <w:r w:rsidR="00DA2839" w:rsidRPr="00236418">
          <w:rPr>
            <w:rStyle w:val="Hyperlink"/>
          </w:rPr>
          <w:t>Charges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_Toc41567875 \h </w:instrText>
        </w:r>
        <w:r w:rsidR="00DA2839" w:rsidRPr="00236418">
          <w:rPr>
            <w:webHidden/>
          </w:rPr>
        </w:r>
        <w:r w:rsidR="00DA2839" w:rsidRPr="00236418">
          <w:rPr>
            <w:webHidden/>
          </w:rPr>
          <w:fldChar w:fldCharType="separate"/>
        </w:r>
        <w:r w:rsidR="00416481" w:rsidRPr="00236418">
          <w:rPr>
            <w:webHidden/>
          </w:rPr>
          <w:t>68</w:t>
        </w:r>
        <w:r w:rsidR="00DA2839" w:rsidRPr="00236418">
          <w:rPr>
            <w:webHidden/>
          </w:rPr>
          <w:fldChar w:fldCharType="end"/>
        </w:r>
      </w:hyperlink>
    </w:p>
    <w:p w14:paraId="4E4C8C8C" w14:textId="62D5E30F"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6" w:history="1">
        <w:r w:rsidR="00DA2839" w:rsidRPr="00236418">
          <w:rPr>
            <w:rStyle w:val="Hyperlink"/>
          </w:rPr>
          <w:t>Note 24</w:t>
        </w:r>
        <w:r w:rsidR="00DA2839" w:rsidRPr="00236418">
          <w:rPr>
            <w:rFonts w:asciiTheme="minorHAnsi" w:eastAsiaTheme="minorEastAsia" w:hAnsiTheme="minorHAnsi" w:cstheme="minorBidi"/>
            <w:sz w:val="22"/>
            <w:szCs w:val="22"/>
            <w:lang w:eastAsia="en-GB"/>
          </w:rPr>
          <w:tab/>
        </w:r>
        <w:r w:rsidR="00DA2839" w:rsidRPr="00236418">
          <w:rPr>
            <w:rStyle w:val="Hyperlink"/>
          </w:rPr>
          <w:t>Informations sectorielles – État de la performance financière 2019</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_Toc41567876 \h </w:instrText>
        </w:r>
        <w:r w:rsidR="00DA2839" w:rsidRPr="00236418">
          <w:rPr>
            <w:webHidden/>
          </w:rPr>
        </w:r>
        <w:r w:rsidR="00DA2839" w:rsidRPr="00236418">
          <w:rPr>
            <w:webHidden/>
          </w:rPr>
          <w:fldChar w:fldCharType="separate"/>
        </w:r>
        <w:r w:rsidR="00416481" w:rsidRPr="00236418">
          <w:rPr>
            <w:webHidden/>
          </w:rPr>
          <w:t>71</w:t>
        </w:r>
        <w:r w:rsidR="00DA2839" w:rsidRPr="00236418">
          <w:rPr>
            <w:webHidden/>
          </w:rPr>
          <w:fldChar w:fldCharType="end"/>
        </w:r>
      </w:hyperlink>
    </w:p>
    <w:p w14:paraId="69B8BEEF" w14:textId="1128A682"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7" w:history="1">
        <w:r w:rsidR="00DA2839" w:rsidRPr="00236418">
          <w:rPr>
            <w:rStyle w:val="Hyperlink"/>
          </w:rPr>
          <w:t>Note 25</w:t>
        </w:r>
        <w:r w:rsidR="00DA2839" w:rsidRPr="00236418">
          <w:rPr>
            <w:rFonts w:asciiTheme="minorHAnsi" w:eastAsiaTheme="minorEastAsia" w:hAnsiTheme="minorHAnsi" w:cstheme="minorBidi"/>
            <w:sz w:val="22"/>
            <w:szCs w:val="22"/>
            <w:lang w:eastAsia="en-GB"/>
          </w:rPr>
          <w:tab/>
        </w:r>
        <w:r w:rsidR="00DA2839" w:rsidRPr="00236418">
          <w:rPr>
            <w:rStyle w:val="Hyperlink"/>
          </w:rPr>
          <w:t>Présence régionale</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_Toc41567877 \h </w:instrText>
        </w:r>
        <w:r w:rsidR="00DA2839" w:rsidRPr="00236418">
          <w:rPr>
            <w:webHidden/>
          </w:rPr>
        </w:r>
        <w:r w:rsidR="00DA2839" w:rsidRPr="00236418">
          <w:rPr>
            <w:webHidden/>
          </w:rPr>
          <w:fldChar w:fldCharType="separate"/>
        </w:r>
        <w:r w:rsidR="00416481" w:rsidRPr="00236418">
          <w:rPr>
            <w:webHidden/>
          </w:rPr>
          <w:t>73</w:t>
        </w:r>
        <w:r w:rsidR="00DA2839" w:rsidRPr="00236418">
          <w:rPr>
            <w:webHidden/>
          </w:rPr>
          <w:fldChar w:fldCharType="end"/>
        </w:r>
      </w:hyperlink>
    </w:p>
    <w:p w14:paraId="6F81BC20" w14:textId="14891B85"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8" w:history="1">
        <w:r w:rsidR="00DA2839" w:rsidRPr="00236418">
          <w:rPr>
            <w:rStyle w:val="Hyperlink"/>
          </w:rPr>
          <w:t>Note 26</w:t>
        </w:r>
        <w:r w:rsidR="00DA2839" w:rsidRPr="00236418">
          <w:rPr>
            <w:rFonts w:asciiTheme="minorHAnsi" w:eastAsiaTheme="minorEastAsia" w:hAnsiTheme="minorHAnsi" w:cstheme="minorBidi"/>
            <w:sz w:val="22"/>
            <w:szCs w:val="22"/>
            <w:lang w:eastAsia="en-GB"/>
          </w:rPr>
          <w:tab/>
        </w:r>
        <w:r w:rsidR="00DA2839" w:rsidRPr="00236418">
          <w:rPr>
            <w:rStyle w:val="Hyperlink"/>
          </w:rPr>
          <w:t>Rapprochement entre les montants budgétés et les montants effectifs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_Toc41567878 \h </w:instrText>
        </w:r>
        <w:r w:rsidR="00DA2839" w:rsidRPr="00236418">
          <w:rPr>
            <w:webHidden/>
          </w:rPr>
        </w:r>
        <w:r w:rsidR="00DA2839" w:rsidRPr="00236418">
          <w:rPr>
            <w:webHidden/>
          </w:rPr>
          <w:fldChar w:fldCharType="separate"/>
        </w:r>
        <w:r w:rsidR="00416481" w:rsidRPr="00236418">
          <w:rPr>
            <w:webHidden/>
          </w:rPr>
          <w:t>73</w:t>
        </w:r>
        <w:r w:rsidR="00DA2839" w:rsidRPr="00236418">
          <w:rPr>
            <w:webHidden/>
          </w:rPr>
          <w:fldChar w:fldCharType="end"/>
        </w:r>
      </w:hyperlink>
    </w:p>
    <w:p w14:paraId="5F1B07A4" w14:textId="4C1F064E"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79" w:history="1">
        <w:r w:rsidR="00DA2839" w:rsidRPr="00236418">
          <w:rPr>
            <w:rStyle w:val="Hyperlink"/>
          </w:rPr>
          <w:t>Note 27</w:t>
        </w:r>
        <w:r w:rsidR="00DA2839" w:rsidRPr="00236418">
          <w:rPr>
            <w:rFonts w:asciiTheme="minorHAnsi" w:eastAsiaTheme="minorEastAsia" w:hAnsiTheme="minorHAnsi" w:cstheme="minorBidi"/>
            <w:sz w:val="22"/>
            <w:szCs w:val="22"/>
            <w:lang w:eastAsia="en-GB"/>
          </w:rPr>
          <w:tab/>
        </w:r>
        <w:r w:rsidR="00DA2839" w:rsidRPr="00236418">
          <w:rPr>
            <w:rStyle w:val="Hyperlink"/>
          </w:rPr>
          <w:t>Informations relatives aux parties liées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_Toc41567879 \h </w:instrText>
        </w:r>
        <w:r w:rsidR="00DA2839" w:rsidRPr="00236418">
          <w:rPr>
            <w:webHidden/>
          </w:rPr>
        </w:r>
        <w:r w:rsidR="00DA2839" w:rsidRPr="00236418">
          <w:rPr>
            <w:webHidden/>
          </w:rPr>
          <w:fldChar w:fldCharType="separate"/>
        </w:r>
        <w:r w:rsidR="00416481" w:rsidRPr="00236418">
          <w:rPr>
            <w:webHidden/>
          </w:rPr>
          <w:t>75</w:t>
        </w:r>
        <w:r w:rsidR="00DA2839" w:rsidRPr="00236418">
          <w:rPr>
            <w:webHidden/>
          </w:rPr>
          <w:fldChar w:fldCharType="end"/>
        </w:r>
      </w:hyperlink>
    </w:p>
    <w:p w14:paraId="2B010DB3" w14:textId="3DBC2297"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80" w:history="1">
        <w:r w:rsidR="00DA2839" w:rsidRPr="00236418">
          <w:rPr>
            <w:rStyle w:val="Hyperlink"/>
          </w:rPr>
          <w:t>Note 28</w:t>
        </w:r>
        <w:r w:rsidR="00DA2839" w:rsidRPr="00236418">
          <w:rPr>
            <w:rFonts w:asciiTheme="minorHAnsi" w:eastAsiaTheme="minorEastAsia" w:hAnsiTheme="minorHAnsi" w:cstheme="minorBidi"/>
            <w:sz w:val="22"/>
            <w:szCs w:val="22"/>
            <w:lang w:eastAsia="en-GB"/>
          </w:rPr>
          <w:tab/>
        </w:r>
        <w:r w:rsidR="00DA2839" w:rsidRPr="00236418">
          <w:rPr>
            <w:rStyle w:val="Hyperlink"/>
          </w:rPr>
          <w:t>Engagements</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_Toc41567880 \h </w:instrText>
        </w:r>
        <w:r w:rsidR="00DA2839" w:rsidRPr="00236418">
          <w:rPr>
            <w:webHidden/>
          </w:rPr>
        </w:r>
        <w:r w:rsidR="00DA2839" w:rsidRPr="00236418">
          <w:rPr>
            <w:webHidden/>
          </w:rPr>
          <w:fldChar w:fldCharType="separate"/>
        </w:r>
        <w:r w:rsidR="00416481" w:rsidRPr="00236418">
          <w:rPr>
            <w:webHidden/>
          </w:rPr>
          <w:t>75</w:t>
        </w:r>
        <w:r w:rsidR="00DA2839" w:rsidRPr="00236418">
          <w:rPr>
            <w:webHidden/>
          </w:rPr>
          <w:fldChar w:fldCharType="end"/>
        </w:r>
      </w:hyperlink>
    </w:p>
    <w:p w14:paraId="1BBB31EC" w14:textId="73F524FE" w:rsidR="00DA2839" w:rsidRPr="00236418" w:rsidRDefault="003D539C" w:rsidP="0019179B">
      <w:pPr>
        <w:pStyle w:val="TOC1"/>
        <w:spacing w:before="60" w:after="60"/>
        <w:rPr>
          <w:rFonts w:asciiTheme="minorHAnsi" w:eastAsiaTheme="minorEastAsia" w:hAnsiTheme="minorHAnsi" w:cstheme="minorBidi"/>
          <w:sz w:val="22"/>
          <w:szCs w:val="22"/>
          <w:lang w:eastAsia="en-GB"/>
        </w:rPr>
      </w:pPr>
      <w:hyperlink w:anchor="_Toc41567881" w:history="1">
        <w:r w:rsidR="00DA2839" w:rsidRPr="00236418">
          <w:rPr>
            <w:rStyle w:val="Hyperlink"/>
          </w:rPr>
          <w:t>Note 29</w:t>
        </w:r>
        <w:r w:rsidR="00DA2839" w:rsidRPr="00236418">
          <w:rPr>
            <w:rFonts w:asciiTheme="minorHAnsi" w:eastAsiaTheme="minorEastAsia" w:hAnsiTheme="minorHAnsi" w:cstheme="minorBidi"/>
            <w:sz w:val="22"/>
            <w:szCs w:val="22"/>
            <w:lang w:eastAsia="en-GB"/>
          </w:rPr>
          <w:tab/>
        </w:r>
        <w:r w:rsidR="00DA2839" w:rsidRPr="00236418">
          <w:rPr>
            <w:rStyle w:val="Hyperlink"/>
          </w:rPr>
          <w:t>Événements postérieurs à la date du bilan</w:t>
        </w:r>
        <w:r w:rsidR="00DA2839" w:rsidRPr="00236418">
          <w:rPr>
            <w:webHidden/>
          </w:rPr>
          <w:tab/>
        </w:r>
        <w:r w:rsidR="00BF0C77" w:rsidRPr="00236418">
          <w:rPr>
            <w:webHidden/>
          </w:rPr>
          <w:tab/>
        </w:r>
        <w:r w:rsidR="00DA2839" w:rsidRPr="00236418">
          <w:rPr>
            <w:webHidden/>
          </w:rPr>
          <w:fldChar w:fldCharType="begin"/>
        </w:r>
        <w:r w:rsidR="00DA2839" w:rsidRPr="00236418">
          <w:rPr>
            <w:webHidden/>
          </w:rPr>
          <w:instrText xml:space="preserve"> PAGEREF _Toc41567881 \h </w:instrText>
        </w:r>
        <w:r w:rsidR="00DA2839" w:rsidRPr="00236418">
          <w:rPr>
            <w:webHidden/>
          </w:rPr>
        </w:r>
        <w:r w:rsidR="00DA2839" w:rsidRPr="00236418">
          <w:rPr>
            <w:webHidden/>
          </w:rPr>
          <w:fldChar w:fldCharType="separate"/>
        </w:r>
        <w:r w:rsidR="00416481" w:rsidRPr="00236418">
          <w:rPr>
            <w:webHidden/>
          </w:rPr>
          <w:t>76</w:t>
        </w:r>
        <w:r w:rsidR="00DA2839" w:rsidRPr="00236418">
          <w:rPr>
            <w:webHidden/>
          </w:rPr>
          <w:fldChar w:fldCharType="end"/>
        </w:r>
      </w:hyperlink>
    </w:p>
    <w:p w14:paraId="58048629" w14:textId="7FAEAA4F" w:rsidR="00DF6159" w:rsidRPr="00236418" w:rsidRDefault="00DA2839" w:rsidP="00DA2839">
      <w:pPr>
        <w:pStyle w:val="toc0"/>
        <w:jc w:val="both"/>
      </w:pPr>
      <w:r w:rsidRPr="00236418">
        <w:fldChar w:fldCharType="end"/>
      </w:r>
      <w:r w:rsidR="00DF6159" w:rsidRPr="00236418">
        <w:br w:type="page"/>
      </w:r>
    </w:p>
    <w:p w14:paraId="409BAC6F" w14:textId="400A4BAF" w:rsidR="00DF6159" w:rsidRPr="00236418" w:rsidRDefault="00DF6159" w:rsidP="009F2896">
      <w:pPr>
        <w:pStyle w:val="Heading1"/>
        <w:spacing w:after="120"/>
        <w:jc w:val="center"/>
      </w:pPr>
      <w:bookmarkStart w:id="531" w:name="_Toc358379318"/>
      <w:bookmarkStart w:id="532" w:name="_Toc358379896"/>
      <w:bookmarkStart w:id="533" w:name="_Toc358380436"/>
      <w:bookmarkStart w:id="534" w:name="_Toc452139409"/>
      <w:bookmarkStart w:id="535" w:name="_Toc452139808"/>
      <w:bookmarkStart w:id="536" w:name="_Toc452140675"/>
      <w:bookmarkStart w:id="537" w:name="_Toc511649922"/>
      <w:bookmarkStart w:id="538" w:name="_Toc511651178"/>
      <w:bookmarkStart w:id="539" w:name="_Toc511724043"/>
      <w:bookmarkStart w:id="540" w:name="_Toc511739032"/>
      <w:bookmarkStart w:id="541" w:name="_Toc511740812"/>
      <w:bookmarkStart w:id="542" w:name="_Toc511741201"/>
      <w:bookmarkStart w:id="543" w:name="_Toc9605695"/>
      <w:bookmarkStart w:id="544" w:name="_Toc10450707"/>
      <w:bookmarkStart w:id="545" w:name="_Toc41567339"/>
      <w:bookmarkStart w:id="546" w:name="_Toc41567825"/>
      <w:bookmarkStart w:id="547" w:name="_Toc41814937"/>
      <w:r w:rsidRPr="00236418">
        <w:lastRenderedPageBreak/>
        <w:t>I – État de la situation financière – Bilan au 31 décembre 201</w:t>
      </w:r>
      <w:r w:rsidR="00760E92" w:rsidRPr="00236418">
        <w:t>9</w:t>
      </w:r>
      <w:r w:rsidRPr="00236418">
        <w:br/>
        <w:t xml:space="preserve">avec chiffres comparatifs au 31 décembre </w:t>
      </w:r>
      <w:bookmarkEnd w:id="531"/>
      <w:bookmarkEnd w:id="532"/>
      <w:bookmarkEnd w:id="533"/>
      <w:bookmarkEnd w:id="534"/>
      <w:bookmarkEnd w:id="535"/>
      <w:bookmarkEnd w:id="536"/>
      <w:bookmarkEnd w:id="537"/>
      <w:bookmarkEnd w:id="538"/>
      <w:bookmarkEnd w:id="539"/>
      <w:bookmarkEnd w:id="540"/>
      <w:bookmarkEnd w:id="541"/>
      <w:bookmarkEnd w:id="542"/>
      <w:r w:rsidRPr="00236418">
        <w:t>201</w:t>
      </w:r>
      <w:bookmarkEnd w:id="543"/>
      <w:bookmarkEnd w:id="544"/>
      <w:r w:rsidR="00760E92" w:rsidRPr="00236418">
        <w:t>8</w:t>
      </w:r>
      <w:bookmarkEnd w:id="545"/>
      <w:bookmarkEnd w:id="546"/>
      <w:bookmarkEnd w:id="547"/>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659"/>
        <w:gridCol w:w="1585"/>
        <w:gridCol w:w="1585"/>
      </w:tblGrid>
      <w:tr w:rsidR="00760E92" w:rsidRPr="00236418" w14:paraId="0283E36E" w14:textId="77777777" w:rsidTr="0040468D">
        <w:trPr>
          <w:trHeight w:val="510"/>
          <w:tblHeader/>
          <w:jc w:val="center"/>
        </w:trPr>
        <w:tc>
          <w:tcPr>
            <w:tcW w:w="0" w:type="auto"/>
            <w:tcBorders>
              <w:bottom w:val="single" w:sz="4" w:space="0" w:color="auto"/>
              <w:right w:val="single" w:sz="4" w:space="0" w:color="auto"/>
            </w:tcBorders>
            <w:vAlign w:val="center"/>
          </w:tcPr>
          <w:p w14:paraId="2F32FA7D" w14:textId="77777777" w:rsidR="00760E92" w:rsidRPr="00236418" w:rsidRDefault="00760E92" w:rsidP="009B3D24">
            <w:pPr>
              <w:pStyle w:val="Tablehead"/>
              <w:spacing w:before="20" w:after="20"/>
              <w:jc w:val="left"/>
              <w:rPr>
                <w:rFonts w:asciiTheme="minorHAnsi" w:hAnsiTheme="minorHAnsi" w:cstheme="minorHAnsi"/>
                <w:sz w:val="20"/>
              </w:rPr>
            </w:pPr>
            <w:r w:rsidRPr="00236418">
              <w:rPr>
                <w:rFonts w:asciiTheme="minorHAnsi" w:hAnsiTheme="minorHAnsi" w:cstheme="minorHAnsi"/>
                <w:bCs/>
                <w:sz w:val="20"/>
              </w:rPr>
              <w:t>(en milliers de CHF)</w:t>
            </w:r>
          </w:p>
        </w:tc>
        <w:tc>
          <w:tcPr>
            <w:tcW w:w="0" w:type="auto"/>
            <w:tcBorders>
              <w:left w:val="single" w:sz="4" w:space="0" w:color="auto"/>
              <w:bottom w:val="single" w:sz="4" w:space="0" w:color="auto"/>
              <w:right w:val="single" w:sz="4" w:space="0" w:color="auto"/>
            </w:tcBorders>
            <w:vAlign w:val="center"/>
          </w:tcPr>
          <w:p w14:paraId="59ED3A76" w14:textId="1AA3090C" w:rsidR="00760E92" w:rsidRPr="00236418" w:rsidRDefault="00760E92" w:rsidP="009B3D24">
            <w:pPr>
              <w:pStyle w:val="Tablehead"/>
              <w:spacing w:before="20" w:after="20"/>
              <w:ind w:right="130"/>
              <w:jc w:val="right"/>
              <w:rPr>
                <w:rFonts w:asciiTheme="minorHAnsi" w:hAnsiTheme="minorHAnsi" w:cstheme="minorHAnsi"/>
                <w:sz w:val="20"/>
              </w:rPr>
            </w:pPr>
            <w:r w:rsidRPr="00236418">
              <w:rPr>
                <w:rFonts w:asciiTheme="minorHAnsi" w:hAnsiTheme="minorHAnsi" w:cstheme="minorHAnsi"/>
                <w:sz w:val="20"/>
              </w:rPr>
              <w:t>31.12.2019</w:t>
            </w:r>
          </w:p>
        </w:tc>
        <w:tc>
          <w:tcPr>
            <w:tcW w:w="0" w:type="auto"/>
            <w:tcBorders>
              <w:left w:val="single" w:sz="4" w:space="0" w:color="auto"/>
              <w:bottom w:val="single" w:sz="4" w:space="0" w:color="auto"/>
              <w:right w:val="single" w:sz="4" w:space="0" w:color="auto"/>
            </w:tcBorders>
            <w:vAlign w:val="center"/>
          </w:tcPr>
          <w:p w14:paraId="7CE89AB4" w14:textId="150356A4" w:rsidR="00760E92" w:rsidRPr="00236418" w:rsidRDefault="00760E92" w:rsidP="009B3D24">
            <w:pPr>
              <w:pStyle w:val="Tablehead"/>
              <w:spacing w:before="20" w:after="20"/>
              <w:ind w:right="130"/>
              <w:jc w:val="right"/>
              <w:rPr>
                <w:rFonts w:asciiTheme="minorHAnsi" w:hAnsiTheme="minorHAnsi" w:cstheme="minorHAnsi"/>
                <w:sz w:val="20"/>
              </w:rPr>
            </w:pPr>
            <w:r w:rsidRPr="00236418">
              <w:rPr>
                <w:rFonts w:asciiTheme="minorHAnsi" w:hAnsiTheme="minorHAnsi" w:cstheme="minorHAnsi"/>
                <w:sz w:val="20"/>
              </w:rPr>
              <w:t>31.12.2018</w:t>
            </w:r>
          </w:p>
        </w:tc>
      </w:tr>
      <w:tr w:rsidR="004013A8" w:rsidRPr="00236418" w14:paraId="43F8DF18" w14:textId="77777777" w:rsidTr="0040468D">
        <w:trPr>
          <w:trHeight w:val="272"/>
          <w:jc w:val="center"/>
        </w:trPr>
        <w:tc>
          <w:tcPr>
            <w:tcW w:w="0" w:type="auto"/>
            <w:tcBorders>
              <w:top w:val="single" w:sz="4" w:space="0" w:color="auto"/>
              <w:bottom w:val="nil"/>
              <w:right w:val="single" w:sz="4" w:space="0" w:color="auto"/>
            </w:tcBorders>
            <w:vAlign w:val="center"/>
          </w:tcPr>
          <w:p w14:paraId="18B8A624" w14:textId="77777777" w:rsidR="004013A8" w:rsidRPr="00236418" w:rsidRDefault="004013A8" w:rsidP="009B3D24">
            <w:pPr>
              <w:pStyle w:val="Tabletext"/>
              <w:spacing w:before="20" w:after="20"/>
              <w:rPr>
                <w:rFonts w:asciiTheme="minorHAnsi" w:hAnsiTheme="minorHAnsi" w:cstheme="minorHAnsi"/>
                <w:b/>
                <w:sz w:val="20"/>
              </w:rPr>
            </w:pPr>
            <w:r w:rsidRPr="00236418">
              <w:rPr>
                <w:rFonts w:asciiTheme="minorHAnsi" w:hAnsiTheme="minorHAnsi" w:cstheme="minorHAnsi"/>
                <w:b/>
                <w:sz w:val="20"/>
              </w:rPr>
              <w:t>ACTIF</w:t>
            </w:r>
          </w:p>
        </w:tc>
        <w:tc>
          <w:tcPr>
            <w:tcW w:w="0" w:type="auto"/>
            <w:tcBorders>
              <w:top w:val="single" w:sz="4" w:space="0" w:color="auto"/>
              <w:left w:val="single" w:sz="4" w:space="0" w:color="auto"/>
              <w:bottom w:val="nil"/>
              <w:right w:val="single" w:sz="4" w:space="0" w:color="auto"/>
            </w:tcBorders>
          </w:tcPr>
          <w:p w14:paraId="36265A41" w14:textId="108CE739"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 </w:t>
            </w:r>
          </w:p>
        </w:tc>
        <w:tc>
          <w:tcPr>
            <w:tcW w:w="0" w:type="auto"/>
            <w:tcBorders>
              <w:top w:val="single" w:sz="4" w:space="0" w:color="auto"/>
              <w:left w:val="single" w:sz="4" w:space="0" w:color="auto"/>
              <w:bottom w:val="nil"/>
              <w:right w:val="single" w:sz="4" w:space="0" w:color="auto"/>
            </w:tcBorders>
          </w:tcPr>
          <w:p w14:paraId="78613345" w14:textId="43A64171"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4F88F597" w14:textId="77777777" w:rsidTr="0040468D">
        <w:trPr>
          <w:jc w:val="center"/>
        </w:trPr>
        <w:tc>
          <w:tcPr>
            <w:tcW w:w="0" w:type="auto"/>
            <w:tcBorders>
              <w:top w:val="nil"/>
              <w:bottom w:val="nil"/>
              <w:right w:val="single" w:sz="4" w:space="0" w:color="auto"/>
            </w:tcBorders>
            <w:vAlign w:val="bottom"/>
          </w:tcPr>
          <w:p w14:paraId="3D936D77"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Actifs courants</w:t>
            </w:r>
          </w:p>
        </w:tc>
        <w:tc>
          <w:tcPr>
            <w:tcW w:w="0" w:type="auto"/>
            <w:tcBorders>
              <w:top w:val="nil"/>
              <w:left w:val="single" w:sz="4" w:space="0" w:color="auto"/>
              <w:bottom w:val="nil"/>
              <w:right w:val="single" w:sz="4" w:space="0" w:color="auto"/>
            </w:tcBorders>
          </w:tcPr>
          <w:p w14:paraId="0762C0F7" w14:textId="088F412A"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7291697E" w14:textId="5C2968D0"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42373786" w14:textId="77777777" w:rsidTr="0040468D">
        <w:trPr>
          <w:jc w:val="center"/>
        </w:trPr>
        <w:tc>
          <w:tcPr>
            <w:tcW w:w="0" w:type="auto"/>
            <w:tcBorders>
              <w:top w:val="nil"/>
              <w:bottom w:val="nil"/>
              <w:right w:val="single" w:sz="4" w:space="0" w:color="auto"/>
            </w:tcBorders>
          </w:tcPr>
          <w:p w14:paraId="54429492"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Trésorerie et équivalents de trésorerie</w:t>
            </w:r>
          </w:p>
        </w:tc>
        <w:tc>
          <w:tcPr>
            <w:tcW w:w="0" w:type="auto"/>
            <w:tcBorders>
              <w:top w:val="nil"/>
              <w:left w:val="single" w:sz="4" w:space="0" w:color="auto"/>
              <w:bottom w:val="nil"/>
              <w:right w:val="single" w:sz="4" w:space="0" w:color="auto"/>
            </w:tcBorders>
          </w:tcPr>
          <w:p w14:paraId="5A796955" w14:textId="16074361"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178 852</w:t>
            </w:r>
          </w:p>
        </w:tc>
        <w:tc>
          <w:tcPr>
            <w:tcW w:w="0" w:type="auto"/>
            <w:tcBorders>
              <w:top w:val="nil"/>
              <w:left w:val="single" w:sz="4" w:space="0" w:color="auto"/>
              <w:bottom w:val="nil"/>
              <w:right w:val="single" w:sz="4" w:space="0" w:color="auto"/>
            </w:tcBorders>
          </w:tcPr>
          <w:p w14:paraId="7ECAB964" w14:textId="3BA6C875"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161 826</w:t>
            </w:r>
          </w:p>
        </w:tc>
      </w:tr>
      <w:tr w:rsidR="004013A8" w:rsidRPr="00236418" w14:paraId="0BDA6FCC" w14:textId="77777777" w:rsidTr="0040468D">
        <w:trPr>
          <w:jc w:val="center"/>
        </w:trPr>
        <w:tc>
          <w:tcPr>
            <w:tcW w:w="0" w:type="auto"/>
            <w:tcBorders>
              <w:top w:val="nil"/>
              <w:bottom w:val="nil"/>
              <w:right w:val="single" w:sz="4" w:space="0" w:color="auto"/>
            </w:tcBorders>
          </w:tcPr>
          <w:p w14:paraId="5B59F5CE"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Placements</w:t>
            </w:r>
          </w:p>
        </w:tc>
        <w:tc>
          <w:tcPr>
            <w:tcW w:w="0" w:type="auto"/>
            <w:tcBorders>
              <w:top w:val="nil"/>
              <w:left w:val="single" w:sz="4" w:space="0" w:color="auto"/>
              <w:bottom w:val="nil"/>
              <w:right w:val="single" w:sz="4" w:space="0" w:color="auto"/>
            </w:tcBorders>
          </w:tcPr>
          <w:p w14:paraId="692AED5E" w14:textId="34850FC3"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33 329</w:t>
            </w:r>
          </w:p>
        </w:tc>
        <w:tc>
          <w:tcPr>
            <w:tcW w:w="0" w:type="auto"/>
            <w:tcBorders>
              <w:top w:val="nil"/>
              <w:left w:val="single" w:sz="4" w:space="0" w:color="auto"/>
              <w:bottom w:val="nil"/>
              <w:right w:val="single" w:sz="4" w:space="0" w:color="auto"/>
            </w:tcBorders>
          </w:tcPr>
          <w:p w14:paraId="2EE11474" w14:textId="086502A1"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48 996</w:t>
            </w:r>
          </w:p>
        </w:tc>
      </w:tr>
      <w:tr w:rsidR="004013A8" w:rsidRPr="00236418" w14:paraId="6DF25095" w14:textId="77777777" w:rsidTr="0040468D">
        <w:trPr>
          <w:jc w:val="center"/>
        </w:trPr>
        <w:tc>
          <w:tcPr>
            <w:tcW w:w="0" w:type="auto"/>
            <w:tcBorders>
              <w:top w:val="nil"/>
              <w:bottom w:val="nil"/>
              <w:right w:val="single" w:sz="4" w:space="0" w:color="auto"/>
            </w:tcBorders>
          </w:tcPr>
          <w:p w14:paraId="55FFADCA"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Créances avec contrepartie directe</w:t>
            </w:r>
          </w:p>
        </w:tc>
        <w:tc>
          <w:tcPr>
            <w:tcW w:w="0" w:type="auto"/>
            <w:tcBorders>
              <w:top w:val="nil"/>
              <w:left w:val="single" w:sz="4" w:space="0" w:color="auto"/>
              <w:bottom w:val="nil"/>
              <w:right w:val="single" w:sz="4" w:space="0" w:color="auto"/>
            </w:tcBorders>
          </w:tcPr>
          <w:p w14:paraId="3CEB27B5" w14:textId="30EB5A52"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6 471</w:t>
            </w:r>
          </w:p>
        </w:tc>
        <w:tc>
          <w:tcPr>
            <w:tcW w:w="0" w:type="auto"/>
            <w:tcBorders>
              <w:top w:val="nil"/>
              <w:left w:val="single" w:sz="4" w:space="0" w:color="auto"/>
              <w:bottom w:val="nil"/>
              <w:right w:val="single" w:sz="4" w:space="0" w:color="auto"/>
            </w:tcBorders>
          </w:tcPr>
          <w:p w14:paraId="245F0FEA" w14:textId="262290F7"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5 407</w:t>
            </w:r>
          </w:p>
        </w:tc>
      </w:tr>
      <w:tr w:rsidR="004013A8" w:rsidRPr="00236418" w14:paraId="7ABE40A9" w14:textId="77777777" w:rsidTr="0040468D">
        <w:trPr>
          <w:jc w:val="center"/>
        </w:trPr>
        <w:tc>
          <w:tcPr>
            <w:tcW w:w="0" w:type="auto"/>
            <w:tcBorders>
              <w:top w:val="nil"/>
              <w:bottom w:val="nil"/>
              <w:right w:val="single" w:sz="4" w:space="0" w:color="auto"/>
            </w:tcBorders>
          </w:tcPr>
          <w:p w14:paraId="040A5666"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 xml:space="preserve">Créances sans contrepartie directe </w:t>
            </w:r>
          </w:p>
        </w:tc>
        <w:tc>
          <w:tcPr>
            <w:tcW w:w="0" w:type="auto"/>
            <w:tcBorders>
              <w:top w:val="nil"/>
              <w:left w:val="single" w:sz="4" w:space="0" w:color="auto"/>
              <w:bottom w:val="nil"/>
              <w:right w:val="single" w:sz="4" w:space="0" w:color="auto"/>
            </w:tcBorders>
          </w:tcPr>
          <w:p w14:paraId="135504D3" w14:textId="5E9DC3E1"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88 315</w:t>
            </w:r>
          </w:p>
        </w:tc>
        <w:tc>
          <w:tcPr>
            <w:tcW w:w="0" w:type="auto"/>
            <w:tcBorders>
              <w:top w:val="nil"/>
              <w:left w:val="single" w:sz="4" w:space="0" w:color="auto"/>
              <w:bottom w:val="nil"/>
              <w:right w:val="single" w:sz="4" w:space="0" w:color="auto"/>
            </w:tcBorders>
          </w:tcPr>
          <w:p w14:paraId="3FA6BD70" w14:textId="1720093B"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85 356</w:t>
            </w:r>
          </w:p>
        </w:tc>
      </w:tr>
      <w:tr w:rsidR="004013A8" w:rsidRPr="00236418" w14:paraId="4B67D9A5" w14:textId="77777777" w:rsidTr="0040468D">
        <w:trPr>
          <w:jc w:val="center"/>
        </w:trPr>
        <w:tc>
          <w:tcPr>
            <w:tcW w:w="0" w:type="auto"/>
            <w:tcBorders>
              <w:top w:val="nil"/>
              <w:bottom w:val="nil"/>
              <w:right w:val="single" w:sz="4" w:space="0" w:color="auto"/>
            </w:tcBorders>
          </w:tcPr>
          <w:p w14:paraId="6FC37E77"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Stocks</w:t>
            </w:r>
          </w:p>
        </w:tc>
        <w:tc>
          <w:tcPr>
            <w:tcW w:w="0" w:type="auto"/>
            <w:tcBorders>
              <w:top w:val="nil"/>
              <w:left w:val="single" w:sz="4" w:space="0" w:color="auto"/>
              <w:bottom w:val="nil"/>
              <w:right w:val="single" w:sz="4" w:space="0" w:color="auto"/>
            </w:tcBorders>
          </w:tcPr>
          <w:p w14:paraId="1CF49FC9" w14:textId="287678C1"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539</w:t>
            </w:r>
          </w:p>
        </w:tc>
        <w:tc>
          <w:tcPr>
            <w:tcW w:w="0" w:type="auto"/>
            <w:tcBorders>
              <w:top w:val="nil"/>
              <w:left w:val="single" w:sz="4" w:space="0" w:color="auto"/>
              <w:bottom w:val="nil"/>
              <w:right w:val="single" w:sz="4" w:space="0" w:color="auto"/>
            </w:tcBorders>
          </w:tcPr>
          <w:p w14:paraId="6FA2962B" w14:textId="430EEA6F"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535</w:t>
            </w:r>
          </w:p>
        </w:tc>
      </w:tr>
      <w:tr w:rsidR="004013A8" w:rsidRPr="00236418" w14:paraId="65816A68" w14:textId="77777777" w:rsidTr="0040468D">
        <w:trPr>
          <w:jc w:val="center"/>
        </w:trPr>
        <w:tc>
          <w:tcPr>
            <w:tcW w:w="0" w:type="auto"/>
            <w:tcBorders>
              <w:top w:val="nil"/>
              <w:bottom w:val="nil"/>
              <w:right w:val="single" w:sz="4" w:space="0" w:color="auto"/>
            </w:tcBorders>
          </w:tcPr>
          <w:p w14:paraId="6A1569AD"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Autres créances</w:t>
            </w:r>
          </w:p>
        </w:tc>
        <w:tc>
          <w:tcPr>
            <w:tcW w:w="0" w:type="auto"/>
            <w:tcBorders>
              <w:top w:val="nil"/>
              <w:left w:val="single" w:sz="4" w:space="0" w:color="auto"/>
              <w:bottom w:val="nil"/>
              <w:right w:val="single" w:sz="4" w:space="0" w:color="auto"/>
            </w:tcBorders>
          </w:tcPr>
          <w:p w14:paraId="2F847098" w14:textId="1405CF40"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8 213</w:t>
            </w:r>
          </w:p>
        </w:tc>
        <w:tc>
          <w:tcPr>
            <w:tcW w:w="0" w:type="auto"/>
            <w:tcBorders>
              <w:top w:val="nil"/>
              <w:left w:val="single" w:sz="4" w:space="0" w:color="auto"/>
              <w:bottom w:val="nil"/>
              <w:right w:val="single" w:sz="4" w:space="0" w:color="auto"/>
            </w:tcBorders>
          </w:tcPr>
          <w:p w14:paraId="06E049F2" w14:textId="2E448189"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8 534</w:t>
            </w:r>
          </w:p>
        </w:tc>
      </w:tr>
      <w:tr w:rsidR="009F07D7" w:rsidRPr="00236418" w14:paraId="4BF18CCB" w14:textId="77777777" w:rsidTr="0040468D">
        <w:trPr>
          <w:jc w:val="center"/>
        </w:trPr>
        <w:tc>
          <w:tcPr>
            <w:tcW w:w="0" w:type="auto"/>
            <w:tcBorders>
              <w:top w:val="nil"/>
              <w:bottom w:val="nil"/>
              <w:right w:val="single" w:sz="4" w:space="0" w:color="auto"/>
            </w:tcBorders>
          </w:tcPr>
          <w:p w14:paraId="67E1F60B" w14:textId="67D30F30" w:rsidR="009F07D7" w:rsidRPr="00236418" w:rsidRDefault="009F07D7" w:rsidP="009B3D24">
            <w:pPr>
              <w:pStyle w:val="Tabletext"/>
              <w:spacing w:before="20" w:after="20"/>
              <w:rPr>
                <w:rFonts w:asciiTheme="minorHAnsi" w:hAnsiTheme="minorHAnsi" w:cstheme="minorHAnsi"/>
                <w:sz w:val="20"/>
              </w:rPr>
            </w:pPr>
            <w:r w:rsidRPr="00236418">
              <w:rPr>
                <w:rFonts w:asciiTheme="minorHAnsi" w:hAnsiTheme="minorHAnsi" w:cstheme="minorHAnsi"/>
                <w:sz w:val="20"/>
              </w:rPr>
              <w:t>Charges reportées – Assurance maladie</w:t>
            </w:r>
          </w:p>
        </w:tc>
        <w:tc>
          <w:tcPr>
            <w:tcW w:w="0" w:type="auto"/>
            <w:tcBorders>
              <w:top w:val="nil"/>
              <w:left w:val="single" w:sz="4" w:space="0" w:color="auto"/>
              <w:bottom w:val="nil"/>
              <w:right w:val="single" w:sz="4" w:space="0" w:color="auto"/>
            </w:tcBorders>
          </w:tcPr>
          <w:p w14:paraId="62A8EC4B" w14:textId="689F6D37" w:rsidR="009F07D7" w:rsidRPr="00236418" w:rsidRDefault="009F07D7" w:rsidP="009B3D24">
            <w:pPr>
              <w:pStyle w:val="Tabletext"/>
              <w:jc w:val="right"/>
              <w:rPr>
                <w:sz w:val="20"/>
                <w:lang w:eastAsia="en-GB"/>
              </w:rPr>
            </w:pPr>
            <w:r w:rsidRPr="00236418">
              <w:rPr>
                <w:sz w:val="20"/>
                <w:lang w:eastAsia="en-GB"/>
              </w:rPr>
              <w:t>21 154</w:t>
            </w:r>
          </w:p>
        </w:tc>
        <w:tc>
          <w:tcPr>
            <w:tcW w:w="0" w:type="auto"/>
            <w:tcBorders>
              <w:top w:val="nil"/>
              <w:left w:val="single" w:sz="4" w:space="0" w:color="auto"/>
              <w:bottom w:val="nil"/>
              <w:right w:val="single" w:sz="4" w:space="0" w:color="auto"/>
            </w:tcBorders>
          </w:tcPr>
          <w:p w14:paraId="057DF375" w14:textId="472DCF9D" w:rsidR="009F07D7" w:rsidRPr="00236418" w:rsidRDefault="009F07D7"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w:t>
            </w:r>
          </w:p>
        </w:tc>
      </w:tr>
      <w:tr w:rsidR="004013A8" w:rsidRPr="00236418" w14:paraId="7DAEEB09" w14:textId="77777777" w:rsidTr="0040468D">
        <w:trPr>
          <w:jc w:val="center"/>
        </w:trPr>
        <w:tc>
          <w:tcPr>
            <w:tcW w:w="0" w:type="auto"/>
            <w:tcBorders>
              <w:top w:val="nil"/>
              <w:bottom w:val="nil"/>
              <w:right w:val="single" w:sz="4" w:space="0" w:color="auto"/>
            </w:tcBorders>
          </w:tcPr>
          <w:p w14:paraId="30DBF90A"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Total des actifs courants</w:t>
            </w:r>
          </w:p>
        </w:tc>
        <w:tc>
          <w:tcPr>
            <w:tcW w:w="0" w:type="auto"/>
            <w:tcBorders>
              <w:top w:val="nil"/>
              <w:left w:val="single" w:sz="4" w:space="0" w:color="auto"/>
              <w:bottom w:val="nil"/>
              <w:right w:val="single" w:sz="4" w:space="0" w:color="auto"/>
            </w:tcBorders>
          </w:tcPr>
          <w:p w14:paraId="19C398E4" w14:textId="3165814B" w:rsidR="004013A8" w:rsidRPr="00236418" w:rsidRDefault="009F07D7" w:rsidP="009B3D24">
            <w:pPr>
              <w:pStyle w:val="Tabletext"/>
              <w:jc w:val="right"/>
              <w:rPr>
                <w:rFonts w:asciiTheme="minorHAnsi" w:hAnsiTheme="minorHAnsi" w:cstheme="minorHAnsi"/>
                <w:b/>
                <w:bCs/>
                <w:sz w:val="20"/>
                <w:lang w:eastAsia="zh-CN"/>
              </w:rPr>
            </w:pPr>
            <w:r w:rsidRPr="00236418">
              <w:rPr>
                <w:b/>
                <w:bCs/>
                <w:sz w:val="20"/>
                <w:lang w:eastAsia="en-GB"/>
              </w:rPr>
              <w:t>336 873</w:t>
            </w:r>
          </w:p>
        </w:tc>
        <w:tc>
          <w:tcPr>
            <w:tcW w:w="0" w:type="auto"/>
            <w:tcBorders>
              <w:top w:val="nil"/>
              <w:left w:val="single" w:sz="4" w:space="0" w:color="auto"/>
              <w:bottom w:val="nil"/>
              <w:right w:val="single" w:sz="4" w:space="0" w:color="auto"/>
            </w:tcBorders>
          </w:tcPr>
          <w:p w14:paraId="7FCD2FC7" w14:textId="152A3D1D"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310 653</w:t>
            </w:r>
          </w:p>
        </w:tc>
      </w:tr>
      <w:tr w:rsidR="004013A8" w:rsidRPr="00236418" w14:paraId="5B9E2E4D" w14:textId="77777777" w:rsidTr="0040468D">
        <w:trPr>
          <w:trHeight w:val="201"/>
          <w:jc w:val="center"/>
        </w:trPr>
        <w:tc>
          <w:tcPr>
            <w:tcW w:w="0" w:type="auto"/>
            <w:tcBorders>
              <w:top w:val="nil"/>
              <w:bottom w:val="nil"/>
              <w:right w:val="single" w:sz="4" w:space="0" w:color="auto"/>
            </w:tcBorders>
            <w:vAlign w:val="bottom"/>
          </w:tcPr>
          <w:p w14:paraId="3A7BC150" w14:textId="77777777" w:rsidR="004013A8" w:rsidRPr="00236418" w:rsidRDefault="004013A8" w:rsidP="0040468D">
            <w:pPr>
              <w:pStyle w:val="Tabletext"/>
              <w:spacing w:before="0" w:after="0"/>
              <w:rPr>
                <w:rFonts w:asciiTheme="minorHAnsi" w:hAnsiTheme="minorHAnsi" w:cstheme="minorHAnsi"/>
                <w:b/>
                <w:sz w:val="20"/>
              </w:rPr>
            </w:pPr>
          </w:p>
        </w:tc>
        <w:tc>
          <w:tcPr>
            <w:tcW w:w="0" w:type="auto"/>
            <w:tcBorders>
              <w:top w:val="nil"/>
              <w:left w:val="single" w:sz="4" w:space="0" w:color="auto"/>
              <w:bottom w:val="nil"/>
              <w:right w:val="single" w:sz="4" w:space="0" w:color="auto"/>
            </w:tcBorders>
          </w:tcPr>
          <w:p w14:paraId="6BE867D8" w14:textId="59AFD531" w:rsidR="004013A8" w:rsidRPr="00236418" w:rsidRDefault="004013A8" w:rsidP="0040468D">
            <w:pPr>
              <w:pStyle w:val="Tabletext"/>
              <w:spacing w:before="0" w:after="0"/>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4DE4BFC8" w14:textId="10773AEF" w:rsidR="004013A8" w:rsidRPr="00236418" w:rsidRDefault="004013A8" w:rsidP="0040468D">
            <w:pPr>
              <w:pStyle w:val="Tabletext"/>
              <w:spacing w:before="0" w:after="0"/>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5315A88F" w14:textId="77777777" w:rsidTr="0040468D">
        <w:trPr>
          <w:trHeight w:val="127"/>
          <w:jc w:val="center"/>
        </w:trPr>
        <w:tc>
          <w:tcPr>
            <w:tcW w:w="0" w:type="auto"/>
            <w:tcBorders>
              <w:top w:val="nil"/>
              <w:bottom w:val="nil"/>
              <w:right w:val="single" w:sz="4" w:space="0" w:color="auto"/>
            </w:tcBorders>
            <w:vAlign w:val="bottom"/>
          </w:tcPr>
          <w:p w14:paraId="5E632739"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Actifs non courants</w:t>
            </w:r>
          </w:p>
        </w:tc>
        <w:tc>
          <w:tcPr>
            <w:tcW w:w="0" w:type="auto"/>
            <w:tcBorders>
              <w:top w:val="nil"/>
              <w:left w:val="single" w:sz="4" w:space="0" w:color="auto"/>
              <w:bottom w:val="nil"/>
              <w:right w:val="single" w:sz="4" w:space="0" w:color="auto"/>
            </w:tcBorders>
          </w:tcPr>
          <w:p w14:paraId="091E6B9E" w14:textId="4992B0E9"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6F1350F5" w14:textId="491C9B8B"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05705331" w14:textId="77777777" w:rsidTr="0040468D">
        <w:trPr>
          <w:trHeight w:val="127"/>
          <w:jc w:val="center"/>
        </w:trPr>
        <w:tc>
          <w:tcPr>
            <w:tcW w:w="0" w:type="auto"/>
            <w:tcBorders>
              <w:top w:val="nil"/>
              <w:bottom w:val="nil"/>
              <w:right w:val="single" w:sz="4" w:space="0" w:color="auto"/>
            </w:tcBorders>
            <w:vAlign w:val="bottom"/>
          </w:tcPr>
          <w:p w14:paraId="00F062F9" w14:textId="77777777" w:rsidR="004013A8" w:rsidRPr="00236418" w:rsidRDefault="004013A8" w:rsidP="009B3D24">
            <w:pPr>
              <w:pStyle w:val="Tabletext"/>
              <w:spacing w:before="20" w:after="20"/>
              <w:rPr>
                <w:rFonts w:asciiTheme="minorHAnsi" w:hAnsiTheme="minorHAnsi" w:cstheme="minorHAnsi"/>
                <w:b/>
                <w:sz w:val="20"/>
              </w:rPr>
            </w:pPr>
            <w:r w:rsidRPr="00236418">
              <w:rPr>
                <w:rFonts w:asciiTheme="minorHAnsi" w:hAnsiTheme="minorHAnsi" w:cstheme="minorHAnsi"/>
                <w:sz w:val="20"/>
              </w:rPr>
              <w:t>Créances sans contrepartie directe</w:t>
            </w:r>
          </w:p>
        </w:tc>
        <w:tc>
          <w:tcPr>
            <w:tcW w:w="0" w:type="auto"/>
            <w:tcBorders>
              <w:top w:val="nil"/>
              <w:left w:val="single" w:sz="4" w:space="0" w:color="auto"/>
              <w:bottom w:val="nil"/>
              <w:right w:val="single" w:sz="4" w:space="0" w:color="auto"/>
            </w:tcBorders>
          </w:tcPr>
          <w:p w14:paraId="3D8B387D" w14:textId="3863C12D"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w:t>
            </w:r>
          </w:p>
        </w:tc>
        <w:tc>
          <w:tcPr>
            <w:tcW w:w="0" w:type="auto"/>
            <w:tcBorders>
              <w:top w:val="nil"/>
              <w:left w:val="single" w:sz="4" w:space="0" w:color="auto"/>
              <w:bottom w:val="nil"/>
              <w:right w:val="single" w:sz="4" w:space="0" w:color="auto"/>
            </w:tcBorders>
          </w:tcPr>
          <w:p w14:paraId="2102D9F5" w14:textId="69881097"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w:t>
            </w:r>
          </w:p>
        </w:tc>
      </w:tr>
      <w:tr w:rsidR="004013A8" w:rsidRPr="00236418" w14:paraId="168DCA46" w14:textId="77777777" w:rsidTr="0040468D">
        <w:trPr>
          <w:jc w:val="center"/>
        </w:trPr>
        <w:tc>
          <w:tcPr>
            <w:tcW w:w="0" w:type="auto"/>
            <w:tcBorders>
              <w:top w:val="nil"/>
              <w:bottom w:val="nil"/>
              <w:right w:val="single" w:sz="4" w:space="0" w:color="auto"/>
            </w:tcBorders>
          </w:tcPr>
          <w:p w14:paraId="41342158"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Immobilisations corporelles</w:t>
            </w:r>
          </w:p>
        </w:tc>
        <w:tc>
          <w:tcPr>
            <w:tcW w:w="0" w:type="auto"/>
            <w:tcBorders>
              <w:top w:val="nil"/>
              <w:left w:val="single" w:sz="4" w:space="0" w:color="auto"/>
              <w:bottom w:val="nil"/>
              <w:right w:val="single" w:sz="4" w:space="0" w:color="auto"/>
            </w:tcBorders>
          </w:tcPr>
          <w:p w14:paraId="1CBDF655" w14:textId="75CCEB20"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92 675</w:t>
            </w:r>
          </w:p>
        </w:tc>
        <w:tc>
          <w:tcPr>
            <w:tcW w:w="0" w:type="auto"/>
            <w:tcBorders>
              <w:top w:val="nil"/>
              <w:left w:val="single" w:sz="4" w:space="0" w:color="auto"/>
              <w:bottom w:val="nil"/>
              <w:right w:val="single" w:sz="4" w:space="0" w:color="auto"/>
            </w:tcBorders>
          </w:tcPr>
          <w:p w14:paraId="3E9FE129" w14:textId="23F15CAE"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95 625</w:t>
            </w:r>
          </w:p>
        </w:tc>
      </w:tr>
      <w:tr w:rsidR="004013A8" w:rsidRPr="00236418" w14:paraId="07BD45A5" w14:textId="77777777" w:rsidTr="0040468D">
        <w:trPr>
          <w:jc w:val="center"/>
        </w:trPr>
        <w:tc>
          <w:tcPr>
            <w:tcW w:w="0" w:type="auto"/>
            <w:tcBorders>
              <w:top w:val="nil"/>
              <w:bottom w:val="nil"/>
              <w:right w:val="single" w:sz="4" w:space="0" w:color="auto"/>
            </w:tcBorders>
          </w:tcPr>
          <w:p w14:paraId="589593E1"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Immobilisations incorporelles</w:t>
            </w:r>
          </w:p>
        </w:tc>
        <w:tc>
          <w:tcPr>
            <w:tcW w:w="0" w:type="auto"/>
            <w:tcBorders>
              <w:top w:val="nil"/>
              <w:left w:val="single" w:sz="4" w:space="0" w:color="auto"/>
              <w:bottom w:val="nil"/>
              <w:right w:val="single" w:sz="4" w:space="0" w:color="auto"/>
            </w:tcBorders>
          </w:tcPr>
          <w:p w14:paraId="0D658D9D" w14:textId="2FA043DB"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1 886</w:t>
            </w:r>
          </w:p>
        </w:tc>
        <w:tc>
          <w:tcPr>
            <w:tcW w:w="0" w:type="auto"/>
            <w:tcBorders>
              <w:top w:val="nil"/>
              <w:left w:val="single" w:sz="4" w:space="0" w:color="auto"/>
              <w:bottom w:val="nil"/>
              <w:right w:val="single" w:sz="4" w:space="0" w:color="auto"/>
            </w:tcBorders>
          </w:tcPr>
          <w:p w14:paraId="0BF66CEC" w14:textId="7D7D414B"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2 058</w:t>
            </w:r>
          </w:p>
        </w:tc>
      </w:tr>
      <w:tr w:rsidR="004013A8" w:rsidRPr="00236418" w14:paraId="301E2ABF" w14:textId="77777777" w:rsidTr="0040468D">
        <w:trPr>
          <w:jc w:val="center"/>
        </w:trPr>
        <w:tc>
          <w:tcPr>
            <w:tcW w:w="0" w:type="auto"/>
            <w:tcBorders>
              <w:top w:val="nil"/>
              <w:bottom w:val="nil"/>
              <w:right w:val="single" w:sz="4" w:space="0" w:color="auto"/>
            </w:tcBorders>
          </w:tcPr>
          <w:p w14:paraId="03258F5B" w14:textId="77777777" w:rsidR="004013A8" w:rsidRPr="00236418" w:rsidRDefault="004013A8" w:rsidP="009B3D24">
            <w:pPr>
              <w:pStyle w:val="Tabletext"/>
              <w:spacing w:before="20" w:after="20"/>
              <w:rPr>
                <w:rFonts w:asciiTheme="minorHAnsi" w:hAnsiTheme="minorHAnsi" w:cstheme="minorHAnsi"/>
                <w:sz w:val="20"/>
              </w:rPr>
            </w:pPr>
            <w:r w:rsidRPr="00236418">
              <w:rPr>
                <w:rFonts w:asciiTheme="minorHAnsi" w:hAnsiTheme="minorHAnsi" w:cstheme="minorHAnsi"/>
                <w:sz w:val="20"/>
              </w:rPr>
              <w:t>Biens en construction</w:t>
            </w:r>
          </w:p>
        </w:tc>
        <w:tc>
          <w:tcPr>
            <w:tcW w:w="0" w:type="auto"/>
            <w:tcBorders>
              <w:top w:val="nil"/>
              <w:left w:val="single" w:sz="4" w:space="0" w:color="auto"/>
              <w:bottom w:val="nil"/>
              <w:right w:val="single" w:sz="4" w:space="0" w:color="auto"/>
            </w:tcBorders>
          </w:tcPr>
          <w:p w14:paraId="3F98492E" w14:textId="64DBD349"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5 190</w:t>
            </w:r>
          </w:p>
        </w:tc>
        <w:tc>
          <w:tcPr>
            <w:tcW w:w="0" w:type="auto"/>
            <w:tcBorders>
              <w:top w:val="nil"/>
              <w:left w:val="single" w:sz="4" w:space="0" w:color="auto"/>
              <w:bottom w:val="nil"/>
              <w:right w:val="single" w:sz="4" w:space="0" w:color="auto"/>
            </w:tcBorders>
          </w:tcPr>
          <w:p w14:paraId="503C3084" w14:textId="493EE264"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2 309</w:t>
            </w:r>
          </w:p>
        </w:tc>
      </w:tr>
      <w:tr w:rsidR="009F07D7" w:rsidRPr="00236418" w14:paraId="1E1EFBD8" w14:textId="77777777" w:rsidTr="0040468D">
        <w:trPr>
          <w:jc w:val="center"/>
        </w:trPr>
        <w:tc>
          <w:tcPr>
            <w:tcW w:w="0" w:type="auto"/>
            <w:tcBorders>
              <w:top w:val="nil"/>
              <w:bottom w:val="nil"/>
              <w:right w:val="single" w:sz="4" w:space="0" w:color="auto"/>
            </w:tcBorders>
          </w:tcPr>
          <w:p w14:paraId="5184DC95" w14:textId="57A42F41" w:rsidR="009F07D7" w:rsidRPr="00236418" w:rsidRDefault="009F07D7" w:rsidP="009B3D24">
            <w:pPr>
              <w:pStyle w:val="Tabletext"/>
              <w:spacing w:before="20" w:after="20"/>
              <w:rPr>
                <w:rFonts w:asciiTheme="minorHAnsi" w:hAnsiTheme="minorHAnsi" w:cstheme="minorHAnsi"/>
                <w:sz w:val="20"/>
              </w:rPr>
            </w:pPr>
            <w:r w:rsidRPr="00236418">
              <w:rPr>
                <w:rFonts w:asciiTheme="minorHAnsi" w:hAnsiTheme="minorHAnsi" w:cstheme="minorHAnsi"/>
                <w:sz w:val="20"/>
              </w:rPr>
              <w:t>Charges reportées – Assurance maladie</w:t>
            </w:r>
          </w:p>
        </w:tc>
        <w:tc>
          <w:tcPr>
            <w:tcW w:w="0" w:type="auto"/>
            <w:tcBorders>
              <w:top w:val="nil"/>
              <w:left w:val="single" w:sz="4" w:space="0" w:color="auto"/>
              <w:bottom w:val="nil"/>
              <w:right w:val="single" w:sz="4" w:space="0" w:color="auto"/>
            </w:tcBorders>
          </w:tcPr>
          <w:p w14:paraId="710F2162" w14:textId="22058F98" w:rsidR="009F07D7" w:rsidRPr="00236418" w:rsidRDefault="009F07D7" w:rsidP="009B3D24">
            <w:pPr>
              <w:pStyle w:val="Tabletext"/>
              <w:jc w:val="right"/>
              <w:rPr>
                <w:sz w:val="20"/>
                <w:lang w:eastAsia="en-GB"/>
              </w:rPr>
            </w:pPr>
            <w:r w:rsidRPr="00236418">
              <w:rPr>
                <w:sz w:val="20"/>
                <w:lang w:eastAsia="en-GB"/>
              </w:rPr>
              <w:t>20 877</w:t>
            </w:r>
          </w:p>
        </w:tc>
        <w:tc>
          <w:tcPr>
            <w:tcW w:w="0" w:type="auto"/>
            <w:tcBorders>
              <w:top w:val="nil"/>
              <w:left w:val="single" w:sz="4" w:space="0" w:color="auto"/>
              <w:bottom w:val="nil"/>
              <w:right w:val="single" w:sz="4" w:space="0" w:color="auto"/>
            </w:tcBorders>
          </w:tcPr>
          <w:p w14:paraId="6C80A3F6" w14:textId="414A26F8" w:rsidR="009F07D7" w:rsidRPr="00236418" w:rsidRDefault="009F07D7"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w:t>
            </w:r>
          </w:p>
        </w:tc>
      </w:tr>
      <w:tr w:rsidR="004013A8" w:rsidRPr="00236418" w14:paraId="4E4569A7" w14:textId="77777777" w:rsidTr="0040468D">
        <w:trPr>
          <w:jc w:val="center"/>
        </w:trPr>
        <w:tc>
          <w:tcPr>
            <w:tcW w:w="0" w:type="auto"/>
            <w:tcBorders>
              <w:top w:val="nil"/>
              <w:bottom w:val="nil"/>
              <w:right w:val="single" w:sz="4" w:space="0" w:color="auto"/>
            </w:tcBorders>
          </w:tcPr>
          <w:p w14:paraId="105A9F5B"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Total des actifs non courants</w:t>
            </w:r>
          </w:p>
        </w:tc>
        <w:tc>
          <w:tcPr>
            <w:tcW w:w="0" w:type="auto"/>
            <w:tcBorders>
              <w:top w:val="nil"/>
              <w:left w:val="single" w:sz="4" w:space="0" w:color="auto"/>
              <w:bottom w:val="nil"/>
              <w:right w:val="single" w:sz="4" w:space="0" w:color="auto"/>
            </w:tcBorders>
          </w:tcPr>
          <w:p w14:paraId="3D3F8016" w14:textId="72924E64" w:rsidR="004013A8" w:rsidRPr="00236418" w:rsidRDefault="009F07D7" w:rsidP="009B3D24">
            <w:pPr>
              <w:pStyle w:val="Tabletext"/>
              <w:jc w:val="right"/>
              <w:rPr>
                <w:rFonts w:asciiTheme="minorHAnsi" w:hAnsiTheme="minorHAnsi" w:cstheme="minorHAnsi"/>
                <w:b/>
                <w:bCs/>
                <w:sz w:val="20"/>
                <w:lang w:eastAsia="zh-CN"/>
              </w:rPr>
            </w:pPr>
            <w:r w:rsidRPr="00236418">
              <w:rPr>
                <w:b/>
                <w:bCs/>
                <w:sz w:val="20"/>
                <w:lang w:eastAsia="en-GB"/>
              </w:rPr>
              <w:t>120 628</w:t>
            </w:r>
          </w:p>
        </w:tc>
        <w:tc>
          <w:tcPr>
            <w:tcW w:w="0" w:type="auto"/>
            <w:tcBorders>
              <w:top w:val="nil"/>
              <w:left w:val="single" w:sz="4" w:space="0" w:color="auto"/>
              <w:bottom w:val="nil"/>
              <w:right w:val="single" w:sz="4" w:space="0" w:color="auto"/>
            </w:tcBorders>
          </w:tcPr>
          <w:p w14:paraId="4821A861" w14:textId="0C7FF1D2"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99 992</w:t>
            </w:r>
          </w:p>
        </w:tc>
      </w:tr>
      <w:tr w:rsidR="004013A8" w:rsidRPr="00236418" w14:paraId="608AA2A6" w14:textId="77777777" w:rsidTr="0040468D">
        <w:trPr>
          <w:jc w:val="center"/>
        </w:trPr>
        <w:tc>
          <w:tcPr>
            <w:tcW w:w="0" w:type="auto"/>
            <w:tcBorders>
              <w:top w:val="nil"/>
              <w:bottom w:val="single" w:sz="4" w:space="0" w:color="auto"/>
              <w:right w:val="single" w:sz="4" w:space="0" w:color="auto"/>
            </w:tcBorders>
          </w:tcPr>
          <w:p w14:paraId="38BE3035" w14:textId="77777777" w:rsidR="004013A8" w:rsidRPr="00236418" w:rsidRDefault="004013A8" w:rsidP="0040468D">
            <w:pPr>
              <w:pStyle w:val="Tabletext"/>
              <w:spacing w:before="0" w:after="0"/>
              <w:rPr>
                <w:rFonts w:asciiTheme="minorHAnsi" w:hAnsiTheme="minorHAnsi" w:cstheme="minorHAnsi"/>
                <w:b/>
                <w:sz w:val="20"/>
              </w:rPr>
            </w:pPr>
          </w:p>
        </w:tc>
        <w:tc>
          <w:tcPr>
            <w:tcW w:w="0" w:type="auto"/>
            <w:tcBorders>
              <w:top w:val="nil"/>
              <w:left w:val="single" w:sz="4" w:space="0" w:color="auto"/>
              <w:bottom w:val="single" w:sz="4" w:space="0" w:color="auto"/>
              <w:right w:val="single" w:sz="4" w:space="0" w:color="auto"/>
            </w:tcBorders>
          </w:tcPr>
          <w:p w14:paraId="734C39D1" w14:textId="77777777" w:rsidR="004013A8" w:rsidRPr="00236418" w:rsidRDefault="004013A8" w:rsidP="0040468D">
            <w:pPr>
              <w:pStyle w:val="Tabletext"/>
              <w:spacing w:before="0" w:after="0"/>
              <w:rPr>
                <w:b/>
                <w:bCs/>
                <w:sz w:val="20"/>
                <w:lang w:eastAsia="en-GB"/>
              </w:rPr>
            </w:pPr>
          </w:p>
        </w:tc>
        <w:tc>
          <w:tcPr>
            <w:tcW w:w="0" w:type="auto"/>
            <w:tcBorders>
              <w:top w:val="nil"/>
              <w:left w:val="single" w:sz="4" w:space="0" w:color="auto"/>
              <w:bottom w:val="single" w:sz="4" w:space="0" w:color="auto"/>
              <w:right w:val="single" w:sz="4" w:space="0" w:color="auto"/>
            </w:tcBorders>
          </w:tcPr>
          <w:p w14:paraId="4E52FB97" w14:textId="77777777" w:rsidR="004013A8" w:rsidRPr="00236418" w:rsidRDefault="004013A8" w:rsidP="0040468D">
            <w:pPr>
              <w:pStyle w:val="Tabletext"/>
              <w:spacing w:before="0" w:after="0"/>
              <w:rPr>
                <w:rFonts w:asciiTheme="minorHAnsi" w:hAnsiTheme="minorHAnsi" w:cstheme="minorHAnsi"/>
                <w:b/>
                <w:bCs/>
                <w:sz w:val="20"/>
                <w:lang w:eastAsia="zh-CN"/>
              </w:rPr>
            </w:pPr>
          </w:p>
        </w:tc>
      </w:tr>
      <w:tr w:rsidR="004013A8" w:rsidRPr="00236418" w14:paraId="4A43CF4C" w14:textId="77777777" w:rsidTr="0040468D">
        <w:trPr>
          <w:jc w:val="center"/>
        </w:trPr>
        <w:tc>
          <w:tcPr>
            <w:tcW w:w="0" w:type="auto"/>
            <w:tcBorders>
              <w:top w:val="single" w:sz="4" w:space="0" w:color="auto"/>
              <w:bottom w:val="single" w:sz="4" w:space="0" w:color="auto"/>
              <w:right w:val="single" w:sz="4" w:space="0" w:color="auto"/>
            </w:tcBorders>
          </w:tcPr>
          <w:p w14:paraId="57F31265"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TOTAL DE L'ACTIF</w:t>
            </w:r>
          </w:p>
        </w:tc>
        <w:tc>
          <w:tcPr>
            <w:tcW w:w="0" w:type="auto"/>
            <w:tcBorders>
              <w:top w:val="single" w:sz="4" w:space="0" w:color="auto"/>
              <w:left w:val="single" w:sz="4" w:space="0" w:color="auto"/>
              <w:bottom w:val="single" w:sz="4" w:space="0" w:color="auto"/>
              <w:right w:val="single" w:sz="4" w:space="0" w:color="auto"/>
            </w:tcBorders>
            <w:vAlign w:val="center"/>
          </w:tcPr>
          <w:p w14:paraId="0C01FF24" w14:textId="4E07D18A"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415 470</w:t>
            </w:r>
          </w:p>
        </w:tc>
        <w:tc>
          <w:tcPr>
            <w:tcW w:w="0" w:type="auto"/>
            <w:tcBorders>
              <w:top w:val="single" w:sz="4" w:space="0" w:color="auto"/>
              <w:left w:val="single" w:sz="4" w:space="0" w:color="auto"/>
              <w:bottom w:val="single" w:sz="4" w:space="0" w:color="auto"/>
              <w:right w:val="single" w:sz="4" w:space="0" w:color="auto"/>
            </w:tcBorders>
            <w:vAlign w:val="center"/>
          </w:tcPr>
          <w:p w14:paraId="43A5CA04" w14:textId="236CB073"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410 645</w:t>
            </w:r>
          </w:p>
        </w:tc>
      </w:tr>
      <w:tr w:rsidR="004013A8" w:rsidRPr="00236418" w14:paraId="52D096EC" w14:textId="77777777" w:rsidTr="0040468D">
        <w:trPr>
          <w:jc w:val="center"/>
        </w:trPr>
        <w:tc>
          <w:tcPr>
            <w:tcW w:w="0" w:type="auto"/>
            <w:tcBorders>
              <w:top w:val="nil"/>
              <w:bottom w:val="nil"/>
              <w:right w:val="single" w:sz="4" w:space="0" w:color="auto"/>
            </w:tcBorders>
          </w:tcPr>
          <w:p w14:paraId="26747A44"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PASSIF</w:t>
            </w:r>
          </w:p>
        </w:tc>
        <w:tc>
          <w:tcPr>
            <w:tcW w:w="0" w:type="auto"/>
            <w:tcBorders>
              <w:top w:val="nil"/>
              <w:left w:val="single" w:sz="4" w:space="0" w:color="auto"/>
              <w:bottom w:val="nil"/>
              <w:right w:val="single" w:sz="4" w:space="0" w:color="auto"/>
            </w:tcBorders>
          </w:tcPr>
          <w:p w14:paraId="111AEDD9" w14:textId="1CFE8A54"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51235068" w14:textId="1BB9F73C"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37682742" w14:textId="77777777" w:rsidTr="0040468D">
        <w:trPr>
          <w:trHeight w:val="272"/>
          <w:jc w:val="center"/>
        </w:trPr>
        <w:tc>
          <w:tcPr>
            <w:tcW w:w="0" w:type="auto"/>
            <w:tcBorders>
              <w:top w:val="nil"/>
              <w:bottom w:val="nil"/>
              <w:right w:val="single" w:sz="4" w:space="0" w:color="auto"/>
            </w:tcBorders>
            <w:vAlign w:val="bottom"/>
          </w:tcPr>
          <w:p w14:paraId="273AC037"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Passifs courants</w:t>
            </w:r>
          </w:p>
        </w:tc>
        <w:tc>
          <w:tcPr>
            <w:tcW w:w="0" w:type="auto"/>
            <w:tcBorders>
              <w:top w:val="nil"/>
              <w:left w:val="single" w:sz="4" w:space="0" w:color="auto"/>
              <w:bottom w:val="nil"/>
              <w:right w:val="single" w:sz="4" w:space="0" w:color="auto"/>
            </w:tcBorders>
          </w:tcPr>
          <w:p w14:paraId="7DB660C3" w14:textId="6C0D8145" w:rsidR="004013A8" w:rsidRPr="00236418" w:rsidRDefault="004013A8" w:rsidP="009B3D24">
            <w:pPr>
              <w:pStyle w:val="Tabletext"/>
              <w:jc w:val="right"/>
              <w:rPr>
                <w:rFonts w:asciiTheme="minorHAnsi" w:hAnsiTheme="minorHAnsi" w:cstheme="minorHAnsi"/>
                <w:b/>
                <w:bCs/>
                <w:sz w:val="20"/>
                <w:lang w:eastAsia="zh-CN"/>
              </w:rPr>
            </w:pPr>
            <w:r w:rsidRPr="00236418">
              <w:rPr>
                <w:sz w:val="20"/>
                <w:lang w:eastAsia="en-GB"/>
              </w:rPr>
              <w:t> </w:t>
            </w:r>
          </w:p>
        </w:tc>
        <w:tc>
          <w:tcPr>
            <w:tcW w:w="0" w:type="auto"/>
            <w:tcBorders>
              <w:top w:val="nil"/>
              <w:left w:val="single" w:sz="4" w:space="0" w:color="auto"/>
              <w:bottom w:val="nil"/>
              <w:right w:val="single" w:sz="4" w:space="0" w:color="auto"/>
            </w:tcBorders>
          </w:tcPr>
          <w:p w14:paraId="58AB1C43" w14:textId="484E68E7"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5CE136C6" w14:textId="77777777" w:rsidTr="0040468D">
        <w:trPr>
          <w:jc w:val="center"/>
        </w:trPr>
        <w:tc>
          <w:tcPr>
            <w:tcW w:w="0" w:type="auto"/>
            <w:tcBorders>
              <w:top w:val="nil"/>
              <w:bottom w:val="nil"/>
              <w:right w:val="single" w:sz="4" w:space="0" w:color="auto"/>
            </w:tcBorders>
          </w:tcPr>
          <w:p w14:paraId="31B6DE8D"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Fournisseurs et autres créanciers</w:t>
            </w:r>
          </w:p>
        </w:tc>
        <w:tc>
          <w:tcPr>
            <w:tcW w:w="0" w:type="auto"/>
            <w:tcBorders>
              <w:top w:val="nil"/>
              <w:left w:val="single" w:sz="4" w:space="0" w:color="auto"/>
              <w:bottom w:val="nil"/>
              <w:right w:val="single" w:sz="4" w:space="0" w:color="auto"/>
            </w:tcBorders>
          </w:tcPr>
          <w:p w14:paraId="2D93FAF4" w14:textId="5D251C37"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8 508</w:t>
            </w:r>
          </w:p>
        </w:tc>
        <w:tc>
          <w:tcPr>
            <w:tcW w:w="0" w:type="auto"/>
            <w:tcBorders>
              <w:top w:val="nil"/>
              <w:left w:val="single" w:sz="4" w:space="0" w:color="auto"/>
              <w:bottom w:val="nil"/>
              <w:right w:val="single" w:sz="4" w:space="0" w:color="auto"/>
            </w:tcBorders>
          </w:tcPr>
          <w:p w14:paraId="210F23E8" w14:textId="031B30ED"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8 905</w:t>
            </w:r>
          </w:p>
        </w:tc>
      </w:tr>
      <w:tr w:rsidR="004013A8" w:rsidRPr="00236418" w14:paraId="04C4AD99" w14:textId="77777777" w:rsidTr="0040468D">
        <w:trPr>
          <w:jc w:val="center"/>
        </w:trPr>
        <w:tc>
          <w:tcPr>
            <w:tcW w:w="0" w:type="auto"/>
            <w:tcBorders>
              <w:top w:val="nil"/>
              <w:bottom w:val="nil"/>
              <w:right w:val="single" w:sz="4" w:space="0" w:color="auto"/>
            </w:tcBorders>
          </w:tcPr>
          <w:p w14:paraId="46FF2C4F"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rPr>
              <w:t>Produits différés</w:t>
            </w:r>
          </w:p>
        </w:tc>
        <w:tc>
          <w:tcPr>
            <w:tcW w:w="0" w:type="auto"/>
            <w:tcBorders>
              <w:top w:val="nil"/>
              <w:left w:val="single" w:sz="4" w:space="0" w:color="auto"/>
              <w:bottom w:val="nil"/>
              <w:right w:val="single" w:sz="4" w:space="0" w:color="auto"/>
            </w:tcBorders>
          </w:tcPr>
          <w:p w14:paraId="15E63B17" w14:textId="73B85666"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135 642</w:t>
            </w:r>
          </w:p>
        </w:tc>
        <w:tc>
          <w:tcPr>
            <w:tcW w:w="0" w:type="auto"/>
            <w:tcBorders>
              <w:top w:val="nil"/>
              <w:left w:val="single" w:sz="4" w:space="0" w:color="auto"/>
              <w:bottom w:val="nil"/>
              <w:right w:val="single" w:sz="4" w:space="0" w:color="auto"/>
            </w:tcBorders>
          </w:tcPr>
          <w:p w14:paraId="3C758D90" w14:textId="4530A0C1"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136 273</w:t>
            </w:r>
          </w:p>
        </w:tc>
      </w:tr>
      <w:tr w:rsidR="004013A8" w:rsidRPr="00236418" w14:paraId="0807D211" w14:textId="77777777" w:rsidTr="0040468D">
        <w:trPr>
          <w:jc w:val="center"/>
        </w:trPr>
        <w:tc>
          <w:tcPr>
            <w:tcW w:w="0" w:type="auto"/>
            <w:tcBorders>
              <w:top w:val="nil"/>
              <w:bottom w:val="nil"/>
              <w:right w:val="single" w:sz="4" w:space="0" w:color="auto"/>
            </w:tcBorders>
          </w:tcPr>
          <w:p w14:paraId="084489B9"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rPr>
              <w:t>Emprunts et dettes financières</w:t>
            </w:r>
          </w:p>
        </w:tc>
        <w:tc>
          <w:tcPr>
            <w:tcW w:w="0" w:type="auto"/>
            <w:tcBorders>
              <w:top w:val="nil"/>
              <w:left w:val="single" w:sz="4" w:space="0" w:color="auto"/>
              <w:bottom w:val="nil"/>
              <w:right w:val="single" w:sz="4" w:space="0" w:color="auto"/>
            </w:tcBorders>
          </w:tcPr>
          <w:p w14:paraId="4562E8CD" w14:textId="01D780E4"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1 493</w:t>
            </w:r>
          </w:p>
        </w:tc>
        <w:tc>
          <w:tcPr>
            <w:tcW w:w="0" w:type="auto"/>
            <w:tcBorders>
              <w:top w:val="nil"/>
              <w:left w:val="single" w:sz="4" w:space="0" w:color="auto"/>
              <w:bottom w:val="nil"/>
              <w:right w:val="single" w:sz="4" w:space="0" w:color="auto"/>
            </w:tcBorders>
          </w:tcPr>
          <w:p w14:paraId="7E89D045" w14:textId="7593EFD8"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1 493</w:t>
            </w:r>
          </w:p>
        </w:tc>
      </w:tr>
      <w:tr w:rsidR="004013A8" w:rsidRPr="00236418" w14:paraId="4760A53B" w14:textId="77777777" w:rsidTr="0040468D">
        <w:trPr>
          <w:jc w:val="center"/>
        </w:trPr>
        <w:tc>
          <w:tcPr>
            <w:tcW w:w="0" w:type="auto"/>
            <w:tcBorders>
              <w:top w:val="nil"/>
              <w:bottom w:val="nil"/>
              <w:right w:val="single" w:sz="4" w:space="0" w:color="auto"/>
            </w:tcBorders>
          </w:tcPr>
          <w:p w14:paraId="2F129857"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rPr>
              <w:t>Avantages du personnel</w:t>
            </w:r>
          </w:p>
        </w:tc>
        <w:tc>
          <w:tcPr>
            <w:tcW w:w="0" w:type="auto"/>
            <w:tcBorders>
              <w:top w:val="nil"/>
              <w:left w:val="single" w:sz="4" w:space="0" w:color="auto"/>
              <w:bottom w:val="nil"/>
              <w:right w:val="single" w:sz="4" w:space="0" w:color="auto"/>
            </w:tcBorders>
          </w:tcPr>
          <w:p w14:paraId="5F84FE90" w14:textId="43786BCB"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178</w:t>
            </w:r>
          </w:p>
        </w:tc>
        <w:tc>
          <w:tcPr>
            <w:tcW w:w="0" w:type="auto"/>
            <w:tcBorders>
              <w:top w:val="nil"/>
              <w:left w:val="single" w:sz="4" w:space="0" w:color="auto"/>
              <w:bottom w:val="nil"/>
              <w:right w:val="single" w:sz="4" w:space="0" w:color="auto"/>
            </w:tcBorders>
          </w:tcPr>
          <w:p w14:paraId="0C26CBAF" w14:textId="4765193F"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187</w:t>
            </w:r>
          </w:p>
        </w:tc>
      </w:tr>
      <w:tr w:rsidR="004013A8" w:rsidRPr="00236418" w14:paraId="71B1008D" w14:textId="77777777" w:rsidTr="0040468D">
        <w:trPr>
          <w:jc w:val="center"/>
        </w:trPr>
        <w:tc>
          <w:tcPr>
            <w:tcW w:w="0" w:type="auto"/>
            <w:tcBorders>
              <w:top w:val="nil"/>
              <w:bottom w:val="nil"/>
              <w:right w:val="single" w:sz="4" w:space="0" w:color="auto"/>
            </w:tcBorders>
          </w:tcPr>
          <w:p w14:paraId="61AFAC29"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Provisions</w:t>
            </w:r>
          </w:p>
        </w:tc>
        <w:tc>
          <w:tcPr>
            <w:tcW w:w="0" w:type="auto"/>
            <w:tcBorders>
              <w:top w:val="nil"/>
              <w:left w:val="single" w:sz="4" w:space="0" w:color="auto"/>
              <w:bottom w:val="nil"/>
              <w:right w:val="single" w:sz="4" w:space="0" w:color="auto"/>
            </w:tcBorders>
          </w:tcPr>
          <w:p w14:paraId="00113D68" w14:textId="7DCC10BA"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727</w:t>
            </w:r>
          </w:p>
        </w:tc>
        <w:tc>
          <w:tcPr>
            <w:tcW w:w="0" w:type="auto"/>
            <w:tcBorders>
              <w:top w:val="nil"/>
              <w:left w:val="single" w:sz="4" w:space="0" w:color="auto"/>
              <w:bottom w:val="nil"/>
              <w:right w:val="single" w:sz="4" w:space="0" w:color="auto"/>
            </w:tcBorders>
          </w:tcPr>
          <w:p w14:paraId="306D71BC" w14:textId="0C864F65"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6 832</w:t>
            </w:r>
          </w:p>
        </w:tc>
      </w:tr>
      <w:tr w:rsidR="004013A8" w:rsidRPr="00236418" w14:paraId="20706C83" w14:textId="77777777" w:rsidTr="0040468D">
        <w:trPr>
          <w:jc w:val="center"/>
        </w:trPr>
        <w:tc>
          <w:tcPr>
            <w:tcW w:w="0" w:type="auto"/>
            <w:tcBorders>
              <w:top w:val="nil"/>
              <w:bottom w:val="nil"/>
              <w:right w:val="single" w:sz="4" w:space="0" w:color="auto"/>
            </w:tcBorders>
          </w:tcPr>
          <w:p w14:paraId="2E6F2519"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rPr>
              <w:t>Autres dettes</w:t>
            </w:r>
          </w:p>
        </w:tc>
        <w:tc>
          <w:tcPr>
            <w:tcW w:w="0" w:type="auto"/>
            <w:tcBorders>
              <w:top w:val="nil"/>
              <w:left w:val="single" w:sz="4" w:space="0" w:color="auto"/>
              <w:bottom w:val="nil"/>
              <w:right w:val="single" w:sz="4" w:space="0" w:color="auto"/>
            </w:tcBorders>
          </w:tcPr>
          <w:p w14:paraId="0390891A" w14:textId="18AAB971"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4 931</w:t>
            </w:r>
          </w:p>
        </w:tc>
        <w:tc>
          <w:tcPr>
            <w:tcW w:w="0" w:type="auto"/>
            <w:tcBorders>
              <w:top w:val="nil"/>
              <w:left w:val="single" w:sz="4" w:space="0" w:color="auto"/>
              <w:bottom w:val="nil"/>
              <w:right w:val="single" w:sz="4" w:space="0" w:color="auto"/>
            </w:tcBorders>
          </w:tcPr>
          <w:p w14:paraId="5AE864D0" w14:textId="17A09070"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3 195</w:t>
            </w:r>
          </w:p>
        </w:tc>
      </w:tr>
      <w:tr w:rsidR="009F07D7" w:rsidRPr="00236418" w14:paraId="682C9A53" w14:textId="77777777" w:rsidTr="0040468D">
        <w:trPr>
          <w:jc w:val="center"/>
        </w:trPr>
        <w:tc>
          <w:tcPr>
            <w:tcW w:w="0" w:type="auto"/>
            <w:tcBorders>
              <w:top w:val="nil"/>
              <w:bottom w:val="nil"/>
              <w:right w:val="single" w:sz="4" w:space="0" w:color="auto"/>
            </w:tcBorders>
          </w:tcPr>
          <w:p w14:paraId="5EE8C332" w14:textId="03A98AD1" w:rsidR="009F07D7" w:rsidRPr="00236418" w:rsidRDefault="009F07D7" w:rsidP="009B3D24">
            <w:pPr>
              <w:pStyle w:val="Sectiontitle"/>
              <w:spacing w:before="20" w:after="20"/>
              <w:rPr>
                <w:rFonts w:asciiTheme="minorHAnsi" w:hAnsiTheme="minorHAnsi" w:cstheme="minorHAnsi"/>
                <w:sz w:val="20"/>
              </w:rPr>
            </w:pPr>
            <w:r w:rsidRPr="00236418">
              <w:rPr>
                <w:rFonts w:asciiTheme="minorHAnsi" w:hAnsiTheme="minorHAnsi" w:cstheme="minorHAnsi"/>
                <w:sz w:val="20"/>
              </w:rPr>
              <w:t>Fonds de péréquation – Assurance maladie</w:t>
            </w:r>
          </w:p>
        </w:tc>
        <w:tc>
          <w:tcPr>
            <w:tcW w:w="0" w:type="auto"/>
            <w:tcBorders>
              <w:top w:val="nil"/>
              <w:left w:val="single" w:sz="4" w:space="0" w:color="auto"/>
              <w:bottom w:val="nil"/>
              <w:right w:val="single" w:sz="4" w:space="0" w:color="auto"/>
            </w:tcBorders>
          </w:tcPr>
          <w:p w14:paraId="229541BD" w14:textId="3D197052" w:rsidR="009F07D7" w:rsidRPr="00236418" w:rsidRDefault="009F07D7" w:rsidP="009B3D24">
            <w:pPr>
              <w:pStyle w:val="Tabletext"/>
              <w:jc w:val="right"/>
              <w:rPr>
                <w:sz w:val="20"/>
                <w:lang w:eastAsia="en-GB"/>
              </w:rPr>
            </w:pPr>
            <w:r w:rsidRPr="00236418">
              <w:rPr>
                <w:sz w:val="20"/>
                <w:lang w:eastAsia="en-GB"/>
              </w:rPr>
              <w:t>21 154</w:t>
            </w:r>
          </w:p>
        </w:tc>
        <w:tc>
          <w:tcPr>
            <w:tcW w:w="0" w:type="auto"/>
            <w:tcBorders>
              <w:top w:val="nil"/>
              <w:left w:val="single" w:sz="4" w:space="0" w:color="auto"/>
              <w:bottom w:val="nil"/>
              <w:right w:val="single" w:sz="4" w:space="0" w:color="auto"/>
            </w:tcBorders>
          </w:tcPr>
          <w:p w14:paraId="5307AAB4" w14:textId="7D4FEE1C" w:rsidR="009F07D7" w:rsidRPr="00236418" w:rsidRDefault="009F07D7"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w:t>
            </w:r>
          </w:p>
        </w:tc>
      </w:tr>
      <w:tr w:rsidR="004013A8" w:rsidRPr="00236418" w14:paraId="6FE50280" w14:textId="77777777" w:rsidTr="0040468D">
        <w:trPr>
          <w:jc w:val="center"/>
        </w:trPr>
        <w:tc>
          <w:tcPr>
            <w:tcW w:w="0" w:type="auto"/>
            <w:tcBorders>
              <w:top w:val="nil"/>
              <w:bottom w:val="nil"/>
              <w:right w:val="single" w:sz="4" w:space="0" w:color="auto"/>
            </w:tcBorders>
          </w:tcPr>
          <w:p w14:paraId="13FF951D"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lang w:eastAsia="fr-FR"/>
              </w:rPr>
              <w:t>Total des passifs courants</w:t>
            </w:r>
          </w:p>
        </w:tc>
        <w:tc>
          <w:tcPr>
            <w:tcW w:w="0" w:type="auto"/>
            <w:tcBorders>
              <w:top w:val="nil"/>
              <w:left w:val="single" w:sz="4" w:space="0" w:color="auto"/>
              <w:bottom w:val="nil"/>
              <w:right w:val="single" w:sz="4" w:space="0" w:color="auto"/>
            </w:tcBorders>
          </w:tcPr>
          <w:p w14:paraId="0B205652" w14:textId="1A8A6B5B" w:rsidR="004013A8" w:rsidRPr="00236418" w:rsidRDefault="009F07D7" w:rsidP="009B3D24">
            <w:pPr>
              <w:pStyle w:val="Tabletext"/>
              <w:jc w:val="right"/>
              <w:rPr>
                <w:rFonts w:asciiTheme="minorHAnsi" w:hAnsiTheme="minorHAnsi" w:cstheme="minorHAnsi"/>
                <w:b/>
                <w:bCs/>
                <w:sz w:val="20"/>
                <w:lang w:eastAsia="zh-CN"/>
              </w:rPr>
            </w:pPr>
            <w:r w:rsidRPr="00236418">
              <w:rPr>
                <w:b/>
                <w:bCs/>
                <w:sz w:val="20"/>
                <w:lang w:eastAsia="en-GB"/>
              </w:rPr>
              <w:t>172 633</w:t>
            </w:r>
          </w:p>
        </w:tc>
        <w:tc>
          <w:tcPr>
            <w:tcW w:w="0" w:type="auto"/>
            <w:tcBorders>
              <w:top w:val="nil"/>
              <w:left w:val="single" w:sz="4" w:space="0" w:color="auto"/>
              <w:bottom w:val="nil"/>
              <w:right w:val="single" w:sz="4" w:space="0" w:color="auto"/>
            </w:tcBorders>
          </w:tcPr>
          <w:p w14:paraId="729C43E1" w14:textId="05D1DBC1"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156 887</w:t>
            </w:r>
          </w:p>
        </w:tc>
      </w:tr>
      <w:tr w:rsidR="004013A8" w:rsidRPr="00236418" w14:paraId="1BCF8B39" w14:textId="77777777" w:rsidTr="0040468D">
        <w:trPr>
          <w:jc w:val="center"/>
        </w:trPr>
        <w:tc>
          <w:tcPr>
            <w:tcW w:w="0" w:type="auto"/>
            <w:tcBorders>
              <w:top w:val="nil"/>
              <w:bottom w:val="nil"/>
              <w:right w:val="single" w:sz="4" w:space="0" w:color="auto"/>
            </w:tcBorders>
          </w:tcPr>
          <w:p w14:paraId="3F9DDAC4" w14:textId="77777777" w:rsidR="004013A8" w:rsidRPr="00236418" w:rsidRDefault="004013A8" w:rsidP="0040468D">
            <w:pPr>
              <w:pStyle w:val="Tabletext"/>
              <w:spacing w:before="100" w:beforeAutospacing="1" w:after="100" w:afterAutospacing="1"/>
              <w:rPr>
                <w:rFonts w:asciiTheme="minorHAnsi" w:hAnsiTheme="minorHAnsi" w:cstheme="minorHAnsi"/>
                <w:b/>
                <w:sz w:val="20"/>
                <w:lang w:eastAsia="fr-FR"/>
              </w:rPr>
            </w:pPr>
          </w:p>
        </w:tc>
        <w:tc>
          <w:tcPr>
            <w:tcW w:w="0" w:type="auto"/>
            <w:tcBorders>
              <w:top w:val="nil"/>
              <w:left w:val="single" w:sz="4" w:space="0" w:color="auto"/>
              <w:bottom w:val="nil"/>
              <w:right w:val="single" w:sz="4" w:space="0" w:color="auto"/>
            </w:tcBorders>
          </w:tcPr>
          <w:p w14:paraId="60C31668" w14:textId="4BD3193B" w:rsidR="004013A8" w:rsidRPr="00236418"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373F8B4B" w14:textId="5EE81E07" w:rsidR="004013A8" w:rsidRPr="00236418"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25CA2A17" w14:textId="77777777" w:rsidTr="0040468D">
        <w:trPr>
          <w:trHeight w:val="272"/>
          <w:jc w:val="center"/>
        </w:trPr>
        <w:tc>
          <w:tcPr>
            <w:tcW w:w="0" w:type="auto"/>
            <w:tcBorders>
              <w:top w:val="nil"/>
              <w:bottom w:val="nil"/>
              <w:right w:val="single" w:sz="4" w:space="0" w:color="auto"/>
            </w:tcBorders>
            <w:vAlign w:val="bottom"/>
          </w:tcPr>
          <w:p w14:paraId="041CCE6C"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Passifs non courants</w:t>
            </w:r>
          </w:p>
        </w:tc>
        <w:tc>
          <w:tcPr>
            <w:tcW w:w="0" w:type="auto"/>
            <w:tcBorders>
              <w:top w:val="nil"/>
              <w:left w:val="single" w:sz="4" w:space="0" w:color="auto"/>
              <w:bottom w:val="nil"/>
              <w:right w:val="single" w:sz="4" w:space="0" w:color="auto"/>
            </w:tcBorders>
          </w:tcPr>
          <w:p w14:paraId="6C64ECA0" w14:textId="7C7BC49F"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76D6B427" w14:textId="09D4E51D"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0AA6AF28" w14:textId="77777777" w:rsidTr="0040468D">
        <w:trPr>
          <w:jc w:val="center"/>
        </w:trPr>
        <w:tc>
          <w:tcPr>
            <w:tcW w:w="0" w:type="auto"/>
            <w:tcBorders>
              <w:top w:val="nil"/>
              <w:bottom w:val="nil"/>
              <w:right w:val="single" w:sz="4" w:space="0" w:color="auto"/>
            </w:tcBorders>
          </w:tcPr>
          <w:p w14:paraId="57BD79D0"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Emprunts</w:t>
            </w:r>
          </w:p>
        </w:tc>
        <w:tc>
          <w:tcPr>
            <w:tcW w:w="0" w:type="auto"/>
            <w:tcBorders>
              <w:top w:val="nil"/>
              <w:left w:val="single" w:sz="4" w:space="0" w:color="auto"/>
              <w:bottom w:val="nil"/>
              <w:right w:val="single" w:sz="4" w:space="0" w:color="auto"/>
            </w:tcBorders>
          </w:tcPr>
          <w:p w14:paraId="122199E0" w14:textId="3332FFF3"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43 456</w:t>
            </w:r>
          </w:p>
        </w:tc>
        <w:tc>
          <w:tcPr>
            <w:tcW w:w="0" w:type="auto"/>
            <w:tcBorders>
              <w:top w:val="nil"/>
              <w:left w:val="single" w:sz="4" w:space="0" w:color="auto"/>
              <w:bottom w:val="nil"/>
              <w:right w:val="single" w:sz="4" w:space="0" w:color="auto"/>
            </w:tcBorders>
          </w:tcPr>
          <w:p w14:paraId="2E18DB6D" w14:textId="47663299"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41 699</w:t>
            </w:r>
          </w:p>
        </w:tc>
      </w:tr>
      <w:tr w:rsidR="004013A8" w:rsidRPr="00236418" w14:paraId="5C3731C7" w14:textId="77777777" w:rsidTr="0040468D">
        <w:trPr>
          <w:jc w:val="center"/>
        </w:trPr>
        <w:tc>
          <w:tcPr>
            <w:tcW w:w="0" w:type="auto"/>
            <w:tcBorders>
              <w:top w:val="nil"/>
              <w:bottom w:val="nil"/>
              <w:right w:val="single" w:sz="4" w:space="0" w:color="auto"/>
            </w:tcBorders>
          </w:tcPr>
          <w:p w14:paraId="379A3ABE"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rPr>
              <w:t>Avantages du personnel</w:t>
            </w:r>
          </w:p>
        </w:tc>
        <w:tc>
          <w:tcPr>
            <w:tcW w:w="0" w:type="auto"/>
            <w:tcBorders>
              <w:top w:val="nil"/>
              <w:left w:val="single" w:sz="4" w:space="0" w:color="auto"/>
              <w:bottom w:val="nil"/>
              <w:right w:val="single" w:sz="4" w:space="0" w:color="auto"/>
            </w:tcBorders>
          </w:tcPr>
          <w:p w14:paraId="65B68A6C" w14:textId="4691CE3D"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634 857</w:t>
            </w:r>
          </w:p>
        </w:tc>
        <w:tc>
          <w:tcPr>
            <w:tcW w:w="0" w:type="auto"/>
            <w:tcBorders>
              <w:top w:val="nil"/>
              <w:left w:val="single" w:sz="4" w:space="0" w:color="auto"/>
              <w:bottom w:val="nil"/>
              <w:right w:val="single" w:sz="4" w:space="0" w:color="auto"/>
            </w:tcBorders>
          </w:tcPr>
          <w:p w14:paraId="26E938DD" w14:textId="36AFDFBD"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573 412</w:t>
            </w:r>
          </w:p>
        </w:tc>
      </w:tr>
      <w:tr w:rsidR="004013A8" w:rsidRPr="00236418" w14:paraId="6760C985" w14:textId="77777777" w:rsidTr="0040468D">
        <w:trPr>
          <w:jc w:val="center"/>
        </w:trPr>
        <w:tc>
          <w:tcPr>
            <w:tcW w:w="0" w:type="auto"/>
            <w:tcBorders>
              <w:top w:val="nil"/>
              <w:bottom w:val="nil"/>
              <w:right w:val="single" w:sz="4" w:space="0" w:color="auto"/>
            </w:tcBorders>
          </w:tcPr>
          <w:p w14:paraId="4C7D81AC"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rPr>
              <w:t>Fonds de tiers affectés</w:t>
            </w:r>
          </w:p>
        </w:tc>
        <w:tc>
          <w:tcPr>
            <w:tcW w:w="0" w:type="auto"/>
            <w:tcBorders>
              <w:top w:val="nil"/>
              <w:left w:val="single" w:sz="4" w:space="0" w:color="auto"/>
              <w:bottom w:val="nil"/>
              <w:right w:val="single" w:sz="4" w:space="0" w:color="auto"/>
            </w:tcBorders>
          </w:tcPr>
          <w:p w14:paraId="2C7FEA1B" w14:textId="62A1E681"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35 141</w:t>
            </w:r>
          </w:p>
        </w:tc>
        <w:tc>
          <w:tcPr>
            <w:tcW w:w="0" w:type="auto"/>
            <w:tcBorders>
              <w:top w:val="nil"/>
              <w:left w:val="single" w:sz="4" w:space="0" w:color="auto"/>
              <w:bottom w:val="nil"/>
              <w:right w:val="single" w:sz="4" w:space="0" w:color="auto"/>
            </w:tcBorders>
          </w:tcPr>
          <w:p w14:paraId="4244E061" w14:textId="14272C6E"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31 034</w:t>
            </w:r>
          </w:p>
        </w:tc>
      </w:tr>
      <w:tr w:rsidR="004013A8" w:rsidRPr="00236418" w14:paraId="1F2B7838" w14:textId="77777777" w:rsidTr="0040468D">
        <w:trPr>
          <w:jc w:val="center"/>
        </w:trPr>
        <w:tc>
          <w:tcPr>
            <w:tcW w:w="0" w:type="auto"/>
            <w:tcBorders>
              <w:top w:val="nil"/>
              <w:bottom w:val="nil"/>
              <w:right w:val="single" w:sz="4" w:space="0" w:color="auto"/>
            </w:tcBorders>
          </w:tcPr>
          <w:p w14:paraId="071FDCD2"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rPr>
              <w:lastRenderedPageBreak/>
              <w:t>Fonds de tiers en cours d'affectation</w:t>
            </w:r>
          </w:p>
        </w:tc>
        <w:tc>
          <w:tcPr>
            <w:tcW w:w="0" w:type="auto"/>
            <w:tcBorders>
              <w:top w:val="nil"/>
              <w:left w:val="single" w:sz="4" w:space="0" w:color="auto"/>
              <w:bottom w:val="nil"/>
              <w:right w:val="single" w:sz="4" w:space="0" w:color="auto"/>
            </w:tcBorders>
          </w:tcPr>
          <w:p w14:paraId="48979C6E" w14:textId="7814D5BA"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3 184</w:t>
            </w:r>
          </w:p>
        </w:tc>
        <w:tc>
          <w:tcPr>
            <w:tcW w:w="0" w:type="auto"/>
            <w:tcBorders>
              <w:top w:val="nil"/>
              <w:left w:val="single" w:sz="4" w:space="0" w:color="auto"/>
              <w:bottom w:val="nil"/>
              <w:right w:val="single" w:sz="4" w:space="0" w:color="auto"/>
            </w:tcBorders>
          </w:tcPr>
          <w:p w14:paraId="7B58F7E8" w14:textId="3DE0387A"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2 790</w:t>
            </w:r>
          </w:p>
        </w:tc>
      </w:tr>
      <w:tr w:rsidR="00236418" w:rsidRPr="00236418" w14:paraId="241C4676" w14:textId="77777777" w:rsidTr="0040468D">
        <w:trPr>
          <w:jc w:val="center"/>
        </w:trPr>
        <w:tc>
          <w:tcPr>
            <w:tcW w:w="0" w:type="auto"/>
            <w:tcBorders>
              <w:top w:val="nil"/>
              <w:bottom w:val="nil"/>
              <w:right w:val="single" w:sz="4" w:space="0" w:color="auto"/>
            </w:tcBorders>
          </w:tcPr>
          <w:p w14:paraId="2EB13B96" w14:textId="6F218501" w:rsidR="00236418" w:rsidRPr="00236418" w:rsidRDefault="00236418" w:rsidP="009B3D24">
            <w:pPr>
              <w:pStyle w:val="Sectiontitle"/>
              <w:spacing w:before="20" w:after="20"/>
              <w:rPr>
                <w:rFonts w:asciiTheme="minorHAnsi" w:hAnsiTheme="minorHAnsi" w:cstheme="minorHAnsi"/>
                <w:sz w:val="20"/>
              </w:rPr>
            </w:pPr>
            <w:r w:rsidRPr="00236418">
              <w:rPr>
                <w:rFonts w:asciiTheme="minorHAnsi" w:hAnsiTheme="minorHAnsi" w:cstheme="minorHAnsi"/>
                <w:sz w:val="20"/>
              </w:rPr>
              <w:t>Fonds de péréquation – Assurance maladie</w:t>
            </w:r>
          </w:p>
        </w:tc>
        <w:tc>
          <w:tcPr>
            <w:tcW w:w="0" w:type="auto"/>
            <w:tcBorders>
              <w:top w:val="nil"/>
              <w:left w:val="single" w:sz="4" w:space="0" w:color="auto"/>
              <w:bottom w:val="nil"/>
              <w:right w:val="single" w:sz="4" w:space="0" w:color="auto"/>
            </w:tcBorders>
          </w:tcPr>
          <w:p w14:paraId="6047AA14" w14:textId="34C83020" w:rsidR="00236418" w:rsidRPr="00236418" w:rsidRDefault="00236418" w:rsidP="009B3D24">
            <w:pPr>
              <w:pStyle w:val="Tabletext"/>
              <w:jc w:val="right"/>
              <w:rPr>
                <w:sz w:val="20"/>
                <w:lang w:eastAsia="en-GB"/>
              </w:rPr>
            </w:pPr>
            <w:r w:rsidRPr="00236418">
              <w:rPr>
                <w:sz w:val="20"/>
                <w:lang w:eastAsia="en-GB"/>
              </w:rPr>
              <w:t>20 877</w:t>
            </w:r>
          </w:p>
        </w:tc>
        <w:tc>
          <w:tcPr>
            <w:tcW w:w="0" w:type="auto"/>
            <w:tcBorders>
              <w:top w:val="nil"/>
              <w:left w:val="single" w:sz="4" w:space="0" w:color="auto"/>
              <w:bottom w:val="nil"/>
              <w:right w:val="single" w:sz="4" w:space="0" w:color="auto"/>
            </w:tcBorders>
          </w:tcPr>
          <w:p w14:paraId="3854B122" w14:textId="1BE11520" w:rsidR="00236418" w:rsidRPr="00236418" w:rsidRDefault="0023641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w:t>
            </w:r>
          </w:p>
        </w:tc>
      </w:tr>
      <w:tr w:rsidR="004013A8" w:rsidRPr="00236418" w14:paraId="6B0A5F9D" w14:textId="77777777" w:rsidTr="0040468D">
        <w:trPr>
          <w:jc w:val="center"/>
        </w:trPr>
        <w:tc>
          <w:tcPr>
            <w:tcW w:w="0" w:type="auto"/>
            <w:tcBorders>
              <w:top w:val="nil"/>
              <w:bottom w:val="nil"/>
              <w:right w:val="single" w:sz="4" w:space="0" w:color="auto"/>
            </w:tcBorders>
          </w:tcPr>
          <w:p w14:paraId="61AFB669"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lang w:eastAsia="fr-FR"/>
              </w:rPr>
              <w:t>Total des passifs non courants</w:t>
            </w:r>
          </w:p>
        </w:tc>
        <w:tc>
          <w:tcPr>
            <w:tcW w:w="0" w:type="auto"/>
            <w:tcBorders>
              <w:top w:val="nil"/>
              <w:left w:val="single" w:sz="4" w:space="0" w:color="auto"/>
              <w:bottom w:val="nil"/>
              <w:right w:val="single" w:sz="4" w:space="0" w:color="auto"/>
            </w:tcBorders>
          </w:tcPr>
          <w:p w14:paraId="6D760922" w14:textId="37157A2D" w:rsidR="004013A8" w:rsidRPr="00236418" w:rsidRDefault="00236418" w:rsidP="009B3D24">
            <w:pPr>
              <w:pStyle w:val="Tabletext"/>
              <w:jc w:val="right"/>
              <w:rPr>
                <w:rFonts w:asciiTheme="minorHAnsi" w:hAnsiTheme="minorHAnsi" w:cstheme="minorHAnsi"/>
                <w:b/>
                <w:bCs/>
                <w:sz w:val="20"/>
                <w:lang w:eastAsia="zh-CN"/>
              </w:rPr>
            </w:pPr>
            <w:r w:rsidRPr="00236418">
              <w:rPr>
                <w:b/>
                <w:bCs/>
                <w:sz w:val="20"/>
                <w:lang w:eastAsia="en-GB"/>
              </w:rPr>
              <w:t>737 514</w:t>
            </w:r>
          </w:p>
        </w:tc>
        <w:tc>
          <w:tcPr>
            <w:tcW w:w="0" w:type="auto"/>
            <w:tcBorders>
              <w:top w:val="nil"/>
              <w:left w:val="single" w:sz="4" w:space="0" w:color="auto"/>
              <w:bottom w:val="nil"/>
              <w:right w:val="single" w:sz="4" w:space="0" w:color="auto"/>
            </w:tcBorders>
          </w:tcPr>
          <w:p w14:paraId="64494C8B" w14:textId="5DE362DB"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648 936</w:t>
            </w:r>
          </w:p>
        </w:tc>
      </w:tr>
      <w:tr w:rsidR="004013A8" w:rsidRPr="00236418" w14:paraId="38FE8846" w14:textId="77777777" w:rsidTr="0040468D">
        <w:trPr>
          <w:jc w:val="center"/>
        </w:trPr>
        <w:tc>
          <w:tcPr>
            <w:tcW w:w="0" w:type="auto"/>
            <w:tcBorders>
              <w:top w:val="nil"/>
              <w:bottom w:val="nil"/>
              <w:right w:val="single" w:sz="4" w:space="0" w:color="auto"/>
            </w:tcBorders>
          </w:tcPr>
          <w:p w14:paraId="0802F230" w14:textId="77777777" w:rsidR="004013A8" w:rsidRPr="00236418" w:rsidRDefault="004013A8" w:rsidP="0040468D">
            <w:pPr>
              <w:pStyle w:val="Tabletext"/>
              <w:spacing w:before="100" w:beforeAutospacing="1" w:after="100" w:afterAutospacing="1"/>
              <w:rPr>
                <w:rFonts w:asciiTheme="minorHAnsi" w:hAnsiTheme="minorHAnsi" w:cstheme="minorHAnsi"/>
                <w:b/>
                <w:sz w:val="20"/>
                <w:lang w:eastAsia="fr-FR"/>
              </w:rPr>
            </w:pPr>
          </w:p>
        </w:tc>
        <w:tc>
          <w:tcPr>
            <w:tcW w:w="0" w:type="auto"/>
            <w:tcBorders>
              <w:top w:val="nil"/>
              <w:left w:val="single" w:sz="4" w:space="0" w:color="auto"/>
              <w:bottom w:val="nil"/>
              <w:right w:val="single" w:sz="4" w:space="0" w:color="auto"/>
            </w:tcBorders>
          </w:tcPr>
          <w:p w14:paraId="6D04989B" w14:textId="1B97C1B0" w:rsidR="004013A8" w:rsidRPr="00236418"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645F59A2" w14:textId="775450C9" w:rsidR="004013A8" w:rsidRPr="00236418"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11BBB6AB" w14:textId="77777777" w:rsidTr="0040468D">
        <w:trPr>
          <w:jc w:val="center"/>
        </w:trPr>
        <w:tc>
          <w:tcPr>
            <w:tcW w:w="0" w:type="auto"/>
            <w:tcBorders>
              <w:bottom w:val="single" w:sz="4" w:space="0" w:color="auto"/>
              <w:right w:val="single" w:sz="4" w:space="0" w:color="auto"/>
            </w:tcBorders>
          </w:tcPr>
          <w:p w14:paraId="17BEB8E7"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lang w:eastAsia="fr-FR"/>
              </w:rPr>
              <w:t>TOTAL DU PASSIF</w:t>
            </w:r>
          </w:p>
        </w:tc>
        <w:tc>
          <w:tcPr>
            <w:tcW w:w="0" w:type="auto"/>
            <w:tcBorders>
              <w:left w:val="single" w:sz="4" w:space="0" w:color="auto"/>
              <w:bottom w:val="single" w:sz="4" w:space="0" w:color="auto"/>
              <w:right w:val="single" w:sz="4" w:space="0" w:color="auto"/>
            </w:tcBorders>
            <w:vAlign w:val="center"/>
          </w:tcPr>
          <w:p w14:paraId="3DE88258" w14:textId="27EE2ED7"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868 118</w:t>
            </w:r>
          </w:p>
        </w:tc>
        <w:tc>
          <w:tcPr>
            <w:tcW w:w="0" w:type="auto"/>
            <w:tcBorders>
              <w:left w:val="single" w:sz="4" w:space="0" w:color="auto"/>
              <w:bottom w:val="single" w:sz="4" w:space="0" w:color="auto"/>
              <w:right w:val="single" w:sz="4" w:space="0" w:color="auto"/>
            </w:tcBorders>
            <w:vAlign w:val="center"/>
          </w:tcPr>
          <w:p w14:paraId="1BDD3EB7" w14:textId="78AC1811"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805 823</w:t>
            </w:r>
          </w:p>
        </w:tc>
      </w:tr>
      <w:tr w:rsidR="004013A8" w:rsidRPr="00236418" w14:paraId="2891ACE8" w14:textId="77777777" w:rsidTr="0040468D">
        <w:trPr>
          <w:jc w:val="center"/>
        </w:trPr>
        <w:tc>
          <w:tcPr>
            <w:tcW w:w="0" w:type="auto"/>
            <w:tcBorders>
              <w:top w:val="nil"/>
              <w:bottom w:val="nil"/>
              <w:right w:val="single" w:sz="4" w:space="0" w:color="auto"/>
            </w:tcBorders>
          </w:tcPr>
          <w:p w14:paraId="695B7CD5" w14:textId="77777777"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rPr>
              <w:t>ACTIF NET</w:t>
            </w:r>
          </w:p>
        </w:tc>
        <w:tc>
          <w:tcPr>
            <w:tcW w:w="0" w:type="auto"/>
            <w:tcBorders>
              <w:top w:val="nil"/>
              <w:left w:val="single" w:sz="4" w:space="0" w:color="auto"/>
              <w:bottom w:val="nil"/>
              <w:right w:val="single" w:sz="4" w:space="0" w:color="auto"/>
            </w:tcBorders>
          </w:tcPr>
          <w:p w14:paraId="6CE7BE9A" w14:textId="7787C6E4"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 </w:t>
            </w:r>
          </w:p>
        </w:tc>
        <w:tc>
          <w:tcPr>
            <w:tcW w:w="0" w:type="auto"/>
            <w:tcBorders>
              <w:top w:val="nil"/>
              <w:left w:val="single" w:sz="4" w:space="0" w:color="auto"/>
              <w:bottom w:val="nil"/>
              <w:right w:val="single" w:sz="4" w:space="0" w:color="auto"/>
            </w:tcBorders>
          </w:tcPr>
          <w:p w14:paraId="1187FA15" w14:textId="7D24377D"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 </w:t>
            </w:r>
          </w:p>
        </w:tc>
      </w:tr>
      <w:tr w:rsidR="004013A8" w:rsidRPr="00236418" w14:paraId="4515E0A5" w14:textId="77777777" w:rsidTr="0040468D">
        <w:trPr>
          <w:jc w:val="center"/>
        </w:trPr>
        <w:tc>
          <w:tcPr>
            <w:tcW w:w="0" w:type="auto"/>
            <w:tcBorders>
              <w:top w:val="nil"/>
              <w:bottom w:val="nil"/>
              <w:right w:val="single" w:sz="4" w:space="0" w:color="auto"/>
            </w:tcBorders>
          </w:tcPr>
          <w:p w14:paraId="77A2F960" w14:textId="77777777" w:rsidR="004013A8" w:rsidRPr="00236418" w:rsidRDefault="004013A8" w:rsidP="009B3D24">
            <w:pPr>
              <w:pStyle w:val="Tabletext"/>
              <w:spacing w:before="20" w:after="20"/>
              <w:rPr>
                <w:rFonts w:asciiTheme="minorHAnsi" w:hAnsiTheme="minorHAnsi" w:cstheme="minorHAnsi"/>
                <w:b/>
                <w:sz w:val="20"/>
              </w:rPr>
            </w:pPr>
            <w:r w:rsidRPr="00236418">
              <w:rPr>
                <w:rFonts w:asciiTheme="minorHAnsi" w:hAnsiTheme="minorHAnsi" w:cstheme="minorHAnsi"/>
                <w:color w:val="000000"/>
                <w:sz w:val="20"/>
                <w:lang w:eastAsia="zh-CN"/>
              </w:rPr>
              <w:t>Capital de l'organisation</w:t>
            </w:r>
          </w:p>
        </w:tc>
        <w:tc>
          <w:tcPr>
            <w:tcW w:w="0" w:type="auto"/>
            <w:tcBorders>
              <w:top w:val="nil"/>
              <w:left w:val="single" w:sz="4" w:space="0" w:color="auto"/>
              <w:bottom w:val="nil"/>
              <w:right w:val="single" w:sz="4" w:space="0" w:color="auto"/>
            </w:tcBorders>
          </w:tcPr>
          <w:p w14:paraId="091B3013" w14:textId="2EE62266"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 </w:t>
            </w:r>
          </w:p>
        </w:tc>
        <w:tc>
          <w:tcPr>
            <w:tcW w:w="0" w:type="auto"/>
            <w:tcBorders>
              <w:top w:val="nil"/>
              <w:left w:val="single" w:sz="4" w:space="0" w:color="auto"/>
              <w:bottom w:val="nil"/>
              <w:right w:val="single" w:sz="4" w:space="0" w:color="auto"/>
            </w:tcBorders>
          </w:tcPr>
          <w:p w14:paraId="730FED77" w14:textId="7171A53A"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 </w:t>
            </w:r>
          </w:p>
        </w:tc>
      </w:tr>
      <w:tr w:rsidR="004013A8" w:rsidRPr="00236418" w14:paraId="05E2CA23" w14:textId="77777777" w:rsidTr="0040468D">
        <w:trPr>
          <w:trHeight w:val="539"/>
          <w:jc w:val="center"/>
        </w:trPr>
        <w:tc>
          <w:tcPr>
            <w:tcW w:w="0" w:type="auto"/>
            <w:tcBorders>
              <w:top w:val="nil"/>
              <w:bottom w:val="nil"/>
              <w:right w:val="single" w:sz="4" w:space="0" w:color="auto"/>
            </w:tcBorders>
          </w:tcPr>
          <w:p w14:paraId="735801DD" w14:textId="77777777" w:rsidR="004013A8" w:rsidRPr="00236418" w:rsidRDefault="004013A8" w:rsidP="009B3D24">
            <w:pPr>
              <w:pStyle w:val="Sectiontitle"/>
              <w:spacing w:before="0"/>
              <w:rPr>
                <w:rFonts w:asciiTheme="minorHAnsi" w:hAnsiTheme="minorHAnsi" w:cstheme="minorHAnsi"/>
                <w:sz w:val="20"/>
              </w:rPr>
            </w:pPr>
            <w:r w:rsidRPr="00236418">
              <w:rPr>
                <w:rFonts w:asciiTheme="minorHAnsi" w:hAnsiTheme="minorHAnsi" w:cstheme="minorHAnsi"/>
                <w:sz w:val="20"/>
              </w:rPr>
              <w:t>Fonds de réserve avant réaffectation de</w:t>
            </w:r>
            <w:r w:rsidRPr="00236418">
              <w:rPr>
                <w:rFonts w:asciiTheme="minorHAnsi" w:hAnsiTheme="minorHAnsi" w:cstheme="minorHAnsi"/>
                <w:sz w:val="20"/>
              </w:rPr>
              <w:br/>
              <w:t>l'excédent/du déficit de l'exercice</w:t>
            </w:r>
          </w:p>
        </w:tc>
        <w:tc>
          <w:tcPr>
            <w:tcW w:w="0" w:type="auto"/>
            <w:tcBorders>
              <w:top w:val="nil"/>
              <w:left w:val="single" w:sz="4" w:space="0" w:color="auto"/>
              <w:bottom w:val="nil"/>
              <w:right w:val="single" w:sz="4" w:space="0" w:color="auto"/>
            </w:tcBorders>
          </w:tcPr>
          <w:p w14:paraId="1ACB6081" w14:textId="4DC26969"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24 906</w:t>
            </w:r>
          </w:p>
        </w:tc>
        <w:tc>
          <w:tcPr>
            <w:tcW w:w="0" w:type="auto"/>
            <w:tcBorders>
              <w:top w:val="nil"/>
              <w:left w:val="single" w:sz="4" w:space="0" w:color="auto"/>
              <w:bottom w:val="nil"/>
              <w:right w:val="single" w:sz="4" w:space="0" w:color="auto"/>
            </w:tcBorders>
          </w:tcPr>
          <w:p w14:paraId="0741E45F" w14:textId="2FDC94C9"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26 934</w:t>
            </w:r>
          </w:p>
        </w:tc>
      </w:tr>
      <w:tr w:rsidR="004013A8" w:rsidRPr="00236418" w14:paraId="7BF0A08D" w14:textId="77777777" w:rsidTr="0040468D">
        <w:trPr>
          <w:jc w:val="center"/>
        </w:trPr>
        <w:tc>
          <w:tcPr>
            <w:tcW w:w="0" w:type="auto"/>
            <w:tcBorders>
              <w:top w:val="nil"/>
              <w:bottom w:val="nil"/>
              <w:right w:val="single" w:sz="4" w:space="0" w:color="auto"/>
            </w:tcBorders>
          </w:tcPr>
          <w:p w14:paraId="687147FA" w14:textId="77777777" w:rsidR="004013A8" w:rsidRPr="00236418" w:rsidRDefault="004013A8" w:rsidP="009B3D24">
            <w:pPr>
              <w:pStyle w:val="Sectiontitle"/>
              <w:spacing w:before="20" w:after="20"/>
              <w:rPr>
                <w:rFonts w:asciiTheme="minorHAnsi" w:hAnsiTheme="minorHAnsi" w:cstheme="minorHAnsi"/>
                <w:sz w:val="20"/>
                <w:lang w:eastAsia="fr-FR"/>
              </w:rPr>
            </w:pPr>
            <w:r w:rsidRPr="00236418">
              <w:rPr>
                <w:rFonts w:asciiTheme="minorHAnsi" w:hAnsiTheme="minorHAnsi" w:cstheme="minorHAnsi"/>
                <w:sz w:val="20"/>
                <w:lang w:eastAsia="fr-FR"/>
              </w:rPr>
              <w:t>Fonds extrabudgétaires</w:t>
            </w:r>
          </w:p>
        </w:tc>
        <w:tc>
          <w:tcPr>
            <w:tcW w:w="0" w:type="auto"/>
            <w:tcBorders>
              <w:top w:val="nil"/>
              <w:left w:val="single" w:sz="4" w:space="0" w:color="auto"/>
              <w:bottom w:val="nil"/>
              <w:right w:val="single" w:sz="4" w:space="0" w:color="auto"/>
            </w:tcBorders>
          </w:tcPr>
          <w:p w14:paraId="10B1682C" w14:textId="3652D07D"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81 041</w:t>
            </w:r>
          </w:p>
        </w:tc>
        <w:tc>
          <w:tcPr>
            <w:tcW w:w="0" w:type="auto"/>
            <w:tcBorders>
              <w:top w:val="nil"/>
              <w:left w:val="single" w:sz="4" w:space="0" w:color="auto"/>
              <w:bottom w:val="nil"/>
              <w:right w:val="single" w:sz="4" w:space="0" w:color="auto"/>
            </w:tcBorders>
          </w:tcPr>
          <w:p w14:paraId="00F61783" w14:textId="3C44C075"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75 669</w:t>
            </w:r>
          </w:p>
        </w:tc>
      </w:tr>
      <w:tr w:rsidR="004013A8" w:rsidRPr="00236418" w14:paraId="4D8DE68A" w14:textId="77777777" w:rsidTr="0040468D">
        <w:trPr>
          <w:jc w:val="center"/>
        </w:trPr>
        <w:tc>
          <w:tcPr>
            <w:tcW w:w="0" w:type="auto"/>
            <w:tcBorders>
              <w:top w:val="nil"/>
              <w:bottom w:val="nil"/>
              <w:right w:val="single" w:sz="4" w:space="0" w:color="auto"/>
            </w:tcBorders>
          </w:tcPr>
          <w:p w14:paraId="594C489E"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lang w:eastAsia="fr-FR"/>
              </w:rPr>
              <w:t>Pertes actuarielles de l'ASHI</w:t>
            </w:r>
          </w:p>
        </w:tc>
        <w:tc>
          <w:tcPr>
            <w:tcW w:w="0" w:type="auto"/>
            <w:tcBorders>
              <w:top w:val="nil"/>
              <w:left w:val="single" w:sz="4" w:space="0" w:color="auto"/>
              <w:bottom w:val="nil"/>
              <w:right w:val="single" w:sz="4" w:space="0" w:color="auto"/>
            </w:tcBorders>
          </w:tcPr>
          <w:p w14:paraId="0C79A5EB" w14:textId="06A69905"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–278</w:t>
            </w:r>
            <w:r w:rsidR="00CB1A41" w:rsidRPr="00236418">
              <w:rPr>
                <w:sz w:val="20"/>
                <w:lang w:eastAsia="en-GB"/>
              </w:rPr>
              <w:t xml:space="preserve"> </w:t>
            </w:r>
            <w:r w:rsidRPr="00236418">
              <w:rPr>
                <w:sz w:val="20"/>
                <w:lang w:eastAsia="en-GB"/>
              </w:rPr>
              <w:t>315</w:t>
            </w:r>
          </w:p>
        </w:tc>
        <w:tc>
          <w:tcPr>
            <w:tcW w:w="0" w:type="auto"/>
            <w:tcBorders>
              <w:top w:val="nil"/>
              <w:left w:val="single" w:sz="4" w:space="0" w:color="auto"/>
              <w:bottom w:val="nil"/>
              <w:right w:val="single" w:sz="4" w:space="0" w:color="auto"/>
            </w:tcBorders>
          </w:tcPr>
          <w:p w14:paraId="31DEDB40" w14:textId="34980F63"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–282 427</w:t>
            </w:r>
          </w:p>
        </w:tc>
      </w:tr>
      <w:tr w:rsidR="004013A8" w:rsidRPr="00236418" w14:paraId="684DCF33" w14:textId="77777777" w:rsidTr="0040468D">
        <w:trPr>
          <w:jc w:val="center"/>
        </w:trPr>
        <w:tc>
          <w:tcPr>
            <w:tcW w:w="0" w:type="auto"/>
            <w:tcBorders>
              <w:top w:val="nil"/>
              <w:bottom w:val="nil"/>
              <w:right w:val="single" w:sz="4" w:space="0" w:color="auto"/>
            </w:tcBorders>
          </w:tcPr>
          <w:p w14:paraId="57D21020"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Soldes cumulés</w:t>
            </w:r>
          </w:p>
        </w:tc>
        <w:tc>
          <w:tcPr>
            <w:tcW w:w="0" w:type="auto"/>
            <w:tcBorders>
              <w:top w:val="nil"/>
              <w:left w:val="single" w:sz="4" w:space="0" w:color="auto"/>
              <w:bottom w:val="nil"/>
              <w:right w:val="single" w:sz="4" w:space="0" w:color="auto"/>
            </w:tcBorders>
          </w:tcPr>
          <w:p w14:paraId="0C535EE9" w14:textId="4DB8CC71"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–222</w:t>
            </w:r>
            <w:r w:rsidR="00CB1A41" w:rsidRPr="00236418">
              <w:rPr>
                <w:sz w:val="20"/>
                <w:lang w:eastAsia="en-GB"/>
              </w:rPr>
              <w:t xml:space="preserve"> </w:t>
            </w:r>
            <w:r w:rsidRPr="00236418">
              <w:rPr>
                <w:sz w:val="20"/>
                <w:lang w:eastAsia="en-GB"/>
              </w:rPr>
              <w:t>814</w:t>
            </w:r>
          </w:p>
        </w:tc>
        <w:tc>
          <w:tcPr>
            <w:tcW w:w="0" w:type="auto"/>
            <w:tcBorders>
              <w:top w:val="nil"/>
              <w:left w:val="single" w:sz="4" w:space="0" w:color="auto"/>
              <w:bottom w:val="nil"/>
              <w:right w:val="single" w:sz="4" w:space="0" w:color="auto"/>
            </w:tcBorders>
          </w:tcPr>
          <w:p w14:paraId="756CC1A5" w14:textId="48931C5C"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–207 378</w:t>
            </w:r>
          </w:p>
        </w:tc>
      </w:tr>
      <w:tr w:rsidR="004013A8" w:rsidRPr="00236418" w14:paraId="43DA718B" w14:textId="77777777" w:rsidTr="0040468D">
        <w:trPr>
          <w:jc w:val="center"/>
        </w:trPr>
        <w:tc>
          <w:tcPr>
            <w:tcW w:w="0" w:type="auto"/>
            <w:tcBorders>
              <w:top w:val="nil"/>
              <w:bottom w:val="nil"/>
              <w:right w:val="single" w:sz="4" w:space="0" w:color="auto"/>
            </w:tcBorders>
          </w:tcPr>
          <w:p w14:paraId="0C12C5E6" w14:textId="77777777" w:rsidR="004013A8" w:rsidRPr="00236418" w:rsidRDefault="004013A8" w:rsidP="009B3D24">
            <w:pPr>
              <w:pStyle w:val="Tabletext"/>
              <w:spacing w:before="20" w:after="20"/>
              <w:rPr>
                <w:rFonts w:asciiTheme="minorHAnsi" w:hAnsiTheme="minorHAnsi" w:cstheme="minorHAnsi"/>
                <w:sz w:val="20"/>
                <w:lang w:eastAsia="fr-FR"/>
              </w:rPr>
            </w:pPr>
            <w:r w:rsidRPr="00236418">
              <w:rPr>
                <w:rFonts w:asciiTheme="minorHAnsi" w:hAnsiTheme="minorHAnsi" w:cstheme="minorHAnsi"/>
                <w:sz w:val="20"/>
              </w:rPr>
              <w:t>Excédent/déficit de l'exercice</w:t>
            </w:r>
          </w:p>
        </w:tc>
        <w:tc>
          <w:tcPr>
            <w:tcW w:w="0" w:type="auto"/>
            <w:tcBorders>
              <w:top w:val="nil"/>
              <w:left w:val="single" w:sz="4" w:space="0" w:color="auto"/>
              <w:bottom w:val="nil"/>
              <w:right w:val="single" w:sz="4" w:space="0" w:color="auto"/>
            </w:tcBorders>
          </w:tcPr>
          <w:p w14:paraId="4FF38BB8" w14:textId="0B0B5D7E" w:rsidR="004013A8" w:rsidRPr="00236418" w:rsidRDefault="004013A8" w:rsidP="009B3D24">
            <w:pPr>
              <w:pStyle w:val="Tabletext"/>
              <w:jc w:val="right"/>
              <w:rPr>
                <w:rFonts w:asciiTheme="minorHAnsi" w:hAnsiTheme="minorHAnsi" w:cstheme="minorHAnsi"/>
                <w:sz w:val="20"/>
                <w:lang w:eastAsia="zh-CN"/>
              </w:rPr>
            </w:pPr>
            <w:r w:rsidRPr="00236418">
              <w:rPr>
                <w:sz w:val="20"/>
                <w:lang w:eastAsia="en-GB"/>
              </w:rPr>
              <w:t>–57</w:t>
            </w:r>
            <w:r w:rsidR="00CB1A41" w:rsidRPr="00236418">
              <w:rPr>
                <w:sz w:val="20"/>
                <w:lang w:eastAsia="en-GB"/>
              </w:rPr>
              <w:t xml:space="preserve"> </w:t>
            </w:r>
            <w:r w:rsidRPr="00236418">
              <w:rPr>
                <w:sz w:val="20"/>
                <w:lang w:eastAsia="en-GB"/>
              </w:rPr>
              <w:t>463</w:t>
            </w:r>
          </w:p>
        </w:tc>
        <w:tc>
          <w:tcPr>
            <w:tcW w:w="0" w:type="auto"/>
            <w:tcBorders>
              <w:top w:val="nil"/>
              <w:left w:val="single" w:sz="4" w:space="0" w:color="auto"/>
              <w:bottom w:val="nil"/>
              <w:right w:val="single" w:sz="4" w:space="0" w:color="auto"/>
            </w:tcBorders>
          </w:tcPr>
          <w:p w14:paraId="4D43F9FE" w14:textId="4EB3D5A1" w:rsidR="004013A8" w:rsidRPr="00236418" w:rsidRDefault="004013A8" w:rsidP="009B3D24">
            <w:pPr>
              <w:pStyle w:val="Tabletext"/>
              <w:jc w:val="right"/>
              <w:rPr>
                <w:rFonts w:asciiTheme="minorHAnsi" w:hAnsiTheme="minorHAnsi" w:cstheme="minorHAnsi"/>
                <w:sz w:val="20"/>
                <w:lang w:eastAsia="zh-CN"/>
              </w:rPr>
            </w:pPr>
            <w:r w:rsidRPr="00236418">
              <w:rPr>
                <w:rFonts w:asciiTheme="minorHAnsi" w:hAnsiTheme="minorHAnsi" w:cstheme="minorHAnsi"/>
                <w:sz w:val="20"/>
                <w:lang w:eastAsia="zh-CN"/>
              </w:rPr>
              <w:t>–7 976</w:t>
            </w:r>
          </w:p>
        </w:tc>
      </w:tr>
      <w:tr w:rsidR="004013A8" w:rsidRPr="00236418" w14:paraId="215999D7" w14:textId="77777777" w:rsidTr="0040468D">
        <w:trPr>
          <w:trHeight w:val="266"/>
          <w:jc w:val="center"/>
        </w:trPr>
        <w:tc>
          <w:tcPr>
            <w:tcW w:w="0" w:type="auto"/>
            <w:tcBorders>
              <w:right w:val="single" w:sz="4" w:space="0" w:color="auto"/>
            </w:tcBorders>
            <w:vAlign w:val="center"/>
          </w:tcPr>
          <w:p w14:paraId="2E42CD65" w14:textId="13BD587F" w:rsidR="004013A8" w:rsidRPr="00236418" w:rsidRDefault="004013A8" w:rsidP="009B3D24">
            <w:pPr>
              <w:pStyle w:val="Tabletext"/>
              <w:spacing w:before="20" w:after="20"/>
              <w:rPr>
                <w:rFonts w:asciiTheme="minorHAnsi" w:hAnsiTheme="minorHAnsi" w:cstheme="minorHAnsi"/>
                <w:b/>
                <w:sz w:val="20"/>
                <w:lang w:eastAsia="fr-FR"/>
              </w:rPr>
            </w:pPr>
            <w:r w:rsidRPr="00236418">
              <w:rPr>
                <w:rFonts w:asciiTheme="minorHAnsi" w:hAnsiTheme="minorHAnsi" w:cstheme="minorHAnsi"/>
                <w:b/>
                <w:sz w:val="20"/>
                <w:lang w:eastAsia="fr-FR"/>
              </w:rPr>
              <w:t>TOTAL DE L'ACTIF NET</w:t>
            </w:r>
          </w:p>
        </w:tc>
        <w:tc>
          <w:tcPr>
            <w:tcW w:w="0" w:type="auto"/>
            <w:tcBorders>
              <w:left w:val="single" w:sz="4" w:space="0" w:color="auto"/>
              <w:right w:val="single" w:sz="4" w:space="0" w:color="auto"/>
            </w:tcBorders>
            <w:vAlign w:val="center"/>
          </w:tcPr>
          <w:p w14:paraId="2FFBD10C" w14:textId="1964E1DD" w:rsidR="004013A8" w:rsidRPr="00236418" w:rsidRDefault="004013A8" w:rsidP="009B3D24">
            <w:pPr>
              <w:pStyle w:val="Tabletext"/>
              <w:jc w:val="right"/>
              <w:rPr>
                <w:rFonts w:asciiTheme="minorHAnsi" w:hAnsiTheme="minorHAnsi" w:cstheme="minorHAnsi"/>
                <w:b/>
                <w:bCs/>
                <w:sz w:val="20"/>
                <w:lang w:eastAsia="zh-CN"/>
              </w:rPr>
            </w:pPr>
            <w:r w:rsidRPr="00236418">
              <w:rPr>
                <w:b/>
                <w:bCs/>
                <w:sz w:val="20"/>
                <w:lang w:eastAsia="en-GB"/>
              </w:rPr>
              <w:t>–452</w:t>
            </w:r>
            <w:r w:rsidR="00CB1A41" w:rsidRPr="00236418">
              <w:rPr>
                <w:b/>
                <w:bCs/>
                <w:sz w:val="20"/>
                <w:lang w:eastAsia="en-GB"/>
              </w:rPr>
              <w:t xml:space="preserve"> </w:t>
            </w:r>
            <w:r w:rsidRPr="00236418">
              <w:rPr>
                <w:b/>
                <w:bCs/>
                <w:sz w:val="20"/>
                <w:lang w:eastAsia="en-GB"/>
              </w:rPr>
              <w:t>645</w:t>
            </w:r>
          </w:p>
        </w:tc>
        <w:tc>
          <w:tcPr>
            <w:tcW w:w="0" w:type="auto"/>
            <w:tcBorders>
              <w:left w:val="single" w:sz="4" w:space="0" w:color="auto"/>
              <w:right w:val="single" w:sz="4" w:space="0" w:color="auto"/>
            </w:tcBorders>
            <w:vAlign w:val="center"/>
          </w:tcPr>
          <w:p w14:paraId="6A8F9525" w14:textId="64176404" w:rsidR="004013A8" w:rsidRPr="00236418" w:rsidRDefault="004013A8" w:rsidP="009B3D24">
            <w:pPr>
              <w:pStyle w:val="Tabletext"/>
              <w:jc w:val="right"/>
              <w:rPr>
                <w:rFonts w:asciiTheme="minorHAnsi" w:hAnsiTheme="minorHAnsi" w:cstheme="minorHAnsi"/>
                <w:b/>
                <w:bCs/>
                <w:sz w:val="20"/>
                <w:lang w:eastAsia="zh-CN"/>
              </w:rPr>
            </w:pPr>
            <w:r w:rsidRPr="00236418">
              <w:rPr>
                <w:rFonts w:asciiTheme="minorHAnsi" w:hAnsiTheme="minorHAnsi" w:cstheme="minorHAnsi"/>
                <w:b/>
                <w:bCs/>
                <w:sz w:val="20"/>
                <w:lang w:eastAsia="zh-CN"/>
              </w:rPr>
              <w:t>–395 178</w:t>
            </w:r>
          </w:p>
        </w:tc>
      </w:tr>
    </w:tbl>
    <w:p w14:paraId="39438672" w14:textId="77777777" w:rsidR="00236418" w:rsidRPr="00236418" w:rsidRDefault="00236418">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548" w:name="_Toc329178758"/>
      <w:bookmarkStart w:id="549" w:name="_Toc329181731"/>
      <w:bookmarkStart w:id="550" w:name="_Toc329202542"/>
      <w:bookmarkStart w:id="551" w:name="_Toc329204975"/>
      <w:bookmarkStart w:id="552" w:name="_Toc329206812"/>
      <w:bookmarkStart w:id="553" w:name="_Toc358379319"/>
      <w:bookmarkStart w:id="554" w:name="_Toc358379897"/>
      <w:bookmarkStart w:id="555" w:name="_Toc358380437"/>
      <w:bookmarkStart w:id="556" w:name="_Toc452139410"/>
      <w:bookmarkStart w:id="557" w:name="_Toc452139809"/>
      <w:bookmarkStart w:id="558" w:name="_Toc452140676"/>
      <w:bookmarkStart w:id="559" w:name="_Toc511649923"/>
      <w:bookmarkStart w:id="560" w:name="_Toc511651179"/>
      <w:bookmarkStart w:id="561" w:name="_Toc511724044"/>
      <w:bookmarkStart w:id="562" w:name="_Toc511739033"/>
      <w:bookmarkStart w:id="563" w:name="_Toc511740813"/>
      <w:bookmarkStart w:id="564" w:name="_Toc511741202"/>
      <w:bookmarkStart w:id="565" w:name="_Toc10450708"/>
      <w:bookmarkStart w:id="566" w:name="_Toc41567340"/>
      <w:bookmarkStart w:id="567" w:name="_Toc41567826"/>
      <w:bookmarkStart w:id="568" w:name="_Toc41814938"/>
      <w:r w:rsidRPr="00236418">
        <w:br w:type="page"/>
      </w:r>
    </w:p>
    <w:p w14:paraId="056F8814" w14:textId="40D7FE4C" w:rsidR="00DF6159" w:rsidRPr="00236418" w:rsidRDefault="00DF6159" w:rsidP="009F2896">
      <w:pPr>
        <w:pStyle w:val="Heading1"/>
        <w:spacing w:after="120"/>
        <w:jc w:val="center"/>
      </w:pPr>
      <w:r w:rsidRPr="00236418">
        <w:lastRenderedPageBreak/>
        <w:t>II – État de la performance financière pour l'exercice clos le 31 décembre 201</w:t>
      </w:r>
      <w:r w:rsidR="009010B4" w:rsidRPr="00236418">
        <w:t>9</w:t>
      </w:r>
      <w:r w:rsidRPr="00236418">
        <w:br/>
        <w:t xml:space="preserve">avec chiffres comparatifs au 31 décembre </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236418">
        <w:t>201</w:t>
      </w:r>
      <w:bookmarkEnd w:id="565"/>
      <w:r w:rsidR="009010B4" w:rsidRPr="00236418">
        <w:t>8</w:t>
      </w:r>
      <w:bookmarkEnd w:id="566"/>
      <w:bookmarkEnd w:id="567"/>
      <w:bookmarkEnd w:id="568"/>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92"/>
        <w:gridCol w:w="1769"/>
        <w:gridCol w:w="1843"/>
      </w:tblGrid>
      <w:tr w:rsidR="009010B4" w:rsidRPr="00236418" w14:paraId="4A3B8D97" w14:textId="77777777" w:rsidTr="006538EB">
        <w:trPr>
          <w:jc w:val="center"/>
        </w:trPr>
        <w:tc>
          <w:tcPr>
            <w:tcW w:w="4092" w:type="dxa"/>
            <w:tcBorders>
              <w:bottom w:val="single" w:sz="4" w:space="0" w:color="auto"/>
              <w:right w:val="single" w:sz="4" w:space="0" w:color="auto"/>
            </w:tcBorders>
          </w:tcPr>
          <w:p w14:paraId="22C418DF" w14:textId="77777777" w:rsidR="009010B4" w:rsidRPr="00236418" w:rsidRDefault="009010B4" w:rsidP="00CB1A41">
            <w:pPr>
              <w:pStyle w:val="Tablehead"/>
              <w:jc w:val="left"/>
              <w:rPr>
                <w:rFonts w:asciiTheme="minorHAnsi" w:hAnsiTheme="minorHAnsi" w:cstheme="minorHAnsi"/>
                <w:szCs w:val="22"/>
                <w:lang w:eastAsia="zh-CN"/>
              </w:rPr>
            </w:pPr>
            <w:r w:rsidRPr="00236418">
              <w:rPr>
                <w:rFonts w:asciiTheme="minorHAnsi" w:hAnsiTheme="minorHAnsi" w:cstheme="minorHAnsi"/>
                <w:szCs w:val="22"/>
                <w:lang w:eastAsia="zh-CN"/>
              </w:rPr>
              <w:t>(en milliers de francs suisses)</w:t>
            </w:r>
          </w:p>
        </w:tc>
        <w:tc>
          <w:tcPr>
            <w:tcW w:w="1769" w:type="dxa"/>
            <w:tcBorders>
              <w:left w:val="single" w:sz="4" w:space="0" w:color="auto"/>
              <w:bottom w:val="single" w:sz="4" w:space="0" w:color="auto"/>
              <w:right w:val="single" w:sz="4" w:space="0" w:color="auto"/>
            </w:tcBorders>
          </w:tcPr>
          <w:p w14:paraId="4E6D7AC9" w14:textId="2DD4A295" w:rsidR="009010B4" w:rsidRPr="00236418" w:rsidRDefault="009010B4" w:rsidP="009B3D24">
            <w:pPr>
              <w:pStyle w:val="Tablehead"/>
              <w:rPr>
                <w:rFonts w:asciiTheme="minorHAnsi" w:hAnsiTheme="minorHAnsi" w:cstheme="minorHAnsi"/>
                <w:bCs/>
                <w:szCs w:val="22"/>
                <w:lang w:eastAsia="zh-CN"/>
              </w:rPr>
            </w:pPr>
            <w:r w:rsidRPr="00236418">
              <w:rPr>
                <w:rFonts w:asciiTheme="minorHAnsi" w:hAnsiTheme="minorHAnsi" w:cstheme="minorHAnsi"/>
                <w:bCs/>
                <w:szCs w:val="22"/>
                <w:lang w:eastAsia="zh-CN"/>
              </w:rPr>
              <w:t>31.12.2019</w:t>
            </w:r>
          </w:p>
        </w:tc>
        <w:tc>
          <w:tcPr>
            <w:tcW w:w="1843" w:type="dxa"/>
            <w:tcBorders>
              <w:left w:val="single" w:sz="4" w:space="0" w:color="auto"/>
              <w:bottom w:val="single" w:sz="4" w:space="0" w:color="auto"/>
              <w:right w:val="single" w:sz="4" w:space="0" w:color="auto"/>
            </w:tcBorders>
          </w:tcPr>
          <w:p w14:paraId="590C5C3E" w14:textId="0503A8F8" w:rsidR="009010B4" w:rsidRPr="00236418" w:rsidRDefault="009010B4" w:rsidP="009B3D24">
            <w:pPr>
              <w:pStyle w:val="Tablehead"/>
              <w:rPr>
                <w:rFonts w:asciiTheme="minorHAnsi" w:hAnsiTheme="minorHAnsi" w:cstheme="minorHAnsi"/>
                <w:bCs/>
                <w:szCs w:val="22"/>
                <w:lang w:eastAsia="zh-CN"/>
              </w:rPr>
            </w:pPr>
            <w:r w:rsidRPr="00236418">
              <w:rPr>
                <w:rFonts w:asciiTheme="minorHAnsi" w:hAnsiTheme="minorHAnsi" w:cstheme="minorHAnsi"/>
                <w:bCs/>
                <w:szCs w:val="22"/>
                <w:lang w:eastAsia="zh-CN"/>
              </w:rPr>
              <w:t>31.12.2018</w:t>
            </w:r>
          </w:p>
        </w:tc>
      </w:tr>
      <w:tr w:rsidR="009010B4" w:rsidRPr="00236418" w14:paraId="19F33B91" w14:textId="77777777" w:rsidTr="006538EB">
        <w:trPr>
          <w:jc w:val="center"/>
        </w:trPr>
        <w:tc>
          <w:tcPr>
            <w:tcW w:w="4092" w:type="dxa"/>
            <w:tcBorders>
              <w:top w:val="single" w:sz="4" w:space="0" w:color="auto"/>
              <w:bottom w:val="nil"/>
              <w:right w:val="single" w:sz="4" w:space="0" w:color="auto"/>
            </w:tcBorders>
          </w:tcPr>
          <w:p w14:paraId="69B3B63D" w14:textId="77777777" w:rsidR="009010B4" w:rsidRPr="00236418" w:rsidRDefault="009010B4" w:rsidP="009B3D24">
            <w:pPr>
              <w:pStyle w:val="Tabletext"/>
              <w:spacing w:before="0" w:after="0"/>
              <w:rPr>
                <w:rFonts w:asciiTheme="minorHAnsi" w:hAnsiTheme="minorHAnsi" w:cstheme="minorHAnsi"/>
                <w:b/>
                <w:bCs/>
                <w:szCs w:val="22"/>
                <w:lang w:eastAsia="fr-FR"/>
              </w:rPr>
            </w:pPr>
          </w:p>
        </w:tc>
        <w:tc>
          <w:tcPr>
            <w:tcW w:w="1769" w:type="dxa"/>
            <w:tcBorders>
              <w:top w:val="single" w:sz="4" w:space="0" w:color="auto"/>
              <w:left w:val="single" w:sz="4" w:space="0" w:color="auto"/>
              <w:bottom w:val="nil"/>
              <w:right w:val="single" w:sz="4" w:space="0" w:color="auto"/>
            </w:tcBorders>
          </w:tcPr>
          <w:p w14:paraId="30BF1DEA" w14:textId="0A6B79E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 </w:t>
            </w:r>
          </w:p>
        </w:tc>
        <w:tc>
          <w:tcPr>
            <w:tcW w:w="1843" w:type="dxa"/>
            <w:tcBorders>
              <w:top w:val="single" w:sz="4" w:space="0" w:color="auto"/>
              <w:left w:val="single" w:sz="4" w:space="0" w:color="auto"/>
              <w:bottom w:val="nil"/>
              <w:right w:val="single" w:sz="4" w:space="0" w:color="auto"/>
            </w:tcBorders>
          </w:tcPr>
          <w:p w14:paraId="2EEB74F9" w14:textId="7777777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p>
        </w:tc>
      </w:tr>
      <w:tr w:rsidR="009010B4" w:rsidRPr="00236418" w14:paraId="60E5EAC1" w14:textId="77777777" w:rsidTr="006538EB">
        <w:trPr>
          <w:jc w:val="center"/>
        </w:trPr>
        <w:tc>
          <w:tcPr>
            <w:tcW w:w="4092" w:type="dxa"/>
            <w:tcBorders>
              <w:top w:val="nil"/>
              <w:bottom w:val="nil"/>
              <w:right w:val="single" w:sz="4" w:space="0" w:color="auto"/>
            </w:tcBorders>
          </w:tcPr>
          <w:p w14:paraId="2340EB9D" w14:textId="77777777" w:rsidR="009010B4" w:rsidRPr="00236418" w:rsidRDefault="009010B4" w:rsidP="009B3D24">
            <w:pPr>
              <w:pStyle w:val="Tablehead"/>
              <w:spacing w:before="0" w:after="0"/>
              <w:jc w:val="left"/>
              <w:rPr>
                <w:rFonts w:asciiTheme="minorHAnsi" w:hAnsiTheme="minorHAnsi" w:cstheme="minorHAnsi"/>
                <w:szCs w:val="22"/>
                <w:lang w:eastAsia="fr-FR"/>
              </w:rPr>
            </w:pPr>
            <w:r w:rsidRPr="00236418">
              <w:rPr>
                <w:rFonts w:asciiTheme="minorHAnsi" w:hAnsiTheme="minorHAnsi" w:cstheme="minorHAnsi"/>
                <w:szCs w:val="22"/>
                <w:lang w:eastAsia="zh-CN"/>
              </w:rPr>
              <w:t>PRODUITS</w:t>
            </w:r>
          </w:p>
        </w:tc>
        <w:tc>
          <w:tcPr>
            <w:tcW w:w="1769" w:type="dxa"/>
            <w:tcBorders>
              <w:top w:val="nil"/>
              <w:left w:val="single" w:sz="4" w:space="0" w:color="auto"/>
              <w:bottom w:val="nil"/>
              <w:right w:val="single" w:sz="4" w:space="0" w:color="auto"/>
            </w:tcBorders>
          </w:tcPr>
          <w:p w14:paraId="4D36D064" w14:textId="766FFC8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 </w:t>
            </w:r>
          </w:p>
        </w:tc>
        <w:tc>
          <w:tcPr>
            <w:tcW w:w="1843" w:type="dxa"/>
            <w:tcBorders>
              <w:top w:val="nil"/>
              <w:left w:val="single" w:sz="4" w:space="0" w:color="auto"/>
              <w:bottom w:val="nil"/>
              <w:right w:val="single" w:sz="4" w:space="0" w:color="auto"/>
            </w:tcBorders>
          </w:tcPr>
          <w:p w14:paraId="4AE57C7F" w14:textId="760D0910"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asciiTheme="minorHAnsi" w:hAnsiTheme="minorHAnsi" w:cstheme="minorHAnsi"/>
                <w:b/>
                <w:bCs/>
                <w:color w:val="000000"/>
                <w:sz w:val="22"/>
                <w:szCs w:val="22"/>
                <w:lang w:eastAsia="zh-CN"/>
              </w:rPr>
              <w:t> </w:t>
            </w:r>
          </w:p>
        </w:tc>
      </w:tr>
      <w:tr w:rsidR="009010B4" w:rsidRPr="00236418" w14:paraId="5A487441" w14:textId="77777777" w:rsidTr="006538EB">
        <w:trPr>
          <w:jc w:val="center"/>
        </w:trPr>
        <w:tc>
          <w:tcPr>
            <w:tcW w:w="4092" w:type="dxa"/>
            <w:tcBorders>
              <w:top w:val="nil"/>
              <w:bottom w:val="nil"/>
              <w:right w:val="single" w:sz="4" w:space="0" w:color="auto"/>
            </w:tcBorders>
          </w:tcPr>
          <w:p w14:paraId="6F6BC70D" w14:textId="77777777" w:rsidR="009010B4" w:rsidRPr="00236418" w:rsidRDefault="009010B4" w:rsidP="009B3D24">
            <w:pPr>
              <w:pStyle w:val="Tabletext"/>
              <w:spacing w:before="0" w:after="0"/>
              <w:rPr>
                <w:rFonts w:asciiTheme="minorHAnsi" w:hAnsiTheme="minorHAnsi" w:cstheme="minorHAnsi"/>
                <w:szCs w:val="22"/>
                <w:lang w:eastAsia="fr-FR"/>
              </w:rPr>
            </w:pPr>
          </w:p>
        </w:tc>
        <w:tc>
          <w:tcPr>
            <w:tcW w:w="1769" w:type="dxa"/>
            <w:tcBorders>
              <w:top w:val="nil"/>
              <w:left w:val="single" w:sz="4" w:space="0" w:color="auto"/>
              <w:bottom w:val="nil"/>
              <w:right w:val="single" w:sz="4" w:space="0" w:color="auto"/>
            </w:tcBorders>
          </w:tcPr>
          <w:p w14:paraId="2BD2B8EA" w14:textId="4138D583"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 </w:t>
            </w:r>
          </w:p>
        </w:tc>
        <w:tc>
          <w:tcPr>
            <w:tcW w:w="1843" w:type="dxa"/>
            <w:tcBorders>
              <w:top w:val="nil"/>
              <w:left w:val="single" w:sz="4" w:space="0" w:color="auto"/>
              <w:bottom w:val="nil"/>
              <w:right w:val="single" w:sz="4" w:space="0" w:color="auto"/>
            </w:tcBorders>
          </w:tcPr>
          <w:p w14:paraId="4E0CC0AC" w14:textId="34843DB6"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p>
        </w:tc>
      </w:tr>
      <w:tr w:rsidR="009010B4" w:rsidRPr="00236418" w14:paraId="5EC59AF5" w14:textId="77777777" w:rsidTr="006538EB">
        <w:trPr>
          <w:jc w:val="center"/>
        </w:trPr>
        <w:tc>
          <w:tcPr>
            <w:tcW w:w="4092" w:type="dxa"/>
            <w:tcBorders>
              <w:top w:val="nil"/>
              <w:bottom w:val="nil"/>
              <w:right w:val="single" w:sz="4" w:space="0" w:color="auto"/>
            </w:tcBorders>
          </w:tcPr>
          <w:p w14:paraId="28A0BF6D"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Contributions mises en recouvrement</w:t>
            </w:r>
          </w:p>
        </w:tc>
        <w:tc>
          <w:tcPr>
            <w:tcW w:w="1769" w:type="dxa"/>
            <w:tcBorders>
              <w:top w:val="nil"/>
              <w:left w:val="single" w:sz="4" w:space="0" w:color="auto"/>
              <w:bottom w:val="nil"/>
              <w:right w:val="single" w:sz="4" w:space="0" w:color="auto"/>
            </w:tcBorders>
            <w:vAlign w:val="bottom"/>
          </w:tcPr>
          <w:p w14:paraId="5A8C4B28" w14:textId="49FD2DEC"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126 485</w:t>
            </w:r>
          </w:p>
        </w:tc>
        <w:tc>
          <w:tcPr>
            <w:tcW w:w="1843" w:type="dxa"/>
            <w:tcBorders>
              <w:top w:val="nil"/>
              <w:left w:val="single" w:sz="4" w:space="0" w:color="auto"/>
              <w:bottom w:val="nil"/>
              <w:right w:val="single" w:sz="4" w:space="0" w:color="auto"/>
            </w:tcBorders>
            <w:vAlign w:val="bottom"/>
          </w:tcPr>
          <w:p w14:paraId="532C1F9D" w14:textId="6D21A2F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125 191</w:t>
            </w:r>
          </w:p>
        </w:tc>
      </w:tr>
      <w:tr w:rsidR="009010B4" w:rsidRPr="00236418" w14:paraId="59641183" w14:textId="77777777" w:rsidTr="006538EB">
        <w:trPr>
          <w:jc w:val="center"/>
        </w:trPr>
        <w:tc>
          <w:tcPr>
            <w:tcW w:w="4092" w:type="dxa"/>
            <w:tcBorders>
              <w:top w:val="nil"/>
              <w:bottom w:val="nil"/>
              <w:right w:val="single" w:sz="4" w:space="0" w:color="auto"/>
            </w:tcBorders>
          </w:tcPr>
          <w:p w14:paraId="5DD6896F"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Contributions volontaires</w:t>
            </w:r>
          </w:p>
        </w:tc>
        <w:tc>
          <w:tcPr>
            <w:tcW w:w="1769" w:type="dxa"/>
            <w:tcBorders>
              <w:top w:val="nil"/>
              <w:left w:val="single" w:sz="4" w:space="0" w:color="auto"/>
              <w:bottom w:val="nil"/>
              <w:right w:val="single" w:sz="4" w:space="0" w:color="auto"/>
            </w:tcBorders>
            <w:vAlign w:val="bottom"/>
          </w:tcPr>
          <w:p w14:paraId="213726D9" w14:textId="3B30ADC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10 456</w:t>
            </w:r>
          </w:p>
        </w:tc>
        <w:tc>
          <w:tcPr>
            <w:tcW w:w="1843" w:type="dxa"/>
            <w:tcBorders>
              <w:top w:val="nil"/>
              <w:left w:val="single" w:sz="4" w:space="0" w:color="auto"/>
              <w:bottom w:val="nil"/>
              <w:right w:val="single" w:sz="4" w:space="0" w:color="auto"/>
            </w:tcBorders>
            <w:vAlign w:val="bottom"/>
          </w:tcPr>
          <w:p w14:paraId="5BDA1BA9" w14:textId="3E76F7F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7 161</w:t>
            </w:r>
          </w:p>
        </w:tc>
      </w:tr>
      <w:tr w:rsidR="009010B4" w:rsidRPr="00236418" w14:paraId="78A92BDE" w14:textId="77777777" w:rsidTr="006538EB">
        <w:trPr>
          <w:jc w:val="center"/>
        </w:trPr>
        <w:tc>
          <w:tcPr>
            <w:tcW w:w="4092" w:type="dxa"/>
            <w:tcBorders>
              <w:top w:val="nil"/>
              <w:bottom w:val="nil"/>
              <w:right w:val="single" w:sz="4" w:space="0" w:color="auto"/>
            </w:tcBorders>
          </w:tcPr>
          <w:p w14:paraId="6F00B6BD"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Autres produits d'exploitation</w:t>
            </w:r>
          </w:p>
        </w:tc>
        <w:tc>
          <w:tcPr>
            <w:tcW w:w="1769" w:type="dxa"/>
            <w:tcBorders>
              <w:top w:val="nil"/>
              <w:left w:val="single" w:sz="4" w:space="0" w:color="auto"/>
              <w:bottom w:val="nil"/>
              <w:right w:val="single" w:sz="4" w:space="0" w:color="auto"/>
            </w:tcBorders>
            <w:vAlign w:val="bottom"/>
          </w:tcPr>
          <w:p w14:paraId="104D0270" w14:textId="58650141"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39 366</w:t>
            </w:r>
          </w:p>
        </w:tc>
        <w:tc>
          <w:tcPr>
            <w:tcW w:w="1843" w:type="dxa"/>
            <w:tcBorders>
              <w:top w:val="nil"/>
              <w:left w:val="single" w:sz="4" w:space="0" w:color="auto"/>
              <w:bottom w:val="nil"/>
              <w:right w:val="single" w:sz="4" w:space="0" w:color="auto"/>
            </w:tcBorders>
            <w:vAlign w:val="bottom"/>
          </w:tcPr>
          <w:p w14:paraId="75632C58" w14:textId="751384C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41 930</w:t>
            </w:r>
          </w:p>
        </w:tc>
      </w:tr>
      <w:tr w:rsidR="009010B4" w:rsidRPr="00236418" w14:paraId="68A645AF" w14:textId="77777777" w:rsidTr="006538EB">
        <w:trPr>
          <w:jc w:val="center"/>
        </w:trPr>
        <w:tc>
          <w:tcPr>
            <w:tcW w:w="4092" w:type="dxa"/>
            <w:tcBorders>
              <w:top w:val="nil"/>
              <w:bottom w:val="nil"/>
              <w:right w:val="single" w:sz="4" w:space="0" w:color="auto"/>
            </w:tcBorders>
          </w:tcPr>
          <w:p w14:paraId="0D04E640"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Contributions en nature</w:t>
            </w:r>
          </w:p>
        </w:tc>
        <w:tc>
          <w:tcPr>
            <w:tcW w:w="1769" w:type="dxa"/>
            <w:tcBorders>
              <w:top w:val="nil"/>
              <w:left w:val="single" w:sz="4" w:space="0" w:color="auto"/>
              <w:bottom w:val="nil"/>
              <w:right w:val="single" w:sz="4" w:space="0" w:color="auto"/>
            </w:tcBorders>
            <w:vAlign w:val="bottom"/>
          </w:tcPr>
          <w:p w14:paraId="35598169" w14:textId="432C65A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841</w:t>
            </w:r>
          </w:p>
        </w:tc>
        <w:tc>
          <w:tcPr>
            <w:tcW w:w="1843" w:type="dxa"/>
            <w:tcBorders>
              <w:top w:val="nil"/>
              <w:left w:val="single" w:sz="4" w:space="0" w:color="auto"/>
              <w:bottom w:val="nil"/>
              <w:right w:val="single" w:sz="4" w:space="0" w:color="auto"/>
            </w:tcBorders>
            <w:vAlign w:val="bottom"/>
          </w:tcPr>
          <w:p w14:paraId="45C66F3D" w14:textId="08DA0CD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862</w:t>
            </w:r>
          </w:p>
        </w:tc>
      </w:tr>
      <w:tr w:rsidR="009010B4" w:rsidRPr="00236418" w14:paraId="3C7F7B22" w14:textId="77777777" w:rsidTr="006538EB">
        <w:trPr>
          <w:jc w:val="center"/>
        </w:trPr>
        <w:tc>
          <w:tcPr>
            <w:tcW w:w="4092" w:type="dxa"/>
            <w:tcBorders>
              <w:top w:val="nil"/>
              <w:bottom w:val="nil"/>
              <w:right w:val="single" w:sz="4" w:space="0" w:color="auto"/>
            </w:tcBorders>
          </w:tcPr>
          <w:p w14:paraId="4DCC3233"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Produits financiers</w:t>
            </w:r>
          </w:p>
        </w:tc>
        <w:tc>
          <w:tcPr>
            <w:tcW w:w="1769" w:type="dxa"/>
            <w:tcBorders>
              <w:top w:val="nil"/>
              <w:left w:val="single" w:sz="4" w:space="0" w:color="auto"/>
              <w:bottom w:val="nil"/>
              <w:right w:val="single" w:sz="4" w:space="0" w:color="auto"/>
            </w:tcBorders>
            <w:vAlign w:val="bottom"/>
          </w:tcPr>
          <w:p w14:paraId="21B181FC" w14:textId="064BE65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10 030</w:t>
            </w:r>
          </w:p>
        </w:tc>
        <w:tc>
          <w:tcPr>
            <w:tcW w:w="1843" w:type="dxa"/>
            <w:tcBorders>
              <w:top w:val="nil"/>
              <w:left w:val="single" w:sz="4" w:space="0" w:color="auto"/>
              <w:bottom w:val="nil"/>
              <w:right w:val="single" w:sz="4" w:space="0" w:color="auto"/>
            </w:tcBorders>
            <w:vAlign w:val="bottom"/>
          </w:tcPr>
          <w:p w14:paraId="31D466FB" w14:textId="302BEE86"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1 245</w:t>
            </w:r>
          </w:p>
        </w:tc>
      </w:tr>
      <w:tr w:rsidR="009010B4" w:rsidRPr="00236418" w14:paraId="222EAFFF" w14:textId="77777777" w:rsidTr="006538EB">
        <w:trPr>
          <w:jc w:val="center"/>
        </w:trPr>
        <w:tc>
          <w:tcPr>
            <w:tcW w:w="4092" w:type="dxa"/>
            <w:tcBorders>
              <w:top w:val="nil"/>
              <w:bottom w:val="single" w:sz="4" w:space="0" w:color="auto"/>
              <w:right w:val="single" w:sz="4" w:space="0" w:color="auto"/>
            </w:tcBorders>
          </w:tcPr>
          <w:p w14:paraId="01A399ED" w14:textId="77777777" w:rsidR="009010B4" w:rsidRPr="00236418" w:rsidRDefault="009010B4" w:rsidP="009B3D24">
            <w:pPr>
              <w:pStyle w:val="Tabletext"/>
              <w:spacing w:before="0" w:after="0"/>
              <w:rPr>
                <w:rFonts w:asciiTheme="minorHAnsi" w:hAnsiTheme="minorHAnsi" w:cstheme="minorHAnsi"/>
                <w:b/>
                <w:bCs/>
                <w:szCs w:val="22"/>
                <w:lang w:eastAsia="fr-FR"/>
              </w:rPr>
            </w:pPr>
          </w:p>
        </w:tc>
        <w:tc>
          <w:tcPr>
            <w:tcW w:w="1769" w:type="dxa"/>
            <w:tcBorders>
              <w:top w:val="nil"/>
              <w:left w:val="single" w:sz="4" w:space="0" w:color="auto"/>
              <w:bottom w:val="single" w:sz="4" w:space="0" w:color="auto"/>
              <w:right w:val="single" w:sz="4" w:space="0" w:color="auto"/>
            </w:tcBorders>
          </w:tcPr>
          <w:p w14:paraId="5D3029F4" w14:textId="3021E42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 </w:t>
            </w:r>
          </w:p>
        </w:tc>
        <w:tc>
          <w:tcPr>
            <w:tcW w:w="1843" w:type="dxa"/>
            <w:tcBorders>
              <w:top w:val="nil"/>
              <w:left w:val="single" w:sz="4" w:space="0" w:color="auto"/>
              <w:bottom w:val="single" w:sz="4" w:space="0" w:color="auto"/>
              <w:right w:val="single" w:sz="4" w:space="0" w:color="auto"/>
            </w:tcBorders>
          </w:tcPr>
          <w:p w14:paraId="1BC6516E" w14:textId="206A50A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 </w:t>
            </w:r>
          </w:p>
        </w:tc>
      </w:tr>
      <w:tr w:rsidR="009010B4" w:rsidRPr="00236418" w14:paraId="2E56F300" w14:textId="77777777" w:rsidTr="006538EB">
        <w:trPr>
          <w:jc w:val="center"/>
        </w:trPr>
        <w:tc>
          <w:tcPr>
            <w:tcW w:w="4092" w:type="dxa"/>
            <w:tcBorders>
              <w:bottom w:val="single" w:sz="4" w:space="0" w:color="auto"/>
              <w:right w:val="single" w:sz="4" w:space="0" w:color="auto"/>
            </w:tcBorders>
          </w:tcPr>
          <w:p w14:paraId="7422849A" w14:textId="77777777" w:rsidR="009010B4" w:rsidRPr="00236418" w:rsidRDefault="009010B4" w:rsidP="009B3D24">
            <w:pPr>
              <w:pStyle w:val="Tablehead"/>
              <w:spacing w:before="0" w:after="0"/>
              <w:jc w:val="left"/>
              <w:rPr>
                <w:rFonts w:asciiTheme="minorHAnsi" w:hAnsiTheme="minorHAnsi" w:cstheme="minorHAnsi"/>
                <w:szCs w:val="22"/>
                <w:lang w:eastAsia="fr-FR"/>
              </w:rPr>
            </w:pPr>
            <w:r w:rsidRPr="00236418">
              <w:rPr>
                <w:rFonts w:asciiTheme="minorHAnsi" w:hAnsiTheme="minorHAnsi" w:cstheme="minorHAnsi"/>
                <w:szCs w:val="22"/>
                <w:lang w:eastAsia="fr-FR"/>
              </w:rPr>
              <w:t>Total des produits</w:t>
            </w:r>
          </w:p>
        </w:tc>
        <w:tc>
          <w:tcPr>
            <w:tcW w:w="1769" w:type="dxa"/>
            <w:tcBorders>
              <w:left w:val="single" w:sz="4" w:space="0" w:color="auto"/>
              <w:bottom w:val="single" w:sz="4" w:space="0" w:color="auto"/>
              <w:right w:val="single" w:sz="4" w:space="0" w:color="auto"/>
            </w:tcBorders>
            <w:vAlign w:val="center"/>
          </w:tcPr>
          <w:p w14:paraId="786B8EDB" w14:textId="73A7ED3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187 177</w:t>
            </w:r>
          </w:p>
        </w:tc>
        <w:tc>
          <w:tcPr>
            <w:tcW w:w="1843" w:type="dxa"/>
            <w:tcBorders>
              <w:left w:val="single" w:sz="4" w:space="0" w:color="auto"/>
              <w:bottom w:val="single" w:sz="4" w:space="0" w:color="auto"/>
              <w:right w:val="single" w:sz="4" w:space="0" w:color="auto"/>
            </w:tcBorders>
            <w:vAlign w:val="center"/>
          </w:tcPr>
          <w:p w14:paraId="51546942" w14:textId="29A55643"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asciiTheme="minorHAnsi" w:hAnsiTheme="minorHAnsi" w:cstheme="minorHAnsi"/>
                <w:b/>
                <w:bCs/>
                <w:color w:val="000000"/>
                <w:sz w:val="22"/>
                <w:szCs w:val="22"/>
                <w:lang w:eastAsia="zh-CN"/>
              </w:rPr>
              <w:t>176 389</w:t>
            </w:r>
          </w:p>
        </w:tc>
      </w:tr>
      <w:tr w:rsidR="009010B4" w:rsidRPr="00236418" w14:paraId="63B3E048" w14:textId="77777777" w:rsidTr="006538EB">
        <w:trPr>
          <w:jc w:val="center"/>
        </w:trPr>
        <w:tc>
          <w:tcPr>
            <w:tcW w:w="4092" w:type="dxa"/>
            <w:tcBorders>
              <w:bottom w:val="nil"/>
              <w:right w:val="single" w:sz="4" w:space="0" w:color="auto"/>
            </w:tcBorders>
          </w:tcPr>
          <w:p w14:paraId="58B521A9" w14:textId="77777777" w:rsidR="009010B4" w:rsidRPr="00236418" w:rsidRDefault="009010B4" w:rsidP="009B3D24">
            <w:pPr>
              <w:pStyle w:val="Tabletext"/>
              <w:spacing w:before="0" w:after="0"/>
              <w:rPr>
                <w:rFonts w:asciiTheme="minorHAnsi" w:hAnsiTheme="minorHAnsi" w:cstheme="minorHAnsi"/>
                <w:b/>
                <w:bCs/>
                <w:szCs w:val="22"/>
                <w:lang w:eastAsia="fr-FR"/>
              </w:rPr>
            </w:pPr>
          </w:p>
        </w:tc>
        <w:tc>
          <w:tcPr>
            <w:tcW w:w="1769" w:type="dxa"/>
            <w:tcBorders>
              <w:left w:val="single" w:sz="4" w:space="0" w:color="auto"/>
              <w:bottom w:val="nil"/>
              <w:right w:val="single" w:sz="4" w:space="0" w:color="auto"/>
            </w:tcBorders>
          </w:tcPr>
          <w:p w14:paraId="25B99D7B" w14:textId="15CF2426"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b/>
                <w:bCs/>
                <w:color w:val="000000"/>
                <w:sz w:val="22"/>
                <w:szCs w:val="22"/>
                <w:lang w:eastAsia="en-GB"/>
              </w:rPr>
              <w:t> </w:t>
            </w:r>
          </w:p>
        </w:tc>
        <w:tc>
          <w:tcPr>
            <w:tcW w:w="1843" w:type="dxa"/>
            <w:tcBorders>
              <w:left w:val="single" w:sz="4" w:space="0" w:color="auto"/>
              <w:bottom w:val="nil"/>
              <w:right w:val="single" w:sz="4" w:space="0" w:color="auto"/>
            </w:tcBorders>
          </w:tcPr>
          <w:p w14:paraId="5CDB4A07" w14:textId="7777777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p>
        </w:tc>
      </w:tr>
      <w:tr w:rsidR="009010B4" w:rsidRPr="00236418" w14:paraId="7DFDCEE2" w14:textId="77777777" w:rsidTr="006538EB">
        <w:trPr>
          <w:jc w:val="center"/>
        </w:trPr>
        <w:tc>
          <w:tcPr>
            <w:tcW w:w="4092" w:type="dxa"/>
            <w:tcBorders>
              <w:top w:val="nil"/>
              <w:bottom w:val="nil"/>
              <w:right w:val="single" w:sz="4" w:space="0" w:color="auto"/>
            </w:tcBorders>
          </w:tcPr>
          <w:p w14:paraId="06B02006" w14:textId="77777777" w:rsidR="009010B4" w:rsidRPr="00236418" w:rsidRDefault="009010B4" w:rsidP="009B3D24">
            <w:pPr>
              <w:pStyle w:val="Tablehead"/>
              <w:spacing w:before="0" w:after="0"/>
              <w:jc w:val="left"/>
              <w:rPr>
                <w:rFonts w:asciiTheme="minorHAnsi" w:hAnsiTheme="minorHAnsi" w:cstheme="minorHAnsi"/>
                <w:szCs w:val="22"/>
                <w:lang w:eastAsia="fr-FR"/>
              </w:rPr>
            </w:pPr>
            <w:r w:rsidRPr="00236418">
              <w:rPr>
                <w:rFonts w:asciiTheme="minorHAnsi" w:hAnsiTheme="minorHAnsi" w:cstheme="minorHAnsi"/>
                <w:szCs w:val="22"/>
                <w:lang w:eastAsia="zh-CN"/>
              </w:rPr>
              <w:t>CHARGES</w:t>
            </w:r>
          </w:p>
        </w:tc>
        <w:tc>
          <w:tcPr>
            <w:tcW w:w="1769" w:type="dxa"/>
            <w:tcBorders>
              <w:top w:val="nil"/>
              <w:left w:val="single" w:sz="4" w:space="0" w:color="auto"/>
              <w:bottom w:val="nil"/>
              <w:right w:val="single" w:sz="4" w:space="0" w:color="auto"/>
            </w:tcBorders>
          </w:tcPr>
          <w:p w14:paraId="1A1AA633" w14:textId="175A158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 </w:t>
            </w:r>
          </w:p>
        </w:tc>
        <w:tc>
          <w:tcPr>
            <w:tcW w:w="1843" w:type="dxa"/>
            <w:tcBorders>
              <w:top w:val="nil"/>
              <w:left w:val="single" w:sz="4" w:space="0" w:color="auto"/>
              <w:bottom w:val="nil"/>
              <w:right w:val="single" w:sz="4" w:space="0" w:color="auto"/>
            </w:tcBorders>
          </w:tcPr>
          <w:p w14:paraId="0B66B36B" w14:textId="46EB0D46"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 </w:t>
            </w:r>
          </w:p>
        </w:tc>
      </w:tr>
      <w:tr w:rsidR="009010B4" w:rsidRPr="00236418" w14:paraId="49C729BB" w14:textId="77777777" w:rsidTr="006538EB">
        <w:trPr>
          <w:jc w:val="center"/>
        </w:trPr>
        <w:tc>
          <w:tcPr>
            <w:tcW w:w="4092" w:type="dxa"/>
            <w:tcBorders>
              <w:top w:val="nil"/>
              <w:bottom w:val="nil"/>
              <w:right w:val="single" w:sz="4" w:space="0" w:color="auto"/>
            </w:tcBorders>
          </w:tcPr>
          <w:p w14:paraId="0CF6AB17" w14:textId="77777777" w:rsidR="009010B4" w:rsidRPr="00236418" w:rsidRDefault="009010B4" w:rsidP="009B3D24">
            <w:pPr>
              <w:pStyle w:val="Tabletext"/>
              <w:spacing w:before="0" w:after="0"/>
              <w:rPr>
                <w:rFonts w:asciiTheme="minorHAnsi" w:hAnsiTheme="minorHAnsi" w:cstheme="minorHAnsi"/>
                <w:szCs w:val="22"/>
                <w:lang w:eastAsia="fr-FR"/>
              </w:rPr>
            </w:pPr>
          </w:p>
        </w:tc>
        <w:tc>
          <w:tcPr>
            <w:tcW w:w="1769" w:type="dxa"/>
            <w:tcBorders>
              <w:top w:val="nil"/>
              <w:left w:val="single" w:sz="4" w:space="0" w:color="auto"/>
              <w:bottom w:val="nil"/>
              <w:right w:val="single" w:sz="4" w:space="0" w:color="auto"/>
            </w:tcBorders>
          </w:tcPr>
          <w:p w14:paraId="3702D391" w14:textId="747FF4C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 </w:t>
            </w:r>
          </w:p>
        </w:tc>
        <w:tc>
          <w:tcPr>
            <w:tcW w:w="1843" w:type="dxa"/>
            <w:tcBorders>
              <w:top w:val="nil"/>
              <w:left w:val="single" w:sz="4" w:space="0" w:color="auto"/>
              <w:bottom w:val="nil"/>
              <w:right w:val="single" w:sz="4" w:space="0" w:color="auto"/>
            </w:tcBorders>
          </w:tcPr>
          <w:p w14:paraId="027B2856" w14:textId="4269147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 </w:t>
            </w:r>
          </w:p>
        </w:tc>
      </w:tr>
      <w:tr w:rsidR="009010B4" w:rsidRPr="00236418" w14:paraId="73D588BB" w14:textId="77777777" w:rsidTr="006538EB">
        <w:trPr>
          <w:jc w:val="center"/>
        </w:trPr>
        <w:tc>
          <w:tcPr>
            <w:tcW w:w="4092" w:type="dxa"/>
            <w:tcBorders>
              <w:top w:val="nil"/>
              <w:bottom w:val="nil"/>
              <w:right w:val="single" w:sz="4" w:space="0" w:color="auto"/>
            </w:tcBorders>
          </w:tcPr>
          <w:p w14:paraId="7898D781"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Charges de personnel</w:t>
            </w:r>
          </w:p>
        </w:tc>
        <w:tc>
          <w:tcPr>
            <w:tcW w:w="1769" w:type="dxa"/>
            <w:tcBorders>
              <w:top w:val="nil"/>
              <w:left w:val="single" w:sz="4" w:space="0" w:color="auto"/>
              <w:bottom w:val="nil"/>
              <w:right w:val="single" w:sz="4" w:space="0" w:color="auto"/>
            </w:tcBorders>
          </w:tcPr>
          <w:p w14:paraId="30FD1B60" w14:textId="52F1BCE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203 942</w:t>
            </w:r>
          </w:p>
        </w:tc>
        <w:tc>
          <w:tcPr>
            <w:tcW w:w="1843" w:type="dxa"/>
            <w:tcBorders>
              <w:top w:val="nil"/>
              <w:left w:val="single" w:sz="4" w:space="0" w:color="auto"/>
              <w:bottom w:val="nil"/>
              <w:right w:val="single" w:sz="4" w:space="0" w:color="auto"/>
            </w:tcBorders>
          </w:tcPr>
          <w:p w14:paraId="790FF276" w14:textId="5442F17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148 806</w:t>
            </w:r>
          </w:p>
        </w:tc>
      </w:tr>
      <w:tr w:rsidR="009010B4" w:rsidRPr="00236418" w14:paraId="759810A2" w14:textId="77777777" w:rsidTr="006538EB">
        <w:trPr>
          <w:jc w:val="center"/>
        </w:trPr>
        <w:tc>
          <w:tcPr>
            <w:tcW w:w="4092" w:type="dxa"/>
            <w:tcBorders>
              <w:top w:val="nil"/>
              <w:bottom w:val="nil"/>
              <w:right w:val="single" w:sz="4" w:space="0" w:color="auto"/>
            </w:tcBorders>
          </w:tcPr>
          <w:p w14:paraId="61EB757A"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Frais de missions</w:t>
            </w:r>
          </w:p>
        </w:tc>
        <w:tc>
          <w:tcPr>
            <w:tcW w:w="1769" w:type="dxa"/>
            <w:tcBorders>
              <w:top w:val="nil"/>
              <w:left w:val="single" w:sz="4" w:space="0" w:color="auto"/>
              <w:bottom w:val="nil"/>
              <w:right w:val="single" w:sz="4" w:space="0" w:color="auto"/>
            </w:tcBorders>
          </w:tcPr>
          <w:p w14:paraId="1A124683" w14:textId="74B60B5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7 767</w:t>
            </w:r>
          </w:p>
        </w:tc>
        <w:tc>
          <w:tcPr>
            <w:tcW w:w="1843" w:type="dxa"/>
            <w:tcBorders>
              <w:top w:val="nil"/>
              <w:left w:val="single" w:sz="4" w:space="0" w:color="auto"/>
              <w:bottom w:val="nil"/>
              <w:right w:val="single" w:sz="4" w:space="0" w:color="auto"/>
            </w:tcBorders>
          </w:tcPr>
          <w:p w14:paraId="4A27D80C" w14:textId="27376DE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6 702</w:t>
            </w:r>
          </w:p>
        </w:tc>
      </w:tr>
      <w:tr w:rsidR="009010B4" w:rsidRPr="00236418" w14:paraId="3E06606F" w14:textId="77777777" w:rsidTr="006538EB">
        <w:trPr>
          <w:jc w:val="center"/>
        </w:trPr>
        <w:tc>
          <w:tcPr>
            <w:tcW w:w="4092" w:type="dxa"/>
            <w:tcBorders>
              <w:top w:val="nil"/>
              <w:bottom w:val="nil"/>
              <w:right w:val="single" w:sz="4" w:space="0" w:color="auto"/>
            </w:tcBorders>
          </w:tcPr>
          <w:p w14:paraId="65C3139B"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Services contractuels</w:t>
            </w:r>
          </w:p>
        </w:tc>
        <w:tc>
          <w:tcPr>
            <w:tcW w:w="1769" w:type="dxa"/>
            <w:tcBorders>
              <w:top w:val="nil"/>
              <w:left w:val="single" w:sz="4" w:space="0" w:color="auto"/>
              <w:bottom w:val="nil"/>
              <w:right w:val="single" w:sz="4" w:space="0" w:color="auto"/>
            </w:tcBorders>
          </w:tcPr>
          <w:p w14:paraId="6CD4D5C4" w14:textId="6E9A143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13 821</w:t>
            </w:r>
          </w:p>
        </w:tc>
        <w:tc>
          <w:tcPr>
            <w:tcW w:w="1843" w:type="dxa"/>
            <w:tcBorders>
              <w:top w:val="nil"/>
              <w:left w:val="single" w:sz="4" w:space="0" w:color="auto"/>
              <w:bottom w:val="nil"/>
              <w:right w:val="single" w:sz="4" w:space="0" w:color="auto"/>
            </w:tcBorders>
          </w:tcPr>
          <w:p w14:paraId="3C199F70" w14:textId="1481004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12 691</w:t>
            </w:r>
          </w:p>
        </w:tc>
      </w:tr>
      <w:tr w:rsidR="009010B4" w:rsidRPr="00236418" w14:paraId="096F515A" w14:textId="77777777" w:rsidTr="006538EB">
        <w:trPr>
          <w:jc w:val="center"/>
        </w:trPr>
        <w:tc>
          <w:tcPr>
            <w:tcW w:w="4092" w:type="dxa"/>
            <w:tcBorders>
              <w:top w:val="nil"/>
              <w:bottom w:val="nil"/>
              <w:right w:val="single" w:sz="4" w:space="0" w:color="auto"/>
            </w:tcBorders>
          </w:tcPr>
          <w:p w14:paraId="15AE4683"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Location et entretien des locaux et équipements</w:t>
            </w:r>
          </w:p>
        </w:tc>
        <w:tc>
          <w:tcPr>
            <w:tcW w:w="1769" w:type="dxa"/>
            <w:tcBorders>
              <w:top w:val="nil"/>
              <w:left w:val="single" w:sz="4" w:space="0" w:color="auto"/>
              <w:bottom w:val="nil"/>
              <w:right w:val="single" w:sz="4" w:space="0" w:color="auto"/>
            </w:tcBorders>
          </w:tcPr>
          <w:p w14:paraId="2D9E6173" w14:textId="3465A66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4 175</w:t>
            </w:r>
          </w:p>
        </w:tc>
        <w:tc>
          <w:tcPr>
            <w:tcW w:w="1843" w:type="dxa"/>
            <w:tcBorders>
              <w:top w:val="nil"/>
              <w:left w:val="single" w:sz="4" w:space="0" w:color="auto"/>
              <w:bottom w:val="nil"/>
              <w:right w:val="single" w:sz="4" w:space="0" w:color="auto"/>
            </w:tcBorders>
          </w:tcPr>
          <w:p w14:paraId="300D4DD2" w14:textId="33F576B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3 971</w:t>
            </w:r>
          </w:p>
        </w:tc>
      </w:tr>
      <w:tr w:rsidR="009010B4" w:rsidRPr="00236418" w14:paraId="3F266FCB" w14:textId="77777777" w:rsidTr="006538EB">
        <w:trPr>
          <w:jc w:val="center"/>
        </w:trPr>
        <w:tc>
          <w:tcPr>
            <w:tcW w:w="4092" w:type="dxa"/>
            <w:tcBorders>
              <w:top w:val="nil"/>
              <w:bottom w:val="nil"/>
              <w:right w:val="single" w:sz="4" w:space="0" w:color="auto"/>
            </w:tcBorders>
          </w:tcPr>
          <w:p w14:paraId="0E9097EE"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Matériels et fournitures</w:t>
            </w:r>
          </w:p>
        </w:tc>
        <w:tc>
          <w:tcPr>
            <w:tcW w:w="1769" w:type="dxa"/>
            <w:tcBorders>
              <w:top w:val="nil"/>
              <w:left w:val="single" w:sz="4" w:space="0" w:color="auto"/>
              <w:bottom w:val="nil"/>
              <w:right w:val="single" w:sz="4" w:space="0" w:color="auto"/>
            </w:tcBorders>
          </w:tcPr>
          <w:p w14:paraId="01FC7C14" w14:textId="36646D8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3 816</w:t>
            </w:r>
          </w:p>
        </w:tc>
        <w:tc>
          <w:tcPr>
            <w:tcW w:w="1843" w:type="dxa"/>
            <w:tcBorders>
              <w:top w:val="nil"/>
              <w:left w:val="single" w:sz="4" w:space="0" w:color="auto"/>
              <w:bottom w:val="nil"/>
              <w:right w:val="single" w:sz="4" w:space="0" w:color="auto"/>
            </w:tcBorders>
          </w:tcPr>
          <w:p w14:paraId="4E30BF44" w14:textId="6AD753A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4 509</w:t>
            </w:r>
          </w:p>
        </w:tc>
      </w:tr>
      <w:tr w:rsidR="009010B4" w:rsidRPr="00236418" w14:paraId="3AB9902A" w14:textId="77777777" w:rsidTr="006538EB">
        <w:trPr>
          <w:jc w:val="center"/>
        </w:trPr>
        <w:tc>
          <w:tcPr>
            <w:tcW w:w="4092" w:type="dxa"/>
            <w:tcBorders>
              <w:top w:val="nil"/>
              <w:bottom w:val="nil"/>
              <w:right w:val="single" w:sz="4" w:space="0" w:color="auto"/>
            </w:tcBorders>
          </w:tcPr>
          <w:p w14:paraId="409B924B"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Amortissements et pertes de valeurs</w:t>
            </w:r>
          </w:p>
        </w:tc>
        <w:tc>
          <w:tcPr>
            <w:tcW w:w="1769" w:type="dxa"/>
            <w:tcBorders>
              <w:top w:val="nil"/>
              <w:left w:val="single" w:sz="4" w:space="0" w:color="auto"/>
              <w:bottom w:val="nil"/>
              <w:right w:val="single" w:sz="4" w:space="0" w:color="auto"/>
            </w:tcBorders>
          </w:tcPr>
          <w:p w14:paraId="067559D6" w14:textId="0CD95921"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4 570</w:t>
            </w:r>
          </w:p>
        </w:tc>
        <w:tc>
          <w:tcPr>
            <w:tcW w:w="1843" w:type="dxa"/>
            <w:tcBorders>
              <w:top w:val="nil"/>
              <w:left w:val="single" w:sz="4" w:space="0" w:color="auto"/>
              <w:bottom w:val="nil"/>
              <w:right w:val="single" w:sz="4" w:space="0" w:color="auto"/>
            </w:tcBorders>
          </w:tcPr>
          <w:p w14:paraId="5F04157F" w14:textId="61B0B7A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4 497</w:t>
            </w:r>
          </w:p>
        </w:tc>
      </w:tr>
      <w:tr w:rsidR="009010B4" w:rsidRPr="00236418" w14:paraId="2BCA37E0" w14:textId="77777777" w:rsidTr="006538EB">
        <w:trPr>
          <w:jc w:val="center"/>
        </w:trPr>
        <w:tc>
          <w:tcPr>
            <w:tcW w:w="4092" w:type="dxa"/>
            <w:tcBorders>
              <w:top w:val="nil"/>
              <w:bottom w:val="nil"/>
              <w:right w:val="single" w:sz="4" w:space="0" w:color="auto"/>
            </w:tcBorders>
          </w:tcPr>
          <w:p w14:paraId="7BDC6BBA"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Frais d'expédition et de télécommunications et services</w:t>
            </w:r>
          </w:p>
        </w:tc>
        <w:tc>
          <w:tcPr>
            <w:tcW w:w="1769" w:type="dxa"/>
            <w:tcBorders>
              <w:top w:val="nil"/>
              <w:left w:val="single" w:sz="4" w:space="0" w:color="auto"/>
              <w:bottom w:val="nil"/>
              <w:right w:val="single" w:sz="4" w:space="0" w:color="auto"/>
            </w:tcBorders>
          </w:tcPr>
          <w:p w14:paraId="5AA53E3E" w14:textId="0353198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1 619</w:t>
            </w:r>
          </w:p>
        </w:tc>
        <w:tc>
          <w:tcPr>
            <w:tcW w:w="1843" w:type="dxa"/>
            <w:tcBorders>
              <w:top w:val="nil"/>
              <w:left w:val="single" w:sz="4" w:space="0" w:color="auto"/>
              <w:bottom w:val="nil"/>
              <w:right w:val="single" w:sz="4" w:space="0" w:color="auto"/>
            </w:tcBorders>
          </w:tcPr>
          <w:p w14:paraId="1051C39E" w14:textId="5381A1D5"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1 772</w:t>
            </w:r>
          </w:p>
        </w:tc>
      </w:tr>
      <w:tr w:rsidR="009010B4" w:rsidRPr="00236418" w14:paraId="42DA2F61" w14:textId="77777777" w:rsidTr="006538EB">
        <w:trPr>
          <w:trHeight w:val="321"/>
          <w:jc w:val="center"/>
        </w:trPr>
        <w:tc>
          <w:tcPr>
            <w:tcW w:w="4092" w:type="dxa"/>
            <w:tcBorders>
              <w:top w:val="nil"/>
              <w:bottom w:val="nil"/>
              <w:right w:val="single" w:sz="4" w:space="0" w:color="auto"/>
            </w:tcBorders>
          </w:tcPr>
          <w:p w14:paraId="07CE5E0D"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Autres charges</w:t>
            </w:r>
          </w:p>
        </w:tc>
        <w:tc>
          <w:tcPr>
            <w:tcW w:w="1769" w:type="dxa"/>
            <w:tcBorders>
              <w:top w:val="nil"/>
              <w:left w:val="single" w:sz="4" w:space="0" w:color="auto"/>
              <w:bottom w:val="nil"/>
              <w:right w:val="single" w:sz="4" w:space="0" w:color="auto"/>
            </w:tcBorders>
          </w:tcPr>
          <w:p w14:paraId="3A6752FA" w14:textId="67032535"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411</w:t>
            </w:r>
          </w:p>
        </w:tc>
        <w:tc>
          <w:tcPr>
            <w:tcW w:w="1843" w:type="dxa"/>
            <w:tcBorders>
              <w:top w:val="nil"/>
              <w:left w:val="single" w:sz="4" w:space="0" w:color="auto"/>
              <w:bottom w:val="nil"/>
              <w:right w:val="single" w:sz="4" w:space="0" w:color="auto"/>
            </w:tcBorders>
          </w:tcPr>
          <w:p w14:paraId="28E70C93" w14:textId="2F2A5C5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–67</w:t>
            </w:r>
          </w:p>
        </w:tc>
      </w:tr>
      <w:tr w:rsidR="009010B4" w:rsidRPr="00236418" w14:paraId="129DD5B7" w14:textId="77777777" w:rsidTr="006538EB">
        <w:trPr>
          <w:jc w:val="center"/>
        </w:trPr>
        <w:tc>
          <w:tcPr>
            <w:tcW w:w="4092" w:type="dxa"/>
            <w:tcBorders>
              <w:top w:val="nil"/>
              <w:bottom w:val="nil"/>
              <w:right w:val="single" w:sz="4" w:space="0" w:color="auto"/>
            </w:tcBorders>
          </w:tcPr>
          <w:p w14:paraId="47587D1F"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Charges en nature</w:t>
            </w:r>
          </w:p>
        </w:tc>
        <w:tc>
          <w:tcPr>
            <w:tcW w:w="1769" w:type="dxa"/>
            <w:tcBorders>
              <w:top w:val="nil"/>
              <w:left w:val="single" w:sz="4" w:space="0" w:color="auto"/>
              <w:bottom w:val="nil"/>
              <w:right w:val="single" w:sz="4" w:space="0" w:color="auto"/>
            </w:tcBorders>
          </w:tcPr>
          <w:p w14:paraId="243CE84D" w14:textId="5AE1A45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841</w:t>
            </w:r>
          </w:p>
        </w:tc>
        <w:tc>
          <w:tcPr>
            <w:tcW w:w="1843" w:type="dxa"/>
            <w:tcBorders>
              <w:top w:val="nil"/>
              <w:left w:val="single" w:sz="4" w:space="0" w:color="auto"/>
              <w:bottom w:val="nil"/>
              <w:right w:val="single" w:sz="4" w:space="0" w:color="auto"/>
            </w:tcBorders>
          </w:tcPr>
          <w:p w14:paraId="4FA89D0D" w14:textId="072662E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862</w:t>
            </w:r>
          </w:p>
        </w:tc>
      </w:tr>
      <w:tr w:rsidR="009010B4" w:rsidRPr="00236418" w14:paraId="4B02B0DF" w14:textId="77777777" w:rsidTr="006538EB">
        <w:trPr>
          <w:jc w:val="center"/>
        </w:trPr>
        <w:tc>
          <w:tcPr>
            <w:tcW w:w="4092" w:type="dxa"/>
            <w:tcBorders>
              <w:top w:val="nil"/>
              <w:right w:val="single" w:sz="4" w:space="0" w:color="auto"/>
            </w:tcBorders>
          </w:tcPr>
          <w:p w14:paraId="4C1C86BA"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Charges financières</w:t>
            </w:r>
          </w:p>
        </w:tc>
        <w:tc>
          <w:tcPr>
            <w:tcW w:w="1769" w:type="dxa"/>
            <w:tcBorders>
              <w:top w:val="nil"/>
              <w:left w:val="single" w:sz="4" w:space="0" w:color="auto"/>
              <w:right w:val="single" w:sz="4" w:space="0" w:color="auto"/>
            </w:tcBorders>
          </w:tcPr>
          <w:p w14:paraId="4E6387D1" w14:textId="1BA286E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3 679</w:t>
            </w:r>
          </w:p>
        </w:tc>
        <w:tc>
          <w:tcPr>
            <w:tcW w:w="1843" w:type="dxa"/>
            <w:tcBorders>
              <w:top w:val="nil"/>
              <w:left w:val="single" w:sz="4" w:space="0" w:color="auto"/>
              <w:right w:val="single" w:sz="4" w:space="0" w:color="auto"/>
            </w:tcBorders>
          </w:tcPr>
          <w:p w14:paraId="5B5E4826" w14:textId="66AC3EA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621</w:t>
            </w:r>
          </w:p>
        </w:tc>
      </w:tr>
      <w:tr w:rsidR="009010B4" w:rsidRPr="00236418" w14:paraId="5327C538" w14:textId="77777777" w:rsidTr="0091355E">
        <w:trPr>
          <w:jc w:val="center"/>
        </w:trPr>
        <w:tc>
          <w:tcPr>
            <w:tcW w:w="4092" w:type="dxa"/>
            <w:tcBorders>
              <w:right w:val="single" w:sz="4" w:space="0" w:color="auto"/>
            </w:tcBorders>
          </w:tcPr>
          <w:p w14:paraId="41483766" w14:textId="77777777" w:rsidR="009010B4" w:rsidRPr="00236418" w:rsidRDefault="009010B4" w:rsidP="009B3D24">
            <w:pPr>
              <w:pStyle w:val="Tablehead"/>
              <w:spacing w:before="0" w:after="0"/>
              <w:jc w:val="left"/>
              <w:rPr>
                <w:rFonts w:asciiTheme="minorHAnsi" w:hAnsiTheme="minorHAnsi" w:cstheme="minorHAnsi"/>
                <w:szCs w:val="22"/>
                <w:lang w:eastAsia="zh-CN"/>
              </w:rPr>
            </w:pPr>
            <w:r w:rsidRPr="00236418">
              <w:rPr>
                <w:rFonts w:asciiTheme="minorHAnsi" w:hAnsiTheme="minorHAnsi" w:cstheme="minorHAnsi"/>
                <w:szCs w:val="22"/>
                <w:lang w:eastAsia="zh-CN"/>
              </w:rPr>
              <w:t>Total des charges</w:t>
            </w:r>
          </w:p>
        </w:tc>
        <w:tc>
          <w:tcPr>
            <w:tcW w:w="1769" w:type="dxa"/>
            <w:tcBorders>
              <w:left w:val="single" w:sz="4" w:space="0" w:color="auto"/>
              <w:right w:val="single" w:sz="4" w:space="0" w:color="auto"/>
            </w:tcBorders>
          </w:tcPr>
          <w:p w14:paraId="3C8B0E52" w14:textId="410F5F1F" w:rsidR="009010B4" w:rsidRPr="00236418" w:rsidRDefault="007C7E1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244 640</w:t>
            </w:r>
            <w:r w:rsidR="009010B4" w:rsidRPr="00236418">
              <w:rPr>
                <w:rFonts w:cs="Calibri"/>
                <w:color w:val="000000"/>
                <w:sz w:val="22"/>
                <w:szCs w:val="22"/>
                <w:lang w:eastAsia="en-GB"/>
              </w:rPr>
              <w:t> </w:t>
            </w:r>
          </w:p>
        </w:tc>
        <w:tc>
          <w:tcPr>
            <w:tcW w:w="1843" w:type="dxa"/>
            <w:tcBorders>
              <w:left w:val="single" w:sz="4" w:space="0" w:color="auto"/>
              <w:right w:val="single" w:sz="4" w:space="0" w:color="auto"/>
            </w:tcBorders>
            <w:vAlign w:val="center"/>
          </w:tcPr>
          <w:p w14:paraId="3DB13AC1" w14:textId="78ED9D75"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asciiTheme="minorHAnsi" w:hAnsiTheme="minorHAnsi" w:cstheme="minorHAnsi"/>
                <w:b/>
                <w:bCs/>
                <w:color w:val="000000"/>
                <w:sz w:val="22"/>
                <w:szCs w:val="22"/>
                <w:lang w:eastAsia="zh-CN"/>
              </w:rPr>
              <w:t>184 365</w:t>
            </w:r>
          </w:p>
        </w:tc>
      </w:tr>
      <w:tr w:rsidR="009010B4" w:rsidRPr="00236418" w14:paraId="23D0BB4A" w14:textId="77777777" w:rsidTr="006538EB">
        <w:trPr>
          <w:jc w:val="center"/>
        </w:trPr>
        <w:tc>
          <w:tcPr>
            <w:tcW w:w="4092" w:type="dxa"/>
            <w:tcBorders>
              <w:right w:val="single" w:sz="4" w:space="0" w:color="auto"/>
            </w:tcBorders>
          </w:tcPr>
          <w:p w14:paraId="37C5DDA5" w14:textId="77777777" w:rsidR="009010B4" w:rsidRPr="00236418" w:rsidRDefault="009010B4" w:rsidP="009B3D24">
            <w:pPr>
              <w:pStyle w:val="Tablehead"/>
              <w:spacing w:before="0" w:after="0"/>
              <w:jc w:val="left"/>
              <w:rPr>
                <w:rFonts w:asciiTheme="minorHAnsi" w:hAnsiTheme="minorHAnsi" w:cstheme="minorHAnsi"/>
                <w:szCs w:val="22"/>
                <w:lang w:eastAsia="zh-CN"/>
              </w:rPr>
            </w:pPr>
            <w:r w:rsidRPr="00236418">
              <w:rPr>
                <w:rFonts w:asciiTheme="minorHAnsi" w:hAnsiTheme="minorHAnsi" w:cstheme="minorHAnsi"/>
                <w:szCs w:val="22"/>
                <w:lang w:eastAsia="zh-CN"/>
              </w:rPr>
              <w:t>Excédent (déficit) de la période</w:t>
            </w:r>
          </w:p>
        </w:tc>
        <w:tc>
          <w:tcPr>
            <w:tcW w:w="1769" w:type="dxa"/>
            <w:tcBorders>
              <w:left w:val="single" w:sz="4" w:space="0" w:color="auto"/>
              <w:right w:val="single" w:sz="4" w:space="0" w:color="auto"/>
            </w:tcBorders>
            <w:vAlign w:val="center"/>
          </w:tcPr>
          <w:p w14:paraId="4C40C0AC" w14:textId="1E7F4F28" w:rsidR="009010B4" w:rsidRPr="00236418" w:rsidRDefault="00C1542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w:t>
            </w:r>
            <w:r w:rsidR="007C7E1C" w:rsidRPr="00236418">
              <w:rPr>
                <w:rFonts w:cs="Calibri"/>
                <w:color w:val="000000"/>
                <w:sz w:val="22"/>
                <w:szCs w:val="22"/>
                <w:lang w:eastAsia="en-GB"/>
              </w:rPr>
              <w:t>57 463</w:t>
            </w:r>
          </w:p>
        </w:tc>
        <w:tc>
          <w:tcPr>
            <w:tcW w:w="1843" w:type="dxa"/>
            <w:tcBorders>
              <w:left w:val="single" w:sz="4" w:space="0" w:color="auto"/>
              <w:right w:val="single" w:sz="4" w:space="0" w:color="auto"/>
            </w:tcBorders>
            <w:vAlign w:val="center"/>
          </w:tcPr>
          <w:p w14:paraId="6B2C76A6" w14:textId="4EBE823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–7 976</w:t>
            </w:r>
          </w:p>
        </w:tc>
      </w:tr>
    </w:tbl>
    <w:p w14:paraId="19ADB876" w14:textId="77777777" w:rsidR="00DF6159" w:rsidRPr="00236418" w:rsidRDefault="00DF6159" w:rsidP="009B3D24"/>
    <w:p w14:paraId="388A51A5"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2D6B0B6C" w14:textId="34F13FCD" w:rsidR="00DF6159" w:rsidRPr="00236418" w:rsidRDefault="00DF6159" w:rsidP="009F2896">
      <w:pPr>
        <w:pStyle w:val="Heading1"/>
        <w:spacing w:after="120"/>
        <w:jc w:val="center"/>
      </w:pPr>
      <w:bookmarkStart w:id="569" w:name="_Toc329178759"/>
      <w:bookmarkStart w:id="570" w:name="_Toc329181732"/>
      <w:bookmarkStart w:id="571" w:name="_Toc329202543"/>
      <w:bookmarkStart w:id="572" w:name="_Toc329204976"/>
      <w:bookmarkStart w:id="573" w:name="_Toc329206813"/>
      <w:bookmarkStart w:id="574" w:name="_Toc358379320"/>
      <w:bookmarkStart w:id="575" w:name="_Toc358379898"/>
      <w:bookmarkStart w:id="576" w:name="_Toc358380438"/>
      <w:bookmarkStart w:id="577" w:name="_Toc452139411"/>
      <w:bookmarkStart w:id="578" w:name="_Toc452139810"/>
      <w:bookmarkStart w:id="579" w:name="_Toc452140677"/>
      <w:bookmarkStart w:id="580" w:name="_Toc511649924"/>
      <w:bookmarkStart w:id="581" w:name="_Toc511651180"/>
      <w:bookmarkStart w:id="582" w:name="_Toc511724045"/>
      <w:bookmarkStart w:id="583" w:name="_Toc511739034"/>
      <w:bookmarkStart w:id="584" w:name="_Toc511740814"/>
      <w:bookmarkStart w:id="585" w:name="_Toc511741203"/>
      <w:bookmarkStart w:id="586" w:name="_Toc10450709"/>
      <w:bookmarkStart w:id="587" w:name="_Toc41567341"/>
      <w:bookmarkStart w:id="588" w:name="_Toc41567827"/>
      <w:bookmarkStart w:id="589" w:name="_Toc41814939"/>
      <w:r w:rsidRPr="00236418">
        <w:lastRenderedPageBreak/>
        <w:t xml:space="preserve">III – État des variations de l'actif net pour l'exercice clos </w:t>
      </w:r>
      <w:r w:rsidRPr="00236418">
        <w:br/>
        <w:t xml:space="preserve">le 31 décembre </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236418">
        <w:t>201</w:t>
      </w:r>
      <w:bookmarkEnd w:id="586"/>
      <w:r w:rsidR="009010B4" w:rsidRPr="00236418">
        <w:t>9</w:t>
      </w:r>
      <w:bookmarkEnd w:id="587"/>
      <w:bookmarkEnd w:id="588"/>
      <w:bookmarkEnd w:id="589"/>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225"/>
        <w:gridCol w:w="1234"/>
        <w:gridCol w:w="1375"/>
        <w:gridCol w:w="1391"/>
        <w:gridCol w:w="1275"/>
      </w:tblGrid>
      <w:tr w:rsidR="00DF6159" w:rsidRPr="00236418" w14:paraId="1C9F81EA" w14:textId="77777777" w:rsidTr="006538EB">
        <w:trPr>
          <w:jc w:val="center"/>
        </w:trPr>
        <w:tc>
          <w:tcPr>
            <w:tcW w:w="1897" w:type="pct"/>
            <w:tcBorders>
              <w:top w:val="single" w:sz="4" w:space="0" w:color="auto"/>
              <w:left w:val="single" w:sz="4" w:space="0" w:color="auto"/>
            </w:tcBorders>
            <w:tcMar>
              <w:left w:w="57" w:type="dxa"/>
              <w:right w:w="57" w:type="dxa"/>
            </w:tcMar>
            <w:vAlign w:val="center"/>
          </w:tcPr>
          <w:p w14:paraId="7EA1F7F6" w14:textId="77777777" w:rsidR="00DF6159" w:rsidRPr="00236418" w:rsidRDefault="00DF6159" w:rsidP="009B3D24">
            <w:pPr>
              <w:pStyle w:val="Tablehead"/>
              <w:spacing w:before="20" w:after="20"/>
              <w:jc w:val="left"/>
              <w:rPr>
                <w:rFonts w:asciiTheme="minorHAnsi" w:hAnsiTheme="minorHAnsi" w:cstheme="minorHAnsi"/>
                <w:szCs w:val="22"/>
                <w:lang w:eastAsia="fr-FR"/>
              </w:rPr>
            </w:pPr>
            <w:r w:rsidRPr="00236418">
              <w:rPr>
                <w:rFonts w:asciiTheme="minorHAnsi" w:hAnsiTheme="minorHAnsi" w:cstheme="minorHAnsi"/>
                <w:bCs/>
                <w:szCs w:val="22"/>
              </w:rPr>
              <w:t>(en milliers CHF)</w:t>
            </w:r>
          </w:p>
        </w:tc>
        <w:tc>
          <w:tcPr>
            <w:tcW w:w="726" w:type="pct"/>
            <w:tcBorders>
              <w:top w:val="single" w:sz="4" w:space="0" w:color="auto"/>
            </w:tcBorders>
            <w:tcMar>
              <w:left w:w="57" w:type="dxa"/>
              <w:right w:w="57" w:type="dxa"/>
            </w:tcMar>
            <w:vAlign w:val="center"/>
          </w:tcPr>
          <w:p w14:paraId="26B28E62" w14:textId="204F86AF" w:rsidR="00DF6159" w:rsidRPr="00236418" w:rsidRDefault="00DF6159" w:rsidP="009B3D24">
            <w:pPr>
              <w:pStyle w:val="Tablehead"/>
              <w:spacing w:before="20" w:after="20"/>
              <w:rPr>
                <w:rFonts w:asciiTheme="minorHAnsi" w:hAnsiTheme="minorHAnsi" w:cstheme="minorHAnsi"/>
                <w:szCs w:val="22"/>
                <w:lang w:eastAsia="fr-FR"/>
              </w:rPr>
            </w:pPr>
            <w:r w:rsidRPr="00236418">
              <w:rPr>
                <w:rFonts w:asciiTheme="minorHAnsi" w:hAnsiTheme="minorHAnsi" w:cstheme="minorHAnsi"/>
                <w:szCs w:val="22"/>
              </w:rPr>
              <w:t>31.12.201</w:t>
            </w:r>
            <w:r w:rsidR="009010B4" w:rsidRPr="00236418">
              <w:rPr>
                <w:rFonts w:asciiTheme="minorHAnsi" w:hAnsiTheme="minorHAnsi" w:cstheme="minorHAnsi"/>
                <w:szCs w:val="22"/>
              </w:rPr>
              <w:t>8</w:t>
            </w:r>
          </w:p>
        </w:tc>
        <w:tc>
          <w:tcPr>
            <w:tcW w:w="809" w:type="pct"/>
            <w:tcBorders>
              <w:top w:val="single" w:sz="4" w:space="0" w:color="auto"/>
            </w:tcBorders>
            <w:tcMar>
              <w:left w:w="57" w:type="dxa"/>
              <w:right w:w="57" w:type="dxa"/>
            </w:tcMar>
            <w:vAlign w:val="center"/>
          </w:tcPr>
          <w:p w14:paraId="2B0CFC60" w14:textId="5070F45B" w:rsidR="00DF6159" w:rsidRPr="00236418" w:rsidRDefault="00DF6159" w:rsidP="009B3D24">
            <w:pPr>
              <w:pStyle w:val="Tablehead"/>
              <w:spacing w:before="20" w:after="20"/>
              <w:rPr>
                <w:rFonts w:asciiTheme="minorHAnsi" w:hAnsiTheme="minorHAnsi" w:cstheme="minorHAnsi"/>
                <w:szCs w:val="22"/>
                <w:lang w:eastAsia="fr-FR"/>
              </w:rPr>
            </w:pPr>
            <w:r w:rsidRPr="00236418">
              <w:rPr>
                <w:rFonts w:asciiTheme="minorHAnsi" w:hAnsiTheme="minorHAnsi" w:cstheme="minorHAnsi"/>
                <w:szCs w:val="22"/>
              </w:rPr>
              <w:t>Excédent/</w:t>
            </w:r>
            <w:r w:rsidRPr="00236418">
              <w:rPr>
                <w:rFonts w:asciiTheme="minorHAnsi" w:hAnsiTheme="minorHAnsi" w:cstheme="minorHAnsi"/>
                <w:szCs w:val="22"/>
              </w:rPr>
              <w:br/>
              <w:t>déficit 201</w:t>
            </w:r>
            <w:r w:rsidR="009010B4" w:rsidRPr="00236418">
              <w:rPr>
                <w:rFonts w:asciiTheme="minorHAnsi" w:hAnsiTheme="minorHAnsi" w:cstheme="minorHAnsi"/>
                <w:szCs w:val="22"/>
              </w:rPr>
              <w:t>9</w:t>
            </w:r>
          </w:p>
        </w:tc>
        <w:tc>
          <w:tcPr>
            <w:tcW w:w="818" w:type="pct"/>
            <w:tcBorders>
              <w:top w:val="single" w:sz="4" w:space="0" w:color="auto"/>
            </w:tcBorders>
          </w:tcPr>
          <w:p w14:paraId="2C3AC040" w14:textId="77777777" w:rsidR="00DF6159" w:rsidRPr="00236418" w:rsidRDefault="00DF6159" w:rsidP="009B3D24">
            <w:pPr>
              <w:pStyle w:val="Tablehead"/>
              <w:spacing w:before="20" w:after="20"/>
              <w:rPr>
                <w:rFonts w:asciiTheme="minorHAnsi" w:hAnsiTheme="minorHAnsi" w:cstheme="minorHAnsi"/>
                <w:szCs w:val="22"/>
              </w:rPr>
            </w:pPr>
            <w:r w:rsidRPr="00236418">
              <w:rPr>
                <w:rFonts w:asciiTheme="minorHAnsi" w:hAnsiTheme="minorHAnsi" w:cstheme="minorHAnsi"/>
                <w:szCs w:val="22"/>
              </w:rPr>
              <w:t>Autres ajustements</w:t>
            </w:r>
          </w:p>
        </w:tc>
        <w:tc>
          <w:tcPr>
            <w:tcW w:w="750" w:type="pct"/>
            <w:tcBorders>
              <w:top w:val="single" w:sz="4" w:space="0" w:color="auto"/>
            </w:tcBorders>
            <w:vAlign w:val="center"/>
          </w:tcPr>
          <w:p w14:paraId="64EE14C4" w14:textId="7C3A9B84" w:rsidR="00DF6159" w:rsidRPr="00236418" w:rsidRDefault="00DF6159" w:rsidP="009B3D24">
            <w:pPr>
              <w:pStyle w:val="Tablehead"/>
              <w:spacing w:before="20" w:after="20"/>
              <w:rPr>
                <w:rFonts w:asciiTheme="minorHAnsi" w:hAnsiTheme="minorHAnsi" w:cstheme="minorHAnsi"/>
                <w:szCs w:val="22"/>
                <w:lang w:eastAsia="fr-FR"/>
              </w:rPr>
            </w:pPr>
            <w:r w:rsidRPr="00236418">
              <w:rPr>
                <w:rFonts w:asciiTheme="minorHAnsi" w:hAnsiTheme="minorHAnsi" w:cstheme="minorHAnsi"/>
                <w:szCs w:val="22"/>
              </w:rPr>
              <w:t>31.12.201</w:t>
            </w:r>
            <w:r w:rsidR="009010B4" w:rsidRPr="00236418">
              <w:rPr>
                <w:rFonts w:asciiTheme="minorHAnsi" w:hAnsiTheme="minorHAnsi" w:cstheme="minorHAnsi"/>
                <w:szCs w:val="22"/>
              </w:rPr>
              <w:t>9</w:t>
            </w:r>
          </w:p>
        </w:tc>
      </w:tr>
      <w:tr w:rsidR="00DF6159" w:rsidRPr="00236418" w14:paraId="07FAF85D" w14:textId="77777777" w:rsidTr="006538EB">
        <w:trPr>
          <w:jc w:val="center"/>
        </w:trPr>
        <w:tc>
          <w:tcPr>
            <w:tcW w:w="1897" w:type="pct"/>
            <w:tcBorders>
              <w:top w:val="nil"/>
              <w:bottom w:val="nil"/>
            </w:tcBorders>
            <w:tcMar>
              <w:left w:w="57" w:type="dxa"/>
              <w:right w:w="57" w:type="dxa"/>
            </w:tcMar>
          </w:tcPr>
          <w:p w14:paraId="2E47B843" w14:textId="77777777" w:rsidR="00DF6159" w:rsidRPr="00236418" w:rsidRDefault="00DF6159" w:rsidP="009B3D24">
            <w:pPr>
              <w:pStyle w:val="Tabletext"/>
              <w:spacing w:before="20" w:after="20"/>
              <w:rPr>
                <w:rFonts w:asciiTheme="minorHAnsi" w:hAnsiTheme="minorHAnsi" w:cstheme="minorHAnsi"/>
                <w:b/>
                <w:szCs w:val="22"/>
              </w:rPr>
            </w:pPr>
            <w:r w:rsidRPr="00236418">
              <w:rPr>
                <w:rFonts w:asciiTheme="minorHAnsi" w:hAnsiTheme="minorHAnsi" w:cstheme="minorHAnsi"/>
                <w:b/>
                <w:szCs w:val="22"/>
              </w:rPr>
              <w:t xml:space="preserve">Passage aux normes IPSAS </w:t>
            </w:r>
          </w:p>
        </w:tc>
        <w:tc>
          <w:tcPr>
            <w:tcW w:w="726" w:type="pct"/>
            <w:tcBorders>
              <w:top w:val="nil"/>
              <w:bottom w:val="nil"/>
            </w:tcBorders>
            <w:tcMar>
              <w:left w:w="57" w:type="dxa"/>
              <w:right w:w="113" w:type="dxa"/>
            </w:tcMar>
            <w:vAlign w:val="center"/>
          </w:tcPr>
          <w:p w14:paraId="1074BC68"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236418">
              <w:rPr>
                <w:rFonts w:asciiTheme="minorHAnsi" w:hAnsiTheme="minorHAnsi" w:cstheme="minorHAnsi"/>
                <w:b/>
                <w:bCs/>
                <w:sz w:val="22"/>
                <w:szCs w:val="22"/>
                <w:lang w:eastAsia="zh-CN"/>
              </w:rPr>
              <w:t>–125 100</w:t>
            </w:r>
          </w:p>
        </w:tc>
        <w:tc>
          <w:tcPr>
            <w:tcW w:w="809" w:type="pct"/>
            <w:tcBorders>
              <w:top w:val="nil"/>
              <w:bottom w:val="nil"/>
            </w:tcBorders>
            <w:tcMar>
              <w:left w:w="57" w:type="dxa"/>
              <w:right w:w="113" w:type="dxa"/>
            </w:tcMar>
            <w:vAlign w:val="center"/>
          </w:tcPr>
          <w:p w14:paraId="696CA1FE" w14:textId="44D3C5A9" w:rsidR="00DF6159"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asciiTheme="minorHAnsi" w:hAnsiTheme="minorHAnsi" w:cstheme="minorHAnsi"/>
                <w:b/>
                <w:bCs/>
                <w:color w:val="000000"/>
                <w:sz w:val="22"/>
                <w:szCs w:val="22"/>
                <w:lang w:eastAsia="zh-CN"/>
              </w:rPr>
              <w:t>0</w:t>
            </w:r>
          </w:p>
        </w:tc>
        <w:tc>
          <w:tcPr>
            <w:tcW w:w="818" w:type="pct"/>
            <w:tcBorders>
              <w:top w:val="nil"/>
              <w:bottom w:val="nil"/>
            </w:tcBorders>
            <w:vAlign w:val="center"/>
          </w:tcPr>
          <w:p w14:paraId="078F80AB" w14:textId="00D74FC8" w:rsidR="00DF6159"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236418">
              <w:rPr>
                <w:rFonts w:asciiTheme="minorHAnsi" w:hAnsiTheme="minorHAnsi" w:cstheme="minorHAnsi"/>
                <w:b/>
                <w:bCs/>
                <w:sz w:val="22"/>
                <w:szCs w:val="22"/>
                <w:lang w:eastAsia="zh-CN"/>
              </w:rPr>
              <w:t>0</w:t>
            </w:r>
          </w:p>
        </w:tc>
        <w:tc>
          <w:tcPr>
            <w:tcW w:w="750" w:type="pct"/>
            <w:tcBorders>
              <w:top w:val="nil"/>
              <w:bottom w:val="nil"/>
            </w:tcBorders>
            <w:vAlign w:val="center"/>
          </w:tcPr>
          <w:p w14:paraId="2747C91C"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asciiTheme="minorHAnsi" w:hAnsiTheme="minorHAnsi" w:cstheme="minorHAnsi"/>
                <w:b/>
                <w:bCs/>
                <w:color w:val="000000"/>
                <w:sz w:val="22"/>
                <w:szCs w:val="22"/>
                <w:lang w:eastAsia="zh-CN"/>
              </w:rPr>
              <w:t>–125 100</w:t>
            </w:r>
          </w:p>
        </w:tc>
      </w:tr>
      <w:tr w:rsidR="009010B4" w:rsidRPr="00236418" w14:paraId="6C54989C" w14:textId="77777777" w:rsidTr="006538EB">
        <w:trPr>
          <w:jc w:val="center"/>
        </w:trPr>
        <w:tc>
          <w:tcPr>
            <w:tcW w:w="1897" w:type="pct"/>
            <w:tcBorders>
              <w:top w:val="nil"/>
              <w:bottom w:val="nil"/>
            </w:tcBorders>
            <w:tcMar>
              <w:left w:w="57" w:type="dxa"/>
              <w:right w:w="57" w:type="dxa"/>
            </w:tcMar>
          </w:tcPr>
          <w:p w14:paraId="4216BC4F" w14:textId="77777777" w:rsidR="009010B4" w:rsidRPr="00236418" w:rsidRDefault="009010B4" w:rsidP="009B3D24">
            <w:pPr>
              <w:pStyle w:val="Tabletext"/>
              <w:spacing w:before="20" w:after="20"/>
              <w:rPr>
                <w:rFonts w:asciiTheme="minorHAnsi" w:hAnsiTheme="minorHAnsi" w:cstheme="minorHAnsi"/>
                <w:b/>
                <w:szCs w:val="22"/>
              </w:rPr>
            </w:pPr>
            <w:r w:rsidRPr="00236418">
              <w:rPr>
                <w:rFonts w:asciiTheme="minorHAnsi" w:hAnsiTheme="minorHAnsi" w:cstheme="minorHAnsi"/>
                <w:b/>
                <w:szCs w:val="22"/>
              </w:rPr>
              <w:t>Fonds de réserve</w:t>
            </w:r>
          </w:p>
        </w:tc>
        <w:tc>
          <w:tcPr>
            <w:tcW w:w="726" w:type="pct"/>
            <w:tcBorders>
              <w:top w:val="nil"/>
              <w:bottom w:val="nil"/>
            </w:tcBorders>
            <w:tcMar>
              <w:left w:w="57" w:type="dxa"/>
              <w:right w:w="113" w:type="dxa"/>
            </w:tcMar>
            <w:vAlign w:val="center"/>
          </w:tcPr>
          <w:p w14:paraId="7D430933" w14:textId="2A230C0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236418">
              <w:rPr>
                <w:rFonts w:cs="Calibri"/>
                <w:b/>
                <w:bCs/>
                <w:sz w:val="22"/>
                <w:szCs w:val="22"/>
                <w:lang w:eastAsia="en-GB"/>
              </w:rPr>
              <w:t>27 241</w:t>
            </w:r>
          </w:p>
        </w:tc>
        <w:tc>
          <w:tcPr>
            <w:tcW w:w="809" w:type="pct"/>
            <w:tcBorders>
              <w:top w:val="nil"/>
              <w:bottom w:val="nil"/>
            </w:tcBorders>
            <w:tcMar>
              <w:left w:w="57" w:type="dxa"/>
              <w:right w:w="113" w:type="dxa"/>
            </w:tcMar>
            <w:vAlign w:val="center"/>
          </w:tcPr>
          <w:p w14:paraId="0FC4D5F4" w14:textId="393872B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30</w:t>
            </w:r>
          </w:p>
        </w:tc>
        <w:tc>
          <w:tcPr>
            <w:tcW w:w="818" w:type="pct"/>
            <w:tcBorders>
              <w:top w:val="nil"/>
              <w:bottom w:val="nil"/>
            </w:tcBorders>
            <w:vAlign w:val="center"/>
          </w:tcPr>
          <w:p w14:paraId="0D509ED3" w14:textId="3EF864AC"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236418">
              <w:rPr>
                <w:rFonts w:cs="Calibri"/>
                <w:b/>
                <w:bCs/>
                <w:sz w:val="22"/>
                <w:szCs w:val="22"/>
                <w:lang w:eastAsia="en-GB"/>
              </w:rPr>
              <w:t>–2 336</w:t>
            </w:r>
          </w:p>
        </w:tc>
        <w:tc>
          <w:tcPr>
            <w:tcW w:w="750" w:type="pct"/>
            <w:tcBorders>
              <w:top w:val="nil"/>
              <w:bottom w:val="nil"/>
            </w:tcBorders>
            <w:vAlign w:val="center"/>
          </w:tcPr>
          <w:p w14:paraId="68E9CC6E" w14:textId="7809E8D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24 935</w:t>
            </w:r>
          </w:p>
        </w:tc>
      </w:tr>
      <w:tr w:rsidR="009010B4" w:rsidRPr="00236418" w14:paraId="640690BC" w14:textId="77777777" w:rsidTr="006538EB">
        <w:trPr>
          <w:jc w:val="center"/>
        </w:trPr>
        <w:tc>
          <w:tcPr>
            <w:tcW w:w="1897" w:type="pct"/>
            <w:tcBorders>
              <w:top w:val="nil"/>
              <w:bottom w:val="nil"/>
            </w:tcBorders>
            <w:tcMar>
              <w:left w:w="57" w:type="dxa"/>
              <w:right w:w="57" w:type="dxa"/>
            </w:tcMar>
          </w:tcPr>
          <w:p w14:paraId="046F9428" w14:textId="77777777" w:rsidR="009010B4" w:rsidRPr="00236418" w:rsidRDefault="009010B4" w:rsidP="009B3D24">
            <w:pPr>
              <w:pStyle w:val="Tabletext"/>
              <w:spacing w:before="20" w:after="20"/>
              <w:rPr>
                <w:rFonts w:asciiTheme="minorHAnsi" w:hAnsiTheme="minorHAnsi" w:cstheme="minorHAnsi"/>
                <w:b/>
                <w:szCs w:val="22"/>
              </w:rPr>
            </w:pPr>
            <w:r w:rsidRPr="00236418">
              <w:rPr>
                <w:rFonts w:asciiTheme="minorHAnsi" w:hAnsiTheme="minorHAnsi" w:cstheme="minorHAnsi"/>
                <w:b/>
                <w:szCs w:val="22"/>
              </w:rPr>
              <w:t>Autres réserves effectuées</w:t>
            </w:r>
          </w:p>
        </w:tc>
        <w:tc>
          <w:tcPr>
            <w:tcW w:w="726" w:type="pct"/>
            <w:tcBorders>
              <w:top w:val="nil"/>
              <w:bottom w:val="nil"/>
            </w:tcBorders>
            <w:tcMar>
              <w:left w:w="57" w:type="dxa"/>
              <w:right w:w="113" w:type="dxa"/>
            </w:tcMar>
            <w:vAlign w:val="center"/>
          </w:tcPr>
          <w:p w14:paraId="47938332" w14:textId="47F9F3D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71 677</w:t>
            </w:r>
          </w:p>
        </w:tc>
        <w:tc>
          <w:tcPr>
            <w:tcW w:w="809" w:type="pct"/>
            <w:tcBorders>
              <w:top w:val="nil"/>
              <w:bottom w:val="nil"/>
            </w:tcBorders>
            <w:tcMar>
              <w:left w:w="57" w:type="dxa"/>
              <w:right w:w="113" w:type="dxa"/>
            </w:tcMar>
            <w:vAlign w:val="center"/>
          </w:tcPr>
          <w:p w14:paraId="011CE5A4" w14:textId="6D6EDCE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3 425</w:t>
            </w:r>
          </w:p>
        </w:tc>
        <w:tc>
          <w:tcPr>
            <w:tcW w:w="818" w:type="pct"/>
            <w:tcBorders>
              <w:top w:val="nil"/>
              <w:bottom w:val="nil"/>
            </w:tcBorders>
            <w:vAlign w:val="center"/>
          </w:tcPr>
          <w:p w14:paraId="4CA27B33" w14:textId="4F8F3F4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–2 900</w:t>
            </w:r>
          </w:p>
        </w:tc>
        <w:tc>
          <w:tcPr>
            <w:tcW w:w="750" w:type="pct"/>
            <w:tcBorders>
              <w:top w:val="nil"/>
              <w:bottom w:val="nil"/>
            </w:tcBorders>
            <w:vAlign w:val="center"/>
          </w:tcPr>
          <w:p w14:paraId="105D3D55" w14:textId="669F996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72 203</w:t>
            </w:r>
          </w:p>
        </w:tc>
      </w:tr>
      <w:tr w:rsidR="009010B4" w:rsidRPr="00236418" w14:paraId="399F40C7" w14:textId="77777777" w:rsidTr="006538EB">
        <w:trPr>
          <w:jc w:val="center"/>
        </w:trPr>
        <w:tc>
          <w:tcPr>
            <w:tcW w:w="1897" w:type="pct"/>
            <w:tcBorders>
              <w:top w:val="nil"/>
              <w:bottom w:val="nil"/>
            </w:tcBorders>
            <w:tcMar>
              <w:left w:w="57" w:type="dxa"/>
              <w:right w:w="57" w:type="dxa"/>
            </w:tcMar>
          </w:tcPr>
          <w:p w14:paraId="6AEB789A"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Économies réalisées au cours des années précédentes</w:t>
            </w:r>
          </w:p>
        </w:tc>
        <w:tc>
          <w:tcPr>
            <w:tcW w:w="726" w:type="pct"/>
            <w:tcBorders>
              <w:top w:val="nil"/>
              <w:bottom w:val="nil"/>
            </w:tcBorders>
            <w:tcMar>
              <w:left w:w="57" w:type="dxa"/>
              <w:right w:w="113" w:type="dxa"/>
            </w:tcMar>
            <w:vAlign w:val="center"/>
          </w:tcPr>
          <w:p w14:paraId="667E92E5" w14:textId="3095C90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10 370</w:t>
            </w:r>
          </w:p>
        </w:tc>
        <w:tc>
          <w:tcPr>
            <w:tcW w:w="809" w:type="pct"/>
            <w:tcBorders>
              <w:top w:val="nil"/>
              <w:bottom w:val="nil"/>
            </w:tcBorders>
            <w:tcMar>
              <w:left w:w="57" w:type="dxa"/>
              <w:right w:w="113" w:type="dxa"/>
            </w:tcMar>
            <w:vAlign w:val="center"/>
          </w:tcPr>
          <w:p w14:paraId="20D64B36" w14:textId="01B989B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3 543</w:t>
            </w:r>
          </w:p>
        </w:tc>
        <w:tc>
          <w:tcPr>
            <w:tcW w:w="818" w:type="pct"/>
            <w:tcBorders>
              <w:top w:val="nil"/>
              <w:bottom w:val="nil"/>
            </w:tcBorders>
            <w:vAlign w:val="center"/>
          </w:tcPr>
          <w:p w14:paraId="58101F4C" w14:textId="328218E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–3 661</w:t>
            </w:r>
          </w:p>
        </w:tc>
        <w:tc>
          <w:tcPr>
            <w:tcW w:w="750" w:type="pct"/>
            <w:tcBorders>
              <w:top w:val="nil"/>
              <w:bottom w:val="nil"/>
            </w:tcBorders>
            <w:vAlign w:val="center"/>
          </w:tcPr>
          <w:p w14:paraId="7D8D87CA" w14:textId="284B935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10 252</w:t>
            </w:r>
          </w:p>
        </w:tc>
      </w:tr>
      <w:tr w:rsidR="009010B4" w:rsidRPr="00236418" w14:paraId="31AF664E" w14:textId="77777777" w:rsidTr="006538EB">
        <w:trPr>
          <w:jc w:val="center"/>
        </w:trPr>
        <w:tc>
          <w:tcPr>
            <w:tcW w:w="1897" w:type="pct"/>
            <w:tcBorders>
              <w:top w:val="nil"/>
              <w:bottom w:val="nil"/>
            </w:tcBorders>
            <w:tcMar>
              <w:left w:w="57" w:type="dxa"/>
              <w:right w:w="57" w:type="dxa"/>
            </w:tcMar>
          </w:tcPr>
          <w:p w14:paraId="2D84D774"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d'investissement</w:t>
            </w:r>
          </w:p>
        </w:tc>
        <w:tc>
          <w:tcPr>
            <w:tcW w:w="726" w:type="pct"/>
            <w:tcBorders>
              <w:top w:val="nil"/>
              <w:bottom w:val="nil"/>
            </w:tcBorders>
            <w:tcMar>
              <w:left w:w="57" w:type="dxa"/>
              <w:right w:w="113" w:type="dxa"/>
            </w:tcMar>
            <w:vAlign w:val="center"/>
          </w:tcPr>
          <w:p w14:paraId="5C4A49B7" w14:textId="5EF9522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9 821</w:t>
            </w:r>
          </w:p>
        </w:tc>
        <w:tc>
          <w:tcPr>
            <w:tcW w:w="809" w:type="pct"/>
            <w:tcBorders>
              <w:top w:val="nil"/>
              <w:bottom w:val="nil"/>
            </w:tcBorders>
            <w:tcMar>
              <w:left w:w="57" w:type="dxa"/>
              <w:right w:w="113" w:type="dxa"/>
            </w:tcMar>
            <w:vAlign w:val="center"/>
          </w:tcPr>
          <w:p w14:paraId="28FAE3BF" w14:textId="59942BC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876</w:t>
            </w:r>
          </w:p>
        </w:tc>
        <w:tc>
          <w:tcPr>
            <w:tcW w:w="818" w:type="pct"/>
            <w:tcBorders>
              <w:top w:val="nil"/>
              <w:bottom w:val="nil"/>
            </w:tcBorders>
            <w:vAlign w:val="center"/>
          </w:tcPr>
          <w:p w14:paraId="3BFFF04D" w14:textId="2A8BDF7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1 288</w:t>
            </w:r>
          </w:p>
        </w:tc>
        <w:tc>
          <w:tcPr>
            <w:tcW w:w="750" w:type="pct"/>
            <w:tcBorders>
              <w:top w:val="nil"/>
              <w:bottom w:val="nil"/>
            </w:tcBorders>
            <w:vAlign w:val="center"/>
          </w:tcPr>
          <w:p w14:paraId="64B2929C" w14:textId="728BA50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11 985</w:t>
            </w:r>
          </w:p>
        </w:tc>
      </w:tr>
      <w:tr w:rsidR="009010B4" w:rsidRPr="00236418" w14:paraId="3F38AEC6" w14:textId="77777777" w:rsidTr="0091355E">
        <w:trPr>
          <w:jc w:val="center"/>
        </w:trPr>
        <w:tc>
          <w:tcPr>
            <w:tcW w:w="1897" w:type="pct"/>
            <w:tcBorders>
              <w:top w:val="nil"/>
              <w:bottom w:val="nil"/>
            </w:tcBorders>
            <w:tcMar>
              <w:left w:w="57" w:type="dxa"/>
              <w:right w:w="57" w:type="dxa"/>
            </w:tcMar>
          </w:tcPr>
          <w:p w14:paraId="30F48CF0"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pour le nouveau bâtiment</w:t>
            </w:r>
          </w:p>
        </w:tc>
        <w:tc>
          <w:tcPr>
            <w:tcW w:w="726" w:type="pct"/>
            <w:tcBorders>
              <w:top w:val="nil"/>
              <w:bottom w:val="nil"/>
            </w:tcBorders>
            <w:tcMar>
              <w:left w:w="57" w:type="dxa"/>
              <w:right w:w="113" w:type="dxa"/>
            </w:tcMar>
            <w:vAlign w:val="center"/>
          </w:tcPr>
          <w:p w14:paraId="30CF9B6B" w14:textId="2B0D9D1C"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–859</w:t>
            </w:r>
          </w:p>
        </w:tc>
        <w:tc>
          <w:tcPr>
            <w:tcW w:w="809" w:type="pct"/>
            <w:tcBorders>
              <w:top w:val="nil"/>
              <w:bottom w:val="nil"/>
            </w:tcBorders>
            <w:tcMar>
              <w:left w:w="57" w:type="dxa"/>
              <w:right w:w="113" w:type="dxa"/>
            </w:tcMar>
            <w:vAlign w:val="center"/>
          </w:tcPr>
          <w:p w14:paraId="278A359C" w14:textId="6333DA0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–2 677</w:t>
            </w:r>
          </w:p>
        </w:tc>
        <w:tc>
          <w:tcPr>
            <w:tcW w:w="818" w:type="pct"/>
            <w:tcBorders>
              <w:top w:val="nil"/>
              <w:bottom w:val="nil"/>
            </w:tcBorders>
            <w:vAlign w:val="center"/>
          </w:tcPr>
          <w:p w14:paraId="7C375E10" w14:textId="6525D62C" w:rsidR="009010B4" w:rsidRPr="00236418" w:rsidRDefault="009010B4" w:rsidP="009B3D24">
            <w:pPr>
              <w:jc w:val="right"/>
              <w:rPr>
                <w:rFonts w:asciiTheme="minorHAnsi" w:hAnsiTheme="minorHAnsi" w:cstheme="minorHAnsi"/>
                <w:sz w:val="22"/>
                <w:szCs w:val="22"/>
              </w:rPr>
            </w:pPr>
            <w:r w:rsidRPr="00236418">
              <w:rPr>
                <w:rFonts w:cs="Calibri"/>
                <w:color w:val="000000"/>
                <w:sz w:val="22"/>
                <w:szCs w:val="22"/>
                <w:lang w:eastAsia="en-GB"/>
              </w:rPr>
              <w:t>–1 326</w:t>
            </w:r>
          </w:p>
        </w:tc>
        <w:tc>
          <w:tcPr>
            <w:tcW w:w="750" w:type="pct"/>
            <w:tcBorders>
              <w:top w:val="nil"/>
              <w:bottom w:val="nil"/>
            </w:tcBorders>
            <w:vAlign w:val="center"/>
          </w:tcPr>
          <w:p w14:paraId="73207515" w14:textId="681709F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–4 862</w:t>
            </w:r>
          </w:p>
        </w:tc>
      </w:tr>
      <w:tr w:rsidR="009010B4" w:rsidRPr="00236418" w14:paraId="078F3654" w14:textId="77777777" w:rsidTr="0091355E">
        <w:trPr>
          <w:jc w:val="center"/>
        </w:trPr>
        <w:tc>
          <w:tcPr>
            <w:tcW w:w="1897" w:type="pct"/>
            <w:tcBorders>
              <w:top w:val="nil"/>
              <w:bottom w:val="nil"/>
            </w:tcBorders>
            <w:tcMar>
              <w:left w:w="57" w:type="dxa"/>
              <w:right w:w="57" w:type="dxa"/>
            </w:tcMar>
          </w:tcPr>
          <w:p w14:paraId="7C95BD6A"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de réserve pour le nouveau bâtiment</w:t>
            </w:r>
          </w:p>
        </w:tc>
        <w:tc>
          <w:tcPr>
            <w:tcW w:w="726" w:type="pct"/>
            <w:tcBorders>
              <w:top w:val="nil"/>
              <w:bottom w:val="nil"/>
            </w:tcBorders>
            <w:tcMar>
              <w:left w:w="57" w:type="dxa"/>
              <w:right w:w="113" w:type="dxa"/>
            </w:tcMar>
            <w:vAlign w:val="center"/>
          </w:tcPr>
          <w:p w14:paraId="17908365" w14:textId="758EA68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5 095</w:t>
            </w:r>
          </w:p>
        </w:tc>
        <w:tc>
          <w:tcPr>
            <w:tcW w:w="809" w:type="pct"/>
            <w:tcBorders>
              <w:top w:val="nil"/>
              <w:bottom w:val="nil"/>
            </w:tcBorders>
            <w:tcMar>
              <w:left w:w="57" w:type="dxa"/>
              <w:right w:w="113" w:type="dxa"/>
            </w:tcMar>
            <w:vAlign w:val="center"/>
          </w:tcPr>
          <w:p w14:paraId="1E0D8526" w14:textId="4BE27BC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3 039</w:t>
            </w:r>
          </w:p>
        </w:tc>
        <w:tc>
          <w:tcPr>
            <w:tcW w:w="818" w:type="pct"/>
            <w:tcBorders>
              <w:top w:val="nil"/>
              <w:bottom w:val="nil"/>
            </w:tcBorders>
            <w:vAlign w:val="center"/>
          </w:tcPr>
          <w:p w14:paraId="07B9B2EA" w14:textId="5DDBC851" w:rsidR="009010B4" w:rsidRPr="00236418" w:rsidRDefault="009010B4" w:rsidP="009B3D24">
            <w:pPr>
              <w:jc w:val="right"/>
              <w:rPr>
                <w:rFonts w:asciiTheme="minorHAnsi" w:hAnsiTheme="minorHAnsi" w:cstheme="minorHAnsi"/>
                <w:sz w:val="22"/>
                <w:szCs w:val="22"/>
              </w:rPr>
            </w:pPr>
            <w:r w:rsidRPr="00236418">
              <w:rPr>
                <w:rFonts w:cs="Calibri"/>
                <w:color w:val="000000"/>
                <w:sz w:val="22"/>
                <w:szCs w:val="22"/>
                <w:lang w:eastAsia="en-GB"/>
              </w:rPr>
              <w:t>48</w:t>
            </w:r>
          </w:p>
        </w:tc>
        <w:tc>
          <w:tcPr>
            <w:tcW w:w="750" w:type="pct"/>
            <w:tcBorders>
              <w:top w:val="nil"/>
              <w:bottom w:val="nil"/>
            </w:tcBorders>
            <w:vAlign w:val="center"/>
          </w:tcPr>
          <w:p w14:paraId="7A115FA5" w14:textId="71A78BB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8 182</w:t>
            </w:r>
          </w:p>
        </w:tc>
      </w:tr>
      <w:tr w:rsidR="009010B4" w:rsidRPr="00236418" w14:paraId="2C2F436A" w14:textId="77777777" w:rsidTr="009B5A8C">
        <w:trPr>
          <w:jc w:val="center"/>
        </w:trPr>
        <w:tc>
          <w:tcPr>
            <w:tcW w:w="1897" w:type="pct"/>
            <w:tcBorders>
              <w:top w:val="nil"/>
              <w:bottom w:val="nil"/>
            </w:tcBorders>
            <w:tcMar>
              <w:left w:w="57" w:type="dxa"/>
              <w:right w:w="57" w:type="dxa"/>
            </w:tcMar>
          </w:tcPr>
          <w:p w14:paraId="69BBF3F7" w14:textId="71B6840C" w:rsidR="009010B4" w:rsidRPr="00236418" w:rsidRDefault="0002196B"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pour le registre des risques</w:t>
            </w:r>
          </w:p>
        </w:tc>
        <w:tc>
          <w:tcPr>
            <w:tcW w:w="726" w:type="pct"/>
            <w:tcBorders>
              <w:top w:val="nil"/>
              <w:bottom w:val="nil"/>
            </w:tcBorders>
            <w:tcMar>
              <w:left w:w="57" w:type="dxa"/>
              <w:right w:w="113" w:type="dxa"/>
            </w:tcMar>
            <w:vAlign w:val="center"/>
          </w:tcPr>
          <w:p w14:paraId="6A8B3EB8" w14:textId="55A60B3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sz w:val="22"/>
                <w:szCs w:val="22"/>
                <w:lang w:eastAsia="en-GB"/>
              </w:rPr>
              <w:t>0</w:t>
            </w:r>
          </w:p>
        </w:tc>
        <w:tc>
          <w:tcPr>
            <w:tcW w:w="809" w:type="pct"/>
            <w:tcBorders>
              <w:top w:val="nil"/>
              <w:bottom w:val="nil"/>
            </w:tcBorders>
            <w:tcMar>
              <w:left w:w="57" w:type="dxa"/>
              <w:right w:w="113" w:type="dxa"/>
            </w:tcMar>
            <w:vAlign w:val="center"/>
          </w:tcPr>
          <w:p w14:paraId="7AF1F993" w14:textId="5E099260"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0</w:t>
            </w:r>
          </w:p>
        </w:tc>
        <w:tc>
          <w:tcPr>
            <w:tcW w:w="818" w:type="pct"/>
            <w:tcBorders>
              <w:top w:val="nil"/>
              <w:bottom w:val="nil"/>
            </w:tcBorders>
            <w:vAlign w:val="center"/>
          </w:tcPr>
          <w:p w14:paraId="30006959" w14:textId="595EF02F" w:rsidR="009010B4" w:rsidRPr="00236418" w:rsidRDefault="009010B4" w:rsidP="009B5A8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1 425</w:t>
            </w:r>
          </w:p>
        </w:tc>
        <w:tc>
          <w:tcPr>
            <w:tcW w:w="750" w:type="pct"/>
            <w:tcBorders>
              <w:top w:val="nil"/>
              <w:bottom w:val="nil"/>
            </w:tcBorders>
            <w:vAlign w:val="center"/>
          </w:tcPr>
          <w:p w14:paraId="1AD6595F" w14:textId="23E58FC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1 425</w:t>
            </w:r>
          </w:p>
        </w:tc>
      </w:tr>
      <w:tr w:rsidR="009010B4" w:rsidRPr="00236418" w14:paraId="4A56C2CE" w14:textId="77777777" w:rsidTr="0091355E">
        <w:trPr>
          <w:jc w:val="center"/>
        </w:trPr>
        <w:tc>
          <w:tcPr>
            <w:tcW w:w="1897" w:type="pct"/>
            <w:tcBorders>
              <w:top w:val="nil"/>
              <w:bottom w:val="nil"/>
            </w:tcBorders>
            <w:tcMar>
              <w:left w:w="57" w:type="dxa"/>
              <w:right w:w="57" w:type="dxa"/>
            </w:tcMar>
          </w:tcPr>
          <w:p w14:paraId="1C23F1E2"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de bien-être du personnel</w:t>
            </w:r>
          </w:p>
        </w:tc>
        <w:tc>
          <w:tcPr>
            <w:tcW w:w="726" w:type="pct"/>
            <w:tcBorders>
              <w:top w:val="nil"/>
              <w:bottom w:val="nil"/>
            </w:tcBorders>
            <w:tcMar>
              <w:left w:w="57" w:type="dxa"/>
              <w:right w:w="113" w:type="dxa"/>
            </w:tcMar>
            <w:vAlign w:val="center"/>
          </w:tcPr>
          <w:p w14:paraId="2A033BE0" w14:textId="2BD55C11"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375</w:t>
            </w:r>
          </w:p>
        </w:tc>
        <w:tc>
          <w:tcPr>
            <w:tcW w:w="809" w:type="pct"/>
            <w:tcBorders>
              <w:top w:val="nil"/>
              <w:bottom w:val="nil"/>
            </w:tcBorders>
            <w:tcMar>
              <w:left w:w="57" w:type="dxa"/>
              <w:right w:w="113" w:type="dxa"/>
            </w:tcMar>
            <w:vAlign w:val="center"/>
          </w:tcPr>
          <w:p w14:paraId="591CD2DF" w14:textId="3339B59E" w:rsidR="009010B4" w:rsidRPr="00236418" w:rsidRDefault="009010B4" w:rsidP="009B3D24">
            <w:pPr>
              <w:jc w:val="right"/>
              <w:rPr>
                <w:rFonts w:asciiTheme="minorHAnsi" w:hAnsiTheme="minorHAnsi" w:cstheme="minorHAnsi"/>
                <w:sz w:val="22"/>
                <w:szCs w:val="22"/>
              </w:rPr>
            </w:pPr>
            <w:r w:rsidRPr="00236418">
              <w:rPr>
                <w:rFonts w:cs="Calibri"/>
                <w:color w:val="000000"/>
                <w:sz w:val="22"/>
                <w:szCs w:val="22"/>
                <w:lang w:eastAsia="en-GB"/>
              </w:rPr>
              <w:t> </w:t>
            </w:r>
          </w:p>
        </w:tc>
        <w:tc>
          <w:tcPr>
            <w:tcW w:w="818" w:type="pct"/>
            <w:tcBorders>
              <w:top w:val="nil"/>
              <w:bottom w:val="nil"/>
            </w:tcBorders>
            <w:vAlign w:val="center"/>
          </w:tcPr>
          <w:p w14:paraId="41D28E54" w14:textId="3886207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–26</w:t>
            </w:r>
          </w:p>
        </w:tc>
        <w:tc>
          <w:tcPr>
            <w:tcW w:w="750" w:type="pct"/>
            <w:tcBorders>
              <w:top w:val="nil"/>
              <w:bottom w:val="nil"/>
            </w:tcBorders>
            <w:vAlign w:val="center"/>
          </w:tcPr>
          <w:p w14:paraId="45AAF3C6" w14:textId="4104A17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348</w:t>
            </w:r>
          </w:p>
        </w:tc>
      </w:tr>
      <w:tr w:rsidR="009010B4" w:rsidRPr="00236418" w14:paraId="613E42F0" w14:textId="77777777" w:rsidTr="0091355E">
        <w:trPr>
          <w:jc w:val="center"/>
        </w:trPr>
        <w:tc>
          <w:tcPr>
            <w:tcW w:w="1897" w:type="pct"/>
            <w:tcBorders>
              <w:top w:val="nil"/>
              <w:bottom w:val="nil"/>
            </w:tcBorders>
            <w:tcMar>
              <w:left w:w="57" w:type="dxa"/>
              <w:right w:w="57" w:type="dxa"/>
            </w:tcMar>
          </w:tcPr>
          <w:p w14:paraId="7D7C246F"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du centenaire</w:t>
            </w:r>
          </w:p>
        </w:tc>
        <w:tc>
          <w:tcPr>
            <w:tcW w:w="726" w:type="pct"/>
            <w:tcBorders>
              <w:top w:val="nil"/>
              <w:bottom w:val="nil"/>
            </w:tcBorders>
            <w:tcMar>
              <w:left w:w="57" w:type="dxa"/>
              <w:right w:w="113" w:type="dxa"/>
            </w:tcMar>
            <w:vAlign w:val="center"/>
          </w:tcPr>
          <w:p w14:paraId="1E8EC118" w14:textId="69B2B8D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212</w:t>
            </w:r>
          </w:p>
        </w:tc>
        <w:tc>
          <w:tcPr>
            <w:tcW w:w="809" w:type="pct"/>
            <w:tcBorders>
              <w:top w:val="nil"/>
              <w:bottom w:val="nil"/>
            </w:tcBorders>
            <w:tcMar>
              <w:left w:w="57" w:type="dxa"/>
              <w:right w:w="113" w:type="dxa"/>
            </w:tcMar>
            <w:vAlign w:val="center"/>
          </w:tcPr>
          <w:p w14:paraId="6592787A" w14:textId="0869871E" w:rsidR="009010B4" w:rsidRPr="00236418" w:rsidRDefault="009010B4" w:rsidP="009B3D24">
            <w:pPr>
              <w:jc w:val="right"/>
              <w:rPr>
                <w:rFonts w:asciiTheme="minorHAnsi" w:hAnsiTheme="minorHAnsi" w:cstheme="minorHAnsi"/>
                <w:sz w:val="22"/>
                <w:szCs w:val="22"/>
              </w:rPr>
            </w:pPr>
            <w:r w:rsidRPr="00236418">
              <w:rPr>
                <w:rFonts w:cs="Calibri"/>
                <w:color w:val="000000"/>
                <w:sz w:val="22"/>
                <w:szCs w:val="22"/>
                <w:lang w:eastAsia="en-GB"/>
              </w:rPr>
              <w:t> </w:t>
            </w:r>
          </w:p>
        </w:tc>
        <w:tc>
          <w:tcPr>
            <w:tcW w:w="818" w:type="pct"/>
            <w:tcBorders>
              <w:top w:val="nil"/>
              <w:bottom w:val="nil"/>
            </w:tcBorders>
            <w:vAlign w:val="center"/>
          </w:tcPr>
          <w:p w14:paraId="3F24DA74" w14:textId="5371452A" w:rsidR="009010B4" w:rsidRPr="00236418" w:rsidRDefault="009010B4" w:rsidP="009B3D24">
            <w:pPr>
              <w:jc w:val="right"/>
              <w:rPr>
                <w:rFonts w:asciiTheme="minorHAnsi" w:hAnsiTheme="minorHAnsi" w:cstheme="minorHAnsi"/>
                <w:sz w:val="22"/>
                <w:szCs w:val="22"/>
              </w:rPr>
            </w:pPr>
            <w:r w:rsidRPr="00236418">
              <w:rPr>
                <w:rFonts w:cs="Calibri"/>
                <w:color w:val="000000"/>
                <w:sz w:val="22"/>
                <w:szCs w:val="22"/>
                <w:lang w:eastAsia="en-GB"/>
              </w:rPr>
              <w:t>0</w:t>
            </w:r>
          </w:p>
        </w:tc>
        <w:tc>
          <w:tcPr>
            <w:tcW w:w="750" w:type="pct"/>
            <w:tcBorders>
              <w:top w:val="nil"/>
              <w:bottom w:val="nil"/>
            </w:tcBorders>
            <w:vAlign w:val="center"/>
          </w:tcPr>
          <w:p w14:paraId="03DD70D5" w14:textId="3B77501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212</w:t>
            </w:r>
          </w:p>
        </w:tc>
      </w:tr>
      <w:tr w:rsidR="009010B4" w:rsidRPr="00236418" w14:paraId="54DE5313" w14:textId="77777777" w:rsidTr="0091355E">
        <w:trPr>
          <w:jc w:val="center"/>
        </w:trPr>
        <w:tc>
          <w:tcPr>
            <w:tcW w:w="1897" w:type="pct"/>
            <w:tcBorders>
              <w:top w:val="nil"/>
              <w:bottom w:val="nil"/>
            </w:tcBorders>
            <w:tcMar>
              <w:left w:w="57" w:type="dxa"/>
              <w:right w:w="57" w:type="dxa"/>
            </w:tcMar>
          </w:tcPr>
          <w:p w14:paraId="2C9AEDCB"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des compléments de la Caisse d'assurance</w:t>
            </w:r>
          </w:p>
        </w:tc>
        <w:tc>
          <w:tcPr>
            <w:tcW w:w="726" w:type="pct"/>
            <w:tcBorders>
              <w:top w:val="nil"/>
              <w:bottom w:val="nil"/>
            </w:tcBorders>
            <w:tcMar>
              <w:left w:w="57" w:type="dxa"/>
              <w:right w:w="113" w:type="dxa"/>
            </w:tcMar>
            <w:vAlign w:val="center"/>
          </w:tcPr>
          <w:p w14:paraId="4EA16135" w14:textId="65DC1B8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6 183</w:t>
            </w:r>
          </w:p>
        </w:tc>
        <w:tc>
          <w:tcPr>
            <w:tcW w:w="809" w:type="pct"/>
            <w:tcBorders>
              <w:top w:val="nil"/>
              <w:bottom w:val="nil"/>
            </w:tcBorders>
            <w:tcMar>
              <w:left w:w="57" w:type="dxa"/>
              <w:right w:w="113" w:type="dxa"/>
            </w:tcMar>
            <w:vAlign w:val="center"/>
          </w:tcPr>
          <w:p w14:paraId="201B0DA4" w14:textId="6613260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–17</w:t>
            </w:r>
          </w:p>
        </w:tc>
        <w:tc>
          <w:tcPr>
            <w:tcW w:w="818" w:type="pct"/>
            <w:tcBorders>
              <w:top w:val="nil"/>
              <w:bottom w:val="nil"/>
            </w:tcBorders>
            <w:vAlign w:val="center"/>
          </w:tcPr>
          <w:p w14:paraId="48E708D2" w14:textId="5CD08872" w:rsidR="009010B4" w:rsidRPr="00236418" w:rsidRDefault="009010B4" w:rsidP="009B3D24">
            <w:pPr>
              <w:jc w:val="right"/>
              <w:rPr>
                <w:rFonts w:asciiTheme="minorHAnsi" w:hAnsiTheme="minorHAnsi" w:cstheme="minorHAnsi"/>
                <w:sz w:val="22"/>
                <w:szCs w:val="22"/>
              </w:rPr>
            </w:pPr>
            <w:r w:rsidRPr="00236418">
              <w:rPr>
                <w:rFonts w:cs="Calibri"/>
                <w:color w:val="000000"/>
                <w:sz w:val="22"/>
                <w:szCs w:val="22"/>
                <w:lang w:eastAsia="en-GB"/>
              </w:rPr>
              <w:t>0</w:t>
            </w:r>
          </w:p>
        </w:tc>
        <w:tc>
          <w:tcPr>
            <w:tcW w:w="750" w:type="pct"/>
            <w:tcBorders>
              <w:top w:val="nil"/>
              <w:bottom w:val="nil"/>
            </w:tcBorders>
            <w:vAlign w:val="center"/>
          </w:tcPr>
          <w:p w14:paraId="624A3BA0" w14:textId="40C445D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6 166</w:t>
            </w:r>
          </w:p>
        </w:tc>
      </w:tr>
      <w:tr w:rsidR="009010B4" w:rsidRPr="00236418" w14:paraId="76F70D76" w14:textId="77777777" w:rsidTr="006538EB">
        <w:trPr>
          <w:jc w:val="center"/>
        </w:trPr>
        <w:tc>
          <w:tcPr>
            <w:tcW w:w="1897" w:type="pct"/>
            <w:tcBorders>
              <w:top w:val="nil"/>
              <w:bottom w:val="nil"/>
            </w:tcBorders>
            <w:tcMar>
              <w:left w:w="57" w:type="dxa"/>
              <w:right w:w="57" w:type="dxa"/>
            </w:tcMar>
          </w:tcPr>
          <w:p w14:paraId="7025D398"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d'intervention de la Caisse d'assurance</w:t>
            </w:r>
          </w:p>
        </w:tc>
        <w:tc>
          <w:tcPr>
            <w:tcW w:w="726" w:type="pct"/>
            <w:tcBorders>
              <w:top w:val="nil"/>
              <w:bottom w:val="nil"/>
            </w:tcBorders>
            <w:tcMar>
              <w:left w:w="57" w:type="dxa"/>
              <w:right w:w="113" w:type="dxa"/>
            </w:tcMar>
            <w:vAlign w:val="center"/>
          </w:tcPr>
          <w:p w14:paraId="76336A4C" w14:textId="370E16A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278</w:t>
            </w:r>
          </w:p>
        </w:tc>
        <w:tc>
          <w:tcPr>
            <w:tcW w:w="809" w:type="pct"/>
            <w:tcBorders>
              <w:top w:val="nil"/>
              <w:bottom w:val="nil"/>
            </w:tcBorders>
            <w:tcMar>
              <w:left w:w="57" w:type="dxa"/>
              <w:right w:w="113" w:type="dxa"/>
            </w:tcMar>
            <w:vAlign w:val="center"/>
          </w:tcPr>
          <w:p w14:paraId="2D81DE05" w14:textId="3289164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 </w:t>
            </w:r>
          </w:p>
        </w:tc>
        <w:tc>
          <w:tcPr>
            <w:tcW w:w="818" w:type="pct"/>
            <w:tcBorders>
              <w:top w:val="nil"/>
              <w:bottom w:val="nil"/>
            </w:tcBorders>
            <w:vAlign w:val="center"/>
          </w:tcPr>
          <w:p w14:paraId="6A2F3BC2" w14:textId="5028B8C6"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0</w:t>
            </w:r>
          </w:p>
        </w:tc>
        <w:tc>
          <w:tcPr>
            <w:tcW w:w="750" w:type="pct"/>
            <w:tcBorders>
              <w:top w:val="nil"/>
              <w:bottom w:val="nil"/>
            </w:tcBorders>
            <w:vAlign w:val="center"/>
          </w:tcPr>
          <w:p w14:paraId="3114686E" w14:textId="45455DF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278</w:t>
            </w:r>
          </w:p>
        </w:tc>
      </w:tr>
      <w:tr w:rsidR="009010B4" w:rsidRPr="00236418" w14:paraId="1D4D2FCC" w14:textId="77777777" w:rsidTr="006538EB">
        <w:trPr>
          <w:jc w:val="center"/>
        </w:trPr>
        <w:tc>
          <w:tcPr>
            <w:tcW w:w="1897" w:type="pct"/>
            <w:tcBorders>
              <w:top w:val="nil"/>
              <w:bottom w:val="nil"/>
            </w:tcBorders>
            <w:tcMar>
              <w:left w:w="57" w:type="dxa"/>
              <w:right w:w="57" w:type="dxa"/>
            </w:tcMar>
          </w:tcPr>
          <w:p w14:paraId="7ECC6F56"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ASHI</w:t>
            </w:r>
          </w:p>
        </w:tc>
        <w:tc>
          <w:tcPr>
            <w:tcW w:w="726" w:type="pct"/>
            <w:tcBorders>
              <w:top w:val="nil"/>
              <w:bottom w:val="nil"/>
            </w:tcBorders>
            <w:tcMar>
              <w:left w:w="57" w:type="dxa"/>
              <w:right w:w="113" w:type="dxa"/>
            </w:tcMar>
            <w:vAlign w:val="center"/>
          </w:tcPr>
          <w:p w14:paraId="03D81FAC" w14:textId="6EC8551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11 500</w:t>
            </w:r>
          </w:p>
        </w:tc>
        <w:tc>
          <w:tcPr>
            <w:tcW w:w="809" w:type="pct"/>
            <w:tcBorders>
              <w:top w:val="nil"/>
              <w:bottom w:val="nil"/>
            </w:tcBorders>
            <w:tcMar>
              <w:left w:w="57" w:type="dxa"/>
              <w:right w:w="113" w:type="dxa"/>
            </w:tcMar>
            <w:vAlign w:val="center"/>
          </w:tcPr>
          <w:p w14:paraId="1543AC7B" w14:textId="0953DB3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500</w:t>
            </w:r>
          </w:p>
        </w:tc>
        <w:tc>
          <w:tcPr>
            <w:tcW w:w="818" w:type="pct"/>
            <w:tcBorders>
              <w:top w:val="nil"/>
              <w:bottom w:val="nil"/>
            </w:tcBorders>
            <w:vAlign w:val="center"/>
          </w:tcPr>
          <w:p w14:paraId="603C977D" w14:textId="710DE90E"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0</w:t>
            </w:r>
          </w:p>
        </w:tc>
        <w:tc>
          <w:tcPr>
            <w:tcW w:w="750" w:type="pct"/>
            <w:tcBorders>
              <w:top w:val="nil"/>
              <w:bottom w:val="nil"/>
            </w:tcBorders>
            <w:vAlign w:val="center"/>
          </w:tcPr>
          <w:p w14:paraId="0F8C8814" w14:textId="6F1773E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12 000</w:t>
            </w:r>
          </w:p>
        </w:tc>
      </w:tr>
      <w:tr w:rsidR="009010B4" w:rsidRPr="00236418" w14:paraId="02D85A19" w14:textId="77777777" w:rsidTr="006538EB">
        <w:trPr>
          <w:jc w:val="center"/>
        </w:trPr>
        <w:tc>
          <w:tcPr>
            <w:tcW w:w="1897" w:type="pct"/>
            <w:tcBorders>
              <w:top w:val="nil"/>
              <w:bottom w:val="nil"/>
            </w:tcBorders>
            <w:tcMar>
              <w:left w:w="57" w:type="dxa"/>
              <w:right w:w="57" w:type="dxa"/>
            </w:tcMar>
          </w:tcPr>
          <w:p w14:paraId="352F785B"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Fonds de l'assurance maladie</w:t>
            </w:r>
          </w:p>
        </w:tc>
        <w:tc>
          <w:tcPr>
            <w:tcW w:w="726" w:type="pct"/>
            <w:tcBorders>
              <w:top w:val="nil"/>
              <w:bottom w:val="nil"/>
            </w:tcBorders>
            <w:tcMar>
              <w:left w:w="57" w:type="dxa"/>
              <w:right w:w="113" w:type="dxa"/>
            </w:tcMar>
            <w:vAlign w:val="center"/>
          </w:tcPr>
          <w:p w14:paraId="79290D54" w14:textId="3E21EDC3"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22 349</w:t>
            </w:r>
          </w:p>
        </w:tc>
        <w:tc>
          <w:tcPr>
            <w:tcW w:w="809" w:type="pct"/>
            <w:tcBorders>
              <w:top w:val="nil"/>
              <w:bottom w:val="nil"/>
            </w:tcBorders>
            <w:tcMar>
              <w:left w:w="57" w:type="dxa"/>
              <w:right w:w="113" w:type="dxa"/>
            </w:tcMar>
            <w:vAlign w:val="center"/>
          </w:tcPr>
          <w:p w14:paraId="36F13A4A" w14:textId="706640B0"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 </w:t>
            </w:r>
          </w:p>
        </w:tc>
        <w:tc>
          <w:tcPr>
            <w:tcW w:w="818" w:type="pct"/>
            <w:tcBorders>
              <w:top w:val="nil"/>
              <w:bottom w:val="nil"/>
            </w:tcBorders>
            <w:vAlign w:val="center"/>
          </w:tcPr>
          <w:p w14:paraId="5F55FC93" w14:textId="2C60B526"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–2 016</w:t>
            </w:r>
          </w:p>
        </w:tc>
        <w:tc>
          <w:tcPr>
            <w:tcW w:w="750" w:type="pct"/>
            <w:tcBorders>
              <w:top w:val="nil"/>
              <w:bottom w:val="nil"/>
            </w:tcBorders>
            <w:vAlign w:val="center"/>
          </w:tcPr>
          <w:p w14:paraId="00C78F7D" w14:textId="50E31A3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20 332</w:t>
            </w:r>
          </w:p>
        </w:tc>
      </w:tr>
      <w:tr w:rsidR="009010B4" w:rsidRPr="00236418" w14:paraId="35DA5E1B" w14:textId="77777777" w:rsidTr="006538EB">
        <w:trPr>
          <w:jc w:val="center"/>
        </w:trPr>
        <w:tc>
          <w:tcPr>
            <w:tcW w:w="1897" w:type="pct"/>
            <w:tcBorders>
              <w:top w:val="nil"/>
              <w:bottom w:val="nil"/>
            </w:tcBorders>
            <w:tcMar>
              <w:left w:w="57" w:type="dxa"/>
              <w:right w:w="57" w:type="dxa"/>
            </w:tcMar>
          </w:tcPr>
          <w:p w14:paraId="41052097"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Réserves extrabudgétaires affectées</w:t>
            </w:r>
          </w:p>
        </w:tc>
        <w:tc>
          <w:tcPr>
            <w:tcW w:w="726" w:type="pct"/>
            <w:tcBorders>
              <w:top w:val="nil"/>
              <w:bottom w:val="nil"/>
            </w:tcBorders>
            <w:tcMar>
              <w:left w:w="57" w:type="dxa"/>
              <w:right w:w="113" w:type="dxa"/>
            </w:tcMar>
            <w:vAlign w:val="center"/>
          </w:tcPr>
          <w:p w14:paraId="7CC005F9" w14:textId="5D2B013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5 614</w:t>
            </w:r>
          </w:p>
        </w:tc>
        <w:tc>
          <w:tcPr>
            <w:tcW w:w="809" w:type="pct"/>
            <w:tcBorders>
              <w:top w:val="nil"/>
              <w:bottom w:val="nil"/>
            </w:tcBorders>
            <w:tcMar>
              <w:left w:w="57" w:type="dxa"/>
              <w:right w:w="113" w:type="dxa"/>
            </w:tcMar>
            <w:vAlign w:val="center"/>
          </w:tcPr>
          <w:p w14:paraId="6DB20D20" w14:textId="21981AC0"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–1 838</w:t>
            </w:r>
          </w:p>
        </w:tc>
        <w:tc>
          <w:tcPr>
            <w:tcW w:w="818" w:type="pct"/>
            <w:tcBorders>
              <w:top w:val="nil"/>
              <w:bottom w:val="nil"/>
            </w:tcBorders>
            <w:vAlign w:val="center"/>
          </w:tcPr>
          <w:p w14:paraId="62AE8593" w14:textId="775B86E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1 560</w:t>
            </w:r>
          </w:p>
        </w:tc>
        <w:tc>
          <w:tcPr>
            <w:tcW w:w="750" w:type="pct"/>
            <w:tcBorders>
              <w:top w:val="nil"/>
              <w:bottom w:val="nil"/>
            </w:tcBorders>
            <w:vAlign w:val="center"/>
          </w:tcPr>
          <w:p w14:paraId="5C474978" w14:textId="47C1075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5 336</w:t>
            </w:r>
          </w:p>
        </w:tc>
      </w:tr>
      <w:tr w:rsidR="009010B4" w:rsidRPr="00236418" w14:paraId="5643D4A7" w14:textId="77777777" w:rsidTr="006538EB">
        <w:trPr>
          <w:jc w:val="center"/>
        </w:trPr>
        <w:tc>
          <w:tcPr>
            <w:tcW w:w="1897" w:type="pct"/>
            <w:tcBorders>
              <w:top w:val="nil"/>
              <w:bottom w:val="nil"/>
            </w:tcBorders>
            <w:tcMar>
              <w:left w:w="57" w:type="dxa"/>
              <w:right w:w="57" w:type="dxa"/>
            </w:tcMar>
          </w:tcPr>
          <w:p w14:paraId="1558FFA9"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Conversion de change</w:t>
            </w:r>
          </w:p>
        </w:tc>
        <w:tc>
          <w:tcPr>
            <w:tcW w:w="726" w:type="pct"/>
            <w:tcBorders>
              <w:top w:val="nil"/>
              <w:bottom w:val="nil"/>
            </w:tcBorders>
            <w:tcMar>
              <w:left w:w="57" w:type="dxa"/>
              <w:right w:w="113" w:type="dxa"/>
            </w:tcMar>
            <w:vAlign w:val="center"/>
          </w:tcPr>
          <w:p w14:paraId="1254C5AC" w14:textId="31B574E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740</w:t>
            </w:r>
          </w:p>
        </w:tc>
        <w:tc>
          <w:tcPr>
            <w:tcW w:w="809" w:type="pct"/>
            <w:tcBorders>
              <w:top w:val="nil"/>
              <w:bottom w:val="nil"/>
            </w:tcBorders>
            <w:tcMar>
              <w:left w:w="57" w:type="dxa"/>
              <w:right w:w="113" w:type="dxa"/>
            </w:tcMar>
            <w:vAlign w:val="center"/>
          </w:tcPr>
          <w:p w14:paraId="593011B4" w14:textId="19528B4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 </w:t>
            </w:r>
          </w:p>
        </w:tc>
        <w:tc>
          <w:tcPr>
            <w:tcW w:w="818" w:type="pct"/>
            <w:tcBorders>
              <w:top w:val="nil"/>
              <w:bottom w:val="nil"/>
            </w:tcBorders>
            <w:vAlign w:val="center"/>
          </w:tcPr>
          <w:p w14:paraId="24240567" w14:textId="5544D1D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–191</w:t>
            </w:r>
          </w:p>
        </w:tc>
        <w:tc>
          <w:tcPr>
            <w:tcW w:w="750" w:type="pct"/>
            <w:tcBorders>
              <w:top w:val="nil"/>
              <w:bottom w:val="nil"/>
            </w:tcBorders>
            <w:vAlign w:val="center"/>
          </w:tcPr>
          <w:p w14:paraId="14F0002F" w14:textId="6FEA123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549</w:t>
            </w:r>
          </w:p>
        </w:tc>
      </w:tr>
      <w:tr w:rsidR="009010B4" w:rsidRPr="00236418" w14:paraId="11DE9E04" w14:textId="77777777" w:rsidTr="006538EB">
        <w:trPr>
          <w:jc w:val="center"/>
        </w:trPr>
        <w:tc>
          <w:tcPr>
            <w:tcW w:w="1897" w:type="pct"/>
            <w:tcBorders>
              <w:top w:val="nil"/>
              <w:bottom w:val="nil"/>
            </w:tcBorders>
            <w:tcMar>
              <w:left w:w="57" w:type="dxa"/>
              <w:right w:w="57" w:type="dxa"/>
            </w:tcMar>
          </w:tcPr>
          <w:p w14:paraId="0341F2BF" w14:textId="77777777" w:rsidR="009010B4" w:rsidRPr="00236418" w:rsidRDefault="009010B4" w:rsidP="009B3D24">
            <w:pPr>
              <w:pStyle w:val="Tabletext"/>
              <w:spacing w:before="20" w:after="20"/>
              <w:rPr>
                <w:rFonts w:asciiTheme="minorHAnsi" w:hAnsiTheme="minorHAnsi" w:cstheme="minorHAnsi"/>
                <w:b/>
                <w:szCs w:val="22"/>
              </w:rPr>
            </w:pPr>
            <w:r w:rsidRPr="00236418">
              <w:rPr>
                <w:rFonts w:asciiTheme="minorHAnsi" w:hAnsiTheme="minorHAnsi" w:cstheme="minorHAnsi"/>
                <w:b/>
                <w:szCs w:val="22"/>
              </w:rPr>
              <w:t>Fonds relatif aux activités extrabudgétaires</w:t>
            </w:r>
          </w:p>
        </w:tc>
        <w:tc>
          <w:tcPr>
            <w:tcW w:w="726" w:type="pct"/>
            <w:tcBorders>
              <w:top w:val="nil"/>
              <w:bottom w:val="nil"/>
            </w:tcBorders>
            <w:tcMar>
              <w:left w:w="57" w:type="dxa"/>
              <w:right w:w="113" w:type="dxa"/>
            </w:tcMar>
            <w:vAlign w:val="center"/>
          </w:tcPr>
          <w:p w14:paraId="140A4854" w14:textId="5D63E7F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236418">
              <w:rPr>
                <w:rFonts w:cs="Calibri"/>
                <w:b/>
                <w:bCs/>
                <w:sz w:val="22"/>
                <w:szCs w:val="22"/>
                <w:lang w:eastAsia="en-GB"/>
              </w:rPr>
              <w:t>12 423</w:t>
            </w:r>
          </w:p>
        </w:tc>
        <w:tc>
          <w:tcPr>
            <w:tcW w:w="809" w:type="pct"/>
            <w:tcBorders>
              <w:top w:val="nil"/>
              <w:bottom w:val="nil"/>
            </w:tcBorders>
            <w:tcMar>
              <w:left w:w="57" w:type="dxa"/>
              <w:right w:w="113" w:type="dxa"/>
            </w:tcMar>
            <w:vAlign w:val="center"/>
          </w:tcPr>
          <w:p w14:paraId="6985882C" w14:textId="607770E6"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918</w:t>
            </w:r>
          </w:p>
        </w:tc>
        <w:tc>
          <w:tcPr>
            <w:tcW w:w="818" w:type="pct"/>
            <w:tcBorders>
              <w:top w:val="nil"/>
              <w:bottom w:val="nil"/>
            </w:tcBorders>
            <w:vAlign w:val="center"/>
          </w:tcPr>
          <w:p w14:paraId="42C5DFAB" w14:textId="4A57404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–160</w:t>
            </w:r>
          </w:p>
        </w:tc>
        <w:tc>
          <w:tcPr>
            <w:tcW w:w="750" w:type="pct"/>
            <w:tcBorders>
              <w:top w:val="nil"/>
              <w:bottom w:val="nil"/>
            </w:tcBorders>
            <w:vAlign w:val="center"/>
          </w:tcPr>
          <w:p w14:paraId="3C227B3D" w14:textId="7DCBA2A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13 180</w:t>
            </w:r>
          </w:p>
        </w:tc>
      </w:tr>
      <w:tr w:rsidR="009010B4" w:rsidRPr="00236418" w14:paraId="0FEBCE5B" w14:textId="77777777" w:rsidTr="006538EB">
        <w:trPr>
          <w:jc w:val="center"/>
        </w:trPr>
        <w:tc>
          <w:tcPr>
            <w:tcW w:w="1897" w:type="pct"/>
            <w:tcBorders>
              <w:top w:val="nil"/>
              <w:bottom w:val="nil"/>
            </w:tcBorders>
            <w:tcMar>
              <w:left w:w="57" w:type="dxa"/>
              <w:right w:w="57" w:type="dxa"/>
            </w:tcMar>
            <w:vAlign w:val="center"/>
          </w:tcPr>
          <w:p w14:paraId="2460C48A"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Télécom</w:t>
            </w:r>
          </w:p>
        </w:tc>
        <w:tc>
          <w:tcPr>
            <w:tcW w:w="726" w:type="pct"/>
            <w:tcBorders>
              <w:top w:val="nil"/>
              <w:bottom w:val="nil"/>
            </w:tcBorders>
            <w:tcMar>
              <w:left w:w="57" w:type="dxa"/>
              <w:right w:w="113" w:type="dxa"/>
            </w:tcMar>
            <w:vAlign w:val="center"/>
          </w:tcPr>
          <w:p w14:paraId="2F60A7BE" w14:textId="597DD954"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7 950</w:t>
            </w:r>
          </w:p>
        </w:tc>
        <w:tc>
          <w:tcPr>
            <w:tcW w:w="809" w:type="pct"/>
            <w:tcBorders>
              <w:top w:val="nil"/>
              <w:bottom w:val="nil"/>
            </w:tcBorders>
            <w:tcMar>
              <w:left w:w="57" w:type="dxa"/>
              <w:right w:w="113" w:type="dxa"/>
            </w:tcMar>
            <w:vAlign w:val="center"/>
          </w:tcPr>
          <w:p w14:paraId="2A0FF40C" w14:textId="0177EA59"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847</w:t>
            </w:r>
          </w:p>
        </w:tc>
        <w:tc>
          <w:tcPr>
            <w:tcW w:w="818" w:type="pct"/>
            <w:tcBorders>
              <w:top w:val="nil"/>
              <w:bottom w:val="nil"/>
            </w:tcBorders>
            <w:vAlign w:val="center"/>
          </w:tcPr>
          <w:p w14:paraId="411249E6" w14:textId="0B66C1EC"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–235</w:t>
            </w:r>
          </w:p>
        </w:tc>
        <w:tc>
          <w:tcPr>
            <w:tcW w:w="750" w:type="pct"/>
            <w:tcBorders>
              <w:top w:val="nil"/>
              <w:bottom w:val="nil"/>
            </w:tcBorders>
            <w:vAlign w:val="center"/>
          </w:tcPr>
          <w:p w14:paraId="75A9D8B7" w14:textId="36FA253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8 563</w:t>
            </w:r>
          </w:p>
        </w:tc>
      </w:tr>
      <w:tr w:rsidR="009010B4" w:rsidRPr="00236418" w14:paraId="28D42237" w14:textId="77777777" w:rsidTr="006538EB">
        <w:trPr>
          <w:jc w:val="center"/>
        </w:trPr>
        <w:tc>
          <w:tcPr>
            <w:tcW w:w="1897" w:type="pct"/>
            <w:tcBorders>
              <w:top w:val="nil"/>
              <w:bottom w:val="nil"/>
            </w:tcBorders>
            <w:tcMar>
              <w:left w:w="57" w:type="dxa"/>
              <w:right w:w="57" w:type="dxa"/>
            </w:tcMar>
            <w:vAlign w:val="center"/>
          </w:tcPr>
          <w:p w14:paraId="645845DC" w14:textId="77777777" w:rsidR="009010B4" w:rsidRPr="00236418" w:rsidRDefault="009010B4" w:rsidP="009B3D24">
            <w:pPr>
              <w:pStyle w:val="Tabletext"/>
              <w:spacing w:before="0" w:after="0"/>
              <w:rPr>
                <w:rFonts w:asciiTheme="minorHAnsi" w:hAnsiTheme="minorHAnsi" w:cstheme="minorHAnsi"/>
                <w:szCs w:val="22"/>
                <w:lang w:eastAsia="zh-CN"/>
              </w:rPr>
            </w:pPr>
            <w:r w:rsidRPr="00236418">
              <w:rPr>
                <w:rFonts w:asciiTheme="minorHAnsi" w:hAnsiTheme="minorHAnsi" w:cstheme="minorHAnsi"/>
                <w:szCs w:val="22"/>
                <w:lang w:eastAsia="zh-CN"/>
              </w:rPr>
              <w:t>Autres</w:t>
            </w:r>
          </w:p>
        </w:tc>
        <w:tc>
          <w:tcPr>
            <w:tcW w:w="726" w:type="pct"/>
            <w:tcBorders>
              <w:top w:val="nil"/>
              <w:bottom w:val="nil"/>
            </w:tcBorders>
            <w:tcMar>
              <w:left w:w="57" w:type="dxa"/>
              <w:right w:w="113" w:type="dxa"/>
            </w:tcMar>
            <w:vAlign w:val="center"/>
          </w:tcPr>
          <w:p w14:paraId="297CE9BB" w14:textId="4E8F1F2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236418">
              <w:rPr>
                <w:rFonts w:cs="Calibri"/>
                <w:sz w:val="22"/>
                <w:szCs w:val="22"/>
                <w:lang w:eastAsia="en-GB"/>
              </w:rPr>
              <w:t>4 473</w:t>
            </w:r>
          </w:p>
        </w:tc>
        <w:tc>
          <w:tcPr>
            <w:tcW w:w="809" w:type="pct"/>
            <w:tcBorders>
              <w:top w:val="nil"/>
              <w:bottom w:val="nil"/>
            </w:tcBorders>
            <w:tcMar>
              <w:left w:w="57" w:type="dxa"/>
              <w:right w:w="113" w:type="dxa"/>
            </w:tcMar>
            <w:vAlign w:val="center"/>
          </w:tcPr>
          <w:p w14:paraId="381F787C" w14:textId="0673FF7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71</w:t>
            </w:r>
          </w:p>
        </w:tc>
        <w:tc>
          <w:tcPr>
            <w:tcW w:w="818" w:type="pct"/>
            <w:tcBorders>
              <w:top w:val="nil"/>
              <w:bottom w:val="nil"/>
            </w:tcBorders>
            <w:vAlign w:val="center"/>
          </w:tcPr>
          <w:p w14:paraId="2A5E06D0" w14:textId="2B1CFFC1"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75</w:t>
            </w:r>
          </w:p>
        </w:tc>
        <w:tc>
          <w:tcPr>
            <w:tcW w:w="750" w:type="pct"/>
            <w:tcBorders>
              <w:top w:val="nil"/>
              <w:bottom w:val="nil"/>
            </w:tcBorders>
            <w:vAlign w:val="center"/>
          </w:tcPr>
          <w:p w14:paraId="74382443" w14:textId="6A780EA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4 618</w:t>
            </w:r>
          </w:p>
        </w:tc>
      </w:tr>
      <w:tr w:rsidR="009010B4" w:rsidRPr="00236418" w14:paraId="39235BCB" w14:textId="77777777" w:rsidTr="006538EB">
        <w:trPr>
          <w:jc w:val="center"/>
        </w:trPr>
        <w:tc>
          <w:tcPr>
            <w:tcW w:w="1897" w:type="pct"/>
            <w:tcBorders>
              <w:top w:val="nil"/>
              <w:bottom w:val="nil"/>
            </w:tcBorders>
            <w:tcMar>
              <w:left w:w="57" w:type="dxa"/>
              <w:right w:w="57" w:type="dxa"/>
            </w:tcMar>
          </w:tcPr>
          <w:p w14:paraId="6D3165D4" w14:textId="77777777" w:rsidR="009010B4" w:rsidRPr="00236418" w:rsidRDefault="009010B4" w:rsidP="009B3D24">
            <w:pPr>
              <w:pStyle w:val="Tabletext"/>
              <w:spacing w:before="20" w:after="20"/>
              <w:rPr>
                <w:rFonts w:asciiTheme="minorHAnsi" w:hAnsiTheme="minorHAnsi" w:cstheme="minorHAnsi"/>
                <w:bCs/>
                <w:szCs w:val="22"/>
              </w:rPr>
            </w:pPr>
            <w:r w:rsidRPr="00236418">
              <w:rPr>
                <w:rFonts w:asciiTheme="minorHAnsi" w:hAnsiTheme="minorHAnsi" w:cstheme="minorHAnsi"/>
                <w:b/>
                <w:szCs w:val="22"/>
              </w:rPr>
              <w:t>Pertes actuarielles de l'ASHI</w:t>
            </w:r>
          </w:p>
        </w:tc>
        <w:tc>
          <w:tcPr>
            <w:tcW w:w="726" w:type="pct"/>
            <w:tcBorders>
              <w:top w:val="nil"/>
              <w:bottom w:val="nil"/>
            </w:tcBorders>
            <w:tcMar>
              <w:left w:w="57" w:type="dxa"/>
              <w:right w:w="113" w:type="dxa"/>
            </w:tcMar>
            <w:vAlign w:val="center"/>
          </w:tcPr>
          <w:p w14:paraId="1B1C6BA8" w14:textId="423F527B"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236418">
              <w:rPr>
                <w:rFonts w:cs="Calibri"/>
                <w:b/>
                <w:bCs/>
                <w:sz w:val="22"/>
                <w:szCs w:val="22"/>
                <w:lang w:eastAsia="en-GB"/>
              </w:rPr>
              <w:t>–282 427</w:t>
            </w:r>
          </w:p>
        </w:tc>
        <w:tc>
          <w:tcPr>
            <w:tcW w:w="809" w:type="pct"/>
            <w:tcBorders>
              <w:top w:val="nil"/>
              <w:bottom w:val="nil"/>
            </w:tcBorders>
            <w:tcMar>
              <w:left w:w="57" w:type="dxa"/>
              <w:right w:w="113" w:type="dxa"/>
            </w:tcMar>
            <w:vAlign w:val="center"/>
          </w:tcPr>
          <w:p w14:paraId="2C5AC667" w14:textId="27AD1BF7"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0</w:t>
            </w:r>
          </w:p>
        </w:tc>
        <w:tc>
          <w:tcPr>
            <w:tcW w:w="818" w:type="pct"/>
            <w:tcBorders>
              <w:top w:val="nil"/>
              <w:bottom w:val="nil"/>
            </w:tcBorders>
            <w:vAlign w:val="center"/>
          </w:tcPr>
          <w:p w14:paraId="317A2400" w14:textId="6EB42E58"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4 112</w:t>
            </w:r>
          </w:p>
        </w:tc>
        <w:tc>
          <w:tcPr>
            <w:tcW w:w="750" w:type="pct"/>
            <w:tcBorders>
              <w:top w:val="nil"/>
              <w:bottom w:val="nil"/>
            </w:tcBorders>
            <w:vAlign w:val="center"/>
          </w:tcPr>
          <w:p w14:paraId="35C3F1E3" w14:textId="2B54C9B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–278 315</w:t>
            </w:r>
          </w:p>
        </w:tc>
      </w:tr>
      <w:tr w:rsidR="009010B4" w:rsidRPr="00236418" w14:paraId="693682E3" w14:textId="77777777" w:rsidTr="006538EB">
        <w:trPr>
          <w:jc w:val="center"/>
        </w:trPr>
        <w:tc>
          <w:tcPr>
            <w:tcW w:w="1897" w:type="pct"/>
            <w:tcBorders>
              <w:top w:val="nil"/>
              <w:bottom w:val="nil"/>
            </w:tcBorders>
            <w:tcMar>
              <w:left w:w="57" w:type="dxa"/>
              <w:right w:w="57" w:type="dxa"/>
            </w:tcMar>
          </w:tcPr>
          <w:p w14:paraId="1C855BC8" w14:textId="77777777" w:rsidR="009010B4" w:rsidRPr="00236418" w:rsidRDefault="009010B4" w:rsidP="009B3D24">
            <w:pPr>
              <w:pStyle w:val="Tabletext"/>
              <w:spacing w:before="20" w:after="20"/>
              <w:rPr>
                <w:rFonts w:asciiTheme="minorHAnsi" w:hAnsiTheme="minorHAnsi" w:cstheme="minorHAnsi"/>
                <w:bCs/>
                <w:szCs w:val="22"/>
              </w:rPr>
            </w:pPr>
            <w:r w:rsidRPr="00236418">
              <w:rPr>
                <w:rFonts w:asciiTheme="minorHAnsi" w:hAnsiTheme="minorHAnsi" w:cstheme="minorHAnsi"/>
                <w:b/>
                <w:bCs/>
                <w:szCs w:val="22"/>
              </w:rPr>
              <w:t>Déficit cumulé IPSAS (statistique)</w:t>
            </w:r>
          </w:p>
        </w:tc>
        <w:tc>
          <w:tcPr>
            <w:tcW w:w="726" w:type="pct"/>
            <w:tcBorders>
              <w:top w:val="nil"/>
              <w:bottom w:val="nil"/>
            </w:tcBorders>
            <w:tcMar>
              <w:left w:w="57" w:type="dxa"/>
              <w:right w:w="113" w:type="dxa"/>
            </w:tcMar>
            <w:vAlign w:val="center"/>
          </w:tcPr>
          <w:p w14:paraId="431EC3C0" w14:textId="05CBF65C"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–98 993</w:t>
            </w:r>
          </w:p>
        </w:tc>
        <w:tc>
          <w:tcPr>
            <w:tcW w:w="809" w:type="pct"/>
            <w:tcBorders>
              <w:top w:val="nil"/>
              <w:bottom w:val="nil"/>
            </w:tcBorders>
            <w:tcMar>
              <w:left w:w="57" w:type="dxa"/>
              <w:right w:w="113" w:type="dxa"/>
            </w:tcMar>
            <w:vAlign w:val="center"/>
          </w:tcPr>
          <w:p w14:paraId="0E486A27" w14:textId="789BD6C5"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236418">
              <w:rPr>
                <w:rFonts w:cs="Calibri"/>
                <w:color w:val="000000"/>
                <w:sz w:val="22"/>
                <w:szCs w:val="22"/>
                <w:lang w:eastAsia="en-GB"/>
              </w:rPr>
              <w:t>–61 836</w:t>
            </w:r>
          </w:p>
        </w:tc>
        <w:tc>
          <w:tcPr>
            <w:tcW w:w="818" w:type="pct"/>
            <w:tcBorders>
              <w:top w:val="nil"/>
              <w:bottom w:val="nil"/>
            </w:tcBorders>
            <w:vAlign w:val="center"/>
          </w:tcPr>
          <w:p w14:paraId="0B1D2600" w14:textId="044FA59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1 279</w:t>
            </w:r>
          </w:p>
        </w:tc>
        <w:tc>
          <w:tcPr>
            <w:tcW w:w="750" w:type="pct"/>
            <w:tcBorders>
              <w:top w:val="nil"/>
              <w:bottom w:val="nil"/>
            </w:tcBorders>
            <w:vAlign w:val="center"/>
          </w:tcPr>
          <w:p w14:paraId="78477A94" w14:textId="0C63499F"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–159 550</w:t>
            </w:r>
          </w:p>
        </w:tc>
      </w:tr>
      <w:tr w:rsidR="009010B4" w:rsidRPr="00236418" w14:paraId="2D8B3373" w14:textId="77777777" w:rsidTr="006538EB">
        <w:trPr>
          <w:jc w:val="center"/>
        </w:trPr>
        <w:tc>
          <w:tcPr>
            <w:tcW w:w="1897" w:type="pct"/>
            <w:tcBorders>
              <w:top w:val="single" w:sz="4" w:space="0" w:color="auto"/>
            </w:tcBorders>
            <w:tcMar>
              <w:left w:w="57" w:type="dxa"/>
              <w:right w:w="57" w:type="dxa"/>
            </w:tcMar>
          </w:tcPr>
          <w:p w14:paraId="6B4839DF" w14:textId="77777777" w:rsidR="009010B4" w:rsidRPr="00236418" w:rsidRDefault="009010B4" w:rsidP="00CB1A41">
            <w:pPr>
              <w:pStyle w:val="Tabletext"/>
              <w:spacing w:before="120" w:after="120"/>
              <w:jc w:val="right"/>
              <w:rPr>
                <w:rFonts w:asciiTheme="minorHAnsi" w:hAnsiTheme="minorHAnsi" w:cstheme="minorHAnsi"/>
                <w:b/>
                <w:bCs/>
                <w:szCs w:val="22"/>
                <w:lang w:eastAsia="fr-FR"/>
              </w:rPr>
            </w:pPr>
            <w:r w:rsidRPr="00236418">
              <w:rPr>
                <w:rFonts w:asciiTheme="minorHAnsi" w:hAnsiTheme="minorHAnsi" w:cstheme="minorHAnsi"/>
                <w:b/>
                <w:bCs/>
                <w:szCs w:val="22"/>
              </w:rPr>
              <w:t xml:space="preserve">Total de l'actif net </w:t>
            </w:r>
          </w:p>
        </w:tc>
        <w:tc>
          <w:tcPr>
            <w:tcW w:w="726" w:type="pct"/>
            <w:tcBorders>
              <w:top w:val="single" w:sz="4" w:space="0" w:color="auto"/>
            </w:tcBorders>
            <w:tcMar>
              <w:left w:w="57" w:type="dxa"/>
              <w:right w:w="113" w:type="dxa"/>
            </w:tcMar>
            <w:vAlign w:val="center"/>
          </w:tcPr>
          <w:p w14:paraId="4CE10012" w14:textId="15AE1E1D"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–395 179</w:t>
            </w:r>
          </w:p>
        </w:tc>
        <w:tc>
          <w:tcPr>
            <w:tcW w:w="809" w:type="pct"/>
            <w:tcBorders>
              <w:top w:val="single" w:sz="4" w:space="0" w:color="auto"/>
            </w:tcBorders>
            <w:tcMar>
              <w:left w:w="57" w:type="dxa"/>
              <w:right w:w="113" w:type="dxa"/>
            </w:tcMar>
            <w:vAlign w:val="center"/>
          </w:tcPr>
          <w:p w14:paraId="6ECC8748" w14:textId="0AD054CC"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–57 463</w:t>
            </w:r>
          </w:p>
        </w:tc>
        <w:tc>
          <w:tcPr>
            <w:tcW w:w="818" w:type="pct"/>
            <w:tcBorders>
              <w:top w:val="single" w:sz="4" w:space="0" w:color="auto"/>
            </w:tcBorders>
            <w:vAlign w:val="center"/>
          </w:tcPr>
          <w:p w14:paraId="376EBFB5" w14:textId="220594DA"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–5</w:t>
            </w:r>
          </w:p>
        </w:tc>
        <w:tc>
          <w:tcPr>
            <w:tcW w:w="750" w:type="pct"/>
            <w:tcBorders>
              <w:top w:val="single" w:sz="4" w:space="0" w:color="auto"/>
            </w:tcBorders>
            <w:vAlign w:val="center"/>
          </w:tcPr>
          <w:p w14:paraId="2EBD419F" w14:textId="2E170C92" w:rsidR="009010B4" w:rsidRPr="00236418"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236418">
              <w:rPr>
                <w:rFonts w:cs="Calibri"/>
                <w:b/>
                <w:bCs/>
                <w:color w:val="000000"/>
                <w:sz w:val="22"/>
                <w:szCs w:val="22"/>
                <w:lang w:eastAsia="en-GB"/>
              </w:rPr>
              <w:t>–452 645</w:t>
            </w:r>
          </w:p>
        </w:tc>
      </w:tr>
    </w:tbl>
    <w:p w14:paraId="50418F94" w14:textId="77777777" w:rsidR="00DF6159" w:rsidRPr="00236418" w:rsidRDefault="00DF6159" w:rsidP="009B3D24">
      <w:pPr>
        <w:ind w:left="-709"/>
      </w:pPr>
    </w:p>
    <w:p w14:paraId="7E2E0192" w14:textId="77777777" w:rsidR="00DF6159" w:rsidRPr="00236418" w:rsidRDefault="00DF6159" w:rsidP="009B3D24">
      <w:pPr>
        <w:rPr>
          <w:lang w:eastAsia="fr-FR"/>
        </w:rPr>
      </w:pPr>
      <w:r w:rsidRPr="00236418">
        <w:br w:type="page"/>
      </w:r>
    </w:p>
    <w:p w14:paraId="45FF31F4" w14:textId="7423D9E4" w:rsidR="00DF6159" w:rsidRPr="00236418" w:rsidRDefault="00DF6159" w:rsidP="009F2896">
      <w:pPr>
        <w:pStyle w:val="Heading1"/>
        <w:spacing w:before="360" w:after="120"/>
        <w:jc w:val="center"/>
      </w:pPr>
      <w:bookmarkStart w:id="590" w:name="_Toc329202547"/>
      <w:bookmarkStart w:id="591" w:name="_Toc329204979"/>
      <w:bookmarkStart w:id="592" w:name="_Toc329206816"/>
      <w:bookmarkStart w:id="593" w:name="_Toc358379322"/>
      <w:bookmarkStart w:id="594" w:name="_Toc358379900"/>
      <w:bookmarkStart w:id="595" w:name="_Toc358380440"/>
      <w:bookmarkStart w:id="596" w:name="_Toc452139412"/>
      <w:bookmarkStart w:id="597" w:name="_Toc452139811"/>
      <w:bookmarkStart w:id="598" w:name="_Toc452140678"/>
      <w:bookmarkStart w:id="599" w:name="_Toc511649925"/>
      <w:bookmarkStart w:id="600" w:name="_Toc511651181"/>
      <w:bookmarkStart w:id="601" w:name="_Toc511724046"/>
      <w:bookmarkStart w:id="602" w:name="_Toc511739035"/>
      <w:bookmarkStart w:id="603" w:name="_Toc511740815"/>
      <w:bookmarkStart w:id="604" w:name="_Toc511741204"/>
      <w:bookmarkStart w:id="605" w:name="_Toc10450710"/>
      <w:bookmarkStart w:id="606" w:name="_Toc41567342"/>
      <w:bookmarkStart w:id="607" w:name="_Toc41567828"/>
      <w:bookmarkStart w:id="608" w:name="_Toc41814940"/>
      <w:bookmarkStart w:id="609" w:name="_Toc329202544"/>
      <w:bookmarkStart w:id="610" w:name="_Toc329204977"/>
      <w:bookmarkStart w:id="611" w:name="_Toc329206814"/>
      <w:bookmarkStart w:id="612" w:name="_Toc358379321"/>
      <w:bookmarkStart w:id="613" w:name="_Toc358379899"/>
      <w:bookmarkStart w:id="614" w:name="_Toc358380439"/>
      <w:r w:rsidRPr="00236418">
        <w:lastRenderedPageBreak/>
        <w:t xml:space="preserve">IV – État des flux de trésorerie pour l'exercice clos le 31 décembre </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236418">
        <w:t>201</w:t>
      </w:r>
      <w:bookmarkEnd w:id="605"/>
      <w:r w:rsidR="005F6166" w:rsidRPr="00236418">
        <w:t>9</w:t>
      </w:r>
      <w:bookmarkEnd w:id="606"/>
      <w:bookmarkEnd w:id="607"/>
      <w:bookmarkEnd w:id="608"/>
    </w:p>
    <w:tbl>
      <w:tblPr>
        <w:tblW w:w="5000" w:type="pct"/>
        <w:tblLook w:val="04A0" w:firstRow="1" w:lastRow="0" w:firstColumn="1" w:lastColumn="0" w:noHBand="0" w:noVBand="1"/>
      </w:tblPr>
      <w:tblGrid>
        <w:gridCol w:w="5769"/>
        <w:gridCol w:w="1980"/>
        <w:gridCol w:w="1880"/>
      </w:tblGrid>
      <w:tr w:rsidR="00DF6159" w:rsidRPr="00236418" w14:paraId="72C36900" w14:textId="77777777" w:rsidTr="006538EB">
        <w:trPr>
          <w:trHeight w:val="246"/>
        </w:trPr>
        <w:tc>
          <w:tcPr>
            <w:tcW w:w="2996" w:type="pct"/>
            <w:tcBorders>
              <w:top w:val="single" w:sz="4" w:space="0" w:color="auto"/>
              <w:left w:val="single" w:sz="4" w:space="0" w:color="auto"/>
              <w:bottom w:val="single" w:sz="4" w:space="0" w:color="auto"/>
              <w:right w:val="nil"/>
            </w:tcBorders>
            <w:shd w:val="clear" w:color="auto" w:fill="auto"/>
            <w:noWrap/>
            <w:vAlign w:val="center"/>
            <w:hideMark/>
          </w:tcPr>
          <w:p w14:paraId="6A2C377A" w14:textId="77777777" w:rsidR="00DF6159" w:rsidRPr="00236418" w:rsidRDefault="00DF6159" w:rsidP="009B3D24">
            <w:pPr>
              <w:pStyle w:val="Tablehead"/>
              <w:spacing w:before="0" w:after="0"/>
              <w:jc w:val="left"/>
              <w:rPr>
                <w:rFonts w:asciiTheme="minorHAnsi" w:hAnsiTheme="minorHAnsi" w:cstheme="minorHAnsi"/>
                <w:color w:val="000000"/>
                <w:sz w:val="20"/>
                <w:lang w:eastAsia="zh-CN"/>
              </w:rPr>
            </w:pPr>
            <w:bookmarkStart w:id="615" w:name="_MON_1401702181"/>
            <w:bookmarkEnd w:id="615"/>
            <w:r w:rsidRPr="00236418">
              <w:rPr>
                <w:rFonts w:asciiTheme="minorHAnsi" w:hAnsiTheme="minorHAnsi" w:cstheme="minorHAnsi"/>
                <w:sz w:val="20"/>
              </w:rPr>
              <w:t>(en milliers de CHF)</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93B5B" w14:textId="26583CF4" w:rsidR="00DF6159" w:rsidRPr="00236418" w:rsidRDefault="00DF6159" w:rsidP="009B3D24">
            <w:pPr>
              <w:pStyle w:val="Tablehead"/>
              <w:spacing w:before="0" w:after="0"/>
              <w:rPr>
                <w:rFonts w:asciiTheme="minorHAnsi" w:hAnsiTheme="minorHAnsi" w:cstheme="minorHAnsi"/>
                <w:sz w:val="20"/>
              </w:rPr>
            </w:pPr>
            <w:r w:rsidRPr="00236418">
              <w:rPr>
                <w:rFonts w:asciiTheme="minorHAnsi" w:hAnsiTheme="minorHAnsi" w:cstheme="minorHAnsi"/>
                <w:sz w:val="20"/>
              </w:rPr>
              <w:t>31/12/201</w:t>
            </w:r>
            <w:r w:rsidR="0002196B" w:rsidRPr="00236418">
              <w:rPr>
                <w:rFonts w:asciiTheme="minorHAnsi" w:hAnsiTheme="minorHAnsi" w:cstheme="minorHAnsi"/>
                <w:sz w:val="20"/>
              </w:rPr>
              <w:t>9</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2346EB73" w14:textId="53CCA798" w:rsidR="00DF6159" w:rsidRPr="00236418" w:rsidRDefault="00DF6159" w:rsidP="009B3D24">
            <w:pPr>
              <w:pStyle w:val="Tablehead"/>
              <w:spacing w:before="0" w:after="0"/>
              <w:rPr>
                <w:rFonts w:asciiTheme="minorHAnsi" w:hAnsiTheme="minorHAnsi" w:cstheme="minorHAnsi"/>
                <w:sz w:val="20"/>
              </w:rPr>
            </w:pPr>
            <w:r w:rsidRPr="00236418">
              <w:rPr>
                <w:rFonts w:asciiTheme="minorHAnsi" w:hAnsiTheme="minorHAnsi" w:cstheme="minorHAnsi"/>
                <w:sz w:val="20"/>
              </w:rPr>
              <w:t>31/12/201</w:t>
            </w:r>
            <w:r w:rsidR="0002196B" w:rsidRPr="00236418">
              <w:rPr>
                <w:rFonts w:asciiTheme="minorHAnsi" w:hAnsiTheme="minorHAnsi" w:cstheme="minorHAnsi"/>
                <w:sz w:val="20"/>
              </w:rPr>
              <w:t>8</w:t>
            </w:r>
          </w:p>
        </w:tc>
      </w:tr>
      <w:tr w:rsidR="00DF6159" w:rsidRPr="00236418" w14:paraId="13761964" w14:textId="77777777" w:rsidTr="0002196B">
        <w:trPr>
          <w:trHeight w:val="255"/>
        </w:trPr>
        <w:tc>
          <w:tcPr>
            <w:tcW w:w="2996" w:type="pct"/>
            <w:tcBorders>
              <w:top w:val="nil"/>
              <w:left w:val="single" w:sz="4" w:space="0" w:color="auto"/>
              <w:bottom w:val="nil"/>
              <w:right w:val="nil"/>
            </w:tcBorders>
            <w:shd w:val="clear" w:color="auto" w:fill="auto"/>
            <w:hideMark/>
          </w:tcPr>
          <w:p w14:paraId="4DA0171E"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236418">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11A3A5F4" w14:textId="396FFAE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c>
          <w:tcPr>
            <w:tcW w:w="976" w:type="pct"/>
            <w:tcBorders>
              <w:top w:val="nil"/>
              <w:left w:val="nil"/>
              <w:bottom w:val="nil"/>
              <w:right w:val="single" w:sz="4" w:space="0" w:color="auto"/>
            </w:tcBorders>
            <w:shd w:val="clear" w:color="auto" w:fill="auto"/>
            <w:noWrap/>
            <w:vAlign w:val="bottom"/>
          </w:tcPr>
          <w:p w14:paraId="4E224321" w14:textId="6772C80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DF6159" w:rsidRPr="00236418" w14:paraId="6D200948" w14:textId="77777777" w:rsidTr="0002196B">
        <w:trPr>
          <w:trHeight w:val="255"/>
        </w:trPr>
        <w:tc>
          <w:tcPr>
            <w:tcW w:w="2996" w:type="pct"/>
            <w:tcBorders>
              <w:top w:val="nil"/>
              <w:left w:val="single" w:sz="4" w:space="0" w:color="auto"/>
              <w:bottom w:val="nil"/>
              <w:right w:val="nil"/>
            </w:tcBorders>
            <w:shd w:val="clear" w:color="auto" w:fill="auto"/>
            <w:hideMark/>
          </w:tcPr>
          <w:p w14:paraId="34B8C0FC"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Excédent (déficit) de l'exercice</w:t>
            </w:r>
          </w:p>
        </w:tc>
        <w:tc>
          <w:tcPr>
            <w:tcW w:w="1028" w:type="pct"/>
            <w:tcBorders>
              <w:top w:val="nil"/>
              <w:left w:val="single" w:sz="4" w:space="0" w:color="auto"/>
              <w:bottom w:val="nil"/>
              <w:right w:val="single" w:sz="4" w:space="0" w:color="auto"/>
            </w:tcBorders>
            <w:shd w:val="clear" w:color="auto" w:fill="auto"/>
            <w:noWrap/>
            <w:vAlign w:val="center"/>
          </w:tcPr>
          <w:p w14:paraId="2ED04B1B" w14:textId="02D411BB" w:rsidR="00DF6159" w:rsidRPr="00236418" w:rsidRDefault="00CB1A4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w:t>
            </w:r>
            <w:r w:rsidR="004B6E22" w:rsidRPr="00236418">
              <w:rPr>
                <w:rFonts w:asciiTheme="minorHAnsi" w:hAnsiTheme="minorHAnsi" w:cstheme="minorHAnsi"/>
                <w:sz w:val="20"/>
                <w:lang w:eastAsia="zh-CN"/>
              </w:rPr>
              <w:t>57 463</w:t>
            </w:r>
          </w:p>
        </w:tc>
        <w:tc>
          <w:tcPr>
            <w:tcW w:w="976" w:type="pct"/>
            <w:tcBorders>
              <w:top w:val="nil"/>
              <w:left w:val="nil"/>
              <w:bottom w:val="nil"/>
              <w:right w:val="single" w:sz="4" w:space="0" w:color="auto"/>
            </w:tcBorders>
            <w:shd w:val="clear" w:color="auto" w:fill="auto"/>
            <w:noWrap/>
            <w:vAlign w:val="center"/>
          </w:tcPr>
          <w:p w14:paraId="07DE1032" w14:textId="7D24138A" w:rsidR="00DF6159" w:rsidRPr="00236418" w:rsidRDefault="00CB1A4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sz w:val="20"/>
                <w:lang w:eastAsia="zh-CN"/>
              </w:rPr>
              <w:t>–</w:t>
            </w:r>
            <w:r w:rsidR="004B6E22" w:rsidRPr="00236418">
              <w:rPr>
                <w:rFonts w:asciiTheme="minorHAnsi" w:hAnsiTheme="minorHAnsi" w:cstheme="minorHAnsi"/>
                <w:color w:val="000000"/>
                <w:sz w:val="20"/>
                <w:lang w:eastAsia="zh-CN"/>
              </w:rPr>
              <w:t>7 976</w:t>
            </w:r>
          </w:p>
        </w:tc>
      </w:tr>
      <w:tr w:rsidR="00DF6159" w:rsidRPr="00236418" w14:paraId="22B47CBA" w14:textId="77777777" w:rsidTr="0002196B">
        <w:trPr>
          <w:trHeight w:val="255"/>
        </w:trPr>
        <w:tc>
          <w:tcPr>
            <w:tcW w:w="2996" w:type="pct"/>
            <w:tcBorders>
              <w:top w:val="nil"/>
              <w:left w:val="single" w:sz="4" w:space="0" w:color="auto"/>
              <w:bottom w:val="nil"/>
              <w:right w:val="nil"/>
            </w:tcBorders>
            <w:shd w:val="clear" w:color="auto" w:fill="auto"/>
            <w:hideMark/>
          </w:tcPr>
          <w:p w14:paraId="0110F510" w14:textId="77777777" w:rsidR="00DF6159" w:rsidRPr="00236418" w:rsidRDefault="00DF6159"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Mouvements non monétaires</w:t>
            </w:r>
            <w:r w:rsidRPr="00236418">
              <w:rPr>
                <w:rFonts w:asciiTheme="minorHAnsi" w:hAnsiTheme="minorHAnsi" w:cstheme="minorHAnsi"/>
                <w:sz w:val="20"/>
              </w:rPr>
              <w:t xml:space="preserve"> </w:t>
            </w:r>
          </w:p>
        </w:tc>
        <w:tc>
          <w:tcPr>
            <w:tcW w:w="1028" w:type="pct"/>
            <w:tcBorders>
              <w:top w:val="nil"/>
              <w:left w:val="single" w:sz="4" w:space="0" w:color="auto"/>
              <w:bottom w:val="nil"/>
              <w:right w:val="single" w:sz="4" w:space="0" w:color="auto"/>
            </w:tcBorders>
            <w:shd w:val="clear" w:color="auto" w:fill="auto"/>
            <w:noWrap/>
            <w:vAlign w:val="bottom"/>
          </w:tcPr>
          <w:p w14:paraId="02961B7E" w14:textId="074A548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3A9587C" w14:textId="7CBA04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DF6159" w:rsidRPr="00236418" w14:paraId="7A28E46E" w14:textId="77777777" w:rsidTr="0002196B">
        <w:trPr>
          <w:trHeight w:val="255"/>
        </w:trPr>
        <w:tc>
          <w:tcPr>
            <w:tcW w:w="2996" w:type="pct"/>
            <w:tcBorders>
              <w:top w:val="nil"/>
              <w:left w:val="single" w:sz="4" w:space="0" w:color="auto"/>
              <w:bottom w:val="nil"/>
              <w:right w:val="nil"/>
            </w:tcBorders>
            <w:shd w:val="clear" w:color="auto" w:fill="auto"/>
            <w:hideMark/>
          </w:tcPr>
          <w:p w14:paraId="0121B77A"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Amortissements</w:t>
            </w:r>
          </w:p>
        </w:tc>
        <w:tc>
          <w:tcPr>
            <w:tcW w:w="1028" w:type="pct"/>
            <w:tcBorders>
              <w:top w:val="nil"/>
              <w:left w:val="single" w:sz="4" w:space="0" w:color="auto"/>
              <w:bottom w:val="nil"/>
              <w:right w:val="single" w:sz="4" w:space="0" w:color="auto"/>
            </w:tcBorders>
            <w:shd w:val="clear" w:color="auto" w:fill="auto"/>
            <w:noWrap/>
            <w:vAlign w:val="center"/>
          </w:tcPr>
          <w:p w14:paraId="058876E0" w14:textId="7A74F428"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4 570</w:t>
            </w:r>
          </w:p>
        </w:tc>
        <w:tc>
          <w:tcPr>
            <w:tcW w:w="976" w:type="pct"/>
            <w:tcBorders>
              <w:top w:val="nil"/>
              <w:left w:val="nil"/>
              <w:bottom w:val="nil"/>
              <w:right w:val="single" w:sz="4" w:space="0" w:color="auto"/>
            </w:tcBorders>
            <w:shd w:val="clear" w:color="auto" w:fill="auto"/>
            <w:noWrap/>
            <w:vAlign w:val="center"/>
          </w:tcPr>
          <w:p w14:paraId="5F4521A7" w14:textId="30EDC1EC"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4 497</w:t>
            </w:r>
          </w:p>
        </w:tc>
      </w:tr>
      <w:tr w:rsidR="00DF6159" w:rsidRPr="00236418" w14:paraId="1A127AF5" w14:textId="77777777" w:rsidTr="0002196B">
        <w:trPr>
          <w:trHeight w:val="255"/>
        </w:trPr>
        <w:tc>
          <w:tcPr>
            <w:tcW w:w="2996" w:type="pct"/>
            <w:tcBorders>
              <w:top w:val="nil"/>
              <w:left w:val="single" w:sz="4" w:space="0" w:color="auto"/>
              <w:bottom w:val="nil"/>
              <w:right w:val="nil"/>
            </w:tcBorders>
            <w:shd w:val="clear" w:color="auto" w:fill="auto"/>
            <w:hideMark/>
          </w:tcPr>
          <w:p w14:paraId="0DD04BF8"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Provision ASHI</w:t>
            </w:r>
          </w:p>
        </w:tc>
        <w:tc>
          <w:tcPr>
            <w:tcW w:w="1028" w:type="pct"/>
            <w:tcBorders>
              <w:top w:val="nil"/>
              <w:left w:val="single" w:sz="4" w:space="0" w:color="auto"/>
              <w:bottom w:val="nil"/>
              <w:right w:val="single" w:sz="4" w:space="0" w:color="auto"/>
            </w:tcBorders>
            <w:shd w:val="clear" w:color="auto" w:fill="auto"/>
            <w:noWrap/>
            <w:vAlign w:val="center"/>
          </w:tcPr>
          <w:p w14:paraId="0AFF3440" w14:textId="248DEEE9"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71 694</w:t>
            </w:r>
          </w:p>
        </w:tc>
        <w:tc>
          <w:tcPr>
            <w:tcW w:w="976" w:type="pct"/>
            <w:tcBorders>
              <w:top w:val="nil"/>
              <w:left w:val="nil"/>
              <w:bottom w:val="nil"/>
              <w:right w:val="single" w:sz="4" w:space="0" w:color="auto"/>
            </w:tcBorders>
            <w:shd w:val="clear" w:color="auto" w:fill="auto"/>
            <w:noWrap/>
            <w:vAlign w:val="center"/>
          </w:tcPr>
          <w:p w14:paraId="7B8435D7" w14:textId="7E4743A7"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22 267</w:t>
            </w:r>
          </w:p>
        </w:tc>
      </w:tr>
      <w:tr w:rsidR="00DF6159" w:rsidRPr="00236418" w14:paraId="26B6F397" w14:textId="77777777" w:rsidTr="0002196B">
        <w:trPr>
          <w:trHeight w:val="255"/>
        </w:trPr>
        <w:tc>
          <w:tcPr>
            <w:tcW w:w="2996" w:type="pct"/>
            <w:tcBorders>
              <w:top w:val="nil"/>
              <w:left w:val="single" w:sz="4" w:space="0" w:color="auto"/>
              <w:bottom w:val="nil"/>
              <w:right w:val="nil"/>
            </w:tcBorders>
            <w:shd w:val="clear" w:color="auto" w:fill="auto"/>
            <w:hideMark/>
          </w:tcPr>
          <w:p w14:paraId="5203DA9A"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Provisions pour rapatriement (LT)</w:t>
            </w:r>
          </w:p>
        </w:tc>
        <w:tc>
          <w:tcPr>
            <w:tcW w:w="1028" w:type="pct"/>
            <w:tcBorders>
              <w:top w:val="nil"/>
              <w:left w:val="single" w:sz="4" w:space="0" w:color="auto"/>
              <w:bottom w:val="nil"/>
              <w:right w:val="single" w:sz="4" w:space="0" w:color="auto"/>
            </w:tcBorders>
            <w:shd w:val="clear" w:color="auto" w:fill="auto"/>
            <w:noWrap/>
            <w:vAlign w:val="center"/>
          </w:tcPr>
          <w:p w14:paraId="78E6185D" w14:textId="4152DA8E"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1 717</w:t>
            </w:r>
          </w:p>
        </w:tc>
        <w:tc>
          <w:tcPr>
            <w:tcW w:w="976" w:type="pct"/>
            <w:tcBorders>
              <w:top w:val="nil"/>
              <w:left w:val="nil"/>
              <w:bottom w:val="nil"/>
              <w:right w:val="single" w:sz="4" w:space="0" w:color="auto"/>
            </w:tcBorders>
            <w:shd w:val="clear" w:color="auto" w:fill="auto"/>
            <w:noWrap/>
            <w:vAlign w:val="center"/>
          </w:tcPr>
          <w:p w14:paraId="2E41A07F" w14:textId="67B301DA"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431</w:t>
            </w:r>
          </w:p>
        </w:tc>
      </w:tr>
      <w:tr w:rsidR="00DF6159" w:rsidRPr="00236418" w14:paraId="1126FAF5" w14:textId="77777777" w:rsidTr="0002196B">
        <w:trPr>
          <w:trHeight w:val="255"/>
        </w:trPr>
        <w:tc>
          <w:tcPr>
            <w:tcW w:w="2996" w:type="pct"/>
            <w:tcBorders>
              <w:top w:val="nil"/>
              <w:left w:val="single" w:sz="4" w:space="0" w:color="auto"/>
              <w:bottom w:val="nil"/>
              <w:right w:val="nil"/>
            </w:tcBorders>
            <w:shd w:val="clear" w:color="auto" w:fill="auto"/>
            <w:hideMark/>
          </w:tcPr>
          <w:p w14:paraId="53ABBE52"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Provisions pour avantages du personnel (CT)</w:t>
            </w:r>
          </w:p>
        </w:tc>
        <w:tc>
          <w:tcPr>
            <w:tcW w:w="1028" w:type="pct"/>
            <w:tcBorders>
              <w:top w:val="nil"/>
              <w:left w:val="single" w:sz="4" w:space="0" w:color="auto"/>
              <w:bottom w:val="nil"/>
              <w:right w:val="single" w:sz="4" w:space="0" w:color="auto"/>
            </w:tcBorders>
            <w:shd w:val="clear" w:color="auto" w:fill="auto"/>
            <w:noWrap/>
            <w:vAlign w:val="center"/>
          </w:tcPr>
          <w:p w14:paraId="7EB14127" w14:textId="121C3CB9"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38</w:t>
            </w:r>
          </w:p>
        </w:tc>
        <w:tc>
          <w:tcPr>
            <w:tcW w:w="976" w:type="pct"/>
            <w:tcBorders>
              <w:top w:val="nil"/>
              <w:left w:val="nil"/>
              <w:bottom w:val="nil"/>
              <w:right w:val="single" w:sz="4" w:space="0" w:color="auto"/>
            </w:tcBorders>
            <w:shd w:val="clear" w:color="auto" w:fill="auto"/>
            <w:noWrap/>
            <w:vAlign w:val="center"/>
          </w:tcPr>
          <w:p w14:paraId="711D6E8D" w14:textId="50AB1CD6"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93</w:t>
            </w:r>
          </w:p>
        </w:tc>
      </w:tr>
      <w:tr w:rsidR="00DF6159" w:rsidRPr="00236418" w14:paraId="6457E9AB" w14:textId="77777777" w:rsidTr="0002196B">
        <w:trPr>
          <w:trHeight w:val="255"/>
        </w:trPr>
        <w:tc>
          <w:tcPr>
            <w:tcW w:w="2996" w:type="pct"/>
            <w:tcBorders>
              <w:top w:val="nil"/>
              <w:left w:val="single" w:sz="4" w:space="0" w:color="auto"/>
              <w:bottom w:val="nil"/>
              <w:right w:val="nil"/>
            </w:tcBorders>
            <w:shd w:val="clear" w:color="auto" w:fill="auto"/>
            <w:hideMark/>
          </w:tcPr>
          <w:p w14:paraId="1F76337E"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Provisions pour congé accumulé (LT)</w:t>
            </w:r>
          </w:p>
        </w:tc>
        <w:tc>
          <w:tcPr>
            <w:tcW w:w="1028" w:type="pct"/>
            <w:tcBorders>
              <w:top w:val="nil"/>
              <w:left w:val="single" w:sz="4" w:space="0" w:color="auto"/>
              <w:bottom w:val="nil"/>
              <w:right w:val="single" w:sz="4" w:space="0" w:color="auto"/>
            </w:tcBorders>
            <w:shd w:val="clear" w:color="auto" w:fill="auto"/>
            <w:noWrap/>
            <w:vAlign w:val="center"/>
          </w:tcPr>
          <w:p w14:paraId="14A21BE1" w14:textId="5E3CDB29"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817</w:t>
            </w:r>
          </w:p>
        </w:tc>
        <w:tc>
          <w:tcPr>
            <w:tcW w:w="976" w:type="pct"/>
            <w:tcBorders>
              <w:top w:val="nil"/>
              <w:left w:val="nil"/>
              <w:bottom w:val="nil"/>
              <w:right w:val="single" w:sz="4" w:space="0" w:color="auto"/>
            </w:tcBorders>
            <w:shd w:val="clear" w:color="auto" w:fill="auto"/>
            <w:noWrap/>
            <w:vAlign w:val="center"/>
          </w:tcPr>
          <w:p w14:paraId="2A143592" w14:textId="13DC72ED"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321</w:t>
            </w:r>
          </w:p>
        </w:tc>
      </w:tr>
      <w:tr w:rsidR="00DF6159" w:rsidRPr="00236418" w14:paraId="2C7409BA" w14:textId="77777777" w:rsidTr="0002196B">
        <w:trPr>
          <w:trHeight w:val="255"/>
        </w:trPr>
        <w:tc>
          <w:tcPr>
            <w:tcW w:w="2996" w:type="pct"/>
            <w:tcBorders>
              <w:top w:val="nil"/>
              <w:left w:val="single" w:sz="4" w:space="0" w:color="auto"/>
              <w:bottom w:val="nil"/>
              <w:right w:val="nil"/>
            </w:tcBorders>
            <w:shd w:val="clear" w:color="auto" w:fill="auto"/>
            <w:hideMark/>
          </w:tcPr>
          <w:p w14:paraId="1BAC37D7"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Autres provisions</w:t>
            </w:r>
          </w:p>
        </w:tc>
        <w:tc>
          <w:tcPr>
            <w:tcW w:w="1028" w:type="pct"/>
            <w:tcBorders>
              <w:top w:val="nil"/>
              <w:left w:val="single" w:sz="4" w:space="0" w:color="auto"/>
              <w:bottom w:val="nil"/>
              <w:right w:val="single" w:sz="4" w:space="0" w:color="auto"/>
            </w:tcBorders>
            <w:shd w:val="clear" w:color="auto" w:fill="auto"/>
            <w:noWrap/>
            <w:vAlign w:val="center"/>
          </w:tcPr>
          <w:p w14:paraId="38E6EA1B" w14:textId="53CC6387"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–2 087</w:t>
            </w:r>
          </w:p>
        </w:tc>
        <w:tc>
          <w:tcPr>
            <w:tcW w:w="976" w:type="pct"/>
            <w:tcBorders>
              <w:top w:val="nil"/>
              <w:left w:val="nil"/>
              <w:bottom w:val="nil"/>
              <w:right w:val="single" w:sz="4" w:space="0" w:color="auto"/>
            </w:tcBorders>
            <w:shd w:val="clear" w:color="auto" w:fill="auto"/>
            <w:noWrap/>
            <w:vAlign w:val="center"/>
          </w:tcPr>
          <w:p w14:paraId="0DAFCDBA" w14:textId="48BA8305"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5 756</w:t>
            </w:r>
          </w:p>
        </w:tc>
      </w:tr>
      <w:tr w:rsidR="00DF6159" w:rsidRPr="00236418" w14:paraId="75F6A3CB" w14:textId="77777777" w:rsidTr="0002196B">
        <w:trPr>
          <w:trHeight w:val="255"/>
        </w:trPr>
        <w:tc>
          <w:tcPr>
            <w:tcW w:w="2996" w:type="pct"/>
            <w:tcBorders>
              <w:top w:val="nil"/>
              <w:left w:val="single" w:sz="4" w:space="0" w:color="auto"/>
              <w:bottom w:val="nil"/>
              <w:right w:val="nil"/>
            </w:tcBorders>
            <w:shd w:val="clear" w:color="auto" w:fill="auto"/>
            <w:hideMark/>
          </w:tcPr>
          <w:p w14:paraId="7AA5DE09"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Provisions pour créances douteuses</w:t>
            </w:r>
          </w:p>
        </w:tc>
        <w:tc>
          <w:tcPr>
            <w:tcW w:w="1028" w:type="pct"/>
            <w:tcBorders>
              <w:top w:val="nil"/>
              <w:left w:val="single" w:sz="4" w:space="0" w:color="auto"/>
              <w:bottom w:val="nil"/>
              <w:right w:val="single" w:sz="4" w:space="0" w:color="auto"/>
            </w:tcBorders>
            <w:shd w:val="clear" w:color="auto" w:fill="auto"/>
            <w:noWrap/>
            <w:vAlign w:val="center"/>
          </w:tcPr>
          <w:p w14:paraId="48440BAF" w14:textId="758360E6"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–6</w:t>
            </w:r>
          </w:p>
        </w:tc>
        <w:tc>
          <w:tcPr>
            <w:tcW w:w="976" w:type="pct"/>
            <w:tcBorders>
              <w:top w:val="nil"/>
              <w:left w:val="nil"/>
              <w:bottom w:val="nil"/>
              <w:right w:val="single" w:sz="4" w:space="0" w:color="auto"/>
            </w:tcBorders>
            <w:shd w:val="clear" w:color="auto" w:fill="auto"/>
            <w:noWrap/>
            <w:vAlign w:val="center"/>
          </w:tcPr>
          <w:p w14:paraId="758121B2" w14:textId="55A7230C"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–11 487</w:t>
            </w:r>
          </w:p>
        </w:tc>
      </w:tr>
      <w:tr w:rsidR="00DF6159" w:rsidRPr="00236418" w14:paraId="03C8345A" w14:textId="77777777" w:rsidTr="0002196B">
        <w:trPr>
          <w:trHeight w:val="255"/>
        </w:trPr>
        <w:tc>
          <w:tcPr>
            <w:tcW w:w="2996" w:type="pct"/>
            <w:tcBorders>
              <w:top w:val="nil"/>
              <w:left w:val="single" w:sz="4" w:space="0" w:color="auto"/>
              <w:bottom w:val="nil"/>
              <w:right w:val="nil"/>
            </w:tcBorders>
            <w:shd w:val="clear" w:color="auto" w:fill="auto"/>
            <w:hideMark/>
          </w:tcPr>
          <w:p w14:paraId="11F6A5F3"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Dépréciations des stocks</w:t>
            </w:r>
          </w:p>
        </w:tc>
        <w:tc>
          <w:tcPr>
            <w:tcW w:w="1028" w:type="pct"/>
            <w:tcBorders>
              <w:top w:val="nil"/>
              <w:left w:val="single" w:sz="4" w:space="0" w:color="auto"/>
              <w:bottom w:val="nil"/>
              <w:right w:val="single" w:sz="4" w:space="0" w:color="auto"/>
            </w:tcBorders>
            <w:shd w:val="clear" w:color="auto" w:fill="auto"/>
            <w:noWrap/>
            <w:vAlign w:val="center"/>
          </w:tcPr>
          <w:p w14:paraId="3E4910DA" w14:textId="67F06C78"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31</w:t>
            </w:r>
          </w:p>
        </w:tc>
        <w:tc>
          <w:tcPr>
            <w:tcW w:w="976" w:type="pct"/>
            <w:tcBorders>
              <w:top w:val="nil"/>
              <w:left w:val="nil"/>
              <w:bottom w:val="nil"/>
              <w:right w:val="single" w:sz="4" w:space="0" w:color="auto"/>
            </w:tcBorders>
            <w:shd w:val="clear" w:color="auto" w:fill="auto"/>
            <w:noWrap/>
            <w:vAlign w:val="center"/>
          </w:tcPr>
          <w:p w14:paraId="1418502B" w14:textId="38BD3D81"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19</w:t>
            </w:r>
          </w:p>
        </w:tc>
      </w:tr>
      <w:tr w:rsidR="00DF6159" w:rsidRPr="00236418" w14:paraId="097C4D6C" w14:textId="77777777" w:rsidTr="0002196B">
        <w:trPr>
          <w:trHeight w:val="255"/>
        </w:trPr>
        <w:tc>
          <w:tcPr>
            <w:tcW w:w="2996" w:type="pct"/>
            <w:tcBorders>
              <w:top w:val="nil"/>
              <w:left w:val="single" w:sz="4" w:space="0" w:color="auto"/>
              <w:bottom w:val="nil"/>
              <w:right w:val="nil"/>
            </w:tcBorders>
            <w:shd w:val="clear" w:color="auto" w:fill="auto"/>
            <w:hideMark/>
          </w:tcPr>
          <w:p w14:paraId="328D130C" w14:textId="7A89C39C" w:rsidR="00DF6159" w:rsidRPr="00236418" w:rsidRDefault="0002196B"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Pertes</w:t>
            </w:r>
            <w:r w:rsidR="007C7E1C" w:rsidRPr="00236418">
              <w:rPr>
                <w:rFonts w:asciiTheme="minorHAnsi" w:hAnsiTheme="minorHAnsi" w:cstheme="minorHAnsi"/>
                <w:sz w:val="20"/>
                <w:lang w:eastAsia="zh-CN"/>
              </w:rPr>
              <w:t>/</w:t>
            </w:r>
            <w:r w:rsidRPr="00236418">
              <w:rPr>
                <w:rFonts w:asciiTheme="minorHAnsi" w:hAnsiTheme="minorHAnsi" w:cstheme="minorHAnsi"/>
                <w:sz w:val="20"/>
                <w:lang w:eastAsia="zh-CN"/>
              </w:rPr>
              <w:t>gains sur cours non réalisés</w:t>
            </w:r>
          </w:p>
        </w:tc>
        <w:tc>
          <w:tcPr>
            <w:tcW w:w="1028" w:type="pct"/>
            <w:tcBorders>
              <w:top w:val="nil"/>
              <w:left w:val="single" w:sz="4" w:space="0" w:color="auto"/>
              <w:bottom w:val="nil"/>
              <w:right w:val="single" w:sz="4" w:space="0" w:color="auto"/>
            </w:tcBorders>
            <w:shd w:val="clear" w:color="auto" w:fill="auto"/>
            <w:noWrap/>
            <w:vAlign w:val="center"/>
          </w:tcPr>
          <w:p w14:paraId="69208F98" w14:textId="494291BB"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–7 926</w:t>
            </w:r>
          </w:p>
        </w:tc>
        <w:tc>
          <w:tcPr>
            <w:tcW w:w="976" w:type="pct"/>
            <w:tcBorders>
              <w:top w:val="nil"/>
              <w:left w:val="nil"/>
              <w:bottom w:val="nil"/>
              <w:right w:val="single" w:sz="4" w:space="0" w:color="auto"/>
            </w:tcBorders>
            <w:shd w:val="clear" w:color="auto" w:fill="auto"/>
            <w:noWrap/>
            <w:vAlign w:val="center"/>
          </w:tcPr>
          <w:p w14:paraId="2131AB10" w14:textId="581977CF"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w:t>
            </w:r>
          </w:p>
        </w:tc>
      </w:tr>
      <w:tr w:rsidR="00DF6159" w:rsidRPr="00236418" w14:paraId="44D152A2" w14:textId="77777777" w:rsidTr="0002196B">
        <w:trPr>
          <w:trHeight w:val="330"/>
        </w:trPr>
        <w:tc>
          <w:tcPr>
            <w:tcW w:w="2996" w:type="pct"/>
            <w:tcBorders>
              <w:top w:val="nil"/>
              <w:left w:val="single" w:sz="4" w:space="0" w:color="auto"/>
              <w:bottom w:val="nil"/>
              <w:right w:val="nil"/>
            </w:tcBorders>
            <w:shd w:val="clear" w:color="auto" w:fill="auto"/>
            <w:hideMark/>
          </w:tcPr>
          <w:p w14:paraId="00B2DC17"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Intérêts reçus</w:t>
            </w:r>
          </w:p>
        </w:tc>
        <w:tc>
          <w:tcPr>
            <w:tcW w:w="1028" w:type="pct"/>
            <w:tcBorders>
              <w:top w:val="nil"/>
              <w:left w:val="single" w:sz="4" w:space="0" w:color="auto"/>
              <w:bottom w:val="nil"/>
              <w:right w:val="single" w:sz="4" w:space="0" w:color="auto"/>
            </w:tcBorders>
            <w:shd w:val="clear" w:color="auto" w:fill="auto"/>
            <w:noWrap/>
            <w:vAlign w:val="center"/>
          </w:tcPr>
          <w:p w14:paraId="68B20624" w14:textId="2A674767"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–926</w:t>
            </w:r>
          </w:p>
        </w:tc>
        <w:tc>
          <w:tcPr>
            <w:tcW w:w="976" w:type="pct"/>
            <w:tcBorders>
              <w:top w:val="nil"/>
              <w:left w:val="nil"/>
              <w:bottom w:val="nil"/>
              <w:right w:val="single" w:sz="4" w:space="0" w:color="auto"/>
            </w:tcBorders>
            <w:shd w:val="clear" w:color="auto" w:fill="auto"/>
            <w:noWrap/>
            <w:vAlign w:val="center"/>
          </w:tcPr>
          <w:p w14:paraId="10A27E3B" w14:textId="7003994F"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–748</w:t>
            </w:r>
          </w:p>
        </w:tc>
      </w:tr>
      <w:tr w:rsidR="00DF6159" w:rsidRPr="00236418" w14:paraId="08D87569"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2D5BE958" w14:textId="77777777" w:rsidR="00DF6159" w:rsidRPr="00236418" w:rsidRDefault="00DF6159"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Excédent (déficit) retraité des mouvements non monétaires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3A139C4D" w14:textId="71768F5B"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10 457</w:t>
            </w:r>
          </w:p>
        </w:tc>
        <w:tc>
          <w:tcPr>
            <w:tcW w:w="976" w:type="pct"/>
            <w:tcBorders>
              <w:top w:val="single" w:sz="4" w:space="0" w:color="auto"/>
              <w:left w:val="nil"/>
              <w:bottom w:val="single" w:sz="4" w:space="0" w:color="auto"/>
              <w:right w:val="single" w:sz="4" w:space="0" w:color="auto"/>
            </w:tcBorders>
            <w:shd w:val="clear" w:color="auto" w:fill="auto"/>
          </w:tcPr>
          <w:p w14:paraId="1D600CD1" w14:textId="2EB392D9"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13 172</w:t>
            </w:r>
          </w:p>
        </w:tc>
      </w:tr>
      <w:tr w:rsidR="00DF6159" w:rsidRPr="00236418" w14:paraId="5A4CE44F" w14:textId="77777777" w:rsidTr="0002196B">
        <w:trPr>
          <w:trHeight w:val="300"/>
        </w:trPr>
        <w:tc>
          <w:tcPr>
            <w:tcW w:w="2996" w:type="pct"/>
            <w:tcBorders>
              <w:top w:val="nil"/>
              <w:left w:val="single" w:sz="4" w:space="0" w:color="auto"/>
              <w:bottom w:val="nil"/>
              <w:right w:val="nil"/>
            </w:tcBorders>
            <w:shd w:val="clear" w:color="auto" w:fill="auto"/>
            <w:hideMark/>
          </w:tcPr>
          <w:p w14:paraId="731CFB8F"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stocks</w:t>
            </w:r>
          </w:p>
        </w:tc>
        <w:tc>
          <w:tcPr>
            <w:tcW w:w="1028" w:type="pct"/>
            <w:tcBorders>
              <w:top w:val="nil"/>
              <w:left w:val="single" w:sz="4" w:space="0" w:color="auto"/>
              <w:bottom w:val="nil"/>
              <w:right w:val="single" w:sz="4" w:space="0" w:color="auto"/>
            </w:tcBorders>
            <w:shd w:val="clear" w:color="auto" w:fill="auto"/>
            <w:noWrap/>
            <w:vAlign w:val="center"/>
          </w:tcPr>
          <w:p w14:paraId="39EB828D" w14:textId="475BA685"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–35</w:t>
            </w:r>
          </w:p>
        </w:tc>
        <w:tc>
          <w:tcPr>
            <w:tcW w:w="976" w:type="pct"/>
            <w:tcBorders>
              <w:top w:val="nil"/>
              <w:left w:val="nil"/>
              <w:bottom w:val="nil"/>
              <w:right w:val="single" w:sz="4" w:space="0" w:color="auto"/>
            </w:tcBorders>
            <w:shd w:val="clear" w:color="auto" w:fill="auto"/>
            <w:noWrap/>
            <w:vAlign w:val="center"/>
          </w:tcPr>
          <w:p w14:paraId="1AFC40C1" w14:textId="0B135E4B"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107</w:t>
            </w:r>
          </w:p>
        </w:tc>
      </w:tr>
      <w:tr w:rsidR="00DF6159" w:rsidRPr="00236418" w14:paraId="4F019A39" w14:textId="77777777" w:rsidTr="0002196B">
        <w:trPr>
          <w:trHeight w:val="255"/>
        </w:trPr>
        <w:tc>
          <w:tcPr>
            <w:tcW w:w="2996" w:type="pct"/>
            <w:tcBorders>
              <w:top w:val="nil"/>
              <w:left w:val="single" w:sz="4" w:space="0" w:color="auto"/>
              <w:bottom w:val="nil"/>
              <w:right w:val="nil"/>
            </w:tcBorders>
            <w:shd w:val="clear" w:color="auto" w:fill="auto"/>
            <w:hideMark/>
          </w:tcPr>
          <w:p w14:paraId="52DF8D61"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créances à court terme</w:t>
            </w:r>
          </w:p>
        </w:tc>
        <w:tc>
          <w:tcPr>
            <w:tcW w:w="1028" w:type="pct"/>
            <w:tcBorders>
              <w:top w:val="nil"/>
              <w:left w:val="single" w:sz="4" w:space="0" w:color="auto"/>
              <w:bottom w:val="nil"/>
              <w:right w:val="single" w:sz="4" w:space="0" w:color="auto"/>
            </w:tcBorders>
            <w:shd w:val="clear" w:color="auto" w:fill="auto"/>
            <w:noWrap/>
            <w:vAlign w:val="center"/>
          </w:tcPr>
          <w:p w14:paraId="653FA48B" w14:textId="74E22DF9"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–4 018</w:t>
            </w:r>
          </w:p>
        </w:tc>
        <w:tc>
          <w:tcPr>
            <w:tcW w:w="976" w:type="pct"/>
            <w:tcBorders>
              <w:top w:val="nil"/>
              <w:left w:val="nil"/>
              <w:bottom w:val="nil"/>
              <w:right w:val="single" w:sz="4" w:space="0" w:color="auto"/>
            </w:tcBorders>
            <w:shd w:val="clear" w:color="auto" w:fill="auto"/>
            <w:noWrap/>
            <w:vAlign w:val="center"/>
          </w:tcPr>
          <w:p w14:paraId="55984E53" w14:textId="0BBAB033"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17 797</w:t>
            </w:r>
          </w:p>
        </w:tc>
      </w:tr>
      <w:tr w:rsidR="00DF6159" w:rsidRPr="00236418" w14:paraId="186657A8" w14:textId="77777777" w:rsidTr="0002196B">
        <w:trPr>
          <w:trHeight w:val="255"/>
        </w:trPr>
        <w:tc>
          <w:tcPr>
            <w:tcW w:w="2996" w:type="pct"/>
            <w:tcBorders>
              <w:top w:val="nil"/>
              <w:left w:val="single" w:sz="4" w:space="0" w:color="auto"/>
              <w:bottom w:val="nil"/>
              <w:right w:val="nil"/>
            </w:tcBorders>
            <w:shd w:val="clear" w:color="auto" w:fill="auto"/>
            <w:hideMark/>
          </w:tcPr>
          <w:p w14:paraId="0B864EE8"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autres créances à court terme</w:t>
            </w:r>
          </w:p>
        </w:tc>
        <w:tc>
          <w:tcPr>
            <w:tcW w:w="1028" w:type="pct"/>
            <w:tcBorders>
              <w:top w:val="nil"/>
              <w:left w:val="single" w:sz="4" w:space="0" w:color="auto"/>
              <w:bottom w:val="nil"/>
              <w:right w:val="single" w:sz="4" w:space="0" w:color="auto"/>
            </w:tcBorders>
            <w:shd w:val="clear" w:color="auto" w:fill="auto"/>
            <w:noWrap/>
            <w:vAlign w:val="center"/>
          </w:tcPr>
          <w:p w14:paraId="3A8DD7B9" w14:textId="2FBF9EA0"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–821</w:t>
            </w:r>
          </w:p>
        </w:tc>
        <w:tc>
          <w:tcPr>
            <w:tcW w:w="976" w:type="pct"/>
            <w:tcBorders>
              <w:top w:val="nil"/>
              <w:left w:val="nil"/>
              <w:bottom w:val="nil"/>
              <w:right w:val="single" w:sz="4" w:space="0" w:color="auto"/>
            </w:tcBorders>
            <w:shd w:val="clear" w:color="auto" w:fill="auto"/>
            <w:noWrap/>
            <w:vAlign w:val="center"/>
          </w:tcPr>
          <w:p w14:paraId="6E99ABF2" w14:textId="79F3DD2D"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–1 029</w:t>
            </w:r>
          </w:p>
        </w:tc>
      </w:tr>
      <w:tr w:rsidR="00DF6159" w:rsidRPr="00236418" w14:paraId="11043524" w14:textId="77777777" w:rsidTr="0002196B">
        <w:trPr>
          <w:trHeight w:val="255"/>
        </w:trPr>
        <w:tc>
          <w:tcPr>
            <w:tcW w:w="2996" w:type="pct"/>
            <w:tcBorders>
              <w:top w:val="nil"/>
              <w:left w:val="single" w:sz="4" w:space="0" w:color="auto"/>
              <w:bottom w:val="nil"/>
              <w:right w:val="nil"/>
            </w:tcBorders>
            <w:shd w:val="clear" w:color="auto" w:fill="auto"/>
            <w:hideMark/>
          </w:tcPr>
          <w:p w14:paraId="293D7B82"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fournisseurs</w:t>
            </w:r>
          </w:p>
        </w:tc>
        <w:tc>
          <w:tcPr>
            <w:tcW w:w="1028" w:type="pct"/>
            <w:tcBorders>
              <w:top w:val="nil"/>
              <w:left w:val="single" w:sz="4" w:space="0" w:color="auto"/>
              <w:bottom w:val="nil"/>
              <w:right w:val="single" w:sz="4" w:space="0" w:color="auto"/>
            </w:tcBorders>
            <w:shd w:val="clear" w:color="auto" w:fill="auto"/>
            <w:noWrap/>
            <w:vAlign w:val="center"/>
          </w:tcPr>
          <w:p w14:paraId="36B7FBE6" w14:textId="4B54DF96"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–397</w:t>
            </w:r>
          </w:p>
        </w:tc>
        <w:tc>
          <w:tcPr>
            <w:tcW w:w="976" w:type="pct"/>
            <w:tcBorders>
              <w:top w:val="nil"/>
              <w:left w:val="nil"/>
              <w:bottom w:val="nil"/>
              <w:right w:val="single" w:sz="4" w:space="0" w:color="auto"/>
            </w:tcBorders>
            <w:shd w:val="clear" w:color="auto" w:fill="auto"/>
            <w:noWrap/>
            <w:vAlign w:val="center"/>
          </w:tcPr>
          <w:p w14:paraId="4B477FF2" w14:textId="746E4748"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–766</w:t>
            </w:r>
          </w:p>
        </w:tc>
      </w:tr>
      <w:tr w:rsidR="00DF6159" w:rsidRPr="00236418" w14:paraId="48186D12" w14:textId="77777777" w:rsidTr="0002196B">
        <w:trPr>
          <w:trHeight w:val="255"/>
        </w:trPr>
        <w:tc>
          <w:tcPr>
            <w:tcW w:w="2996" w:type="pct"/>
            <w:tcBorders>
              <w:top w:val="nil"/>
              <w:left w:val="single" w:sz="4" w:space="0" w:color="auto"/>
              <w:bottom w:val="nil"/>
              <w:right w:val="nil"/>
            </w:tcBorders>
            <w:shd w:val="clear" w:color="auto" w:fill="auto"/>
            <w:hideMark/>
          </w:tcPr>
          <w:p w14:paraId="697771D4"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produits différés</w:t>
            </w:r>
          </w:p>
        </w:tc>
        <w:tc>
          <w:tcPr>
            <w:tcW w:w="1028" w:type="pct"/>
            <w:tcBorders>
              <w:top w:val="nil"/>
              <w:left w:val="single" w:sz="4" w:space="0" w:color="auto"/>
              <w:bottom w:val="nil"/>
              <w:right w:val="single" w:sz="4" w:space="0" w:color="auto"/>
            </w:tcBorders>
            <w:shd w:val="clear" w:color="auto" w:fill="auto"/>
            <w:noWrap/>
            <w:vAlign w:val="center"/>
          </w:tcPr>
          <w:p w14:paraId="2656C45C" w14:textId="2242EB9E"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–631</w:t>
            </w:r>
          </w:p>
        </w:tc>
        <w:tc>
          <w:tcPr>
            <w:tcW w:w="976" w:type="pct"/>
            <w:tcBorders>
              <w:top w:val="nil"/>
              <w:left w:val="nil"/>
              <w:bottom w:val="nil"/>
              <w:right w:val="single" w:sz="4" w:space="0" w:color="auto"/>
            </w:tcBorders>
            <w:shd w:val="clear" w:color="auto" w:fill="auto"/>
            <w:noWrap/>
            <w:vAlign w:val="center"/>
          </w:tcPr>
          <w:p w14:paraId="69B7B7F0" w14:textId="74D5AD5D"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1 999</w:t>
            </w:r>
          </w:p>
        </w:tc>
      </w:tr>
      <w:tr w:rsidR="00DF6159" w:rsidRPr="00236418" w14:paraId="5A39F2E1" w14:textId="77777777" w:rsidTr="0002196B">
        <w:trPr>
          <w:trHeight w:val="255"/>
        </w:trPr>
        <w:tc>
          <w:tcPr>
            <w:tcW w:w="2996" w:type="pct"/>
            <w:tcBorders>
              <w:top w:val="nil"/>
              <w:left w:val="single" w:sz="4" w:space="0" w:color="auto"/>
              <w:bottom w:val="nil"/>
              <w:right w:val="nil"/>
            </w:tcBorders>
            <w:shd w:val="clear" w:color="auto" w:fill="auto"/>
            <w:hideMark/>
          </w:tcPr>
          <w:p w14:paraId="6C1D212E"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autres dettes</w:t>
            </w:r>
          </w:p>
        </w:tc>
        <w:tc>
          <w:tcPr>
            <w:tcW w:w="1028" w:type="pct"/>
            <w:tcBorders>
              <w:top w:val="nil"/>
              <w:left w:val="single" w:sz="4" w:space="0" w:color="auto"/>
              <w:bottom w:val="nil"/>
              <w:right w:val="single" w:sz="4" w:space="0" w:color="auto"/>
            </w:tcBorders>
            <w:shd w:val="clear" w:color="auto" w:fill="auto"/>
            <w:noWrap/>
            <w:vAlign w:val="center"/>
          </w:tcPr>
          <w:p w14:paraId="348ED327" w14:textId="5A05E9C6"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2 878</w:t>
            </w:r>
          </w:p>
        </w:tc>
        <w:tc>
          <w:tcPr>
            <w:tcW w:w="976" w:type="pct"/>
            <w:tcBorders>
              <w:top w:val="nil"/>
              <w:left w:val="nil"/>
              <w:bottom w:val="nil"/>
              <w:right w:val="single" w:sz="4" w:space="0" w:color="auto"/>
            </w:tcBorders>
            <w:shd w:val="clear" w:color="auto" w:fill="auto"/>
            <w:noWrap/>
            <w:vAlign w:val="center"/>
          </w:tcPr>
          <w:p w14:paraId="6647594E" w14:textId="432A0ADD"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1 385</w:t>
            </w:r>
          </w:p>
        </w:tc>
      </w:tr>
      <w:tr w:rsidR="00DF6159" w:rsidRPr="00236418" w14:paraId="15BBDF7C" w14:textId="77777777" w:rsidTr="0002196B">
        <w:trPr>
          <w:trHeight w:val="285"/>
        </w:trPr>
        <w:tc>
          <w:tcPr>
            <w:tcW w:w="2996" w:type="pct"/>
            <w:tcBorders>
              <w:top w:val="nil"/>
              <w:left w:val="single" w:sz="4" w:space="0" w:color="auto"/>
              <w:bottom w:val="nil"/>
              <w:right w:val="nil"/>
            </w:tcBorders>
            <w:shd w:val="clear" w:color="auto" w:fill="auto"/>
            <w:hideMark/>
          </w:tcPr>
          <w:p w14:paraId="7C279101"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Utilisation de provisions pour les avantages du personnel (CT)</w:t>
            </w:r>
          </w:p>
        </w:tc>
        <w:tc>
          <w:tcPr>
            <w:tcW w:w="1028" w:type="pct"/>
            <w:tcBorders>
              <w:top w:val="nil"/>
              <w:left w:val="single" w:sz="4" w:space="0" w:color="auto"/>
              <w:bottom w:val="nil"/>
              <w:right w:val="single" w:sz="4" w:space="0" w:color="auto"/>
            </w:tcBorders>
            <w:shd w:val="clear" w:color="auto" w:fill="auto"/>
            <w:noWrap/>
            <w:vAlign w:val="center"/>
          </w:tcPr>
          <w:p w14:paraId="14F2C974" w14:textId="6281CE4D"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–46</w:t>
            </w:r>
          </w:p>
        </w:tc>
        <w:tc>
          <w:tcPr>
            <w:tcW w:w="976" w:type="pct"/>
            <w:tcBorders>
              <w:top w:val="nil"/>
              <w:left w:val="nil"/>
              <w:bottom w:val="nil"/>
              <w:right w:val="single" w:sz="4" w:space="0" w:color="auto"/>
            </w:tcBorders>
            <w:shd w:val="clear" w:color="auto" w:fill="auto"/>
            <w:noWrap/>
            <w:vAlign w:val="center"/>
          </w:tcPr>
          <w:p w14:paraId="412724CF" w14:textId="7C89F602"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–131</w:t>
            </w:r>
          </w:p>
        </w:tc>
      </w:tr>
      <w:tr w:rsidR="00DF6159" w:rsidRPr="00236418" w14:paraId="11D32C8F" w14:textId="77777777" w:rsidTr="0002196B">
        <w:trPr>
          <w:trHeight w:val="285"/>
        </w:trPr>
        <w:tc>
          <w:tcPr>
            <w:tcW w:w="2996" w:type="pct"/>
            <w:tcBorders>
              <w:top w:val="nil"/>
              <w:left w:val="single" w:sz="4" w:space="0" w:color="auto"/>
              <w:bottom w:val="nil"/>
              <w:right w:val="nil"/>
            </w:tcBorders>
            <w:shd w:val="clear" w:color="auto" w:fill="auto"/>
            <w:hideMark/>
          </w:tcPr>
          <w:p w14:paraId="63795A0F"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Utilisation de provisions pour le rapatriement (LT)</w:t>
            </w:r>
          </w:p>
        </w:tc>
        <w:tc>
          <w:tcPr>
            <w:tcW w:w="1028" w:type="pct"/>
            <w:tcBorders>
              <w:top w:val="nil"/>
              <w:left w:val="single" w:sz="4" w:space="0" w:color="auto"/>
              <w:bottom w:val="nil"/>
              <w:right w:val="single" w:sz="4" w:space="0" w:color="auto"/>
            </w:tcBorders>
            <w:shd w:val="clear" w:color="auto" w:fill="auto"/>
            <w:noWrap/>
            <w:vAlign w:val="center"/>
          </w:tcPr>
          <w:p w14:paraId="4180CC43" w14:textId="2C19773B"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–558</w:t>
            </w:r>
          </w:p>
        </w:tc>
        <w:tc>
          <w:tcPr>
            <w:tcW w:w="976" w:type="pct"/>
            <w:tcBorders>
              <w:top w:val="nil"/>
              <w:left w:val="nil"/>
              <w:bottom w:val="nil"/>
              <w:right w:val="single" w:sz="4" w:space="0" w:color="auto"/>
            </w:tcBorders>
            <w:shd w:val="clear" w:color="auto" w:fill="auto"/>
            <w:noWrap/>
            <w:vAlign w:val="center"/>
          </w:tcPr>
          <w:p w14:paraId="052905E1" w14:textId="1416260F"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–575</w:t>
            </w:r>
          </w:p>
        </w:tc>
      </w:tr>
      <w:tr w:rsidR="00DF6159" w:rsidRPr="00236418" w14:paraId="0C12C47C" w14:textId="77777777" w:rsidTr="0002196B">
        <w:trPr>
          <w:trHeight w:val="285"/>
        </w:trPr>
        <w:tc>
          <w:tcPr>
            <w:tcW w:w="2996" w:type="pct"/>
            <w:tcBorders>
              <w:top w:val="nil"/>
              <w:left w:val="single" w:sz="4" w:space="0" w:color="auto"/>
              <w:bottom w:val="nil"/>
              <w:right w:val="nil"/>
            </w:tcBorders>
            <w:shd w:val="clear" w:color="auto" w:fill="auto"/>
            <w:hideMark/>
          </w:tcPr>
          <w:p w14:paraId="6D6116AE" w14:textId="77777777" w:rsidR="00DF6159" w:rsidRPr="00236418" w:rsidRDefault="00DF6159"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Utilisation de provisions pour les congés accumulés (LT)</w:t>
            </w:r>
          </w:p>
        </w:tc>
        <w:tc>
          <w:tcPr>
            <w:tcW w:w="1028" w:type="pct"/>
            <w:tcBorders>
              <w:top w:val="nil"/>
              <w:left w:val="single" w:sz="4" w:space="0" w:color="auto"/>
              <w:bottom w:val="nil"/>
              <w:right w:val="single" w:sz="4" w:space="0" w:color="auto"/>
            </w:tcBorders>
            <w:shd w:val="clear" w:color="auto" w:fill="auto"/>
            <w:noWrap/>
            <w:vAlign w:val="center"/>
          </w:tcPr>
          <w:p w14:paraId="40AFFBE9" w14:textId="793BE0ED"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–188</w:t>
            </w:r>
          </w:p>
        </w:tc>
        <w:tc>
          <w:tcPr>
            <w:tcW w:w="976" w:type="pct"/>
            <w:tcBorders>
              <w:top w:val="nil"/>
              <w:left w:val="nil"/>
              <w:bottom w:val="nil"/>
              <w:right w:val="single" w:sz="4" w:space="0" w:color="auto"/>
            </w:tcBorders>
            <w:shd w:val="clear" w:color="auto" w:fill="auto"/>
            <w:noWrap/>
            <w:vAlign w:val="center"/>
          </w:tcPr>
          <w:p w14:paraId="3A5FE64C" w14:textId="02B13C83" w:rsidR="00DF6159"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–119</w:t>
            </w:r>
          </w:p>
        </w:tc>
      </w:tr>
      <w:tr w:rsidR="004B6E22" w:rsidRPr="00236418" w14:paraId="2FC1448D" w14:textId="77777777" w:rsidTr="008F0534">
        <w:trPr>
          <w:trHeight w:val="255"/>
        </w:trPr>
        <w:tc>
          <w:tcPr>
            <w:tcW w:w="2996" w:type="pct"/>
            <w:tcBorders>
              <w:top w:val="nil"/>
              <w:left w:val="single" w:sz="4" w:space="0" w:color="auto"/>
              <w:bottom w:val="nil"/>
              <w:right w:val="nil"/>
            </w:tcBorders>
            <w:shd w:val="clear" w:color="auto" w:fill="auto"/>
            <w:hideMark/>
          </w:tcPr>
          <w:p w14:paraId="062E742D"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 xml:space="preserve">Augmentation (diminution) </w:t>
            </w:r>
            <w:r w:rsidRPr="00236418">
              <w:rPr>
                <w:rFonts w:asciiTheme="minorHAnsi" w:hAnsiTheme="minorHAnsi" w:cstheme="minorHAnsi"/>
                <w:sz w:val="20"/>
                <w:lang w:eastAsia="zh-CN"/>
              </w:rPr>
              <w:sym w:font="Symbol" w:char="F02D"/>
            </w:r>
            <w:r w:rsidRPr="00236418">
              <w:rPr>
                <w:rFonts w:asciiTheme="minorHAnsi" w:hAnsiTheme="minorHAnsi" w:cstheme="minorHAnsi"/>
                <w:sz w:val="20"/>
                <w:lang w:eastAsia="zh-CN"/>
              </w:rPr>
              <w:t xml:space="preserve"> Autres provisions</w:t>
            </w:r>
          </w:p>
        </w:tc>
        <w:tc>
          <w:tcPr>
            <w:tcW w:w="1028" w:type="pct"/>
            <w:tcBorders>
              <w:top w:val="nil"/>
              <w:left w:val="single" w:sz="4" w:space="0" w:color="auto"/>
              <w:bottom w:val="nil"/>
              <w:right w:val="single" w:sz="4" w:space="0" w:color="auto"/>
            </w:tcBorders>
            <w:shd w:val="clear" w:color="auto" w:fill="auto"/>
            <w:noWrap/>
            <w:vAlign w:val="bottom"/>
          </w:tcPr>
          <w:p w14:paraId="3F2B881D" w14:textId="0A3D0B1D"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sz w:val="20"/>
                <w:lang w:eastAsia="zh-CN"/>
              </w:rPr>
              <w:t>–4 018</w:t>
            </w:r>
          </w:p>
        </w:tc>
        <w:tc>
          <w:tcPr>
            <w:tcW w:w="976" w:type="pct"/>
            <w:tcBorders>
              <w:top w:val="nil"/>
              <w:left w:val="nil"/>
              <w:bottom w:val="nil"/>
              <w:right w:val="single" w:sz="4" w:space="0" w:color="auto"/>
            </w:tcBorders>
            <w:shd w:val="clear" w:color="auto" w:fill="auto"/>
            <w:noWrap/>
            <w:vAlign w:val="bottom"/>
          </w:tcPr>
          <w:p w14:paraId="041188FF" w14:textId="62E00EC1"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sz w:val="20"/>
                <w:lang w:eastAsia="zh-CN"/>
              </w:rPr>
              <w:t>–560</w:t>
            </w:r>
          </w:p>
        </w:tc>
      </w:tr>
      <w:tr w:rsidR="004B6E22" w:rsidRPr="00236418" w14:paraId="3F99BDA9" w14:textId="77777777" w:rsidTr="0002196B">
        <w:trPr>
          <w:trHeight w:val="255"/>
        </w:trPr>
        <w:tc>
          <w:tcPr>
            <w:tcW w:w="2996" w:type="pct"/>
            <w:tcBorders>
              <w:top w:val="nil"/>
              <w:left w:val="single" w:sz="4" w:space="0" w:color="auto"/>
              <w:bottom w:val="nil"/>
              <w:right w:val="nil"/>
            </w:tcBorders>
            <w:shd w:val="clear" w:color="auto" w:fill="auto"/>
            <w:hideMark/>
          </w:tcPr>
          <w:p w14:paraId="246FAB9E"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fonds de tiers</w:t>
            </w:r>
          </w:p>
        </w:tc>
        <w:tc>
          <w:tcPr>
            <w:tcW w:w="1028" w:type="pct"/>
            <w:tcBorders>
              <w:top w:val="nil"/>
              <w:left w:val="single" w:sz="4" w:space="0" w:color="auto"/>
              <w:bottom w:val="nil"/>
              <w:right w:val="single" w:sz="4" w:space="0" w:color="auto"/>
            </w:tcBorders>
            <w:shd w:val="clear" w:color="auto" w:fill="auto"/>
            <w:noWrap/>
            <w:vAlign w:val="center"/>
          </w:tcPr>
          <w:p w14:paraId="6B17906E" w14:textId="48A2FD4C"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color w:val="000000"/>
                <w:sz w:val="20"/>
                <w:lang w:eastAsia="zh-CN"/>
              </w:rPr>
              <w:t>4 500</w:t>
            </w:r>
          </w:p>
        </w:tc>
        <w:tc>
          <w:tcPr>
            <w:tcW w:w="976" w:type="pct"/>
            <w:tcBorders>
              <w:top w:val="nil"/>
              <w:left w:val="nil"/>
              <w:bottom w:val="nil"/>
              <w:right w:val="single" w:sz="4" w:space="0" w:color="auto"/>
            </w:tcBorders>
            <w:shd w:val="clear" w:color="auto" w:fill="auto"/>
            <w:noWrap/>
            <w:vAlign w:val="center"/>
          </w:tcPr>
          <w:p w14:paraId="020CC978" w14:textId="2FDC17C4"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7 530</w:t>
            </w:r>
          </w:p>
        </w:tc>
      </w:tr>
      <w:tr w:rsidR="004B6E22" w:rsidRPr="00236418" w14:paraId="2E603B0F" w14:textId="77777777" w:rsidTr="0002196B">
        <w:trPr>
          <w:trHeight w:val="255"/>
        </w:trPr>
        <w:tc>
          <w:tcPr>
            <w:tcW w:w="2996" w:type="pct"/>
            <w:tcBorders>
              <w:top w:val="nil"/>
              <w:left w:val="single" w:sz="4" w:space="0" w:color="auto"/>
              <w:bottom w:val="nil"/>
              <w:right w:val="nil"/>
            </w:tcBorders>
            <w:shd w:val="clear" w:color="auto" w:fill="auto"/>
            <w:hideMark/>
          </w:tcPr>
          <w:p w14:paraId="080DD7AA"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Variation des fonds propres</w:t>
            </w:r>
          </w:p>
        </w:tc>
        <w:tc>
          <w:tcPr>
            <w:tcW w:w="1028" w:type="pct"/>
            <w:tcBorders>
              <w:top w:val="nil"/>
              <w:left w:val="single" w:sz="4" w:space="0" w:color="auto"/>
              <w:bottom w:val="nil"/>
              <w:right w:val="single" w:sz="4" w:space="0" w:color="auto"/>
            </w:tcBorders>
            <w:shd w:val="clear" w:color="auto" w:fill="auto"/>
            <w:noWrap/>
            <w:vAlign w:val="center"/>
          </w:tcPr>
          <w:p w14:paraId="16174204" w14:textId="298874CC"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–4 117</w:t>
            </w:r>
          </w:p>
        </w:tc>
        <w:tc>
          <w:tcPr>
            <w:tcW w:w="976" w:type="pct"/>
            <w:tcBorders>
              <w:top w:val="nil"/>
              <w:left w:val="nil"/>
              <w:bottom w:val="nil"/>
              <w:right w:val="single" w:sz="4" w:space="0" w:color="auto"/>
            </w:tcBorders>
            <w:shd w:val="clear" w:color="auto" w:fill="auto"/>
            <w:noWrap/>
            <w:vAlign w:val="center"/>
          </w:tcPr>
          <w:p w14:paraId="154C6235" w14:textId="72F59198"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8 044</w:t>
            </w:r>
          </w:p>
        </w:tc>
      </w:tr>
      <w:tr w:rsidR="004B6E22" w:rsidRPr="00236418" w14:paraId="2E3B8949" w14:textId="77777777" w:rsidTr="0002196B">
        <w:trPr>
          <w:trHeight w:val="99"/>
        </w:trPr>
        <w:tc>
          <w:tcPr>
            <w:tcW w:w="2996" w:type="pct"/>
            <w:tcBorders>
              <w:top w:val="nil"/>
              <w:left w:val="single" w:sz="4" w:space="0" w:color="auto"/>
              <w:bottom w:val="nil"/>
              <w:right w:val="nil"/>
            </w:tcBorders>
            <w:shd w:val="clear" w:color="auto" w:fill="auto"/>
            <w:noWrap/>
            <w:vAlign w:val="bottom"/>
            <w:hideMark/>
          </w:tcPr>
          <w:p w14:paraId="3CC683F1" w14:textId="77777777"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26C0980F" w14:textId="2F9BE310"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45963351" w14:textId="39B353A0"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236418" w14:paraId="17BB0404" w14:textId="77777777" w:rsidTr="0002196B">
        <w:trPr>
          <w:trHeight w:val="255"/>
        </w:trPr>
        <w:tc>
          <w:tcPr>
            <w:tcW w:w="2996" w:type="pct"/>
            <w:tcBorders>
              <w:top w:val="single" w:sz="4" w:space="0" w:color="auto"/>
              <w:left w:val="single" w:sz="4" w:space="0" w:color="auto"/>
              <w:bottom w:val="single" w:sz="4" w:space="0" w:color="auto"/>
              <w:right w:val="nil"/>
            </w:tcBorders>
            <w:shd w:val="clear" w:color="auto" w:fill="auto"/>
            <w:hideMark/>
          </w:tcPr>
          <w:p w14:paraId="3D0E8DB6"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Flux de trésorerie provenant des activités opérationnelles</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725F50F0" w14:textId="03FE48DD" w:rsidR="004B6E22" w:rsidRPr="00236418" w:rsidRDefault="00AB1B0A"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w:t>
            </w:r>
            <w:r w:rsidR="009B5A8C" w:rsidRPr="00236418">
              <w:rPr>
                <w:rFonts w:asciiTheme="minorHAnsi" w:hAnsiTheme="minorHAnsi" w:cstheme="minorHAnsi"/>
                <w:b/>
                <w:bCs/>
                <w:sz w:val="20"/>
                <w:lang w:eastAsia="zh-CN"/>
              </w:rPr>
              <w:t>7 452</w:t>
            </w:r>
          </w:p>
        </w:tc>
        <w:tc>
          <w:tcPr>
            <w:tcW w:w="976" w:type="pct"/>
            <w:tcBorders>
              <w:top w:val="single" w:sz="4" w:space="0" w:color="auto"/>
              <w:left w:val="nil"/>
              <w:bottom w:val="single" w:sz="4" w:space="0" w:color="auto"/>
              <w:right w:val="single" w:sz="4" w:space="0" w:color="auto"/>
            </w:tcBorders>
            <w:shd w:val="clear" w:color="auto" w:fill="auto"/>
            <w:vAlign w:val="center"/>
          </w:tcPr>
          <w:p w14:paraId="4DB0EE83" w14:textId="2F6AC7FF" w:rsidR="004B6E22" w:rsidRPr="00236418" w:rsidRDefault="009B5A8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236418">
              <w:rPr>
                <w:rFonts w:asciiTheme="minorHAnsi" w:hAnsiTheme="minorHAnsi" w:cstheme="minorHAnsi"/>
                <w:b/>
                <w:bCs/>
                <w:color w:val="000000"/>
                <w:sz w:val="20"/>
                <w:lang w:eastAsia="zh-CN"/>
              </w:rPr>
              <w:t>33 681</w:t>
            </w:r>
          </w:p>
        </w:tc>
      </w:tr>
      <w:tr w:rsidR="004B6E22" w:rsidRPr="00236418" w14:paraId="57AA2EE2" w14:textId="77777777" w:rsidTr="0002196B">
        <w:trPr>
          <w:trHeight w:val="285"/>
        </w:trPr>
        <w:tc>
          <w:tcPr>
            <w:tcW w:w="2996" w:type="pct"/>
            <w:tcBorders>
              <w:top w:val="nil"/>
              <w:left w:val="single" w:sz="4" w:space="0" w:color="auto"/>
              <w:bottom w:val="nil"/>
              <w:right w:val="nil"/>
            </w:tcBorders>
            <w:shd w:val="clear" w:color="auto" w:fill="auto"/>
            <w:hideMark/>
          </w:tcPr>
          <w:p w14:paraId="7C95BA8E" w14:textId="77777777"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236418">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1722E721" w14:textId="009934A5"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3109951C" w14:textId="71C729BD"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236418" w14:paraId="39F44B5F" w14:textId="77777777" w:rsidTr="0002196B">
        <w:trPr>
          <w:trHeight w:val="285"/>
        </w:trPr>
        <w:tc>
          <w:tcPr>
            <w:tcW w:w="2996" w:type="pct"/>
            <w:tcBorders>
              <w:top w:val="nil"/>
              <w:left w:val="single" w:sz="4" w:space="0" w:color="auto"/>
              <w:bottom w:val="nil"/>
              <w:right w:val="nil"/>
            </w:tcBorders>
            <w:shd w:val="clear" w:color="auto" w:fill="auto"/>
            <w:hideMark/>
          </w:tcPr>
          <w:p w14:paraId="36D57A88"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Flux de trésorerie nets provenant des activités d'investissement</w:t>
            </w:r>
          </w:p>
        </w:tc>
        <w:tc>
          <w:tcPr>
            <w:tcW w:w="1028" w:type="pct"/>
            <w:tcBorders>
              <w:top w:val="nil"/>
              <w:left w:val="single" w:sz="4" w:space="0" w:color="auto"/>
              <w:bottom w:val="nil"/>
              <w:right w:val="single" w:sz="4" w:space="0" w:color="auto"/>
            </w:tcBorders>
            <w:shd w:val="clear" w:color="auto" w:fill="auto"/>
            <w:noWrap/>
            <w:vAlign w:val="bottom"/>
          </w:tcPr>
          <w:p w14:paraId="36CA727F" w14:textId="656EC918"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0F9749BB" w14:textId="10855085"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236418" w14:paraId="0A2ECC00" w14:textId="77777777" w:rsidTr="0002196B">
        <w:trPr>
          <w:trHeight w:val="285"/>
        </w:trPr>
        <w:tc>
          <w:tcPr>
            <w:tcW w:w="2996" w:type="pct"/>
            <w:tcBorders>
              <w:top w:val="nil"/>
              <w:left w:val="single" w:sz="4" w:space="0" w:color="auto"/>
              <w:bottom w:val="nil"/>
              <w:right w:val="nil"/>
            </w:tcBorders>
            <w:shd w:val="clear" w:color="auto" w:fill="auto"/>
            <w:hideMark/>
          </w:tcPr>
          <w:p w14:paraId="6BFC5D71"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(Augmentation)/diminution des placements</w:t>
            </w:r>
          </w:p>
        </w:tc>
        <w:tc>
          <w:tcPr>
            <w:tcW w:w="1028" w:type="pct"/>
            <w:tcBorders>
              <w:top w:val="nil"/>
              <w:left w:val="single" w:sz="4" w:space="0" w:color="auto"/>
              <w:bottom w:val="nil"/>
              <w:right w:val="single" w:sz="4" w:space="0" w:color="auto"/>
            </w:tcBorders>
            <w:shd w:val="clear" w:color="auto" w:fill="auto"/>
            <w:noWrap/>
            <w:vAlign w:val="center"/>
          </w:tcPr>
          <w:p w14:paraId="4B99A166" w14:textId="2EE1F841"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15 667</w:t>
            </w:r>
          </w:p>
        </w:tc>
        <w:tc>
          <w:tcPr>
            <w:tcW w:w="976" w:type="pct"/>
            <w:tcBorders>
              <w:top w:val="nil"/>
              <w:left w:val="nil"/>
              <w:bottom w:val="nil"/>
              <w:right w:val="single" w:sz="4" w:space="0" w:color="auto"/>
            </w:tcBorders>
            <w:shd w:val="clear" w:color="auto" w:fill="auto"/>
            <w:noWrap/>
            <w:vAlign w:val="center"/>
          </w:tcPr>
          <w:p w14:paraId="5FD1AEE1" w14:textId="33B5D554"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33 617</w:t>
            </w:r>
          </w:p>
        </w:tc>
      </w:tr>
      <w:tr w:rsidR="004B6E22" w:rsidRPr="00236418" w14:paraId="66636D4B" w14:textId="77777777" w:rsidTr="0002196B">
        <w:trPr>
          <w:trHeight w:val="285"/>
        </w:trPr>
        <w:tc>
          <w:tcPr>
            <w:tcW w:w="2996" w:type="pct"/>
            <w:tcBorders>
              <w:top w:val="nil"/>
              <w:left w:val="single" w:sz="4" w:space="0" w:color="auto"/>
              <w:bottom w:val="nil"/>
              <w:right w:val="nil"/>
            </w:tcBorders>
            <w:shd w:val="clear" w:color="auto" w:fill="auto"/>
            <w:hideMark/>
          </w:tcPr>
          <w:p w14:paraId="4054E2CF"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Intérêts reçus sur placement à court terme</w:t>
            </w:r>
          </w:p>
        </w:tc>
        <w:tc>
          <w:tcPr>
            <w:tcW w:w="1028" w:type="pct"/>
            <w:tcBorders>
              <w:top w:val="nil"/>
              <w:left w:val="single" w:sz="4" w:space="0" w:color="auto"/>
              <w:bottom w:val="nil"/>
              <w:right w:val="single" w:sz="4" w:space="0" w:color="auto"/>
            </w:tcBorders>
            <w:shd w:val="clear" w:color="auto" w:fill="auto"/>
            <w:noWrap/>
            <w:vAlign w:val="center"/>
          </w:tcPr>
          <w:p w14:paraId="138DEBA1" w14:textId="7C08D2FE"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926</w:t>
            </w:r>
          </w:p>
        </w:tc>
        <w:tc>
          <w:tcPr>
            <w:tcW w:w="976" w:type="pct"/>
            <w:tcBorders>
              <w:top w:val="nil"/>
              <w:left w:val="nil"/>
              <w:bottom w:val="nil"/>
              <w:right w:val="single" w:sz="4" w:space="0" w:color="auto"/>
            </w:tcBorders>
            <w:shd w:val="clear" w:color="000000" w:fill="FFFFFF"/>
            <w:noWrap/>
            <w:vAlign w:val="center"/>
          </w:tcPr>
          <w:p w14:paraId="46953D74" w14:textId="00DDFCEF"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220</w:t>
            </w:r>
          </w:p>
        </w:tc>
      </w:tr>
      <w:tr w:rsidR="004B6E22" w:rsidRPr="00236418" w14:paraId="39B81E93" w14:textId="77777777" w:rsidTr="0002196B">
        <w:trPr>
          <w:trHeight w:val="285"/>
        </w:trPr>
        <w:tc>
          <w:tcPr>
            <w:tcW w:w="2996" w:type="pct"/>
            <w:tcBorders>
              <w:top w:val="nil"/>
              <w:left w:val="single" w:sz="4" w:space="0" w:color="auto"/>
              <w:bottom w:val="nil"/>
              <w:right w:val="nil"/>
            </w:tcBorders>
            <w:shd w:val="clear" w:color="auto" w:fill="auto"/>
            <w:hideMark/>
          </w:tcPr>
          <w:p w14:paraId="0F64D481"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(Acquisition)/Vente d'immobilisations corporelles</w:t>
            </w:r>
          </w:p>
        </w:tc>
        <w:tc>
          <w:tcPr>
            <w:tcW w:w="1028" w:type="pct"/>
            <w:tcBorders>
              <w:top w:val="nil"/>
              <w:left w:val="single" w:sz="4" w:space="0" w:color="auto"/>
              <w:bottom w:val="nil"/>
              <w:right w:val="single" w:sz="4" w:space="0" w:color="auto"/>
            </w:tcBorders>
            <w:shd w:val="clear" w:color="auto" w:fill="auto"/>
            <w:noWrap/>
            <w:vAlign w:val="center"/>
          </w:tcPr>
          <w:p w14:paraId="2A390ED0" w14:textId="59720073"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–656</w:t>
            </w:r>
          </w:p>
        </w:tc>
        <w:tc>
          <w:tcPr>
            <w:tcW w:w="976" w:type="pct"/>
            <w:tcBorders>
              <w:top w:val="nil"/>
              <w:left w:val="nil"/>
              <w:bottom w:val="nil"/>
              <w:right w:val="single" w:sz="4" w:space="0" w:color="auto"/>
            </w:tcBorders>
            <w:shd w:val="clear" w:color="000000" w:fill="FFFFFF"/>
            <w:noWrap/>
            <w:vAlign w:val="center"/>
          </w:tcPr>
          <w:p w14:paraId="69FA1302" w14:textId="1D1EE870"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–1 100</w:t>
            </w:r>
          </w:p>
        </w:tc>
      </w:tr>
      <w:tr w:rsidR="004B6E22" w:rsidRPr="00236418" w14:paraId="404BB1D7" w14:textId="77777777" w:rsidTr="0002196B">
        <w:trPr>
          <w:trHeight w:val="285"/>
        </w:trPr>
        <w:tc>
          <w:tcPr>
            <w:tcW w:w="2996" w:type="pct"/>
            <w:tcBorders>
              <w:top w:val="nil"/>
              <w:left w:val="single" w:sz="4" w:space="0" w:color="auto"/>
              <w:bottom w:val="nil"/>
              <w:right w:val="nil"/>
            </w:tcBorders>
            <w:shd w:val="clear" w:color="auto" w:fill="auto"/>
            <w:hideMark/>
          </w:tcPr>
          <w:p w14:paraId="6779C7FD"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(Acquisition)/Vente d'immobilisations incorporelles</w:t>
            </w:r>
          </w:p>
        </w:tc>
        <w:tc>
          <w:tcPr>
            <w:tcW w:w="1028" w:type="pct"/>
            <w:tcBorders>
              <w:top w:val="nil"/>
              <w:left w:val="single" w:sz="4" w:space="0" w:color="auto"/>
              <w:bottom w:val="nil"/>
              <w:right w:val="single" w:sz="4" w:space="0" w:color="auto"/>
            </w:tcBorders>
            <w:shd w:val="clear" w:color="auto" w:fill="auto"/>
            <w:noWrap/>
            <w:vAlign w:val="center"/>
          </w:tcPr>
          <w:p w14:paraId="45FA25E7" w14:textId="3496FC09"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–792</w:t>
            </w:r>
          </w:p>
        </w:tc>
        <w:tc>
          <w:tcPr>
            <w:tcW w:w="976" w:type="pct"/>
            <w:tcBorders>
              <w:top w:val="nil"/>
              <w:left w:val="nil"/>
              <w:bottom w:val="nil"/>
              <w:right w:val="single" w:sz="4" w:space="0" w:color="auto"/>
            </w:tcBorders>
            <w:shd w:val="clear" w:color="auto" w:fill="auto"/>
            <w:noWrap/>
            <w:vAlign w:val="center"/>
          </w:tcPr>
          <w:p w14:paraId="288CE576" w14:textId="427572A6"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–353</w:t>
            </w:r>
          </w:p>
        </w:tc>
      </w:tr>
      <w:tr w:rsidR="004B6E22" w:rsidRPr="00236418" w14:paraId="670668B9" w14:textId="77777777" w:rsidTr="0002196B">
        <w:trPr>
          <w:trHeight w:val="255"/>
        </w:trPr>
        <w:tc>
          <w:tcPr>
            <w:tcW w:w="2996" w:type="pct"/>
            <w:tcBorders>
              <w:top w:val="nil"/>
              <w:left w:val="single" w:sz="4" w:space="0" w:color="auto"/>
              <w:bottom w:val="nil"/>
              <w:right w:val="nil"/>
            </w:tcBorders>
            <w:shd w:val="clear" w:color="auto" w:fill="auto"/>
            <w:hideMark/>
          </w:tcPr>
          <w:p w14:paraId="32F25402"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(Acquisition)/Vente de biens en construction</w:t>
            </w:r>
          </w:p>
        </w:tc>
        <w:tc>
          <w:tcPr>
            <w:tcW w:w="1028" w:type="pct"/>
            <w:tcBorders>
              <w:top w:val="nil"/>
              <w:left w:val="single" w:sz="4" w:space="0" w:color="auto"/>
              <w:bottom w:val="nil"/>
              <w:right w:val="single" w:sz="4" w:space="0" w:color="auto"/>
            </w:tcBorders>
            <w:shd w:val="clear" w:color="auto" w:fill="auto"/>
            <w:noWrap/>
            <w:vAlign w:val="center"/>
          </w:tcPr>
          <w:p w14:paraId="158D8E78" w14:textId="622F7FC6"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–2 881</w:t>
            </w:r>
          </w:p>
        </w:tc>
        <w:tc>
          <w:tcPr>
            <w:tcW w:w="976" w:type="pct"/>
            <w:tcBorders>
              <w:top w:val="nil"/>
              <w:left w:val="nil"/>
              <w:bottom w:val="nil"/>
              <w:right w:val="single" w:sz="4" w:space="0" w:color="auto"/>
            </w:tcBorders>
            <w:shd w:val="clear" w:color="auto" w:fill="auto"/>
            <w:noWrap/>
            <w:vAlign w:val="center"/>
          </w:tcPr>
          <w:p w14:paraId="729F5ED8" w14:textId="5078D8C6"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–571</w:t>
            </w:r>
          </w:p>
        </w:tc>
      </w:tr>
      <w:tr w:rsidR="004B6E22" w:rsidRPr="00236418" w14:paraId="45CC66A2"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7BEC5C8B"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Flux de trésorerie nets provenant des activités d'investissement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35A72A72" w14:textId="560C72BC"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12 265</w:t>
            </w:r>
          </w:p>
        </w:tc>
        <w:tc>
          <w:tcPr>
            <w:tcW w:w="976" w:type="pct"/>
            <w:tcBorders>
              <w:top w:val="single" w:sz="4" w:space="0" w:color="auto"/>
              <w:left w:val="nil"/>
              <w:bottom w:val="single" w:sz="4" w:space="0" w:color="auto"/>
              <w:right w:val="single" w:sz="4" w:space="0" w:color="auto"/>
            </w:tcBorders>
            <w:shd w:val="clear" w:color="auto" w:fill="auto"/>
            <w:vAlign w:val="center"/>
          </w:tcPr>
          <w:p w14:paraId="69142B42" w14:textId="48F40474"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236418">
              <w:rPr>
                <w:rFonts w:asciiTheme="minorHAnsi" w:hAnsiTheme="minorHAnsi" w:cstheme="minorHAnsi"/>
                <w:b/>
                <w:bCs/>
                <w:color w:val="000000"/>
                <w:sz w:val="20"/>
                <w:lang w:eastAsia="zh-CN"/>
              </w:rPr>
              <w:t>31 813</w:t>
            </w:r>
          </w:p>
        </w:tc>
      </w:tr>
      <w:tr w:rsidR="004B6E22" w:rsidRPr="00236418" w14:paraId="547261AA" w14:textId="77777777" w:rsidTr="0002196B">
        <w:trPr>
          <w:trHeight w:val="130"/>
        </w:trPr>
        <w:tc>
          <w:tcPr>
            <w:tcW w:w="2996" w:type="pct"/>
            <w:tcBorders>
              <w:top w:val="nil"/>
              <w:left w:val="single" w:sz="4" w:space="0" w:color="auto"/>
              <w:bottom w:val="nil"/>
              <w:right w:val="nil"/>
            </w:tcBorders>
            <w:shd w:val="clear" w:color="auto" w:fill="auto"/>
          </w:tcPr>
          <w:p w14:paraId="4D8A1EA8" w14:textId="77777777"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236418">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46C6E9A6" w14:textId="6C9667D3"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7FE5E3E" w14:textId="69AEA901"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236418" w14:paraId="4D141361" w14:textId="77777777" w:rsidTr="0002196B">
        <w:trPr>
          <w:trHeight w:val="285"/>
        </w:trPr>
        <w:tc>
          <w:tcPr>
            <w:tcW w:w="2996" w:type="pct"/>
            <w:tcBorders>
              <w:top w:val="nil"/>
              <w:left w:val="single" w:sz="4" w:space="0" w:color="auto"/>
              <w:bottom w:val="nil"/>
              <w:right w:val="nil"/>
            </w:tcBorders>
            <w:shd w:val="clear" w:color="auto" w:fill="auto"/>
          </w:tcPr>
          <w:p w14:paraId="43199B3D" w14:textId="77777777" w:rsidR="004B6E22" w:rsidRPr="00236418" w:rsidRDefault="004B6E22" w:rsidP="009B3D24">
            <w:pPr>
              <w:pStyle w:val="Tablehead"/>
              <w:spacing w:before="0" w:after="0"/>
              <w:jc w:val="left"/>
              <w:rPr>
                <w:rFonts w:asciiTheme="minorHAnsi" w:hAnsiTheme="minorHAnsi" w:cstheme="minorHAnsi"/>
                <w:color w:val="000000"/>
                <w:sz w:val="20"/>
                <w:lang w:eastAsia="zh-CN"/>
              </w:rPr>
            </w:pPr>
            <w:r w:rsidRPr="00236418">
              <w:rPr>
                <w:rFonts w:asciiTheme="minorHAnsi" w:hAnsiTheme="minorHAnsi" w:cstheme="minorHAnsi"/>
                <w:sz w:val="20"/>
              </w:rPr>
              <w:t>Flux de trésorerie des activités de financement</w:t>
            </w:r>
          </w:p>
        </w:tc>
        <w:tc>
          <w:tcPr>
            <w:tcW w:w="1028" w:type="pct"/>
            <w:tcBorders>
              <w:top w:val="nil"/>
              <w:left w:val="single" w:sz="4" w:space="0" w:color="auto"/>
              <w:bottom w:val="nil"/>
              <w:right w:val="single" w:sz="4" w:space="0" w:color="auto"/>
            </w:tcBorders>
            <w:shd w:val="clear" w:color="auto" w:fill="auto"/>
            <w:noWrap/>
            <w:vAlign w:val="bottom"/>
          </w:tcPr>
          <w:p w14:paraId="48653CE4" w14:textId="3A0DE0F3"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6EDDC679" w14:textId="6119E909"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236418" w14:paraId="3572CC72" w14:textId="77777777" w:rsidTr="0002196B">
        <w:trPr>
          <w:trHeight w:val="285"/>
        </w:trPr>
        <w:tc>
          <w:tcPr>
            <w:tcW w:w="2996" w:type="pct"/>
            <w:tcBorders>
              <w:top w:val="nil"/>
              <w:left w:val="single" w:sz="4" w:space="0" w:color="auto"/>
              <w:bottom w:val="nil"/>
              <w:right w:val="nil"/>
            </w:tcBorders>
            <w:shd w:val="clear" w:color="auto" w:fill="auto"/>
            <w:hideMark/>
          </w:tcPr>
          <w:p w14:paraId="16386128" w14:textId="77777777" w:rsidR="004B6E22" w:rsidRPr="00236418" w:rsidRDefault="004B6E22" w:rsidP="009B3D24">
            <w:pPr>
              <w:pStyle w:val="Tabletext"/>
              <w:spacing w:before="0" w:after="0"/>
              <w:rPr>
                <w:rFonts w:asciiTheme="minorHAnsi" w:hAnsiTheme="minorHAnsi" w:cstheme="minorHAnsi"/>
                <w:sz w:val="20"/>
                <w:lang w:eastAsia="zh-CN"/>
              </w:rPr>
            </w:pPr>
            <w:r w:rsidRPr="00236418">
              <w:rPr>
                <w:rFonts w:asciiTheme="minorHAnsi" w:hAnsiTheme="minorHAnsi" w:cstheme="minorHAnsi"/>
                <w:sz w:val="20"/>
                <w:lang w:eastAsia="zh-CN"/>
              </w:rPr>
              <w:t>(Augmentation) diminution des investissements financés par le prêt de la FIPOI</w:t>
            </w:r>
          </w:p>
        </w:tc>
        <w:tc>
          <w:tcPr>
            <w:tcW w:w="1028" w:type="pct"/>
            <w:tcBorders>
              <w:top w:val="nil"/>
              <w:left w:val="single" w:sz="4" w:space="0" w:color="auto"/>
              <w:bottom w:val="nil"/>
              <w:right w:val="single" w:sz="4" w:space="0" w:color="auto"/>
            </w:tcBorders>
            <w:shd w:val="clear" w:color="auto" w:fill="auto"/>
            <w:noWrap/>
            <w:vAlign w:val="center"/>
          </w:tcPr>
          <w:p w14:paraId="0BF40B1C" w14:textId="4AFC4D5A"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1 757</w:t>
            </w:r>
          </w:p>
        </w:tc>
        <w:tc>
          <w:tcPr>
            <w:tcW w:w="976" w:type="pct"/>
            <w:tcBorders>
              <w:top w:val="nil"/>
              <w:left w:val="nil"/>
              <w:bottom w:val="nil"/>
              <w:right w:val="single" w:sz="4" w:space="0" w:color="auto"/>
            </w:tcBorders>
            <w:shd w:val="clear" w:color="000000" w:fill="FFFFFF"/>
            <w:noWrap/>
            <w:vAlign w:val="center"/>
          </w:tcPr>
          <w:p w14:paraId="2C5AE0E7" w14:textId="1FBD9B28"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236418">
              <w:rPr>
                <w:rFonts w:asciiTheme="minorHAnsi" w:hAnsiTheme="minorHAnsi" w:cstheme="minorHAnsi"/>
                <w:sz w:val="20"/>
                <w:lang w:eastAsia="zh-CN"/>
              </w:rPr>
              <w:t>174</w:t>
            </w:r>
          </w:p>
        </w:tc>
      </w:tr>
      <w:tr w:rsidR="004B6E22" w:rsidRPr="00236418" w14:paraId="1846795D"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1019F2AE"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Flux de trésorerie provenant des activités de financement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4E7FB8B4" w14:textId="02929F8E"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1 757</w:t>
            </w:r>
          </w:p>
        </w:tc>
        <w:tc>
          <w:tcPr>
            <w:tcW w:w="976" w:type="pct"/>
            <w:tcBorders>
              <w:top w:val="single" w:sz="4" w:space="0" w:color="auto"/>
              <w:left w:val="nil"/>
              <w:bottom w:val="single" w:sz="4" w:space="0" w:color="auto"/>
              <w:right w:val="single" w:sz="4" w:space="0" w:color="auto"/>
            </w:tcBorders>
            <w:shd w:val="clear" w:color="auto" w:fill="auto"/>
            <w:vAlign w:val="center"/>
          </w:tcPr>
          <w:p w14:paraId="14DDB3C6" w14:textId="69B2A65A"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236418">
              <w:rPr>
                <w:rFonts w:asciiTheme="minorHAnsi" w:hAnsiTheme="minorHAnsi" w:cstheme="minorHAnsi"/>
                <w:b/>
                <w:bCs/>
                <w:color w:val="000000"/>
                <w:sz w:val="20"/>
                <w:lang w:eastAsia="zh-CN"/>
              </w:rPr>
              <w:t>174</w:t>
            </w:r>
          </w:p>
        </w:tc>
      </w:tr>
      <w:tr w:rsidR="004B6E22" w:rsidRPr="00236418" w14:paraId="12F699F7" w14:textId="77777777" w:rsidTr="0002196B">
        <w:trPr>
          <w:trHeight w:val="285"/>
        </w:trPr>
        <w:tc>
          <w:tcPr>
            <w:tcW w:w="2996" w:type="pct"/>
            <w:tcBorders>
              <w:top w:val="nil"/>
              <w:left w:val="single" w:sz="4" w:space="0" w:color="auto"/>
              <w:bottom w:val="nil"/>
              <w:right w:val="nil"/>
            </w:tcBorders>
            <w:shd w:val="clear" w:color="auto" w:fill="auto"/>
            <w:hideMark/>
          </w:tcPr>
          <w:p w14:paraId="62AAB4BB" w14:textId="77777777"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236418">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49E462DE" w14:textId="68E07534"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9B1BEEE" w14:textId="250C6DE3"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236418" w14:paraId="5EB006C1"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197D429E"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Augmentation/(diminution) nette de trésorerie et équivalents de trésorerie</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75716F7A" w14:textId="53B07DD2"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17 026</w:t>
            </w:r>
          </w:p>
        </w:tc>
        <w:tc>
          <w:tcPr>
            <w:tcW w:w="976" w:type="pct"/>
            <w:tcBorders>
              <w:top w:val="single" w:sz="4" w:space="0" w:color="auto"/>
              <w:left w:val="nil"/>
              <w:bottom w:val="single" w:sz="4" w:space="0" w:color="auto"/>
              <w:right w:val="single" w:sz="4" w:space="0" w:color="auto"/>
            </w:tcBorders>
            <w:shd w:val="clear" w:color="auto" w:fill="auto"/>
            <w:vAlign w:val="center"/>
          </w:tcPr>
          <w:p w14:paraId="1BCE917C" w14:textId="705FC8F2"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236418">
              <w:rPr>
                <w:rFonts w:asciiTheme="minorHAnsi" w:hAnsiTheme="minorHAnsi" w:cstheme="minorHAnsi"/>
                <w:b/>
                <w:bCs/>
                <w:color w:val="000000"/>
                <w:sz w:val="20"/>
                <w:lang w:eastAsia="zh-CN"/>
              </w:rPr>
              <w:t>26 528</w:t>
            </w:r>
          </w:p>
        </w:tc>
      </w:tr>
      <w:tr w:rsidR="004B6E22" w:rsidRPr="00236418" w14:paraId="32062A1E" w14:textId="77777777" w:rsidTr="0002196B">
        <w:trPr>
          <w:trHeight w:val="140"/>
        </w:trPr>
        <w:tc>
          <w:tcPr>
            <w:tcW w:w="2996" w:type="pct"/>
            <w:tcBorders>
              <w:top w:val="nil"/>
              <w:left w:val="single" w:sz="4" w:space="0" w:color="auto"/>
              <w:bottom w:val="nil"/>
              <w:right w:val="nil"/>
            </w:tcBorders>
            <w:shd w:val="clear" w:color="auto" w:fill="auto"/>
            <w:noWrap/>
            <w:vAlign w:val="bottom"/>
            <w:hideMark/>
          </w:tcPr>
          <w:p w14:paraId="2200099C" w14:textId="77777777" w:rsidR="004B6E22" w:rsidRPr="00236418" w:rsidRDefault="004B6E22" w:rsidP="009B3D24">
            <w:pPr>
              <w:pStyle w:val="Tablehead"/>
              <w:spacing w:before="0" w:after="0"/>
              <w:rPr>
                <w:rFonts w:asciiTheme="minorHAnsi" w:hAnsiTheme="minorHAnsi" w:cstheme="minorHAnsi"/>
                <w:sz w:val="20"/>
                <w:lang w:eastAsia="zh-CN"/>
              </w:rPr>
            </w:pPr>
            <w:r w:rsidRPr="00236418">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767D63EF" w14:textId="36BE890C" w:rsidR="004B6E22" w:rsidRPr="00236418" w:rsidRDefault="004B6E22" w:rsidP="009B3D24">
            <w:pPr>
              <w:pStyle w:val="Tablehead"/>
              <w:spacing w:before="0" w:after="0"/>
              <w:jc w:val="right"/>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436FC5DB" w14:textId="60B5BA72" w:rsidR="004B6E22" w:rsidRPr="00236418" w:rsidRDefault="004B6E22" w:rsidP="009B3D24">
            <w:pPr>
              <w:pStyle w:val="Tablehead"/>
              <w:spacing w:before="0" w:after="0"/>
              <w:jc w:val="right"/>
              <w:rPr>
                <w:rFonts w:asciiTheme="minorHAnsi" w:hAnsiTheme="minorHAnsi" w:cstheme="minorHAnsi"/>
                <w:sz w:val="20"/>
                <w:lang w:eastAsia="zh-CN"/>
              </w:rPr>
            </w:pPr>
          </w:p>
        </w:tc>
      </w:tr>
      <w:tr w:rsidR="004B6E22" w:rsidRPr="00236418" w14:paraId="782B61EF" w14:textId="77777777" w:rsidTr="0002196B">
        <w:trPr>
          <w:trHeight w:val="285"/>
        </w:trPr>
        <w:tc>
          <w:tcPr>
            <w:tcW w:w="2996" w:type="pct"/>
            <w:tcBorders>
              <w:top w:val="nil"/>
              <w:left w:val="single" w:sz="4" w:space="0" w:color="auto"/>
              <w:bottom w:val="nil"/>
              <w:right w:val="nil"/>
            </w:tcBorders>
            <w:shd w:val="clear" w:color="auto" w:fill="auto"/>
            <w:hideMark/>
          </w:tcPr>
          <w:p w14:paraId="318A8649"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color w:val="000000"/>
                <w:sz w:val="20"/>
                <w:lang w:eastAsia="zh-CN"/>
              </w:rPr>
              <w:t>Trésorerie et équivalents de trésorerie à l'ouverture de l'exercice</w:t>
            </w:r>
          </w:p>
        </w:tc>
        <w:tc>
          <w:tcPr>
            <w:tcW w:w="1028" w:type="pct"/>
            <w:tcBorders>
              <w:top w:val="nil"/>
              <w:left w:val="single" w:sz="4" w:space="0" w:color="auto"/>
              <w:bottom w:val="nil"/>
              <w:right w:val="single" w:sz="4" w:space="0" w:color="auto"/>
            </w:tcBorders>
            <w:shd w:val="clear" w:color="auto" w:fill="auto"/>
            <w:noWrap/>
            <w:vAlign w:val="center"/>
          </w:tcPr>
          <w:p w14:paraId="2A4E59A4" w14:textId="4DF4CFAA" w:rsidR="004B6E22" w:rsidRPr="00236418" w:rsidRDefault="004B6E22" w:rsidP="009B3D24">
            <w:pPr>
              <w:pStyle w:val="Tablehead"/>
              <w:spacing w:before="0" w:after="0"/>
              <w:jc w:val="right"/>
              <w:rPr>
                <w:rFonts w:asciiTheme="minorHAnsi" w:hAnsiTheme="minorHAnsi" w:cstheme="minorHAnsi"/>
                <w:sz w:val="20"/>
                <w:lang w:eastAsia="zh-CN"/>
              </w:rPr>
            </w:pPr>
            <w:r w:rsidRPr="00236418">
              <w:rPr>
                <w:rFonts w:asciiTheme="minorHAnsi" w:hAnsiTheme="minorHAnsi" w:cstheme="minorHAnsi"/>
                <w:sz w:val="20"/>
                <w:lang w:eastAsia="zh-CN"/>
              </w:rPr>
              <w:t>161 826</w:t>
            </w:r>
          </w:p>
        </w:tc>
        <w:tc>
          <w:tcPr>
            <w:tcW w:w="976" w:type="pct"/>
            <w:tcBorders>
              <w:top w:val="nil"/>
              <w:left w:val="nil"/>
              <w:bottom w:val="nil"/>
              <w:right w:val="single" w:sz="4" w:space="0" w:color="auto"/>
            </w:tcBorders>
            <w:shd w:val="clear" w:color="auto" w:fill="auto"/>
            <w:noWrap/>
            <w:vAlign w:val="center"/>
          </w:tcPr>
          <w:p w14:paraId="1AD1A81F" w14:textId="6EDAD3E4" w:rsidR="004B6E22" w:rsidRPr="00236418" w:rsidRDefault="004B6E22" w:rsidP="009B3D24">
            <w:pPr>
              <w:pStyle w:val="Tablehead"/>
              <w:spacing w:before="0" w:after="0"/>
              <w:jc w:val="right"/>
              <w:rPr>
                <w:rFonts w:asciiTheme="minorHAnsi" w:hAnsiTheme="minorHAnsi" w:cstheme="minorHAnsi"/>
                <w:sz w:val="20"/>
                <w:lang w:eastAsia="zh-CN"/>
              </w:rPr>
            </w:pPr>
            <w:r w:rsidRPr="00236418">
              <w:rPr>
                <w:rFonts w:asciiTheme="minorHAnsi" w:hAnsiTheme="minorHAnsi" w:cstheme="minorHAnsi"/>
                <w:sz w:val="20"/>
                <w:lang w:eastAsia="zh-CN"/>
              </w:rPr>
              <w:t>135 297</w:t>
            </w:r>
          </w:p>
        </w:tc>
      </w:tr>
      <w:tr w:rsidR="004B6E22" w:rsidRPr="00236418" w14:paraId="24649DD6" w14:textId="77777777" w:rsidTr="0002196B">
        <w:trPr>
          <w:trHeight w:val="255"/>
        </w:trPr>
        <w:tc>
          <w:tcPr>
            <w:tcW w:w="2996" w:type="pct"/>
            <w:tcBorders>
              <w:top w:val="nil"/>
              <w:left w:val="single" w:sz="4" w:space="0" w:color="auto"/>
              <w:bottom w:val="nil"/>
              <w:right w:val="nil"/>
            </w:tcBorders>
            <w:shd w:val="clear" w:color="auto" w:fill="auto"/>
            <w:hideMark/>
          </w:tcPr>
          <w:p w14:paraId="33590244"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78B8A8AA" w14:textId="09D47A25" w:rsidR="004B6E22" w:rsidRPr="00236418" w:rsidRDefault="004B6E22" w:rsidP="009B3D24">
            <w:pPr>
              <w:pStyle w:val="Tablehead"/>
              <w:spacing w:before="0" w:after="0"/>
              <w:jc w:val="right"/>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F2B8A47" w14:textId="28741EF6" w:rsidR="004B6E22" w:rsidRPr="00236418" w:rsidRDefault="004B6E22" w:rsidP="009B3D24">
            <w:pPr>
              <w:pStyle w:val="Tablehead"/>
              <w:spacing w:before="0" w:after="0"/>
              <w:jc w:val="right"/>
              <w:rPr>
                <w:rFonts w:asciiTheme="minorHAnsi" w:hAnsiTheme="minorHAnsi" w:cstheme="minorHAnsi"/>
                <w:sz w:val="20"/>
                <w:lang w:eastAsia="zh-CN"/>
              </w:rPr>
            </w:pPr>
          </w:p>
        </w:tc>
      </w:tr>
      <w:tr w:rsidR="004B6E22" w:rsidRPr="00236418" w14:paraId="28E09F1A" w14:textId="77777777" w:rsidTr="0002196B">
        <w:trPr>
          <w:trHeight w:val="255"/>
        </w:trPr>
        <w:tc>
          <w:tcPr>
            <w:tcW w:w="2996" w:type="pct"/>
            <w:tcBorders>
              <w:top w:val="nil"/>
              <w:left w:val="single" w:sz="4" w:space="0" w:color="auto"/>
              <w:bottom w:val="single" w:sz="4" w:space="0" w:color="auto"/>
              <w:right w:val="nil"/>
            </w:tcBorders>
            <w:shd w:val="clear" w:color="auto" w:fill="auto"/>
            <w:hideMark/>
          </w:tcPr>
          <w:p w14:paraId="4307DEA1" w14:textId="77777777" w:rsidR="004B6E22" w:rsidRPr="00236418" w:rsidRDefault="004B6E22" w:rsidP="009B3D24">
            <w:pPr>
              <w:pStyle w:val="Tablehead"/>
              <w:spacing w:before="0" w:after="0"/>
              <w:jc w:val="left"/>
              <w:rPr>
                <w:rFonts w:asciiTheme="minorHAnsi" w:hAnsiTheme="minorHAnsi" w:cstheme="minorHAnsi"/>
                <w:sz w:val="20"/>
                <w:lang w:eastAsia="zh-CN"/>
              </w:rPr>
            </w:pPr>
            <w:r w:rsidRPr="00236418">
              <w:rPr>
                <w:rFonts w:asciiTheme="minorHAnsi" w:hAnsiTheme="minorHAnsi" w:cstheme="minorHAnsi"/>
                <w:sz w:val="20"/>
                <w:lang w:eastAsia="zh-CN"/>
              </w:rPr>
              <w:t>Trésorerie et équivalents de trésorerie à la clôture de l'exercice</w:t>
            </w:r>
          </w:p>
        </w:tc>
        <w:tc>
          <w:tcPr>
            <w:tcW w:w="1028" w:type="pct"/>
            <w:tcBorders>
              <w:top w:val="nil"/>
              <w:left w:val="single" w:sz="4" w:space="0" w:color="auto"/>
              <w:bottom w:val="single" w:sz="4" w:space="0" w:color="auto"/>
              <w:right w:val="single" w:sz="4" w:space="0" w:color="auto"/>
            </w:tcBorders>
            <w:shd w:val="clear" w:color="auto" w:fill="auto"/>
            <w:noWrap/>
            <w:vAlign w:val="center"/>
          </w:tcPr>
          <w:p w14:paraId="1FF48FB2" w14:textId="4A90BD45"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178 852</w:t>
            </w:r>
          </w:p>
        </w:tc>
        <w:tc>
          <w:tcPr>
            <w:tcW w:w="976" w:type="pct"/>
            <w:tcBorders>
              <w:top w:val="nil"/>
              <w:left w:val="nil"/>
              <w:bottom w:val="single" w:sz="4" w:space="0" w:color="auto"/>
              <w:right w:val="single" w:sz="4" w:space="0" w:color="auto"/>
            </w:tcBorders>
            <w:shd w:val="clear" w:color="auto" w:fill="auto"/>
            <w:noWrap/>
            <w:vAlign w:val="center"/>
          </w:tcPr>
          <w:p w14:paraId="043964E7" w14:textId="25912458" w:rsidR="004B6E22" w:rsidRPr="00236418"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236418">
              <w:rPr>
                <w:rFonts w:asciiTheme="minorHAnsi" w:hAnsiTheme="minorHAnsi" w:cstheme="minorHAnsi"/>
                <w:b/>
                <w:bCs/>
                <w:sz w:val="20"/>
                <w:lang w:eastAsia="zh-CN"/>
              </w:rPr>
              <w:t>161 826</w:t>
            </w:r>
          </w:p>
        </w:tc>
      </w:tr>
    </w:tbl>
    <w:p w14:paraId="1972B8C2"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616" w:name="_Toc452139413"/>
      <w:bookmarkStart w:id="617" w:name="_Toc452139812"/>
      <w:bookmarkStart w:id="618" w:name="_Toc452140679"/>
      <w:bookmarkStart w:id="619" w:name="_Toc511649926"/>
      <w:bookmarkStart w:id="620" w:name="_Toc511651182"/>
      <w:bookmarkStart w:id="621" w:name="_Toc511724047"/>
      <w:bookmarkStart w:id="622" w:name="_Toc511739036"/>
      <w:bookmarkStart w:id="623" w:name="_Toc511740816"/>
      <w:bookmarkStart w:id="624" w:name="_Toc511741205"/>
      <w:bookmarkStart w:id="625" w:name="_Toc10450711"/>
      <w:r w:rsidRPr="00236418">
        <w:br w:type="page"/>
      </w:r>
    </w:p>
    <w:p w14:paraId="4C44703A" w14:textId="0AB9EAD6" w:rsidR="00DF6159" w:rsidRPr="00236418" w:rsidRDefault="00DF6159" w:rsidP="0050145B">
      <w:pPr>
        <w:pStyle w:val="Heading1"/>
        <w:jc w:val="center"/>
      </w:pPr>
      <w:bookmarkStart w:id="626" w:name="_Toc41567343"/>
      <w:bookmarkStart w:id="627" w:name="_Toc41567829"/>
      <w:bookmarkStart w:id="628" w:name="_Toc41814941"/>
      <w:r w:rsidRPr="00236418">
        <w:lastRenderedPageBreak/>
        <w:t xml:space="preserve">V – État de la comparaison des montants budgétés et des montants </w:t>
      </w:r>
      <w:r w:rsidRPr="00236418">
        <w:br/>
        <w:t xml:space="preserve">effectifs pour l'exercice </w:t>
      </w:r>
      <w:bookmarkEnd w:id="609"/>
      <w:bookmarkEnd w:id="610"/>
      <w:bookmarkEnd w:id="611"/>
      <w:bookmarkEnd w:id="612"/>
      <w:bookmarkEnd w:id="613"/>
      <w:bookmarkEnd w:id="614"/>
      <w:bookmarkEnd w:id="616"/>
      <w:bookmarkEnd w:id="617"/>
      <w:bookmarkEnd w:id="618"/>
      <w:bookmarkEnd w:id="619"/>
      <w:bookmarkEnd w:id="620"/>
      <w:bookmarkEnd w:id="621"/>
      <w:bookmarkEnd w:id="622"/>
      <w:bookmarkEnd w:id="623"/>
      <w:bookmarkEnd w:id="624"/>
      <w:r w:rsidRPr="00236418">
        <w:t>201</w:t>
      </w:r>
      <w:bookmarkEnd w:id="625"/>
      <w:r w:rsidR="00E10F27" w:rsidRPr="00236418">
        <w:t>9</w:t>
      </w:r>
      <w:bookmarkEnd w:id="626"/>
      <w:bookmarkEnd w:id="627"/>
      <w:bookmarkEnd w:id="628"/>
    </w:p>
    <w:p w14:paraId="78923B5B" w14:textId="671B8D06" w:rsidR="00DF6159" w:rsidRPr="00236418" w:rsidRDefault="00DF6159" w:rsidP="009F2896">
      <w:pPr>
        <w:spacing w:after="240"/>
        <w:jc w:val="center"/>
        <w:rPr>
          <w:b/>
          <w:bCs/>
        </w:rPr>
      </w:pPr>
      <w:r w:rsidRPr="00236418">
        <w:rPr>
          <w:b/>
          <w:bCs/>
        </w:rPr>
        <w:t>(en milliers de CHF)</w:t>
      </w:r>
      <w:bookmarkStart w:id="629" w:name="_MON_1396355631"/>
      <w:bookmarkStart w:id="630" w:name="_MON_1396442559"/>
      <w:bookmarkStart w:id="631" w:name="_MON_1396103722"/>
      <w:bookmarkStart w:id="632" w:name="_MON_1396355177"/>
      <w:bookmarkEnd w:id="629"/>
      <w:bookmarkEnd w:id="630"/>
      <w:bookmarkEnd w:id="631"/>
      <w:bookmarkEnd w:id="632"/>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DF6159" w:rsidRPr="00236418" w14:paraId="45C32C3A" w14:textId="77777777" w:rsidTr="006538EB">
        <w:trPr>
          <w:jc w:val="center"/>
        </w:trPr>
        <w:tc>
          <w:tcPr>
            <w:tcW w:w="3402" w:type="dxa"/>
            <w:vMerge w:val="restart"/>
            <w:tcMar>
              <w:left w:w="57" w:type="dxa"/>
              <w:right w:w="57" w:type="dxa"/>
            </w:tcMar>
            <w:vAlign w:val="center"/>
          </w:tcPr>
          <w:p w14:paraId="1CFC0D8B" w14:textId="77777777" w:rsidR="00DF6159" w:rsidRPr="00236418" w:rsidRDefault="00DF6159" w:rsidP="009B3D24">
            <w:pPr>
              <w:pStyle w:val="Tablehead"/>
              <w:spacing w:before="20" w:after="20"/>
              <w:rPr>
                <w:sz w:val="18"/>
                <w:szCs w:val="18"/>
                <w:lang w:eastAsia="fr-FR"/>
              </w:rPr>
            </w:pPr>
            <w:r w:rsidRPr="00236418">
              <w:rPr>
                <w:sz w:val="18"/>
                <w:szCs w:val="18"/>
              </w:rPr>
              <w:t>Produits</w:t>
            </w:r>
          </w:p>
        </w:tc>
        <w:tc>
          <w:tcPr>
            <w:tcW w:w="4765" w:type="dxa"/>
            <w:gridSpan w:val="4"/>
          </w:tcPr>
          <w:p w14:paraId="0CA04E2A" w14:textId="77777777" w:rsidR="00DF6159" w:rsidRPr="00236418" w:rsidRDefault="00DF6159" w:rsidP="009B3D24">
            <w:pPr>
              <w:pStyle w:val="Tablehead"/>
              <w:spacing w:before="20" w:after="20"/>
              <w:rPr>
                <w:sz w:val="18"/>
                <w:szCs w:val="18"/>
                <w:lang w:eastAsia="fr-FR"/>
              </w:rPr>
            </w:pPr>
            <w:r w:rsidRPr="00236418">
              <w:rPr>
                <w:sz w:val="18"/>
                <w:szCs w:val="18"/>
              </w:rPr>
              <w:t>Montants budgétés</w:t>
            </w:r>
          </w:p>
        </w:tc>
        <w:tc>
          <w:tcPr>
            <w:tcW w:w="1330" w:type="dxa"/>
            <w:vMerge w:val="restart"/>
            <w:tcMar>
              <w:left w:w="57" w:type="dxa"/>
              <w:right w:w="57" w:type="dxa"/>
            </w:tcMar>
            <w:vAlign w:val="center"/>
          </w:tcPr>
          <w:p w14:paraId="7CE34B5D" w14:textId="77777777" w:rsidR="00DF6159" w:rsidRPr="00236418" w:rsidRDefault="00DF6159" w:rsidP="009B3D24">
            <w:pPr>
              <w:pStyle w:val="Tablehead"/>
              <w:spacing w:before="20" w:after="20"/>
              <w:rPr>
                <w:sz w:val="18"/>
                <w:szCs w:val="18"/>
                <w:lang w:eastAsia="fr-FR"/>
              </w:rPr>
            </w:pPr>
            <w:r w:rsidRPr="00236418">
              <w:rPr>
                <w:sz w:val="18"/>
                <w:szCs w:val="18"/>
              </w:rPr>
              <w:t>Montants</w:t>
            </w:r>
            <w:r w:rsidRPr="00236418">
              <w:rPr>
                <w:sz w:val="18"/>
                <w:szCs w:val="18"/>
              </w:rPr>
              <w:br/>
              <w:t>effectifs sur une base</w:t>
            </w:r>
            <w:r w:rsidRPr="00236418">
              <w:rPr>
                <w:sz w:val="18"/>
                <w:szCs w:val="18"/>
              </w:rPr>
              <w:br/>
              <w:t>comparable</w:t>
            </w:r>
          </w:p>
        </w:tc>
        <w:tc>
          <w:tcPr>
            <w:tcW w:w="1310" w:type="dxa"/>
            <w:vMerge w:val="restart"/>
            <w:tcMar>
              <w:left w:w="57" w:type="dxa"/>
              <w:right w:w="57" w:type="dxa"/>
            </w:tcMar>
            <w:vAlign w:val="center"/>
          </w:tcPr>
          <w:p w14:paraId="36CF3223" w14:textId="77777777" w:rsidR="00DF6159" w:rsidRPr="00236418" w:rsidRDefault="00DF6159" w:rsidP="009B3D24">
            <w:pPr>
              <w:pStyle w:val="Tablehead"/>
              <w:spacing w:before="20" w:after="20"/>
              <w:rPr>
                <w:sz w:val="18"/>
                <w:szCs w:val="18"/>
                <w:lang w:eastAsia="fr-FR"/>
              </w:rPr>
            </w:pPr>
            <w:r w:rsidRPr="00236418">
              <w:rPr>
                <w:sz w:val="18"/>
                <w:szCs w:val="18"/>
              </w:rPr>
              <w:t>Différence entre budget final et montants effectifs</w:t>
            </w:r>
          </w:p>
        </w:tc>
      </w:tr>
      <w:tr w:rsidR="00DF6159" w:rsidRPr="00236418" w14:paraId="5D0E8D3B" w14:textId="77777777" w:rsidTr="006538EB">
        <w:trPr>
          <w:jc w:val="center"/>
        </w:trPr>
        <w:tc>
          <w:tcPr>
            <w:tcW w:w="3402" w:type="dxa"/>
            <w:vMerge/>
            <w:tcMar>
              <w:left w:w="57" w:type="dxa"/>
              <w:right w:w="57" w:type="dxa"/>
            </w:tcMar>
            <w:vAlign w:val="center"/>
          </w:tcPr>
          <w:p w14:paraId="6B8479CB" w14:textId="77777777" w:rsidR="00DF6159" w:rsidRPr="00236418" w:rsidRDefault="00DF6159" w:rsidP="009B3D24">
            <w:pPr>
              <w:pStyle w:val="Tablehead"/>
              <w:spacing w:before="20" w:after="20"/>
              <w:rPr>
                <w:sz w:val="18"/>
                <w:szCs w:val="18"/>
                <w:lang w:eastAsia="fr-FR"/>
              </w:rPr>
            </w:pPr>
          </w:p>
        </w:tc>
        <w:tc>
          <w:tcPr>
            <w:tcW w:w="1134" w:type="dxa"/>
            <w:tcMar>
              <w:left w:w="57" w:type="dxa"/>
              <w:right w:w="57" w:type="dxa"/>
            </w:tcMar>
            <w:vAlign w:val="center"/>
          </w:tcPr>
          <w:p w14:paraId="544160F3" w14:textId="77777777" w:rsidR="00DF6159" w:rsidRPr="00236418" w:rsidRDefault="00DF6159" w:rsidP="009B3D24">
            <w:pPr>
              <w:pStyle w:val="Tablehead"/>
              <w:spacing w:before="20" w:after="20"/>
              <w:rPr>
                <w:sz w:val="18"/>
                <w:szCs w:val="18"/>
              </w:rPr>
            </w:pPr>
            <w:r w:rsidRPr="00236418">
              <w:rPr>
                <w:sz w:val="18"/>
                <w:szCs w:val="18"/>
              </w:rPr>
              <w:t>Budget</w:t>
            </w:r>
          </w:p>
          <w:p w14:paraId="6B311C06" w14:textId="77777777" w:rsidR="00DF6159" w:rsidRPr="00236418" w:rsidRDefault="00DF6159" w:rsidP="009B3D24">
            <w:pPr>
              <w:pStyle w:val="Tablehead"/>
              <w:spacing w:before="20" w:after="20"/>
              <w:rPr>
                <w:sz w:val="18"/>
                <w:szCs w:val="18"/>
                <w:lang w:eastAsia="fr-FR"/>
              </w:rPr>
            </w:pPr>
            <w:r w:rsidRPr="00236418">
              <w:rPr>
                <w:sz w:val="18"/>
                <w:szCs w:val="18"/>
              </w:rPr>
              <w:t>initial</w:t>
            </w:r>
          </w:p>
        </w:tc>
        <w:tc>
          <w:tcPr>
            <w:tcW w:w="1390" w:type="dxa"/>
            <w:vAlign w:val="center"/>
          </w:tcPr>
          <w:p w14:paraId="560CF289" w14:textId="77777777" w:rsidR="00DF6159" w:rsidRPr="00236418" w:rsidRDefault="00DF6159" w:rsidP="009B3D24">
            <w:pPr>
              <w:pStyle w:val="Tablehead"/>
              <w:spacing w:before="20" w:after="20"/>
              <w:rPr>
                <w:sz w:val="18"/>
                <w:szCs w:val="18"/>
              </w:rPr>
            </w:pPr>
            <w:r w:rsidRPr="00236418">
              <w:rPr>
                <w:rFonts w:asciiTheme="minorHAnsi" w:hAnsiTheme="minorHAnsi" w:cs="Arial"/>
                <w:bCs/>
                <w:color w:val="000000"/>
                <w:sz w:val="18"/>
                <w:szCs w:val="18"/>
                <w:lang w:eastAsia="zh-CN"/>
              </w:rPr>
              <w:t>Activités reportées</w:t>
            </w:r>
          </w:p>
        </w:tc>
        <w:tc>
          <w:tcPr>
            <w:tcW w:w="1154" w:type="dxa"/>
            <w:tcMar>
              <w:left w:w="57" w:type="dxa"/>
              <w:right w:w="57" w:type="dxa"/>
            </w:tcMar>
            <w:vAlign w:val="center"/>
          </w:tcPr>
          <w:p w14:paraId="49C16263" w14:textId="77777777" w:rsidR="00DF6159" w:rsidRPr="00236418" w:rsidRDefault="00DF6159" w:rsidP="009B3D24">
            <w:pPr>
              <w:pStyle w:val="Tablehead"/>
              <w:spacing w:before="20" w:after="20"/>
              <w:rPr>
                <w:sz w:val="18"/>
                <w:szCs w:val="18"/>
                <w:lang w:eastAsia="fr-FR"/>
              </w:rPr>
            </w:pPr>
            <w:r w:rsidRPr="00236418">
              <w:rPr>
                <w:sz w:val="18"/>
                <w:szCs w:val="18"/>
              </w:rPr>
              <w:t>Transferts budgétaires</w:t>
            </w:r>
          </w:p>
        </w:tc>
        <w:tc>
          <w:tcPr>
            <w:tcW w:w="1087" w:type="dxa"/>
            <w:tcMar>
              <w:left w:w="57" w:type="dxa"/>
              <w:right w:w="57" w:type="dxa"/>
            </w:tcMar>
            <w:vAlign w:val="center"/>
          </w:tcPr>
          <w:p w14:paraId="1AE84A08" w14:textId="77777777" w:rsidR="00DF6159" w:rsidRPr="00236418" w:rsidRDefault="00DF6159" w:rsidP="009B3D24">
            <w:pPr>
              <w:pStyle w:val="Tablehead"/>
              <w:spacing w:before="20" w:after="20"/>
              <w:rPr>
                <w:sz w:val="18"/>
                <w:szCs w:val="18"/>
                <w:lang w:eastAsia="fr-FR"/>
              </w:rPr>
            </w:pPr>
            <w:r w:rsidRPr="00236418">
              <w:rPr>
                <w:sz w:val="18"/>
                <w:szCs w:val="18"/>
                <w:lang w:eastAsia="fr-FR"/>
              </w:rPr>
              <w:t>Budget final</w:t>
            </w:r>
          </w:p>
        </w:tc>
        <w:tc>
          <w:tcPr>
            <w:tcW w:w="1330" w:type="dxa"/>
            <w:vMerge/>
            <w:tcMar>
              <w:left w:w="57" w:type="dxa"/>
              <w:right w:w="57" w:type="dxa"/>
            </w:tcMar>
            <w:vAlign w:val="center"/>
          </w:tcPr>
          <w:p w14:paraId="5C6CD51E" w14:textId="77777777" w:rsidR="00DF6159" w:rsidRPr="00236418" w:rsidRDefault="00DF6159" w:rsidP="009B3D24">
            <w:pPr>
              <w:pStyle w:val="Tablehead"/>
              <w:spacing w:before="20" w:after="20"/>
              <w:rPr>
                <w:sz w:val="18"/>
                <w:szCs w:val="18"/>
                <w:lang w:eastAsia="fr-FR"/>
              </w:rPr>
            </w:pPr>
          </w:p>
        </w:tc>
        <w:tc>
          <w:tcPr>
            <w:tcW w:w="1310" w:type="dxa"/>
            <w:vMerge/>
            <w:tcMar>
              <w:left w:w="57" w:type="dxa"/>
              <w:right w:w="57" w:type="dxa"/>
            </w:tcMar>
            <w:vAlign w:val="center"/>
          </w:tcPr>
          <w:p w14:paraId="5638D349" w14:textId="77777777" w:rsidR="00DF6159" w:rsidRPr="00236418" w:rsidRDefault="00DF6159" w:rsidP="009B3D24">
            <w:pPr>
              <w:pStyle w:val="Tablehead"/>
              <w:spacing w:before="20" w:after="20"/>
              <w:rPr>
                <w:sz w:val="18"/>
                <w:szCs w:val="18"/>
                <w:lang w:eastAsia="fr-FR"/>
              </w:rPr>
            </w:pPr>
          </w:p>
        </w:tc>
      </w:tr>
      <w:tr w:rsidR="00DF6159" w:rsidRPr="00236418" w14:paraId="1B0BEC48" w14:textId="77777777" w:rsidTr="006538EB">
        <w:trPr>
          <w:jc w:val="center"/>
        </w:trPr>
        <w:tc>
          <w:tcPr>
            <w:tcW w:w="3402" w:type="dxa"/>
            <w:vMerge/>
            <w:tcBorders>
              <w:bottom w:val="single" w:sz="4" w:space="0" w:color="auto"/>
            </w:tcBorders>
            <w:tcMar>
              <w:left w:w="57" w:type="dxa"/>
              <w:right w:w="57" w:type="dxa"/>
            </w:tcMar>
            <w:vAlign w:val="center"/>
          </w:tcPr>
          <w:p w14:paraId="124CF7FD" w14:textId="77777777" w:rsidR="00DF6159" w:rsidRPr="00236418" w:rsidRDefault="00DF6159" w:rsidP="009B3D24">
            <w:pPr>
              <w:pStyle w:val="Tablehead"/>
              <w:spacing w:before="20" w:after="20"/>
              <w:rPr>
                <w:sz w:val="18"/>
                <w:szCs w:val="18"/>
                <w:lang w:eastAsia="fr-FR"/>
              </w:rPr>
            </w:pPr>
          </w:p>
        </w:tc>
        <w:tc>
          <w:tcPr>
            <w:tcW w:w="1134" w:type="dxa"/>
            <w:tcBorders>
              <w:bottom w:val="single" w:sz="4" w:space="0" w:color="auto"/>
            </w:tcBorders>
            <w:tcMar>
              <w:left w:w="57" w:type="dxa"/>
              <w:right w:w="57" w:type="dxa"/>
            </w:tcMar>
            <w:vAlign w:val="center"/>
          </w:tcPr>
          <w:p w14:paraId="2DD25970" w14:textId="2FC77742"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390" w:type="dxa"/>
            <w:tcBorders>
              <w:bottom w:val="single" w:sz="4" w:space="0" w:color="auto"/>
            </w:tcBorders>
          </w:tcPr>
          <w:p w14:paraId="79BDDDD3" w14:textId="62503775"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154" w:type="dxa"/>
            <w:tcBorders>
              <w:bottom w:val="single" w:sz="4" w:space="0" w:color="auto"/>
            </w:tcBorders>
            <w:tcMar>
              <w:left w:w="57" w:type="dxa"/>
              <w:right w:w="57" w:type="dxa"/>
            </w:tcMar>
            <w:vAlign w:val="center"/>
          </w:tcPr>
          <w:p w14:paraId="03F3D414" w14:textId="6D70662B"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087" w:type="dxa"/>
            <w:tcBorders>
              <w:bottom w:val="single" w:sz="4" w:space="0" w:color="auto"/>
            </w:tcBorders>
            <w:tcMar>
              <w:left w:w="57" w:type="dxa"/>
              <w:right w:w="57" w:type="dxa"/>
            </w:tcMar>
            <w:vAlign w:val="center"/>
          </w:tcPr>
          <w:p w14:paraId="3C1BB073" w14:textId="54D02793"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330" w:type="dxa"/>
            <w:tcBorders>
              <w:bottom w:val="single" w:sz="4" w:space="0" w:color="auto"/>
            </w:tcBorders>
            <w:tcMar>
              <w:left w:w="57" w:type="dxa"/>
              <w:right w:w="57" w:type="dxa"/>
            </w:tcMar>
            <w:vAlign w:val="center"/>
          </w:tcPr>
          <w:p w14:paraId="0D4CF390" w14:textId="00F71CFC"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310" w:type="dxa"/>
            <w:tcBorders>
              <w:bottom w:val="single" w:sz="4" w:space="0" w:color="auto"/>
            </w:tcBorders>
            <w:tcMar>
              <w:left w:w="57" w:type="dxa"/>
              <w:right w:w="57" w:type="dxa"/>
            </w:tcMar>
            <w:vAlign w:val="center"/>
          </w:tcPr>
          <w:p w14:paraId="5C288F3D" w14:textId="0F875150"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r>
      <w:tr w:rsidR="004658F8" w:rsidRPr="00236418" w14:paraId="4FC2046C" w14:textId="77777777" w:rsidTr="006538EB">
        <w:trPr>
          <w:jc w:val="center"/>
        </w:trPr>
        <w:tc>
          <w:tcPr>
            <w:tcW w:w="3402" w:type="dxa"/>
            <w:tcBorders>
              <w:bottom w:val="nil"/>
            </w:tcBorders>
            <w:tcMar>
              <w:left w:w="57" w:type="dxa"/>
              <w:right w:w="57" w:type="dxa"/>
            </w:tcMar>
          </w:tcPr>
          <w:p w14:paraId="337446D2" w14:textId="77777777" w:rsidR="004658F8" w:rsidRPr="00236418" w:rsidRDefault="004658F8" w:rsidP="009B3D24">
            <w:pPr>
              <w:pStyle w:val="Tabletext"/>
              <w:spacing w:before="20" w:after="20"/>
              <w:rPr>
                <w:b/>
                <w:bCs/>
                <w:sz w:val="18"/>
                <w:szCs w:val="18"/>
                <w:lang w:eastAsia="fr-FR"/>
              </w:rPr>
            </w:pPr>
            <w:r w:rsidRPr="00236418">
              <w:rPr>
                <w:b/>
                <w:bCs/>
                <w:sz w:val="18"/>
                <w:szCs w:val="18"/>
              </w:rPr>
              <w:t>Contributions mises en recouvrement</w:t>
            </w:r>
          </w:p>
        </w:tc>
        <w:tc>
          <w:tcPr>
            <w:tcW w:w="1134" w:type="dxa"/>
            <w:tcBorders>
              <w:bottom w:val="nil"/>
            </w:tcBorders>
            <w:tcMar>
              <w:left w:w="57" w:type="dxa"/>
              <w:right w:w="57" w:type="dxa"/>
            </w:tcMar>
            <w:vAlign w:val="bottom"/>
          </w:tcPr>
          <w:p w14:paraId="0ECDB6C4"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124 401</w:t>
            </w:r>
          </w:p>
        </w:tc>
        <w:tc>
          <w:tcPr>
            <w:tcW w:w="1390" w:type="dxa"/>
            <w:tcBorders>
              <w:bottom w:val="nil"/>
            </w:tcBorders>
            <w:vAlign w:val="bottom"/>
          </w:tcPr>
          <w:p w14:paraId="04E933D4"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Borders>
              <w:bottom w:val="nil"/>
            </w:tcBorders>
            <w:tcMar>
              <w:left w:w="57" w:type="dxa"/>
              <w:right w:w="57" w:type="dxa"/>
            </w:tcMar>
            <w:vAlign w:val="bottom"/>
          </w:tcPr>
          <w:p w14:paraId="01760F75"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Borders>
              <w:bottom w:val="nil"/>
            </w:tcBorders>
            <w:tcMar>
              <w:left w:w="57" w:type="dxa"/>
              <w:right w:w="57" w:type="dxa"/>
            </w:tcMar>
            <w:vAlign w:val="bottom"/>
          </w:tcPr>
          <w:p w14:paraId="293B9AE7" w14:textId="533E2914"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124 401</w:t>
            </w:r>
          </w:p>
        </w:tc>
        <w:tc>
          <w:tcPr>
            <w:tcW w:w="1330" w:type="dxa"/>
            <w:tcBorders>
              <w:bottom w:val="nil"/>
            </w:tcBorders>
            <w:tcMar>
              <w:left w:w="57" w:type="dxa"/>
              <w:right w:w="57" w:type="dxa"/>
            </w:tcMar>
            <w:vAlign w:val="bottom"/>
          </w:tcPr>
          <w:p w14:paraId="6EB24783" w14:textId="062FBF27"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126 485</w:t>
            </w:r>
          </w:p>
        </w:tc>
        <w:tc>
          <w:tcPr>
            <w:tcW w:w="1310" w:type="dxa"/>
            <w:tcBorders>
              <w:bottom w:val="nil"/>
            </w:tcBorders>
            <w:tcMar>
              <w:left w:w="57" w:type="dxa"/>
              <w:right w:w="57" w:type="dxa"/>
            </w:tcMar>
            <w:vAlign w:val="bottom"/>
          </w:tcPr>
          <w:p w14:paraId="486E6FC0" w14:textId="6A8DA9F7"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2,084</w:t>
            </w:r>
          </w:p>
        </w:tc>
      </w:tr>
      <w:tr w:rsidR="004658F8" w:rsidRPr="00236418" w14:paraId="40015DB5" w14:textId="77777777" w:rsidTr="006538EB">
        <w:trPr>
          <w:jc w:val="center"/>
        </w:trPr>
        <w:tc>
          <w:tcPr>
            <w:tcW w:w="3402" w:type="dxa"/>
            <w:tcBorders>
              <w:top w:val="nil"/>
              <w:bottom w:val="nil"/>
            </w:tcBorders>
            <w:tcMar>
              <w:left w:w="57" w:type="dxa"/>
              <w:right w:w="57" w:type="dxa"/>
            </w:tcMar>
          </w:tcPr>
          <w:p w14:paraId="61307DBF" w14:textId="77777777" w:rsidR="004658F8" w:rsidRPr="00236418" w:rsidRDefault="004658F8" w:rsidP="009B3D24">
            <w:pPr>
              <w:pStyle w:val="Tabletext"/>
              <w:spacing w:before="20" w:after="20"/>
              <w:rPr>
                <w:b/>
                <w:bCs/>
                <w:sz w:val="18"/>
                <w:szCs w:val="18"/>
                <w:lang w:eastAsia="fr-FR"/>
              </w:rPr>
            </w:pPr>
            <w:r w:rsidRPr="00236418">
              <w:rPr>
                <w:b/>
                <w:bCs/>
                <w:sz w:val="18"/>
                <w:szCs w:val="18"/>
              </w:rPr>
              <w:t>Recouvrement des coûts</w:t>
            </w:r>
          </w:p>
        </w:tc>
        <w:tc>
          <w:tcPr>
            <w:tcW w:w="1134" w:type="dxa"/>
            <w:tcBorders>
              <w:top w:val="nil"/>
              <w:bottom w:val="nil"/>
            </w:tcBorders>
            <w:tcMar>
              <w:left w:w="57" w:type="dxa"/>
              <w:right w:w="57" w:type="dxa"/>
            </w:tcMar>
            <w:vAlign w:val="bottom"/>
          </w:tcPr>
          <w:p w14:paraId="1C54F26A"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36 375</w:t>
            </w:r>
          </w:p>
        </w:tc>
        <w:tc>
          <w:tcPr>
            <w:tcW w:w="1390" w:type="dxa"/>
            <w:tcBorders>
              <w:top w:val="nil"/>
              <w:bottom w:val="nil"/>
            </w:tcBorders>
            <w:vAlign w:val="bottom"/>
          </w:tcPr>
          <w:p w14:paraId="01E480D0"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362E56CC"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2AC4A289" w14:textId="1FE57173"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36 375</w:t>
            </w:r>
          </w:p>
        </w:tc>
        <w:tc>
          <w:tcPr>
            <w:tcW w:w="1330" w:type="dxa"/>
            <w:tcBorders>
              <w:top w:val="nil"/>
              <w:bottom w:val="nil"/>
            </w:tcBorders>
            <w:tcMar>
              <w:left w:w="57" w:type="dxa"/>
              <w:right w:w="57" w:type="dxa"/>
            </w:tcMar>
            <w:vAlign w:val="bottom"/>
          </w:tcPr>
          <w:p w14:paraId="549C24C1" w14:textId="5E0F16A8"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29 753</w:t>
            </w:r>
          </w:p>
        </w:tc>
        <w:tc>
          <w:tcPr>
            <w:tcW w:w="1310" w:type="dxa"/>
            <w:tcBorders>
              <w:top w:val="nil"/>
              <w:bottom w:val="nil"/>
            </w:tcBorders>
            <w:tcMar>
              <w:left w:w="57" w:type="dxa"/>
              <w:right w:w="57" w:type="dxa"/>
            </w:tcMar>
            <w:vAlign w:val="bottom"/>
          </w:tcPr>
          <w:p w14:paraId="053AE8CB" w14:textId="5445F976"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–6 622</w:t>
            </w:r>
          </w:p>
        </w:tc>
      </w:tr>
      <w:tr w:rsidR="004658F8" w:rsidRPr="00236418" w14:paraId="11BFC6F3" w14:textId="77777777" w:rsidTr="006538EB">
        <w:trPr>
          <w:jc w:val="center"/>
        </w:trPr>
        <w:tc>
          <w:tcPr>
            <w:tcW w:w="3402" w:type="dxa"/>
            <w:tcBorders>
              <w:top w:val="nil"/>
              <w:bottom w:val="nil"/>
            </w:tcBorders>
            <w:tcMar>
              <w:left w:w="57" w:type="dxa"/>
              <w:right w:w="57" w:type="dxa"/>
            </w:tcMar>
          </w:tcPr>
          <w:p w14:paraId="0F74B7CE" w14:textId="77777777" w:rsidR="004658F8" w:rsidRPr="00236418" w:rsidRDefault="004658F8" w:rsidP="009B3D24">
            <w:pPr>
              <w:pStyle w:val="Tabletext"/>
              <w:spacing w:before="20" w:after="20"/>
              <w:rPr>
                <w:b/>
                <w:bCs/>
                <w:sz w:val="18"/>
                <w:szCs w:val="18"/>
              </w:rPr>
            </w:pPr>
            <w:r w:rsidRPr="00236418">
              <w:rPr>
                <w:rFonts w:asciiTheme="minorHAnsi" w:hAnsiTheme="minorHAnsi" w:cs="Arial"/>
                <w:b/>
                <w:bCs/>
                <w:color w:val="000000"/>
                <w:sz w:val="18"/>
                <w:szCs w:val="18"/>
                <w:lang w:eastAsia="zh-CN"/>
              </w:rPr>
              <w:t>Intérêts</w:t>
            </w:r>
          </w:p>
        </w:tc>
        <w:tc>
          <w:tcPr>
            <w:tcW w:w="1134" w:type="dxa"/>
            <w:tcBorders>
              <w:top w:val="nil"/>
              <w:bottom w:val="nil"/>
            </w:tcBorders>
            <w:tcMar>
              <w:left w:w="57" w:type="dxa"/>
              <w:right w:w="57" w:type="dxa"/>
            </w:tcMar>
            <w:vAlign w:val="bottom"/>
          </w:tcPr>
          <w:p w14:paraId="0BBC2584"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300</w:t>
            </w:r>
          </w:p>
        </w:tc>
        <w:tc>
          <w:tcPr>
            <w:tcW w:w="1390" w:type="dxa"/>
            <w:tcBorders>
              <w:top w:val="nil"/>
              <w:bottom w:val="nil"/>
            </w:tcBorders>
            <w:vAlign w:val="bottom"/>
          </w:tcPr>
          <w:p w14:paraId="4BF7FDF6"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03D6AB60"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5D792FA8" w14:textId="2867343B"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300</w:t>
            </w:r>
          </w:p>
        </w:tc>
        <w:tc>
          <w:tcPr>
            <w:tcW w:w="1330" w:type="dxa"/>
            <w:tcBorders>
              <w:top w:val="nil"/>
              <w:bottom w:val="nil"/>
            </w:tcBorders>
            <w:tcMar>
              <w:left w:w="57" w:type="dxa"/>
              <w:right w:w="57" w:type="dxa"/>
            </w:tcMar>
            <w:vAlign w:val="bottom"/>
          </w:tcPr>
          <w:p w14:paraId="0D261933" w14:textId="17709C7B"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408</w:t>
            </w:r>
          </w:p>
        </w:tc>
        <w:tc>
          <w:tcPr>
            <w:tcW w:w="1310" w:type="dxa"/>
            <w:tcBorders>
              <w:top w:val="nil"/>
              <w:bottom w:val="nil"/>
            </w:tcBorders>
            <w:tcMar>
              <w:left w:w="57" w:type="dxa"/>
              <w:right w:w="57" w:type="dxa"/>
            </w:tcMar>
            <w:vAlign w:val="bottom"/>
          </w:tcPr>
          <w:p w14:paraId="09A172DA" w14:textId="1C6771AF"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108</w:t>
            </w:r>
          </w:p>
        </w:tc>
      </w:tr>
      <w:tr w:rsidR="004658F8" w:rsidRPr="00236418" w14:paraId="506C7352" w14:textId="77777777" w:rsidTr="006538EB">
        <w:trPr>
          <w:jc w:val="center"/>
        </w:trPr>
        <w:tc>
          <w:tcPr>
            <w:tcW w:w="3402" w:type="dxa"/>
            <w:tcBorders>
              <w:top w:val="nil"/>
              <w:bottom w:val="nil"/>
            </w:tcBorders>
            <w:tcMar>
              <w:left w:w="57" w:type="dxa"/>
              <w:right w:w="57" w:type="dxa"/>
            </w:tcMar>
          </w:tcPr>
          <w:p w14:paraId="05402322" w14:textId="77777777" w:rsidR="004658F8" w:rsidRPr="00236418" w:rsidRDefault="004658F8" w:rsidP="009B3D24">
            <w:pPr>
              <w:pStyle w:val="Tabletext"/>
              <w:spacing w:before="20" w:after="20"/>
              <w:rPr>
                <w:b/>
                <w:bCs/>
                <w:sz w:val="18"/>
                <w:szCs w:val="18"/>
                <w:lang w:eastAsia="fr-FR"/>
              </w:rPr>
            </w:pPr>
            <w:r w:rsidRPr="00236418">
              <w:rPr>
                <w:b/>
                <w:bCs/>
                <w:sz w:val="18"/>
                <w:szCs w:val="18"/>
              </w:rPr>
              <w:t>Autres produits</w:t>
            </w:r>
          </w:p>
        </w:tc>
        <w:tc>
          <w:tcPr>
            <w:tcW w:w="1134" w:type="dxa"/>
            <w:tcBorders>
              <w:top w:val="nil"/>
              <w:bottom w:val="nil"/>
            </w:tcBorders>
            <w:tcMar>
              <w:left w:w="57" w:type="dxa"/>
              <w:right w:w="57" w:type="dxa"/>
            </w:tcMar>
            <w:vAlign w:val="bottom"/>
          </w:tcPr>
          <w:p w14:paraId="08909470"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236418">
              <w:rPr>
                <w:rFonts w:cs="Arial"/>
                <w:b/>
                <w:bCs/>
                <w:sz w:val="18"/>
                <w:szCs w:val="18"/>
                <w:lang w:eastAsia="zh-CN"/>
              </w:rPr>
              <w:t>100</w:t>
            </w:r>
          </w:p>
        </w:tc>
        <w:tc>
          <w:tcPr>
            <w:tcW w:w="1390" w:type="dxa"/>
            <w:tcBorders>
              <w:top w:val="nil"/>
              <w:bottom w:val="nil"/>
            </w:tcBorders>
            <w:vAlign w:val="bottom"/>
          </w:tcPr>
          <w:p w14:paraId="2D9B524C"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3AB0FDA2"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32FF0964" w14:textId="5E0F8E1B"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sz w:val="18"/>
                <w:szCs w:val="18"/>
                <w:lang w:eastAsia="zh-CN"/>
              </w:rPr>
              <w:t>100</w:t>
            </w:r>
          </w:p>
        </w:tc>
        <w:tc>
          <w:tcPr>
            <w:tcW w:w="1330" w:type="dxa"/>
            <w:tcBorders>
              <w:top w:val="nil"/>
              <w:bottom w:val="nil"/>
            </w:tcBorders>
            <w:tcMar>
              <w:left w:w="57" w:type="dxa"/>
              <w:right w:w="57" w:type="dxa"/>
            </w:tcMar>
            <w:vAlign w:val="bottom"/>
          </w:tcPr>
          <w:p w14:paraId="7D181D7D" w14:textId="344829A2"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236418">
              <w:rPr>
                <w:rFonts w:cs="Arial"/>
                <w:b/>
                <w:bCs/>
                <w:sz w:val="18"/>
                <w:szCs w:val="18"/>
                <w:lang w:eastAsia="zh-CN"/>
              </w:rPr>
              <w:t>1 110</w:t>
            </w:r>
          </w:p>
        </w:tc>
        <w:tc>
          <w:tcPr>
            <w:tcW w:w="1310" w:type="dxa"/>
            <w:tcBorders>
              <w:top w:val="nil"/>
              <w:bottom w:val="nil"/>
            </w:tcBorders>
            <w:tcMar>
              <w:left w:w="57" w:type="dxa"/>
              <w:right w:w="57" w:type="dxa"/>
            </w:tcMar>
            <w:vAlign w:val="bottom"/>
          </w:tcPr>
          <w:p w14:paraId="21302E49" w14:textId="40F9084B"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236418">
              <w:rPr>
                <w:rFonts w:cs="Arial"/>
                <w:b/>
                <w:bCs/>
                <w:sz w:val="18"/>
                <w:szCs w:val="18"/>
                <w:lang w:eastAsia="zh-CN"/>
              </w:rPr>
              <w:t>1 010</w:t>
            </w:r>
          </w:p>
        </w:tc>
      </w:tr>
      <w:tr w:rsidR="004658F8" w:rsidRPr="00236418" w14:paraId="0BD3305F" w14:textId="77777777" w:rsidTr="006538EB">
        <w:trPr>
          <w:jc w:val="center"/>
        </w:trPr>
        <w:tc>
          <w:tcPr>
            <w:tcW w:w="3402" w:type="dxa"/>
            <w:tcBorders>
              <w:top w:val="nil"/>
            </w:tcBorders>
            <w:tcMar>
              <w:left w:w="57" w:type="dxa"/>
              <w:right w:w="57" w:type="dxa"/>
            </w:tcMar>
          </w:tcPr>
          <w:p w14:paraId="6B90F198" w14:textId="77777777" w:rsidR="004658F8" w:rsidRPr="00236418" w:rsidRDefault="004658F8" w:rsidP="009B3D24">
            <w:pPr>
              <w:pStyle w:val="Tabletext"/>
              <w:spacing w:before="20" w:after="20"/>
              <w:rPr>
                <w:b/>
                <w:bCs/>
                <w:sz w:val="18"/>
                <w:szCs w:val="18"/>
                <w:lang w:eastAsia="fr-FR"/>
              </w:rPr>
            </w:pPr>
            <w:r w:rsidRPr="00236418">
              <w:rPr>
                <w:b/>
                <w:bCs/>
                <w:sz w:val="18"/>
                <w:szCs w:val="18"/>
              </w:rPr>
              <w:t>Prélèvement sur le Fonds de réserve</w:t>
            </w:r>
          </w:p>
        </w:tc>
        <w:tc>
          <w:tcPr>
            <w:tcW w:w="1134" w:type="dxa"/>
            <w:tcBorders>
              <w:top w:val="nil"/>
            </w:tcBorders>
            <w:tcMar>
              <w:left w:w="57" w:type="dxa"/>
              <w:right w:w="57" w:type="dxa"/>
            </w:tcMar>
          </w:tcPr>
          <w:p w14:paraId="32914822" w14:textId="10A4D79A"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1 095</w:t>
            </w:r>
          </w:p>
        </w:tc>
        <w:tc>
          <w:tcPr>
            <w:tcW w:w="1390" w:type="dxa"/>
            <w:tcBorders>
              <w:top w:val="nil"/>
            </w:tcBorders>
          </w:tcPr>
          <w:p w14:paraId="0A891A32"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Borders>
              <w:top w:val="nil"/>
            </w:tcBorders>
            <w:tcMar>
              <w:left w:w="57" w:type="dxa"/>
              <w:right w:w="57" w:type="dxa"/>
            </w:tcMar>
          </w:tcPr>
          <w:p w14:paraId="48BE9B79"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Borders>
              <w:top w:val="nil"/>
            </w:tcBorders>
            <w:tcMar>
              <w:left w:w="57" w:type="dxa"/>
              <w:right w:w="57" w:type="dxa"/>
            </w:tcMar>
          </w:tcPr>
          <w:p w14:paraId="535F4A58" w14:textId="39CF26ED"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1 095</w:t>
            </w:r>
          </w:p>
        </w:tc>
        <w:tc>
          <w:tcPr>
            <w:tcW w:w="1330" w:type="dxa"/>
            <w:tcBorders>
              <w:top w:val="nil"/>
            </w:tcBorders>
            <w:tcMar>
              <w:left w:w="57" w:type="dxa"/>
              <w:right w:w="57" w:type="dxa"/>
            </w:tcMar>
          </w:tcPr>
          <w:p w14:paraId="09B40690" w14:textId="4F71F581"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w:t>
            </w:r>
          </w:p>
        </w:tc>
        <w:tc>
          <w:tcPr>
            <w:tcW w:w="1310" w:type="dxa"/>
            <w:tcBorders>
              <w:top w:val="nil"/>
            </w:tcBorders>
            <w:tcMar>
              <w:left w:w="57" w:type="dxa"/>
              <w:right w:w="57" w:type="dxa"/>
            </w:tcMar>
          </w:tcPr>
          <w:p w14:paraId="5A6C67B3" w14:textId="057743A3"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–1 095</w:t>
            </w:r>
          </w:p>
        </w:tc>
      </w:tr>
      <w:tr w:rsidR="004658F8" w:rsidRPr="00236418" w14:paraId="4D68764D" w14:textId="77777777" w:rsidTr="006538EB">
        <w:trPr>
          <w:jc w:val="center"/>
        </w:trPr>
        <w:tc>
          <w:tcPr>
            <w:tcW w:w="3402" w:type="dxa"/>
            <w:tcMar>
              <w:left w:w="57" w:type="dxa"/>
              <w:right w:w="57" w:type="dxa"/>
            </w:tcMar>
          </w:tcPr>
          <w:p w14:paraId="3FF36708" w14:textId="77777777" w:rsidR="004658F8" w:rsidRPr="00236418" w:rsidRDefault="004658F8" w:rsidP="009B3D24">
            <w:pPr>
              <w:pStyle w:val="Tablehead"/>
              <w:spacing w:before="20" w:after="20"/>
              <w:jc w:val="left"/>
              <w:rPr>
                <w:bCs/>
                <w:sz w:val="18"/>
                <w:szCs w:val="18"/>
              </w:rPr>
            </w:pPr>
            <w:r w:rsidRPr="00236418">
              <w:rPr>
                <w:rFonts w:cs="Arial"/>
                <w:bCs/>
                <w:color w:val="000000"/>
                <w:sz w:val="18"/>
                <w:szCs w:val="18"/>
                <w:lang w:eastAsia="zh-CN"/>
              </w:rPr>
              <w:t>Économies découlant de la mise en œuvre du budget</w:t>
            </w:r>
          </w:p>
        </w:tc>
        <w:tc>
          <w:tcPr>
            <w:tcW w:w="1134" w:type="dxa"/>
            <w:tcMar>
              <w:left w:w="57" w:type="dxa"/>
              <w:right w:w="57" w:type="dxa"/>
            </w:tcMar>
          </w:tcPr>
          <w:p w14:paraId="77C4726C" w14:textId="5FD2C2A4"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2 469</w:t>
            </w:r>
          </w:p>
        </w:tc>
        <w:tc>
          <w:tcPr>
            <w:tcW w:w="1390" w:type="dxa"/>
          </w:tcPr>
          <w:p w14:paraId="4666953E"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Arial"/>
                <w:color w:val="000000"/>
                <w:sz w:val="18"/>
                <w:szCs w:val="18"/>
                <w:lang w:eastAsia="zh-CN"/>
              </w:rPr>
              <w:t> </w:t>
            </w:r>
          </w:p>
        </w:tc>
        <w:tc>
          <w:tcPr>
            <w:tcW w:w="1154" w:type="dxa"/>
            <w:tcMar>
              <w:left w:w="57" w:type="dxa"/>
              <w:right w:w="57" w:type="dxa"/>
            </w:tcMar>
          </w:tcPr>
          <w:p w14:paraId="687836AD" w14:textId="77777777"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Arial"/>
                <w:color w:val="000000"/>
                <w:sz w:val="18"/>
                <w:szCs w:val="18"/>
                <w:lang w:eastAsia="zh-CN"/>
              </w:rPr>
              <w:t> </w:t>
            </w:r>
          </w:p>
        </w:tc>
        <w:tc>
          <w:tcPr>
            <w:tcW w:w="1087" w:type="dxa"/>
            <w:tcMar>
              <w:left w:w="57" w:type="dxa"/>
              <w:right w:w="57" w:type="dxa"/>
            </w:tcMar>
          </w:tcPr>
          <w:p w14:paraId="66D66BCE" w14:textId="55DBEC84" w:rsidR="004658F8"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2 469</w:t>
            </w:r>
          </w:p>
        </w:tc>
        <w:tc>
          <w:tcPr>
            <w:tcW w:w="1330" w:type="dxa"/>
            <w:tcMar>
              <w:left w:w="57" w:type="dxa"/>
              <w:right w:w="57" w:type="dxa"/>
            </w:tcMar>
          </w:tcPr>
          <w:p w14:paraId="4AF29953" w14:textId="61E444E8"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Arial"/>
                <w:color w:val="000000"/>
                <w:sz w:val="18"/>
                <w:szCs w:val="18"/>
                <w:lang w:eastAsia="zh-CN"/>
              </w:rPr>
              <w:t>–</w:t>
            </w:r>
          </w:p>
        </w:tc>
        <w:tc>
          <w:tcPr>
            <w:tcW w:w="1310" w:type="dxa"/>
            <w:tcMar>
              <w:left w:w="57" w:type="dxa"/>
              <w:right w:w="57" w:type="dxa"/>
            </w:tcMar>
          </w:tcPr>
          <w:p w14:paraId="57F0D6AC" w14:textId="4B6A6C14" w:rsidR="004658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–2 469</w:t>
            </w:r>
          </w:p>
        </w:tc>
      </w:tr>
      <w:tr w:rsidR="00DF6159" w:rsidRPr="00236418" w14:paraId="7B5D401B" w14:textId="77777777" w:rsidTr="006538EB">
        <w:trPr>
          <w:jc w:val="center"/>
        </w:trPr>
        <w:tc>
          <w:tcPr>
            <w:tcW w:w="3402" w:type="dxa"/>
            <w:tcMar>
              <w:left w:w="57" w:type="dxa"/>
              <w:right w:w="57" w:type="dxa"/>
            </w:tcMar>
          </w:tcPr>
          <w:p w14:paraId="3B8F3E71" w14:textId="77777777" w:rsidR="00DF6159" w:rsidRPr="00236418" w:rsidRDefault="00DF6159" w:rsidP="009B3D24">
            <w:pPr>
              <w:pStyle w:val="Tablehead"/>
              <w:spacing w:before="20" w:after="20"/>
              <w:jc w:val="left"/>
              <w:rPr>
                <w:bCs/>
                <w:sz w:val="18"/>
                <w:szCs w:val="18"/>
              </w:rPr>
            </w:pPr>
            <w:r w:rsidRPr="00236418">
              <w:rPr>
                <w:bCs/>
                <w:sz w:val="18"/>
                <w:szCs w:val="18"/>
              </w:rPr>
              <w:t>Total des produits</w:t>
            </w:r>
          </w:p>
        </w:tc>
        <w:tc>
          <w:tcPr>
            <w:tcW w:w="1134" w:type="dxa"/>
            <w:tcMar>
              <w:left w:w="57" w:type="dxa"/>
              <w:right w:w="57" w:type="dxa"/>
            </w:tcMar>
            <w:vAlign w:val="bottom"/>
          </w:tcPr>
          <w:p w14:paraId="015B400F" w14:textId="40C19280" w:rsidR="00DF6159"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164 740</w:t>
            </w:r>
          </w:p>
        </w:tc>
        <w:tc>
          <w:tcPr>
            <w:tcW w:w="1390" w:type="dxa"/>
            <w:vAlign w:val="bottom"/>
          </w:tcPr>
          <w:p w14:paraId="24B52C1C"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w:t>
            </w:r>
          </w:p>
        </w:tc>
        <w:tc>
          <w:tcPr>
            <w:tcW w:w="1154" w:type="dxa"/>
            <w:tcMar>
              <w:left w:w="57" w:type="dxa"/>
              <w:right w:w="57" w:type="dxa"/>
            </w:tcMar>
            <w:vAlign w:val="bottom"/>
          </w:tcPr>
          <w:p w14:paraId="5569EB8A"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p>
        </w:tc>
        <w:tc>
          <w:tcPr>
            <w:tcW w:w="1087" w:type="dxa"/>
            <w:tcMar>
              <w:left w:w="57" w:type="dxa"/>
              <w:right w:w="57" w:type="dxa"/>
            </w:tcMar>
            <w:vAlign w:val="bottom"/>
          </w:tcPr>
          <w:p w14:paraId="5B7DE968" w14:textId="761AFA56" w:rsidR="00DF6159" w:rsidRPr="00236418"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164 740</w:t>
            </w:r>
          </w:p>
        </w:tc>
        <w:tc>
          <w:tcPr>
            <w:tcW w:w="1330" w:type="dxa"/>
            <w:tcMar>
              <w:left w:w="57" w:type="dxa"/>
              <w:right w:w="57" w:type="dxa"/>
            </w:tcMar>
            <w:vAlign w:val="bottom"/>
          </w:tcPr>
          <w:p w14:paraId="08701BE4" w14:textId="194DDBB6" w:rsidR="00DF6159" w:rsidRPr="00236418" w:rsidRDefault="00F00FE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157 757</w:t>
            </w:r>
          </w:p>
        </w:tc>
        <w:tc>
          <w:tcPr>
            <w:tcW w:w="1310" w:type="dxa"/>
            <w:tcMar>
              <w:left w:w="57" w:type="dxa"/>
              <w:right w:w="57" w:type="dxa"/>
            </w:tcMar>
            <w:vAlign w:val="bottom"/>
          </w:tcPr>
          <w:p w14:paraId="4FEABCE3" w14:textId="3FDD30AA" w:rsidR="00DF6159"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–6 983</w:t>
            </w:r>
          </w:p>
        </w:tc>
      </w:tr>
      <w:tr w:rsidR="00DF6159" w:rsidRPr="00236418" w14:paraId="732026CC" w14:textId="77777777" w:rsidTr="006538EB">
        <w:trPr>
          <w:jc w:val="center"/>
        </w:trPr>
        <w:tc>
          <w:tcPr>
            <w:tcW w:w="3402" w:type="dxa"/>
            <w:vMerge w:val="restart"/>
            <w:tcMar>
              <w:left w:w="57" w:type="dxa"/>
              <w:right w:w="57" w:type="dxa"/>
            </w:tcMar>
            <w:vAlign w:val="center"/>
          </w:tcPr>
          <w:p w14:paraId="43713E60" w14:textId="77777777" w:rsidR="00DF6159" w:rsidRPr="00236418" w:rsidRDefault="00DF6159" w:rsidP="009B3D24">
            <w:pPr>
              <w:pStyle w:val="Tablehead"/>
              <w:spacing w:before="40" w:after="40"/>
              <w:rPr>
                <w:sz w:val="18"/>
                <w:szCs w:val="18"/>
              </w:rPr>
            </w:pPr>
            <w:r w:rsidRPr="00236418">
              <w:rPr>
                <w:sz w:val="18"/>
                <w:szCs w:val="18"/>
              </w:rPr>
              <w:t>Charges</w:t>
            </w:r>
          </w:p>
        </w:tc>
        <w:tc>
          <w:tcPr>
            <w:tcW w:w="4765" w:type="dxa"/>
            <w:gridSpan w:val="4"/>
          </w:tcPr>
          <w:p w14:paraId="6A72B85F" w14:textId="77777777" w:rsidR="00DF6159" w:rsidRPr="00236418" w:rsidRDefault="00DF6159" w:rsidP="009B3D24">
            <w:pPr>
              <w:pStyle w:val="Tablehead"/>
              <w:spacing w:before="20" w:after="20"/>
              <w:rPr>
                <w:sz w:val="18"/>
                <w:szCs w:val="18"/>
              </w:rPr>
            </w:pPr>
            <w:r w:rsidRPr="00236418">
              <w:rPr>
                <w:sz w:val="18"/>
                <w:szCs w:val="18"/>
              </w:rPr>
              <w:t>Montants budgétés</w:t>
            </w:r>
          </w:p>
        </w:tc>
        <w:tc>
          <w:tcPr>
            <w:tcW w:w="1330" w:type="dxa"/>
            <w:vMerge w:val="restart"/>
            <w:tcMar>
              <w:left w:w="57" w:type="dxa"/>
              <w:right w:w="57" w:type="dxa"/>
            </w:tcMar>
            <w:vAlign w:val="center"/>
          </w:tcPr>
          <w:p w14:paraId="4E180A00" w14:textId="77777777" w:rsidR="00DF6159" w:rsidRPr="00236418" w:rsidRDefault="00DF6159" w:rsidP="009B3D24">
            <w:pPr>
              <w:pStyle w:val="Tablehead"/>
              <w:spacing w:before="20" w:after="20"/>
              <w:rPr>
                <w:sz w:val="18"/>
                <w:szCs w:val="18"/>
              </w:rPr>
            </w:pPr>
            <w:r w:rsidRPr="00236418">
              <w:rPr>
                <w:sz w:val="18"/>
                <w:szCs w:val="18"/>
              </w:rPr>
              <w:t>Montants</w:t>
            </w:r>
          </w:p>
          <w:p w14:paraId="0B4474A6" w14:textId="77777777" w:rsidR="00DF6159" w:rsidRPr="00236418" w:rsidRDefault="00DF6159" w:rsidP="009B3D24">
            <w:pPr>
              <w:pStyle w:val="Tablehead"/>
              <w:spacing w:before="20" w:after="20"/>
              <w:rPr>
                <w:sz w:val="18"/>
                <w:szCs w:val="18"/>
              </w:rPr>
            </w:pPr>
            <w:r w:rsidRPr="00236418">
              <w:rPr>
                <w:sz w:val="18"/>
                <w:szCs w:val="18"/>
              </w:rPr>
              <w:t>effectifs sur</w:t>
            </w:r>
          </w:p>
          <w:p w14:paraId="5C3BC531" w14:textId="77777777" w:rsidR="00DF6159" w:rsidRPr="00236418" w:rsidRDefault="00DF6159" w:rsidP="009B3D24">
            <w:pPr>
              <w:pStyle w:val="Tablehead"/>
              <w:spacing w:before="20" w:after="20"/>
              <w:rPr>
                <w:sz w:val="18"/>
                <w:szCs w:val="18"/>
              </w:rPr>
            </w:pPr>
            <w:r w:rsidRPr="00236418">
              <w:rPr>
                <w:sz w:val="18"/>
                <w:szCs w:val="18"/>
              </w:rPr>
              <w:t>une base</w:t>
            </w:r>
          </w:p>
          <w:p w14:paraId="7C08CE2D" w14:textId="77777777" w:rsidR="00DF6159" w:rsidRPr="00236418" w:rsidRDefault="00DF6159" w:rsidP="009B3D24">
            <w:pPr>
              <w:pStyle w:val="Tablehead"/>
              <w:spacing w:before="20" w:after="20"/>
              <w:rPr>
                <w:sz w:val="18"/>
                <w:szCs w:val="18"/>
              </w:rPr>
            </w:pPr>
            <w:r w:rsidRPr="00236418">
              <w:rPr>
                <w:sz w:val="18"/>
                <w:szCs w:val="18"/>
              </w:rPr>
              <w:t>comparable</w:t>
            </w:r>
          </w:p>
        </w:tc>
        <w:tc>
          <w:tcPr>
            <w:tcW w:w="1310" w:type="dxa"/>
            <w:vMerge w:val="restart"/>
            <w:tcMar>
              <w:left w:w="57" w:type="dxa"/>
              <w:right w:w="57" w:type="dxa"/>
            </w:tcMar>
            <w:vAlign w:val="center"/>
          </w:tcPr>
          <w:p w14:paraId="78DA8B55" w14:textId="77777777" w:rsidR="00DF6159" w:rsidRPr="00236418" w:rsidRDefault="00DF6159" w:rsidP="009B3D24">
            <w:pPr>
              <w:pStyle w:val="Tablehead"/>
              <w:spacing w:before="20" w:after="20"/>
              <w:rPr>
                <w:sz w:val="18"/>
                <w:szCs w:val="18"/>
              </w:rPr>
            </w:pPr>
            <w:r w:rsidRPr="00236418">
              <w:rPr>
                <w:sz w:val="18"/>
                <w:szCs w:val="18"/>
              </w:rPr>
              <w:t>Différence entre budget final et montants effectifs</w:t>
            </w:r>
          </w:p>
        </w:tc>
      </w:tr>
      <w:tr w:rsidR="00DF6159" w:rsidRPr="00236418" w14:paraId="0A03DCBF" w14:textId="77777777" w:rsidTr="006538EB">
        <w:trPr>
          <w:trHeight w:val="952"/>
          <w:jc w:val="center"/>
        </w:trPr>
        <w:tc>
          <w:tcPr>
            <w:tcW w:w="3402" w:type="dxa"/>
            <w:vMerge/>
            <w:tcMar>
              <w:left w:w="57" w:type="dxa"/>
              <w:right w:w="57" w:type="dxa"/>
            </w:tcMar>
          </w:tcPr>
          <w:p w14:paraId="337D681B" w14:textId="77777777" w:rsidR="00DF6159" w:rsidRPr="00236418" w:rsidRDefault="00DF6159" w:rsidP="009B3D24">
            <w:pPr>
              <w:pStyle w:val="Tablehead"/>
              <w:spacing w:before="40" w:after="40"/>
              <w:rPr>
                <w:sz w:val="18"/>
                <w:szCs w:val="18"/>
              </w:rPr>
            </w:pPr>
          </w:p>
        </w:tc>
        <w:tc>
          <w:tcPr>
            <w:tcW w:w="1134" w:type="dxa"/>
            <w:tcMar>
              <w:left w:w="57" w:type="dxa"/>
              <w:right w:w="57" w:type="dxa"/>
            </w:tcMar>
            <w:vAlign w:val="center"/>
          </w:tcPr>
          <w:p w14:paraId="6D0FA15B" w14:textId="77777777" w:rsidR="00DF6159" w:rsidRPr="00236418" w:rsidRDefault="00DF6159" w:rsidP="009B3D24">
            <w:pPr>
              <w:pStyle w:val="Tablehead"/>
              <w:spacing w:before="20" w:after="20"/>
              <w:rPr>
                <w:sz w:val="18"/>
                <w:szCs w:val="18"/>
              </w:rPr>
            </w:pPr>
            <w:r w:rsidRPr="00236418">
              <w:rPr>
                <w:sz w:val="18"/>
                <w:szCs w:val="18"/>
              </w:rPr>
              <w:t>Budget</w:t>
            </w:r>
          </w:p>
          <w:p w14:paraId="0BAE2031" w14:textId="77777777" w:rsidR="00DF6159" w:rsidRPr="00236418" w:rsidRDefault="00DF6159" w:rsidP="009B3D24">
            <w:pPr>
              <w:pStyle w:val="Tablehead"/>
              <w:spacing w:before="20" w:after="20"/>
              <w:rPr>
                <w:sz w:val="18"/>
                <w:szCs w:val="18"/>
              </w:rPr>
            </w:pPr>
            <w:r w:rsidRPr="00236418">
              <w:rPr>
                <w:sz w:val="18"/>
                <w:szCs w:val="18"/>
              </w:rPr>
              <w:t>initial</w:t>
            </w:r>
          </w:p>
        </w:tc>
        <w:tc>
          <w:tcPr>
            <w:tcW w:w="1390" w:type="dxa"/>
            <w:vAlign w:val="center"/>
          </w:tcPr>
          <w:p w14:paraId="32159C4B" w14:textId="77777777" w:rsidR="00DF6159" w:rsidRPr="00236418" w:rsidRDefault="00DF6159" w:rsidP="009B3D24">
            <w:pPr>
              <w:pStyle w:val="Tablehead"/>
              <w:spacing w:before="20" w:after="20"/>
              <w:rPr>
                <w:sz w:val="18"/>
                <w:szCs w:val="18"/>
              </w:rPr>
            </w:pPr>
            <w:r w:rsidRPr="00236418">
              <w:rPr>
                <w:rFonts w:asciiTheme="minorHAnsi" w:hAnsiTheme="minorHAnsi" w:cs="Arial"/>
                <w:bCs/>
                <w:color w:val="000000"/>
                <w:sz w:val="18"/>
                <w:szCs w:val="18"/>
                <w:lang w:eastAsia="zh-CN"/>
              </w:rPr>
              <w:t>Activités reportées</w:t>
            </w:r>
          </w:p>
        </w:tc>
        <w:tc>
          <w:tcPr>
            <w:tcW w:w="1154" w:type="dxa"/>
            <w:tcMar>
              <w:left w:w="57" w:type="dxa"/>
              <w:right w:w="57" w:type="dxa"/>
            </w:tcMar>
            <w:vAlign w:val="center"/>
          </w:tcPr>
          <w:p w14:paraId="0219AE56" w14:textId="77777777" w:rsidR="00DF6159" w:rsidRPr="00236418" w:rsidRDefault="00DF6159" w:rsidP="009B3D24">
            <w:pPr>
              <w:pStyle w:val="Tablehead"/>
              <w:spacing w:before="20" w:after="20"/>
              <w:rPr>
                <w:sz w:val="18"/>
                <w:szCs w:val="18"/>
              </w:rPr>
            </w:pPr>
            <w:r w:rsidRPr="00236418">
              <w:rPr>
                <w:sz w:val="18"/>
                <w:szCs w:val="18"/>
              </w:rPr>
              <w:t>Transferts budgétaires</w:t>
            </w:r>
          </w:p>
        </w:tc>
        <w:tc>
          <w:tcPr>
            <w:tcW w:w="1087" w:type="dxa"/>
            <w:tcMar>
              <w:left w:w="57" w:type="dxa"/>
              <w:right w:w="57" w:type="dxa"/>
            </w:tcMar>
            <w:vAlign w:val="center"/>
          </w:tcPr>
          <w:p w14:paraId="2E41B87D" w14:textId="77777777" w:rsidR="00DF6159" w:rsidRPr="00236418" w:rsidRDefault="00DF6159" w:rsidP="009B3D24">
            <w:pPr>
              <w:pStyle w:val="Tablehead"/>
              <w:spacing w:before="20" w:after="20"/>
              <w:rPr>
                <w:sz w:val="18"/>
                <w:szCs w:val="18"/>
              </w:rPr>
            </w:pPr>
            <w:r w:rsidRPr="00236418">
              <w:rPr>
                <w:sz w:val="18"/>
                <w:szCs w:val="18"/>
                <w:lang w:eastAsia="fr-FR"/>
              </w:rPr>
              <w:t>Budget final</w:t>
            </w:r>
          </w:p>
        </w:tc>
        <w:tc>
          <w:tcPr>
            <w:tcW w:w="1330" w:type="dxa"/>
            <w:vMerge/>
            <w:tcMar>
              <w:left w:w="57" w:type="dxa"/>
              <w:right w:w="57" w:type="dxa"/>
            </w:tcMar>
          </w:tcPr>
          <w:p w14:paraId="2A4F6370" w14:textId="77777777" w:rsidR="00DF6159" w:rsidRPr="00236418" w:rsidRDefault="00DF6159" w:rsidP="009B3D24">
            <w:pPr>
              <w:pStyle w:val="Tablehead"/>
              <w:spacing w:before="20" w:after="20"/>
              <w:rPr>
                <w:sz w:val="18"/>
                <w:szCs w:val="18"/>
              </w:rPr>
            </w:pPr>
          </w:p>
        </w:tc>
        <w:tc>
          <w:tcPr>
            <w:tcW w:w="1310" w:type="dxa"/>
            <w:vMerge/>
            <w:tcMar>
              <w:left w:w="57" w:type="dxa"/>
              <w:right w:w="57" w:type="dxa"/>
            </w:tcMar>
          </w:tcPr>
          <w:p w14:paraId="42A689DE" w14:textId="77777777" w:rsidR="00DF6159" w:rsidRPr="00236418" w:rsidRDefault="00DF6159" w:rsidP="009B3D24">
            <w:pPr>
              <w:pStyle w:val="Tablehead"/>
              <w:spacing w:before="20" w:after="20"/>
              <w:rPr>
                <w:sz w:val="18"/>
                <w:szCs w:val="18"/>
              </w:rPr>
            </w:pPr>
          </w:p>
        </w:tc>
      </w:tr>
      <w:tr w:rsidR="00DF6159" w:rsidRPr="00236418" w14:paraId="150906C1" w14:textId="77777777" w:rsidTr="006538EB">
        <w:trPr>
          <w:jc w:val="center"/>
        </w:trPr>
        <w:tc>
          <w:tcPr>
            <w:tcW w:w="3402" w:type="dxa"/>
            <w:vMerge/>
            <w:tcBorders>
              <w:bottom w:val="single" w:sz="4" w:space="0" w:color="auto"/>
            </w:tcBorders>
            <w:tcMar>
              <w:left w:w="57" w:type="dxa"/>
              <w:right w:w="57" w:type="dxa"/>
            </w:tcMar>
          </w:tcPr>
          <w:p w14:paraId="51384FB8" w14:textId="77777777" w:rsidR="00DF6159" w:rsidRPr="00236418" w:rsidRDefault="00DF6159" w:rsidP="009B3D24">
            <w:pPr>
              <w:pStyle w:val="Tablehead"/>
              <w:spacing w:before="40" w:after="40"/>
              <w:rPr>
                <w:sz w:val="18"/>
                <w:szCs w:val="18"/>
              </w:rPr>
            </w:pPr>
          </w:p>
        </w:tc>
        <w:tc>
          <w:tcPr>
            <w:tcW w:w="1134" w:type="dxa"/>
            <w:tcBorders>
              <w:bottom w:val="single" w:sz="4" w:space="0" w:color="auto"/>
            </w:tcBorders>
            <w:tcMar>
              <w:left w:w="57" w:type="dxa"/>
              <w:right w:w="57" w:type="dxa"/>
            </w:tcMar>
            <w:vAlign w:val="center"/>
          </w:tcPr>
          <w:p w14:paraId="785738DB" w14:textId="736309D6"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390" w:type="dxa"/>
            <w:tcBorders>
              <w:bottom w:val="single" w:sz="4" w:space="0" w:color="auto"/>
            </w:tcBorders>
          </w:tcPr>
          <w:p w14:paraId="452D22CB" w14:textId="195D8993"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154" w:type="dxa"/>
            <w:tcBorders>
              <w:bottom w:val="single" w:sz="4" w:space="0" w:color="auto"/>
            </w:tcBorders>
            <w:tcMar>
              <w:left w:w="57" w:type="dxa"/>
              <w:right w:w="57" w:type="dxa"/>
            </w:tcMar>
            <w:vAlign w:val="center"/>
          </w:tcPr>
          <w:p w14:paraId="6F9C9BB0" w14:textId="5289D808"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087" w:type="dxa"/>
            <w:tcBorders>
              <w:bottom w:val="single" w:sz="4" w:space="0" w:color="auto"/>
            </w:tcBorders>
            <w:tcMar>
              <w:left w:w="57" w:type="dxa"/>
              <w:right w:w="57" w:type="dxa"/>
            </w:tcMar>
            <w:vAlign w:val="center"/>
          </w:tcPr>
          <w:p w14:paraId="660D95E3" w14:textId="4284651E"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330" w:type="dxa"/>
            <w:tcBorders>
              <w:bottom w:val="single" w:sz="4" w:space="0" w:color="auto"/>
            </w:tcBorders>
            <w:tcMar>
              <w:left w:w="57" w:type="dxa"/>
              <w:right w:w="57" w:type="dxa"/>
            </w:tcMar>
            <w:vAlign w:val="center"/>
          </w:tcPr>
          <w:p w14:paraId="323C157C" w14:textId="53E86D6A"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c>
          <w:tcPr>
            <w:tcW w:w="1310" w:type="dxa"/>
            <w:tcBorders>
              <w:bottom w:val="single" w:sz="4" w:space="0" w:color="auto"/>
            </w:tcBorders>
            <w:tcMar>
              <w:left w:w="57" w:type="dxa"/>
              <w:right w:w="57" w:type="dxa"/>
            </w:tcMar>
            <w:vAlign w:val="center"/>
          </w:tcPr>
          <w:p w14:paraId="4610FEBA" w14:textId="052F8B98" w:rsidR="00DF6159" w:rsidRPr="00236418" w:rsidRDefault="00DF6159" w:rsidP="009B3D24">
            <w:pPr>
              <w:pStyle w:val="Tablehead"/>
              <w:spacing w:before="20" w:after="20"/>
              <w:rPr>
                <w:sz w:val="18"/>
                <w:szCs w:val="18"/>
                <w:lang w:eastAsia="fr-FR"/>
              </w:rPr>
            </w:pPr>
            <w:r w:rsidRPr="00236418">
              <w:rPr>
                <w:sz w:val="18"/>
                <w:szCs w:val="18"/>
                <w:lang w:eastAsia="fr-FR"/>
              </w:rPr>
              <w:t>31.12.201</w:t>
            </w:r>
            <w:r w:rsidR="004658F8" w:rsidRPr="00236418">
              <w:rPr>
                <w:sz w:val="18"/>
                <w:szCs w:val="18"/>
                <w:lang w:eastAsia="fr-FR"/>
              </w:rPr>
              <w:t>9</w:t>
            </w:r>
          </w:p>
        </w:tc>
      </w:tr>
      <w:tr w:rsidR="002331F8" w:rsidRPr="00236418" w14:paraId="07DA8F9D" w14:textId="77777777" w:rsidTr="006538EB">
        <w:trPr>
          <w:jc w:val="center"/>
        </w:trPr>
        <w:tc>
          <w:tcPr>
            <w:tcW w:w="3402" w:type="dxa"/>
            <w:tcBorders>
              <w:bottom w:val="nil"/>
            </w:tcBorders>
            <w:tcMar>
              <w:left w:w="57" w:type="dxa"/>
              <w:right w:w="57" w:type="dxa"/>
            </w:tcMar>
            <w:vAlign w:val="center"/>
          </w:tcPr>
          <w:p w14:paraId="1654E425" w14:textId="77777777" w:rsidR="002331F8" w:rsidRPr="00236418" w:rsidRDefault="002331F8" w:rsidP="009B3D24">
            <w:pPr>
              <w:pStyle w:val="Tabletext"/>
              <w:spacing w:before="40" w:after="40"/>
              <w:rPr>
                <w:i/>
                <w:iCs/>
                <w:sz w:val="18"/>
                <w:szCs w:val="18"/>
                <w:lang w:eastAsia="fr-FR"/>
              </w:rPr>
            </w:pPr>
            <w:r w:rsidRPr="00236418">
              <w:rPr>
                <w:i/>
                <w:iCs/>
                <w:sz w:val="18"/>
                <w:szCs w:val="18"/>
              </w:rPr>
              <w:t>Secrétariat général</w:t>
            </w:r>
          </w:p>
        </w:tc>
        <w:tc>
          <w:tcPr>
            <w:tcW w:w="1134" w:type="dxa"/>
            <w:tcBorders>
              <w:bottom w:val="nil"/>
            </w:tcBorders>
            <w:tcMar>
              <w:left w:w="57" w:type="dxa"/>
              <w:right w:w="57" w:type="dxa"/>
            </w:tcMar>
            <w:vAlign w:val="bottom"/>
          </w:tcPr>
          <w:p w14:paraId="51C12499" w14:textId="0AD07B8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90 935</w:t>
            </w:r>
          </w:p>
        </w:tc>
        <w:tc>
          <w:tcPr>
            <w:tcW w:w="1390" w:type="dxa"/>
            <w:tcBorders>
              <w:bottom w:val="nil"/>
            </w:tcBorders>
            <w:vAlign w:val="bottom"/>
          </w:tcPr>
          <w:p w14:paraId="79A5F485" w14:textId="30B1B02E" w:rsidR="002331F8" w:rsidRPr="00236418" w:rsidRDefault="002331F8" w:rsidP="009B3D24">
            <w:pPr>
              <w:pStyle w:val="TableText0"/>
              <w:jc w:val="right"/>
              <w:rPr>
                <w:i/>
                <w:iCs/>
                <w:sz w:val="20"/>
                <w:lang w:eastAsia="zh-CN"/>
              </w:rPr>
            </w:pPr>
          </w:p>
        </w:tc>
        <w:tc>
          <w:tcPr>
            <w:tcW w:w="1154" w:type="dxa"/>
            <w:tcBorders>
              <w:bottom w:val="nil"/>
            </w:tcBorders>
            <w:tcMar>
              <w:left w:w="57" w:type="dxa"/>
              <w:right w:w="57" w:type="dxa"/>
            </w:tcMar>
            <w:vAlign w:val="bottom"/>
          </w:tcPr>
          <w:p w14:paraId="6EA28494" w14:textId="2BC0B153" w:rsidR="002331F8" w:rsidRPr="00236418" w:rsidRDefault="002331F8" w:rsidP="009B3D24">
            <w:pPr>
              <w:pStyle w:val="TableText0"/>
              <w:jc w:val="right"/>
              <w:rPr>
                <w:i/>
                <w:iCs/>
                <w:sz w:val="18"/>
                <w:szCs w:val="18"/>
                <w:lang w:eastAsia="zh-CN"/>
              </w:rPr>
            </w:pPr>
            <w:r w:rsidRPr="00236418">
              <w:rPr>
                <w:i/>
                <w:iCs/>
                <w:sz w:val="18"/>
                <w:szCs w:val="18"/>
                <w:lang w:eastAsia="zh-CN"/>
              </w:rPr>
              <w:t>153</w:t>
            </w:r>
          </w:p>
        </w:tc>
        <w:tc>
          <w:tcPr>
            <w:tcW w:w="1087" w:type="dxa"/>
            <w:tcBorders>
              <w:bottom w:val="nil"/>
            </w:tcBorders>
            <w:tcMar>
              <w:left w:w="57" w:type="dxa"/>
              <w:right w:w="57" w:type="dxa"/>
            </w:tcMar>
            <w:vAlign w:val="bottom"/>
          </w:tcPr>
          <w:p w14:paraId="6BC5221E" w14:textId="3E1F07C1"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91 088</w:t>
            </w:r>
          </w:p>
        </w:tc>
        <w:tc>
          <w:tcPr>
            <w:tcW w:w="1330" w:type="dxa"/>
            <w:tcBorders>
              <w:bottom w:val="nil"/>
            </w:tcBorders>
            <w:tcMar>
              <w:left w:w="57" w:type="dxa"/>
              <w:right w:w="57" w:type="dxa"/>
            </w:tcMar>
            <w:vAlign w:val="bottom"/>
          </w:tcPr>
          <w:p w14:paraId="04BAB896" w14:textId="6E95CE8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84 247</w:t>
            </w:r>
          </w:p>
        </w:tc>
        <w:tc>
          <w:tcPr>
            <w:tcW w:w="1310" w:type="dxa"/>
            <w:tcBorders>
              <w:bottom w:val="nil"/>
            </w:tcBorders>
            <w:tcMar>
              <w:left w:w="57" w:type="dxa"/>
              <w:right w:w="57" w:type="dxa"/>
            </w:tcMar>
            <w:vAlign w:val="bottom"/>
          </w:tcPr>
          <w:p w14:paraId="0A480453" w14:textId="790094C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6 841</w:t>
            </w:r>
          </w:p>
        </w:tc>
      </w:tr>
      <w:tr w:rsidR="002331F8" w:rsidRPr="00236418" w14:paraId="5598EC4F" w14:textId="77777777" w:rsidTr="006538EB">
        <w:trPr>
          <w:trHeight w:val="181"/>
          <w:jc w:val="center"/>
        </w:trPr>
        <w:tc>
          <w:tcPr>
            <w:tcW w:w="3402" w:type="dxa"/>
            <w:tcBorders>
              <w:top w:val="nil"/>
              <w:bottom w:val="nil"/>
            </w:tcBorders>
            <w:tcMar>
              <w:left w:w="57" w:type="dxa"/>
              <w:right w:w="57" w:type="dxa"/>
            </w:tcMar>
            <w:vAlign w:val="center"/>
          </w:tcPr>
          <w:p w14:paraId="66C43AFF" w14:textId="77777777" w:rsidR="002331F8" w:rsidRPr="00236418" w:rsidRDefault="002331F8" w:rsidP="009B3D24">
            <w:pPr>
              <w:pStyle w:val="Tabletext"/>
              <w:spacing w:before="40" w:after="40"/>
              <w:rPr>
                <w:i/>
                <w:iCs/>
                <w:sz w:val="18"/>
                <w:szCs w:val="18"/>
                <w:lang w:eastAsia="fr-FR"/>
              </w:rPr>
            </w:pPr>
            <w:r w:rsidRPr="00236418">
              <w:rPr>
                <w:i/>
                <w:iCs/>
                <w:sz w:val="18"/>
                <w:szCs w:val="18"/>
              </w:rPr>
              <w:t>Secteur des radiocommunications</w:t>
            </w:r>
          </w:p>
        </w:tc>
        <w:tc>
          <w:tcPr>
            <w:tcW w:w="1134" w:type="dxa"/>
            <w:tcBorders>
              <w:top w:val="nil"/>
              <w:bottom w:val="nil"/>
            </w:tcBorders>
            <w:tcMar>
              <w:left w:w="57" w:type="dxa"/>
              <w:right w:w="57" w:type="dxa"/>
            </w:tcMar>
          </w:tcPr>
          <w:p w14:paraId="111834FC" w14:textId="26FF1602"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31 598</w:t>
            </w:r>
          </w:p>
        </w:tc>
        <w:tc>
          <w:tcPr>
            <w:tcW w:w="1390" w:type="dxa"/>
            <w:tcBorders>
              <w:top w:val="nil"/>
              <w:bottom w:val="nil"/>
            </w:tcBorders>
          </w:tcPr>
          <w:p w14:paraId="68B5740C" w14:textId="1A5F841D" w:rsidR="002331F8" w:rsidRPr="00236418" w:rsidRDefault="002331F8" w:rsidP="009B3D24">
            <w:pPr>
              <w:pStyle w:val="TableText0"/>
              <w:jc w:val="right"/>
              <w:rPr>
                <w:i/>
                <w:iCs/>
                <w:sz w:val="20"/>
                <w:lang w:eastAsia="zh-CN"/>
              </w:rPr>
            </w:pPr>
          </w:p>
        </w:tc>
        <w:tc>
          <w:tcPr>
            <w:tcW w:w="1154" w:type="dxa"/>
            <w:tcBorders>
              <w:top w:val="nil"/>
              <w:bottom w:val="nil"/>
            </w:tcBorders>
            <w:tcMar>
              <w:left w:w="57" w:type="dxa"/>
              <w:right w:w="57" w:type="dxa"/>
            </w:tcMar>
          </w:tcPr>
          <w:p w14:paraId="1431DBA9" w14:textId="5D5C0089" w:rsidR="002331F8" w:rsidRPr="00236418" w:rsidRDefault="002331F8" w:rsidP="009B3D24">
            <w:pPr>
              <w:pStyle w:val="TableText0"/>
              <w:jc w:val="right"/>
              <w:rPr>
                <w:i/>
                <w:iCs/>
                <w:sz w:val="18"/>
                <w:szCs w:val="18"/>
                <w:lang w:eastAsia="zh-CN"/>
              </w:rPr>
            </w:pPr>
          </w:p>
        </w:tc>
        <w:tc>
          <w:tcPr>
            <w:tcW w:w="1087" w:type="dxa"/>
            <w:tcBorders>
              <w:top w:val="nil"/>
              <w:bottom w:val="nil"/>
            </w:tcBorders>
            <w:tcMar>
              <w:left w:w="57" w:type="dxa"/>
              <w:right w:w="57" w:type="dxa"/>
            </w:tcMar>
          </w:tcPr>
          <w:p w14:paraId="57C49A11" w14:textId="45845992"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31 598</w:t>
            </w:r>
          </w:p>
        </w:tc>
        <w:tc>
          <w:tcPr>
            <w:tcW w:w="1330" w:type="dxa"/>
            <w:tcBorders>
              <w:top w:val="nil"/>
              <w:bottom w:val="nil"/>
            </w:tcBorders>
            <w:tcMar>
              <w:left w:w="57" w:type="dxa"/>
              <w:right w:w="57" w:type="dxa"/>
            </w:tcMar>
          </w:tcPr>
          <w:p w14:paraId="2C575671" w14:textId="31002A3E"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28 040</w:t>
            </w:r>
          </w:p>
        </w:tc>
        <w:tc>
          <w:tcPr>
            <w:tcW w:w="1310" w:type="dxa"/>
            <w:tcBorders>
              <w:top w:val="nil"/>
              <w:bottom w:val="nil"/>
            </w:tcBorders>
            <w:tcMar>
              <w:left w:w="57" w:type="dxa"/>
              <w:right w:w="57" w:type="dxa"/>
            </w:tcMar>
          </w:tcPr>
          <w:p w14:paraId="2D9C05D8" w14:textId="698E3336"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3 558</w:t>
            </w:r>
          </w:p>
        </w:tc>
      </w:tr>
      <w:tr w:rsidR="002331F8" w:rsidRPr="00236418" w14:paraId="5C31A317" w14:textId="77777777" w:rsidTr="006538EB">
        <w:trPr>
          <w:jc w:val="center"/>
        </w:trPr>
        <w:tc>
          <w:tcPr>
            <w:tcW w:w="3402" w:type="dxa"/>
            <w:tcBorders>
              <w:top w:val="nil"/>
              <w:bottom w:val="nil"/>
            </w:tcBorders>
            <w:tcMar>
              <w:left w:w="57" w:type="dxa"/>
              <w:right w:w="57" w:type="dxa"/>
            </w:tcMar>
            <w:vAlign w:val="center"/>
          </w:tcPr>
          <w:p w14:paraId="66AE7F6B" w14:textId="77777777" w:rsidR="002331F8" w:rsidRPr="00236418" w:rsidRDefault="002331F8" w:rsidP="009B3D24">
            <w:pPr>
              <w:pStyle w:val="Tabletext"/>
              <w:spacing w:before="40" w:after="40"/>
              <w:rPr>
                <w:i/>
                <w:iCs/>
                <w:sz w:val="18"/>
                <w:szCs w:val="18"/>
                <w:lang w:eastAsia="fr-FR"/>
              </w:rPr>
            </w:pPr>
            <w:r w:rsidRPr="00236418">
              <w:rPr>
                <w:i/>
                <w:iCs/>
                <w:sz w:val="18"/>
                <w:szCs w:val="18"/>
              </w:rPr>
              <w:t>Secteur de la normalisation des télécommunications</w:t>
            </w:r>
          </w:p>
        </w:tc>
        <w:tc>
          <w:tcPr>
            <w:tcW w:w="1134" w:type="dxa"/>
            <w:tcBorders>
              <w:top w:val="nil"/>
              <w:bottom w:val="nil"/>
            </w:tcBorders>
            <w:tcMar>
              <w:left w:w="57" w:type="dxa"/>
              <w:right w:w="57" w:type="dxa"/>
            </w:tcMar>
          </w:tcPr>
          <w:p w14:paraId="4F5B1B37" w14:textId="1DC2D7B0"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13 631</w:t>
            </w:r>
          </w:p>
        </w:tc>
        <w:tc>
          <w:tcPr>
            <w:tcW w:w="1390" w:type="dxa"/>
            <w:tcBorders>
              <w:top w:val="nil"/>
              <w:bottom w:val="nil"/>
            </w:tcBorders>
          </w:tcPr>
          <w:p w14:paraId="752FE3AB" w14:textId="2D8D63DC" w:rsidR="002331F8" w:rsidRPr="00236418" w:rsidRDefault="002331F8" w:rsidP="009B3D24">
            <w:pPr>
              <w:pStyle w:val="TableText0"/>
              <w:jc w:val="right"/>
              <w:rPr>
                <w:i/>
                <w:iCs/>
                <w:sz w:val="20"/>
                <w:lang w:eastAsia="zh-CN"/>
              </w:rPr>
            </w:pPr>
          </w:p>
        </w:tc>
        <w:tc>
          <w:tcPr>
            <w:tcW w:w="1154" w:type="dxa"/>
            <w:tcBorders>
              <w:top w:val="nil"/>
              <w:bottom w:val="nil"/>
            </w:tcBorders>
            <w:tcMar>
              <w:left w:w="57" w:type="dxa"/>
              <w:right w:w="57" w:type="dxa"/>
            </w:tcMar>
          </w:tcPr>
          <w:p w14:paraId="493E1D64" w14:textId="243CAB77" w:rsidR="002331F8" w:rsidRPr="00236418" w:rsidRDefault="002331F8" w:rsidP="009B3D24">
            <w:pPr>
              <w:pStyle w:val="TableText0"/>
              <w:jc w:val="right"/>
              <w:rPr>
                <w:i/>
                <w:iCs/>
                <w:sz w:val="18"/>
                <w:szCs w:val="18"/>
                <w:lang w:eastAsia="zh-CN"/>
              </w:rPr>
            </w:pPr>
            <w:r w:rsidRPr="00236418">
              <w:rPr>
                <w:i/>
                <w:iCs/>
                <w:sz w:val="18"/>
                <w:szCs w:val="18"/>
                <w:lang w:eastAsia="zh-CN"/>
              </w:rPr>
              <w:t>–153</w:t>
            </w:r>
          </w:p>
        </w:tc>
        <w:tc>
          <w:tcPr>
            <w:tcW w:w="1087" w:type="dxa"/>
            <w:tcBorders>
              <w:top w:val="nil"/>
              <w:bottom w:val="nil"/>
            </w:tcBorders>
            <w:tcMar>
              <w:left w:w="57" w:type="dxa"/>
              <w:right w:w="57" w:type="dxa"/>
            </w:tcMar>
          </w:tcPr>
          <w:p w14:paraId="6EFA7259" w14:textId="72BB311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13 478</w:t>
            </w:r>
          </w:p>
        </w:tc>
        <w:tc>
          <w:tcPr>
            <w:tcW w:w="1330" w:type="dxa"/>
            <w:tcBorders>
              <w:top w:val="nil"/>
              <w:bottom w:val="nil"/>
            </w:tcBorders>
            <w:tcMar>
              <w:left w:w="57" w:type="dxa"/>
              <w:right w:w="57" w:type="dxa"/>
            </w:tcMar>
          </w:tcPr>
          <w:p w14:paraId="1901A530" w14:textId="30974078"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13 456</w:t>
            </w:r>
          </w:p>
        </w:tc>
        <w:tc>
          <w:tcPr>
            <w:tcW w:w="1310" w:type="dxa"/>
            <w:tcBorders>
              <w:top w:val="nil"/>
              <w:bottom w:val="nil"/>
            </w:tcBorders>
            <w:tcMar>
              <w:left w:w="57" w:type="dxa"/>
              <w:right w:w="57" w:type="dxa"/>
            </w:tcMar>
          </w:tcPr>
          <w:p w14:paraId="6F2AE8CB" w14:textId="7A030D2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22</w:t>
            </w:r>
          </w:p>
        </w:tc>
      </w:tr>
      <w:tr w:rsidR="002331F8" w:rsidRPr="00236418" w14:paraId="0C1F11D5" w14:textId="77777777" w:rsidTr="006538EB">
        <w:trPr>
          <w:jc w:val="center"/>
        </w:trPr>
        <w:tc>
          <w:tcPr>
            <w:tcW w:w="3402" w:type="dxa"/>
            <w:tcBorders>
              <w:top w:val="nil"/>
              <w:bottom w:val="nil"/>
            </w:tcBorders>
            <w:tcMar>
              <w:left w:w="57" w:type="dxa"/>
              <w:right w:w="57" w:type="dxa"/>
            </w:tcMar>
            <w:vAlign w:val="center"/>
          </w:tcPr>
          <w:p w14:paraId="774A8032" w14:textId="77777777" w:rsidR="002331F8" w:rsidRPr="00236418" w:rsidRDefault="002331F8" w:rsidP="009B3D24">
            <w:pPr>
              <w:pStyle w:val="Tabletext"/>
              <w:spacing w:before="40" w:after="40"/>
              <w:rPr>
                <w:i/>
                <w:iCs/>
                <w:sz w:val="18"/>
                <w:szCs w:val="18"/>
                <w:lang w:eastAsia="fr-FR"/>
              </w:rPr>
            </w:pPr>
            <w:r w:rsidRPr="00236418">
              <w:rPr>
                <w:i/>
                <w:iCs/>
                <w:sz w:val="18"/>
                <w:szCs w:val="18"/>
              </w:rPr>
              <w:t>Secteur du développement des télécommunications</w:t>
            </w:r>
          </w:p>
        </w:tc>
        <w:tc>
          <w:tcPr>
            <w:tcW w:w="1134" w:type="dxa"/>
            <w:tcBorders>
              <w:top w:val="nil"/>
              <w:bottom w:val="nil"/>
            </w:tcBorders>
            <w:tcMar>
              <w:left w:w="57" w:type="dxa"/>
              <w:right w:w="57" w:type="dxa"/>
            </w:tcMar>
          </w:tcPr>
          <w:p w14:paraId="0024EC03" w14:textId="6E0F3EDB"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28 576</w:t>
            </w:r>
          </w:p>
        </w:tc>
        <w:tc>
          <w:tcPr>
            <w:tcW w:w="1390" w:type="dxa"/>
            <w:tcBorders>
              <w:top w:val="nil"/>
              <w:bottom w:val="nil"/>
            </w:tcBorders>
          </w:tcPr>
          <w:p w14:paraId="237EEDA8" w14:textId="468AC514" w:rsidR="002331F8" w:rsidRPr="00236418" w:rsidRDefault="002331F8" w:rsidP="009B3D24">
            <w:pPr>
              <w:pStyle w:val="TableText0"/>
              <w:jc w:val="right"/>
              <w:rPr>
                <w:i/>
                <w:iCs/>
                <w:sz w:val="20"/>
                <w:lang w:eastAsia="zh-CN"/>
              </w:rPr>
            </w:pPr>
          </w:p>
        </w:tc>
        <w:tc>
          <w:tcPr>
            <w:tcW w:w="1154" w:type="dxa"/>
            <w:tcBorders>
              <w:top w:val="nil"/>
              <w:bottom w:val="nil"/>
            </w:tcBorders>
            <w:tcMar>
              <w:left w:w="57" w:type="dxa"/>
              <w:right w:w="57" w:type="dxa"/>
            </w:tcMar>
          </w:tcPr>
          <w:p w14:paraId="57701335" w14:textId="54B769BB" w:rsidR="002331F8" w:rsidRPr="00236418" w:rsidRDefault="002331F8" w:rsidP="009B3D24">
            <w:pPr>
              <w:pStyle w:val="TableText0"/>
              <w:jc w:val="right"/>
              <w:rPr>
                <w:i/>
                <w:iCs/>
                <w:sz w:val="20"/>
                <w:lang w:eastAsia="zh-CN"/>
              </w:rPr>
            </w:pPr>
          </w:p>
        </w:tc>
        <w:tc>
          <w:tcPr>
            <w:tcW w:w="1087" w:type="dxa"/>
            <w:tcBorders>
              <w:top w:val="nil"/>
              <w:bottom w:val="nil"/>
            </w:tcBorders>
            <w:tcMar>
              <w:left w:w="57" w:type="dxa"/>
              <w:right w:w="57" w:type="dxa"/>
            </w:tcMar>
          </w:tcPr>
          <w:p w14:paraId="019DC3EE" w14:textId="663CA8A8"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27 576</w:t>
            </w:r>
          </w:p>
        </w:tc>
        <w:tc>
          <w:tcPr>
            <w:tcW w:w="1330" w:type="dxa"/>
            <w:tcBorders>
              <w:top w:val="nil"/>
              <w:bottom w:val="nil"/>
            </w:tcBorders>
            <w:tcMar>
              <w:left w:w="57" w:type="dxa"/>
              <w:right w:w="57" w:type="dxa"/>
            </w:tcMar>
          </w:tcPr>
          <w:p w14:paraId="1C72359D" w14:textId="6E81D6E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27 167</w:t>
            </w:r>
          </w:p>
        </w:tc>
        <w:tc>
          <w:tcPr>
            <w:tcW w:w="1310" w:type="dxa"/>
            <w:tcBorders>
              <w:top w:val="nil"/>
              <w:bottom w:val="nil"/>
            </w:tcBorders>
            <w:tcMar>
              <w:left w:w="57" w:type="dxa"/>
              <w:right w:w="57" w:type="dxa"/>
            </w:tcMar>
          </w:tcPr>
          <w:p w14:paraId="647F8BB2" w14:textId="11B8D80D"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1 409</w:t>
            </w:r>
          </w:p>
        </w:tc>
      </w:tr>
      <w:tr w:rsidR="002331F8" w:rsidRPr="00236418" w14:paraId="0534E5D7" w14:textId="77777777" w:rsidTr="006538EB">
        <w:trPr>
          <w:jc w:val="center"/>
        </w:trPr>
        <w:tc>
          <w:tcPr>
            <w:tcW w:w="3402" w:type="dxa"/>
            <w:tcBorders>
              <w:top w:val="nil"/>
            </w:tcBorders>
            <w:tcMar>
              <w:left w:w="57" w:type="dxa"/>
              <w:right w:w="57" w:type="dxa"/>
            </w:tcMar>
            <w:vAlign w:val="center"/>
          </w:tcPr>
          <w:p w14:paraId="1EFBD23A" w14:textId="77777777" w:rsidR="002331F8" w:rsidRPr="00236418" w:rsidRDefault="002331F8" w:rsidP="009B3D24">
            <w:pPr>
              <w:pStyle w:val="Tabletext"/>
              <w:spacing w:before="40" w:after="40"/>
              <w:rPr>
                <w:i/>
                <w:iCs/>
                <w:sz w:val="18"/>
                <w:szCs w:val="18"/>
                <w:lang w:eastAsia="fr-FR"/>
              </w:rPr>
            </w:pPr>
            <w:r w:rsidRPr="00236418">
              <w:rPr>
                <w:i/>
                <w:iCs/>
                <w:sz w:val="18"/>
                <w:szCs w:val="18"/>
                <w:lang w:eastAsia="fr-FR"/>
              </w:rPr>
              <w:t>Dépenses non prévues dans le budget approuvé</w:t>
            </w:r>
          </w:p>
        </w:tc>
        <w:tc>
          <w:tcPr>
            <w:tcW w:w="1134" w:type="dxa"/>
            <w:tcBorders>
              <w:top w:val="nil"/>
            </w:tcBorders>
            <w:tcMar>
              <w:left w:w="57" w:type="dxa"/>
              <w:right w:w="57" w:type="dxa"/>
            </w:tcMar>
          </w:tcPr>
          <w:p w14:paraId="3DBCB73D" w14:textId="30187694"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 </w:t>
            </w:r>
          </w:p>
        </w:tc>
        <w:tc>
          <w:tcPr>
            <w:tcW w:w="1390" w:type="dxa"/>
            <w:tcBorders>
              <w:top w:val="nil"/>
            </w:tcBorders>
          </w:tcPr>
          <w:p w14:paraId="0BCE7388" w14:textId="1B600021" w:rsidR="002331F8" w:rsidRPr="00236418" w:rsidRDefault="002331F8" w:rsidP="009B3D24">
            <w:pPr>
              <w:pStyle w:val="TableText0"/>
              <w:jc w:val="right"/>
              <w:rPr>
                <w:i/>
                <w:iCs/>
                <w:sz w:val="20"/>
                <w:lang w:eastAsia="zh-CN"/>
              </w:rPr>
            </w:pPr>
          </w:p>
        </w:tc>
        <w:tc>
          <w:tcPr>
            <w:tcW w:w="1154" w:type="dxa"/>
            <w:tcBorders>
              <w:top w:val="nil"/>
            </w:tcBorders>
            <w:tcMar>
              <w:left w:w="57" w:type="dxa"/>
              <w:right w:w="57" w:type="dxa"/>
            </w:tcMar>
          </w:tcPr>
          <w:p w14:paraId="0A32F01E" w14:textId="4CF1B99F" w:rsidR="002331F8" w:rsidRPr="00236418" w:rsidRDefault="002331F8" w:rsidP="009B3D24">
            <w:pPr>
              <w:pStyle w:val="TableText0"/>
              <w:jc w:val="right"/>
              <w:rPr>
                <w:i/>
                <w:iCs/>
                <w:sz w:val="20"/>
                <w:lang w:eastAsia="zh-CN"/>
              </w:rPr>
            </w:pPr>
          </w:p>
        </w:tc>
        <w:tc>
          <w:tcPr>
            <w:tcW w:w="1087" w:type="dxa"/>
            <w:tcBorders>
              <w:top w:val="nil"/>
            </w:tcBorders>
            <w:tcMar>
              <w:left w:w="57" w:type="dxa"/>
              <w:right w:w="57" w:type="dxa"/>
            </w:tcMar>
          </w:tcPr>
          <w:p w14:paraId="5F325BDB" w14:textId="401F21FA"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w:t>
            </w:r>
          </w:p>
        </w:tc>
        <w:tc>
          <w:tcPr>
            <w:tcW w:w="1330" w:type="dxa"/>
            <w:tcBorders>
              <w:top w:val="nil"/>
            </w:tcBorders>
            <w:tcMar>
              <w:left w:w="57" w:type="dxa"/>
              <w:right w:w="57" w:type="dxa"/>
            </w:tcMar>
          </w:tcPr>
          <w:p w14:paraId="29FAB9CD" w14:textId="39F68304"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68</w:t>
            </w:r>
          </w:p>
        </w:tc>
        <w:tc>
          <w:tcPr>
            <w:tcW w:w="1310" w:type="dxa"/>
            <w:tcBorders>
              <w:top w:val="nil"/>
            </w:tcBorders>
            <w:tcMar>
              <w:left w:w="57" w:type="dxa"/>
              <w:right w:w="57" w:type="dxa"/>
            </w:tcMar>
          </w:tcPr>
          <w:p w14:paraId="12B6ADC4" w14:textId="73DBCE1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–68</w:t>
            </w:r>
          </w:p>
        </w:tc>
      </w:tr>
      <w:tr w:rsidR="002331F8" w:rsidRPr="00236418" w14:paraId="705DC89F" w14:textId="77777777" w:rsidTr="006538EB">
        <w:trPr>
          <w:jc w:val="center"/>
        </w:trPr>
        <w:tc>
          <w:tcPr>
            <w:tcW w:w="3402" w:type="dxa"/>
            <w:tcBorders>
              <w:bottom w:val="single" w:sz="4" w:space="0" w:color="auto"/>
            </w:tcBorders>
            <w:tcMar>
              <w:left w:w="57" w:type="dxa"/>
              <w:right w:w="57" w:type="dxa"/>
            </w:tcMar>
          </w:tcPr>
          <w:p w14:paraId="59620DF8" w14:textId="77777777" w:rsidR="002331F8" w:rsidRPr="00236418" w:rsidRDefault="002331F8" w:rsidP="009B3D24">
            <w:pPr>
              <w:pStyle w:val="Tablehead"/>
              <w:spacing w:before="0" w:after="0"/>
              <w:jc w:val="left"/>
              <w:rPr>
                <w:sz w:val="18"/>
                <w:szCs w:val="18"/>
              </w:rPr>
            </w:pPr>
            <w:r w:rsidRPr="00236418">
              <w:rPr>
                <w:sz w:val="18"/>
                <w:szCs w:val="18"/>
              </w:rPr>
              <w:t>Total des charges</w:t>
            </w:r>
          </w:p>
        </w:tc>
        <w:tc>
          <w:tcPr>
            <w:tcW w:w="1134" w:type="dxa"/>
            <w:tcBorders>
              <w:bottom w:val="single" w:sz="4" w:space="0" w:color="auto"/>
            </w:tcBorders>
            <w:tcMar>
              <w:left w:w="57" w:type="dxa"/>
              <w:right w:w="57" w:type="dxa"/>
            </w:tcMar>
            <w:vAlign w:val="bottom"/>
          </w:tcPr>
          <w:p w14:paraId="21BECB05" w14:textId="547560EC"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164 740</w:t>
            </w:r>
          </w:p>
        </w:tc>
        <w:tc>
          <w:tcPr>
            <w:tcW w:w="1390" w:type="dxa"/>
            <w:tcBorders>
              <w:bottom w:val="single" w:sz="4" w:space="0" w:color="auto"/>
            </w:tcBorders>
            <w:vAlign w:val="bottom"/>
          </w:tcPr>
          <w:p w14:paraId="2F7F562F" w14:textId="1F1FF485"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w:t>
            </w:r>
          </w:p>
        </w:tc>
        <w:tc>
          <w:tcPr>
            <w:tcW w:w="1154" w:type="dxa"/>
            <w:tcBorders>
              <w:bottom w:val="single" w:sz="4" w:space="0" w:color="auto"/>
            </w:tcBorders>
            <w:tcMar>
              <w:left w:w="57" w:type="dxa"/>
              <w:right w:w="57" w:type="dxa"/>
            </w:tcMar>
            <w:vAlign w:val="bottom"/>
          </w:tcPr>
          <w:p w14:paraId="431A1AF9" w14:textId="27F4451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w:t>
            </w:r>
          </w:p>
        </w:tc>
        <w:tc>
          <w:tcPr>
            <w:tcW w:w="1087" w:type="dxa"/>
            <w:tcBorders>
              <w:bottom w:val="single" w:sz="4" w:space="0" w:color="auto"/>
            </w:tcBorders>
            <w:tcMar>
              <w:left w:w="57" w:type="dxa"/>
              <w:right w:w="57" w:type="dxa"/>
            </w:tcMar>
            <w:vAlign w:val="bottom"/>
          </w:tcPr>
          <w:p w14:paraId="5B898A63" w14:textId="1D307618"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164 470</w:t>
            </w:r>
          </w:p>
        </w:tc>
        <w:tc>
          <w:tcPr>
            <w:tcW w:w="1330" w:type="dxa"/>
            <w:tcBorders>
              <w:bottom w:val="single" w:sz="4" w:space="0" w:color="auto"/>
            </w:tcBorders>
            <w:tcMar>
              <w:left w:w="57" w:type="dxa"/>
              <w:right w:w="57" w:type="dxa"/>
            </w:tcMar>
            <w:vAlign w:val="bottom"/>
          </w:tcPr>
          <w:p w14:paraId="468EE031" w14:textId="22822E4C"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152 979</w:t>
            </w:r>
          </w:p>
        </w:tc>
        <w:tc>
          <w:tcPr>
            <w:tcW w:w="1310" w:type="dxa"/>
            <w:tcBorders>
              <w:bottom w:val="single" w:sz="4" w:space="0" w:color="auto"/>
            </w:tcBorders>
            <w:tcMar>
              <w:left w:w="57" w:type="dxa"/>
              <w:right w:w="57" w:type="dxa"/>
            </w:tcMar>
            <w:vAlign w:val="bottom"/>
          </w:tcPr>
          <w:p w14:paraId="723B84AD" w14:textId="5309C5CA"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11 761</w:t>
            </w:r>
          </w:p>
        </w:tc>
      </w:tr>
      <w:tr w:rsidR="002331F8" w:rsidRPr="00236418" w14:paraId="5F57F074" w14:textId="77777777" w:rsidTr="006538EB">
        <w:trPr>
          <w:jc w:val="center"/>
        </w:trPr>
        <w:tc>
          <w:tcPr>
            <w:tcW w:w="3402" w:type="dxa"/>
            <w:tcBorders>
              <w:bottom w:val="single" w:sz="4" w:space="0" w:color="auto"/>
            </w:tcBorders>
            <w:tcMar>
              <w:left w:w="57" w:type="dxa"/>
              <w:right w:w="57" w:type="dxa"/>
            </w:tcMar>
          </w:tcPr>
          <w:p w14:paraId="58E66BA1" w14:textId="77777777" w:rsidR="002331F8" w:rsidRPr="00236418" w:rsidRDefault="002331F8" w:rsidP="009B3D24">
            <w:pPr>
              <w:pStyle w:val="Tabletext"/>
              <w:spacing w:before="20" w:after="20"/>
              <w:rPr>
                <w:b/>
                <w:sz w:val="18"/>
                <w:szCs w:val="18"/>
                <w:lang w:eastAsia="fr-FR"/>
              </w:rPr>
            </w:pPr>
            <w:r w:rsidRPr="00236418">
              <w:rPr>
                <w:b/>
                <w:sz w:val="18"/>
                <w:szCs w:val="18"/>
              </w:rPr>
              <w:t>Résultats</w:t>
            </w:r>
          </w:p>
        </w:tc>
        <w:tc>
          <w:tcPr>
            <w:tcW w:w="1134" w:type="dxa"/>
            <w:tcBorders>
              <w:bottom w:val="single" w:sz="4" w:space="0" w:color="auto"/>
            </w:tcBorders>
            <w:tcMar>
              <w:left w:w="57" w:type="dxa"/>
              <w:right w:w="57" w:type="dxa"/>
            </w:tcMar>
            <w:vAlign w:val="bottom"/>
          </w:tcPr>
          <w:p w14:paraId="1ABBE0AC" w14:textId="584FD338"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390" w:type="dxa"/>
            <w:tcBorders>
              <w:bottom w:val="single" w:sz="4" w:space="0" w:color="auto"/>
            </w:tcBorders>
            <w:vAlign w:val="bottom"/>
          </w:tcPr>
          <w:p w14:paraId="34A6F084" w14:textId="0966E3D6"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Borders>
              <w:bottom w:val="single" w:sz="4" w:space="0" w:color="auto"/>
            </w:tcBorders>
            <w:tcMar>
              <w:left w:w="57" w:type="dxa"/>
              <w:right w:w="57" w:type="dxa"/>
            </w:tcMar>
            <w:vAlign w:val="bottom"/>
          </w:tcPr>
          <w:p w14:paraId="0365BD1E" w14:textId="4B3F501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Borders>
              <w:bottom w:val="single" w:sz="4" w:space="0" w:color="auto"/>
            </w:tcBorders>
            <w:tcMar>
              <w:left w:w="57" w:type="dxa"/>
              <w:right w:w="57" w:type="dxa"/>
            </w:tcMar>
            <w:vAlign w:val="bottom"/>
          </w:tcPr>
          <w:p w14:paraId="7114CE1C" w14:textId="56EFBFBE"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c>
          <w:tcPr>
            <w:tcW w:w="1330" w:type="dxa"/>
            <w:tcBorders>
              <w:bottom w:val="single" w:sz="4" w:space="0" w:color="auto"/>
            </w:tcBorders>
            <w:tcMar>
              <w:left w:w="57" w:type="dxa"/>
              <w:right w:w="57" w:type="dxa"/>
            </w:tcMar>
            <w:vAlign w:val="bottom"/>
          </w:tcPr>
          <w:p w14:paraId="4633FA70" w14:textId="50EF669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xml:space="preserve">4 778 </w:t>
            </w:r>
          </w:p>
        </w:tc>
        <w:tc>
          <w:tcPr>
            <w:tcW w:w="1310" w:type="dxa"/>
            <w:tcBorders>
              <w:bottom w:val="single" w:sz="4" w:space="0" w:color="auto"/>
            </w:tcBorders>
            <w:tcMar>
              <w:left w:w="57" w:type="dxa"/>
              <w:right w:w="57" w:type="dxa"/>
            </w:tcMar>
            <w:vAlign w:val="bottom"/>
          </w:tcPr>
          <w:p w14:paraId="531B74AD" w14:textId="619C2E6D"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 </w:t>
            </w:r>
          </w:p>
        </w:tc>
      </w:tr>
      <w:tr w:rsidR="002331F8" w:rsidRPr="00236418" w14:paraId="50ED73D7" w14:textId="77777777" w:rsidTr="006538EB">
        <w:trPr>
          <w:jc w:val="center"/>
        </w:trPr>
        <w:tc>
          <w:tcPr>
            <w:tcW w:w="3402" w:type="dxa"/>
            <w:tcBorders>
              <w:top w:val="single" w:sz="4" w:space="0" w:color="auto"/>
              <w:bottom w:val="nil"/>
            </w:tcBorders>
            <w:tcMar>
              <w:left w:w="57" w:type="dxa"/>
              <w:right w:w="57" w:type="dxa"/>
            </w:tcMar>
          </w:tcPr>
          <w:p w14:paraId="4BB089A7" w14:textId="77777777" w:rsidR="002331F8" w:rsidRPr="00236418" w:rsidRDefault="002331F8" w:rsidP="009B3D24">
            <w:pPr>
              <w:pStyle w:val="Tabletext"/>
              <w:spacing w:before="0" w:after="0"/>
              <w:rPr>
                <w:i/>
                <w:iCs/>
                <w:sz w:val="18"/>
                <w:szCs w:val="18"/>
                <w:lang w:eastAsia="fr-FR"/>
              </w:rPr>
            </w:pPr>
            <w:r w:rsidRPr="00236418">
              <w:rPr>
                <w:i/>
                <w:iCs/>
                <w:sz w:val="18"/>
                <w:szCs w:val="18"/>
              </w:rPr>
              <w:t>ASHI</w:t>
            </w:r>
          </w:p>
        </w:tc>
        <w:tc>
          <w:tcPr>
            <w:tcW w:w="1134" w:type="dxa"/>
            <w:tcBorders>
              <w:top w:val="single" w:sz="4" w:space="0" w:color="auto"/>
              <w:bottom w:val="nil"/>
            </w:tcBorders>
            <w:tcMar>
              <w:left w:w="57" w:type="dxa"/>
              <w:right w:w="57" w:type="dxa"/>
            </w:tcMar>
            <w:vAlign w:val="bottom"/>
          </w:tcPr>
          <w:p w14:paraId="4E9D9AA4"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single" w:sz="4" w:space="0" w:color="auto"/>
              <w:bottom w:val="nil"/>
            </w:tcBorders>
            <w:vAlign w:val="bottom"/>
          </w:tcPr>
          <w:p w14:paraId="0F4270A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single" w:sz="4" w:space="0" w:color="auto"/>
              <w:bottom w:val="nil"/>
            </w:tcBorders>
            <w:tcMar>
              <w:left w:w="57" w:type="dxa"/>
              <w:right w:w="57" w:type="dxa"/>
            </w:tcMar>
            <w:vAlign w:val="bottom"/>
          </w:tcPr>
          <w:p w14:paraId="02E87FCD"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single" w:sz="4" w:space="0" w:color="auto"/>
              <w:bottom w:val="nil"/>
            </w:tcBorders>
            <w:tcMar>
              <w:left w:w="57" w:type="dxa"/>
              <w:right w:w="57" w:type="dxa"/>
            </w:tcMar>
            <w:vAlign w:val="bottom"/>
          </w:tcPr>
          <w:p w14:paraId="2C7B99BD"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single" w:sz="4" w:space="0" w:color="auto"/>
              <w:bottom w:val="nil"/>
            </w:tcBorders>
            <w:tcMar>
              <w:left w:w="57" w:type="dxa"/>
              <w:right w:w="57" w:type="dxa"/>
            </w:tcMar>
            <w:vAlign w:val="bottom"/>
          </w:tcPr>
          <w:p w14:paraId="1CC5BF55" w14:textId="008CF0CD"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–71 6994</w:t>
            </w:r>
          </w:p>
        </w:tc>
        <w:tc>
          <w:tcPr>
            <w:tcW w:w="1310" w:type="dxa"/>
            <w:tcBorders>
              <w:top w:val="single" w:sz="4" w:space="0" w:color="auto"/>
              <w:bottom w:val="nil"/>
            </w:tcBorders>
            <w:tcMar>
              <w:left w:w="57" w:type="dxa"/>
              <w:right w:w="57" w:type="dxa"/>
            </w:tcMar>
            <w:vAlign w:val="bottom"/>
          </w:tcPr>
          <w:p w14:paraId="6949D7EC" w14:textId="4B51DBFE"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577D9950" w14:textId="77777777" w:rsidTr="006538EB">
        <w:trPr>
          <w:jc w:val="center"/>
        </w:trPr>
        <w:tc>
          <w:tcPr>
            <w:tcW w:w="3402" w:type="dxa"/>
            <w:tcBorders>
              <w:top w:val="nil"/>
              <w:bottom w:val="nil"/>
            </w:tcBorders>
            <w:tcMar>
              <w:left w:w="57" w:type="dxa"/>
              <w:right w:w="57" w:type="dxa"/>
            </w:tcMar>
          </w:tcPr>
          <w:p w14:paraId="4081E9A7" w14:textId="77777777" w:rsidR="002331F8" w:rsidRPr="00236418" w:rsidRDefault="002331F8" w:rsidP="009B3D24">
            <w:pPr>
              <w:pStyle w:val="Tabletext"/>
              <w:spacing w:before="0" w:after="0"/>
              <w:rPr>
                <w:i/>
                <w:iCs/>
                <w:sz w:val="18"/>
                <w:szCs w:val="18"/>
              </w:rPr>
            </w:pPr>
            <w:r w:rsidRPr="00236418">
              <w:rPr>
                <w:i/>
                <w:iCs/>
                <w:sz w:val="18"/>
                <w:szCs w:val="18"/>
              </w:rPr>
              <w:t>Capitalisation des immobilisations</w:t>
            </w:r>
          </w:p>
        </w:tc>
        <w:tc>
          <w:tcPr>
            <w:tcW w:w="1134" w:type="dxa"/>
            <w:tcBorders>
              <w:top w:val="nil"/>
              <w:bottom w:val="nil"/>
            </w:tcBorders>
            <w:tcMar>
              <w:left w:w="57" w:type="dxa"/>
              <w:right w:w="57" w:type="dxa"/>
            </w:tcMar>
          </w:tcPr>
          <w:p w14:paraId="52ED90BF"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7ED6CA7F"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1123658C"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15FB65A2"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6876AD0C" w14:textId="14B913E0"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1 653</w:t>
            </w:r>
          </w:p>
        </w:tc>
        <w:tc>
          <w:tcPr>
            <w:tcW w:w="1310" w:type="dxa"/>
            <w:tcBorders>
              <w:top w:val="nil"/>
              <w:bottom w:val="nil"/>
            </w:tcBorders>
            <w:tcMar>
              <w:left w:w="57" w:type="dxa"/>
              <w:right w:w="57" w:type="dxa"/>
            </w:tcMar>
            <w:vAlign w:val="bottom"/>
          </w:tcPr>
          <w:p w14:paraId="2BD9A437" w14:textId="043168D6"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0D8294B5" w14:textId="77777777" w:rsidTr="006538EB">
        <w:trPr>
          <w:jc w:val="center"/>
        </w:trPr>
        <w:tc>
          <w:tcPr>
            <w:tcW w:w="3402" w:type="dxa"/>
            <w:tcBorders>
              <w:top w:val="nil"/>
              <w:bottom w:val="nil"/>
            </w:tcBorders>
            <w:tcMar>
              <w:left w:w="57" w:type="dxa"/>
              <w:right w:w="57" w:type="dxa"/>
            </w:tcMar>
          </w:tcPr>
          <w:p w14:paraId="086F68E8" w14:textId="77777777" w:rsidR="002331F8" w:rsidRPr="00236418" w:rsidRDefault="002331F8" w:rsidP="009B3D24">
            <w:pPr>
              <w:pStyle w:val="Tabletext"/>
              <w:spacing w:before="0" w:after="0"/>
              <w:rPr>
                <w:i/>
                <w:iCs/>
                <w:sz w:val="18"/>
                <w:szCs w:val="18"/>
              </w:rPr>
            </w:pPr>
            <w:r w:rsidRPr="00236418">
              <w:rPr>
                <w:rFonts w:asciiTheme="minorHAnsi" w:hAnsiTheme="minorHAnsi" w:cs="Arial"/>
                <w:i/>
                <w:iCs/>
                <w:color w:val="000000"/>
                <w:sz w:val="18"/>
                <w:szCs w:val="18"/>
                <w:lang w:eastAsia="zh-CN"/>
              </w:rPr>
              <w:t>Comptabilisation des stocks</w:t>
            </w:r>
          </w:p>
        </w:tc>
        <w:tc>
          <w:tcPr>
            <w:tcW w:w="1134" w:type="dxa"/>
            <w:tcBorders>
              <w:top w:val="nil"/>
              <w:bottom w:val="nil"/>
            </w:tcBorders>
            <w:tcMar>
              <w:left w:w="57" w:type="dxa"/>
              <w:right w:w="57" w:type="dxa"/>
            </w:tcMar>
          </w:tcPr>
          <w:p w14:paraId="351853C4"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0152449F"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4C1F4700"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66F3B08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2DC81511" w14:textId="6D2EEA1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48</w:t>
            </w:r>
          </w:p>
        </w:tc>
        <w:tc>
          <w:tcPr>
            <w:tcW w:w="1310" w:type="dxa"/>
            <w:tcBorders>
              <w:top w:val="nil"/>
              <w:bottom w:val="nil"/>
            </w:tcBorders>
            <w:tcMar>
              <w:left w:w="57" w:type="dxa"/>
              <w:right w:w="57" w:type="dxa"/>
            </w:tcMar>
            <w:vAlign w:val="bottom"/>
          </w:tcPr>
          <w:p w14:paraId="6FDD07D6" w14:textId="7E7C743E"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52E297C8" w14:textId="77777777" w:rsidTr="006538EB">
        <w:trPr>
          <w:jc w:val="center"/>
        </w:trPr>
        <w:tc>
          <w:tcPr>
            <w:tcW w:w="3402" w:type="dxa"/>
            <w:tcBorders>
              <w:top w:val="nil"/>
              <w:bottom w:val="nil"/>
            </w:tcBorders>
            <w:tcMar>
              <w:left w:w="57" w:type="dxa"/>
              <w:right w:w="57" w:type="dxa"/>
            </w:tcMar>
          </w:tcPr>
          <w:p w14:paraId="658F8FE2" w14:textId="77777777" w:rsidR="002331F8" w:rsidRPr="00236418" w:rsidRDefault="002331F8" w:rsidP="009B3D24">
            <w:pPr>
              <w:pStyle w:val="Tabletext"/>
              <w:spacing w:before="0" w:after="0"/>
              <w:rPr>
                <w:i/>
                <w:iCs/>
                <w:sz w:val="18"/>
                <w:szCs w:val="18"/>
              </w:rPr>
            </w:pPr>
            <w:r w:rsidRPr="00236418">
              <w:rPr>
                <w:i/>
                <w:iCs/>
                <w:sz w:val="18"/>
                <w:szCs w:val="18"/>
              </w:rPr>
              <w:t>Amortissements</w:t>
            </w:r>
          </w:p>
        </w:tc>
        <w:tc>
          <w:tcPr>
            <w:tcW w:w="1134" w:type="dxa"/>
            <w:tcBorders>
              <w:top w:val="nil"/>
              <w:bottom w:val="nil"/>
            </w:tcBorders>
            <w:tcMar>
              <w:left w:w="57" w:type="dxa"/>
              <w:right w:w="57" w:type="dxa"/>
            </w:tcMar>
          </w:tcPr>
          <w:p w14:paraId="4F8FD0C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5B494FE9"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268B93E2"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53B510B4"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644EADCB" w14:textId="444C961E"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–4 452</w:t>
            </w:r>
          </w:p>
        </w:tc>
        <w:tc>
          <w:tcPr>
            <w:tcW w:w="1310" w:type="dxa"/>
            <w:tcBorders>
              <w:top w:val="nil"/>
              <w:bottom w:val="nil"/>
            </w:tcBorders>
            <w:tcMar>
              <w:left w:w="57" w:type="dxa"/>
              <w:right w:w="57" w:type="dxa"/>
            </w:tcMar>
            <w:vAlign w:val="bottom"/>
          </w:tcPr>
          <w:p w14:paraId="396E2DDF" w14:textId="7D2E779C"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436BAECB" w14:textId="77777777" w:rsidTr="006538EB">
        <w:trPr>
          <w:jc w:val="center"/>
        </w:trPr>
        <w:tc>
          <w:tcPr>
            <w:tcW w:w="3402" w:type="dxa"/>
            <w:tcBorders>
              <w:top w:val="nil"/>
              <w:bottom w:val="nil"/>
            </w:tcBorders>
            <w:tcMar>
              <w:left w:w="57" w:type="dxa"/>
              <w:right w:w="57" w:type="dxa"/>
            </w:tcMar>
          </w:tcPr>
          <w:p w14:paraId="59E5B057" w14:textId="77777777" w:rsidR="002331F8" w:rsidRPr="00236418" w:rsidRDefault="002331F8" w:rsidP="009B3D24">
            <w:pPr>
              <w:pStyle w:val="Tabletext"/>
              <w:spacing w:before="0" w:after="0"/>
              <w:rPr>
                <w:i/>
                <w:iCs/>
                <w:sz w:val="18"/>
                <w:szCs w:val="18"/>
              </w:rPr>
            </w:pPr>
            <w:r w:rsidRPr="00236418">
              <w:rPr>
                <w:i/>
                <w:iCs/>
                <w:sz w:val="18"/>
                <w:szCs w:val="18"/>
              </w:rPr>
              <w:t>Gains et pertes de change</w:t>
            </w:r>
          </w:p>
        </w:tc>
        <w:tc>
          <w:tcPr>
            <w:tcW w:w="1134" w:type="dxa"/>
            <w:tcBorders>
              <w:top w:val="nil"/>
              <w:bottom w:val="nil"/>
            </w:tcBorders>
            <w:tcMar>
              <w:left w:w="57" w:type="dxa"/>
              <w:right w:w="57" w:type="dxa"/>
            </w:tcMar>
          </w:tcPr>
          <w:p w14:paraId="5BAAEDE5"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4775406F"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7835BEC8"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40E5046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2CE6C61A" w14:textId="2D5ADE6D"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7 906</w:t>
            </w:r>
          </w:p>
        </w:tc>
        <w:tc>
          <w:tcPr>
            <w:tcW w:w="1310" w:type="dxa"/>
            <w:tcBorders>
              <w:top w:val="nil"/>
              <w:bottom w:val="nil"/>
            </w:tcBorders>
            <w:tcMar>
              <w:left w:w="57" w:type="dxa"/>
              <w:right w:w="57" w:type="dxa"/>
            </w:tcMar>
            <w:vAlign w:val="bottom"/>
          </w:tcPr>
          <w:p w14:paraId="2C4A8F64" w14:textId="3C49A59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6BC797A1" w14:textId="77777777" w:rsidTr="006538EB">
        <w:trPr>
          <w:jc w:val="center"/>
        </w:trPr>
        <w:tc>
          <w:tcPr>
            <w:tcW w:w="3402" w:type="dxa"/>
            <w:tcBorders>
              <w:top w:val="nil"/>
              <w:bottom w:val="nil"/>
            </w:tcBorders>
            <w:tcMar>
              <w:left w:w="57" w:type="dxa"/>
              <w:right w:w="57" w:type="dxa"/>
            </w:tcMar>
          </w:tcPr>
          <w:p w14:paraId="151D75D2" w14:textId="77777777" w:rsidR="002331F8" w:rsidRPr="00236418" w:rsidRDefault="002331F8" w:rsidP="009B3D24">
            <w:pPr>
              <w:pStyle w:val="Tabletext"/>
              <w:spacing w:before="0" w:after="0"/>
              <w:rPr>
                <w:i/>
                <w:iCs/>
                <w:sz w:val="18"/>
                <w:szCs w:val="18"/>
              </w:rPr>
            </w:pPr>
            <w:r w:rsidRPr="00236418">
              <w:rPr>
                <w:rFonts w:asciiTheme="minorHAnsi" w:hAnsiTheme="minorHAnsi" w:cs="Arial"/>
                <w:i/>
                <w:iCs/>
                <w:color w:val="000000"/>
                <w:sz w:val="18"/>
                <w:szCs w:val="18"/>
                <w:lang w:eastAsia="zh-CN"/>
              </w:rPr>
              <w:t>Remboursement du prêt de la FIPOI non considéré comme charges</w:t>
            </w:r>
          </w:p>
        </w:tc>
        <w:tc>
          <w:tcPr>
            <w:tcW w:w="1134" w:type="dxa"/>
            <w:tcBorders>
              <w:top w:val="nil"/>
              <w:bottom w:val="nil"/>
            </w:tcBorders>
            <w:tcMar>
              <w:left w:w="57" w:type="dxa"/>
              <w:right w:w="57" w:type="dxa"/>
            </w:tcMar>
          </w:tcPr>
          <w:p w14:paraId="263DA520"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25F47A11"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2EFBB5EB"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097EC6C0"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5F9B6713" w14:textId="11576D7A"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1 493</w:t>
            </w:r>
          </w:p>
        </w:tc>
        <w:tc>
          <w:tcPr>
            <w:tcW w:w="1310" w:type="dxa"/>
            <w:tcBorders>
              <w:top w:val="nil"/>
              <w:bottom w:val="nil"/>
            </w:tcBorders>
            <w:tcMar>
              <w:left w:w="57" w:type="dxa"/>
              <w:right w:w="57" w:type="dxa"/>
            </w:tcMar>
            <w:vAlign w:val="bottom"/>
          </w:tcPr>
          <w:p w14:paraId="67CE2E00" w14:textId="7501D83A"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7E925DDD" w14:textId="77777777" w:rsidTr="006538EB">
        <w:trPr>
          <w:jc w:val="center"/>
        </w:trPr>
        <w:tc>
          <w:tcPr>
            <w:tcW w:w="3402" w:type="dxa"/>
            <w:tcBorders>
              <w:top w:val="nil"/>
              <w:bottom w:val="nil"/>
            </w:tcBorders>
            <w:tcMar>
              <w:left w:w="57" w:type="dxa"/>
              <w:right w:w="57" w:type="dxa"/>
            </w:tcMar>
          </w:tcPr>
          <w:p w14:paraId="6310EF53" w14:textId="77777777" w:rsidR="002331F8" w:rsidRPr="00236418" w:rsidRDefault="002331F8" w:rsidP="009B3D24">
            <w:pPr>
              <w:pStyle w:val="Tabletext"/>
              <w:spacing w:before="0" w:after="0"/>
              <w:rPr>
                <w:i/>
                <w:iCs/>
                <w:sz w:val="18"/>
                <w:szCs w:val="18"/>
              </w:rPr>
            </w:pPr>
            <w:r w:rsidRPr="00236418">
              <w:rPr>
                <w:i/>
                <w:iCs/>
                <w:sz w:val="18"/>
                <w:szCs w:val="18"/>
              </w:rPr>
              <w:t>Modifications et utilisation de la Provision pour créances douteuses</w:t>
            </w:r>
          </w:p>
        </w:tc>
        <w:tc>
          <w:tcPr>
            <w:tcW w:w="1134" w:type="dxa"/>
            <w:tcBorders>
              <w:top w:val="nil"/>
              <w:bottom w:val="nil"/>
            </w:tcBorders>
            <w:tcMar>
              <w:left w:w="57" w:type="dxa"/>
              <w:right w:w="57" w:type="dxa"/>
            </w:tcMar>
          </w:tcPr>
          <w:p w14:paraId="1BBA3C7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52AE57A1"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05649063"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7E03D1B8"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7391830A" w14:textId="320E42B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6 065</w:t>
            </w:r>
          </w:p>
        </w:tc>
        <w:tc>
          <w:tcPr>
            <w:tcW w:w="1310" w:type="dxa"/>
            <w:tcBorders>
              <w:top w:val="nil"/>
              <w:bottom w:val="nil"/>
            </w:tcBorders>
            <w:tcMar>
              <w:left w:w="57" w:type="dxa"/>
              <w:right w:w="57" w:type="dxa"/>
            </w:tcMar>
            <w:vAlign w:val="bottom"/>
          </w:tcPr>
          <w:p w14:paraId="305D18EF" w14:textId="09A85C88"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4D644EBC" w14:textId="77777777" w:rsidTr="006538EB">
        <w:trPr>
          <w:jc w:val="center"/>
        </w:trPr>
        <w:tc>
          <w:tcPr>
            <w:tcW w:w="3402" w:type="dxa"/>
            <w:tcBorders>
              <w:top w:val="nil"/>
              <w:bottom w:val="nil"/>
            </w:tcBorders>
            <w:tcMar>
              <w:left w:w="57" w:type="dxa"/>
              <w:right w:w="57" w:type="dxa"/>
            </w:tcMar>
          </w:tcPr>
          <w:p w14:paraId="5027EDB5" w14:textId="77777777" w:rsidR="002331F8" w:rsidRPr="00236418" w:rsidRDefault="002331F8" w:rsidP="009B3D24">
            <w:pPr>
              <w:pStyle w:val="Tabletext"/>
              <w:spacing w:before="0" w:after="0"/>
              <w:rPr>
                <w:i/>
                <w:iCs/>
                <w:sz w:val="18"/>
                <w:szCs w:val="18"/>
              </w:rPr>
            </w:pPr>
            <w:r w:rsidRPr="00236418">
              <w:rPr>
                <w:i/>
                <w:iCs/>
                <w:sz w:val="18"/>
                <w:szCs w:val="18"/>
              </w:rPr>
              <w:t>Ventes d'actifs</w:t>
            </w:r>
          </w:p>
        </w:tc>
        <w:tc>
          <w:tcPr>
            <w:tcW w:w="1134" w:type="dxa"/>
            <w:tcBorders>
              <w:top w:val="nil"/>
              <w:bottom w:val="nil"/>
            </w:tcBorders>
            <w:tcMar>
              <w:left w:w="57" w:type="dxa"/>
              <w:right w:w="57" w:type="dxa"/>
            </w:tcMar>
          </w:tcPr>
          <w:p w14:paraId="26D70D80"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232DABB0"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2A203DA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31EA0AC8"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7AAC6FB2" w14:textId="6821A30B"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w:t>
            </w:r>
          </w:p>
        </w:tc>
        <w:tc>
          <w:tcPr>
            <w:tcW w:w="1310" w:type="dxa"/>
            <w:tcBorders>
              <w:top w:val="nil"/>
              <w:bottom w:val="nil"/>
            </w:tcBorders>
            <w:tcMar>
              <w:left w:w="57" w:type="dxa"/>
              <w:right w:w="57" w:type="dxa"/>
            </w:tcMar>
            <w:vAlign w:val="bottom"/>
          </w:tcPr>
          <w:p w14:paraId="44460616" w14:textId="62786498"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3B8B7B55" w14:textId="77777777" w:rsidTr="006538EB">
        <w:trPr>
          <w:jc w:val="center"/>
        </w:trPr>
        <w:tc>
          <w:tcPr>
            <w:tcW w:w="3402" w:type="dxa"/>
            <w:tcBorders>
              <w:top w:val="nil"/>
              <w:bottom w:val="nil"/>
            </w:tcBorders>
            <w:tcMar>
              <w:left w:w="57" w:type="dxa"/>
              <w:right w:w="57" w:type="dxa"/>
            </w:tcMar>
          </w:tcPr>
          <w:p w14:paraId="1C2D6CD9" w14:textId="77777777" w:rsidR="002331F8" w:rsidRPr="00236418" w:rsidRDefault="002331F8" w:rsidP="009B3D24">
            <w:pPr>
              <w:pStyle w:val="Tabletext"/>
              <w:spacing w:before="0" w:after="0"/>
              <w:rPr>
                <w:i/>
                <w:iCs/>
                <w:sz w:val="18"/>
                <w:szCs w:val="18"/>
              </w:rPr>
            </w:pPr>
            <w:r w:rsidRPr="00236418">
              <w:rPr>
                <w:rFonts w:asciiTheme="minorHAnsi" w:hAnsiTheme="minorHAnsi" w:cs="Arial"/>
                <w:i/>
                <w:iCs/>
                <w:color w:val="000000"/>
                <w:sz w:val="18"/>
                <w:szCs w:val="18"/>
                <w:lang w:eastAsia="zh-CN"/>
              </w:rPr>
              <w:t>Autres charges</w:t>
            </w:r>
          </w:p>
        </w:tc>
        <w:tc>
          <w:tcPr>
            <w:tcW w:w="1134" w:type="dxa"/>
            <w:tcBorders>
              <w:top w:val="nil"/>
              <w:bottom w:val="nil"/>
            </w:tcBorders>
            <w:tcMar>
              <w:left w:w="57" w:type="dxa"/>
              <w:right w:w="57" w:type="dxa"/>
            </w:tcMar>
          </w:tcPr>
          <w:p w14:paraId="15B57F8D"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tcPr>
          <w:p w14:paraId="6EEAF8F8"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tcPr>
          <w:p w14:paraId="475E3D80"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tcPr>
          <w:p w14:paraId="056A37A3"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tcPr>
          <w:p w14:paraId="56E51D6A" w14:textId="71F8F3BE"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–26</w:t>
            </w:r>
          </w:p>
        </w:tc>
        <w:tc>
          <w:tcPr>
            <w:tcW w:w="1310" w:type="dxa"/>
            <w:tcBorders>
              <w:top w:val="nil"/>
              <w:bottom w:val="nil"/>
            </w:tcBorders>
            <w:tcMar>
              <w:left w:w="57" w:type="dxa"/>
              <w:right w:w="57" w:type="dxa"/>
            </w:tcMar>
            <w:vAlign w:val="bottom"/>
          </w:tcPr>
          <w:p w14:paraId="2EA64400" w14:textId="10E1DF5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08662E64" w14:textId="77777777" w:rsidTr="006538EB">
        <w:trPr>
          <w:jc w:val="center"/>
        </w:trPr>
        <w:tc>
          <w:tcPr>
            <w:tcW w:w="3402" w:type="dxa"/>
            <w:tcBorders>
              <w:top w:val="nil"/>
              <w:bottom w:val="nil"/>
            </w:tcBorders>
            <w:tcMar>
              <w:left w:w="57" w:type="dxa"/>
              <w:right w:w="57" w:type="dxa"/>
            </w:tcMar>
          </w:tcPr>
          <w:p w14:paraId="710742B8" w14:textId="77777777" w:rsidR="002331F8" w:rsidRPr="00236418" w:rsidRDefault="002331F8" w:rsidP="009B3D24">
            <w:pPr>
              <w:pStyle w:val="Tabletext"/>
              <w:spacing w:before="0" w:after="0"/>
              <w:rPr>
                <w:i/>
                <w:iCs/>
                <w:sz w:val="18"/>
                <w:szCs w:val="18"/>
              </w:rPr>
            </w:pPr>
          </w:p>
        </w:tc>
        <w:tc>
          <w:tcPr>
            <w:tcW w:w="1134" w:type="dxa"/>
            <w:tcBorders>
              <w:top w:val="nil"/>
              <w:bottom w:val="nil"/>
            </w:tcBorders>
            <w:tcMar>
              <w:left w:w="57" w:type="dxa"/>
              <w:right w:w="57" w:type="dxa"/>
            </w:tcMar>
            <w:vAlign w:val="bottom"/>
          </w:tcPr>
          <w:p w14:paraId="3E977AB0"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top w:val="nil"/>
              <w:bottom w:val="nil"/>
            </w:tcBorders>
            <w:vAlign w:val="bottom"/>
          </w:tcPr>
          <w:p w14:paraId="544A96DD"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4C8A8FD3"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7ABC6EEF"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29F8CC7F" w14:textId="3BE9FC7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8"/>
                <w:szCs w:val="18"/>
                <w:lang w:eastAsia="zh-CN"/>
              </w:rPr>
            </w:pPr>
            <w:r w:rsidRPr="00236418">
              <w:rPr>
                <w:rFonts w:cs="Arial"/>
                <w:color w:val="000000"/>
                <w:sz w:val="18"/>
                <w:szCs w:val="18"/>
                <w:lang w:eastAsia="zh-CN"/>
              </w:rPr>
              <w:t> </w:t>
            </w:r>
          </w:p>
        </w:tc>
        <w:tc>
          <w:tcPr>
            <w:tcW w:w="1310" w:type="dxa"/>
            <w:tcBorders>
              <w:top w:val="nil"/>
              <w:bottom w:val="nil"/>
            </w:tcBorders>
            <w:tcMar>
              <w:left w:w="57" w:type="dxa"/>
              <w:right w:w="57" w:type="dxa"/>
            </w:tcMar>
            <w:vAlign w:val="bottom"/>
          </w:tcPr>
          <w:p w14:paraId="48C9FFC6" w14:textId="59CF2A4B"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76929E4E" w14:textId="77777777" w:rsidTr="006538EB">
        <w:trPr>
          <w:jc w:val="center"/>
        </w:trPr>
        <w:tc>
          <w:tcPr>
            <w:tcW w:w="3402" w:type="dxa"/>
            <w:tcMar>
              <w:left w:w="57" w:type="dxa"/>
              <w:right w:w="57" w:type="dxa"/>
            </w:tcMar>
          </w:tcPr>
          <w:p w14:paraId="530E758A" w14:textId="77777777" w:rsidR="002331F8" w:rsidRPr="00236418" w:rsidRDefault="002331F8" w:rsidP="009B3D24">
            <w:pPr>
              <w:pStyle w:val="Tablehead"/>
              <w:spacing w:before="0" w:after="0"/>
              <w:jc w:val="left"/>
              <w:rPr>
                <w:sz w:val="18"/>
                <w:szCs w:val="18"/>
              </w:rPr>
            </w:pPr>
            <w:r w:rsidRPr="00236418">
              <w:rPr>
                <w:sz w:val="18"/>
                <w:szCs w:val="18"/>
              </w:rPr>
              <w:t>Total des différences IPSAS</w:t>
            </w:r>
          </w:p>
        </w:tc>
        <w:tc>
          <w:tcPr>
            <w:tcW w:w="1134" w:type="dxa"/>
            <w:tcMar>
              <w:left w:w="57" w:type="dxa"/>
              <w:right w:w="57" w:type="dxa"/>
            </w:tcMar>
            <w:vAlign w:val="bottom"/>
          </w:tcPr>
          <w:p w14:paraId="6CC00659"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390" w:type="dxa"/>
            <w:vAlign w:val="bottom"/>
          </w:tcPr>
          <w:p w14:paraId="1DC06EA8"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Mar>
              <w:left w:w="57" w:type="dxa"/>
              <w:right w:w="57" w:type="dxa"/>
            </w:tcMar>
            <w:vAlign w:val="bottom"/>
          </w:tcPr>
          <w:p w14:paraId="7A61F34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Mar>
              <w:left w:w="57" w:type="dxa"/>
              <w:right w:w="57" w:type="dxa"/>
            </w:tcMar>
            <w:vAlign w:val="bottom"/>
          </w:tcPr>
          <w:p w14:paraId="1ABED93D"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330" w:type="dxa"/>
            <w:tcMar>
              <w:left w:w="57" w:type="dxa"/>
              <w:right w:w="57" w:type="dxa"/>
            </w:tcMar>
            <w:vAlign w:val="bottom"/>
          </w:tcPr>
          <w:p w14:paraId="26A0C91C" w14:textId="27F7719C"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–64 494</w:t>
            </w:r>
          </w:p>
        </w:tc>
        <w:tc>
          <w:tcPr>
            <w:tcW w:w="1310" w:type="dxa"/>
            <w:tcMar>
              <w:left w:w="57" w:type="dxa"/>
              <w:right w:w="57" w:type="dxa"/>
            </w:tcMar>
            <w:vAlign w:val="bottom"/>
          </w:tcPr>
          <w:p w14:paraId="015009BF" w14:textId="53BEBD53"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p>
        </w:tc>
      </w:tr>
      <w:tr w:rsidR="002331F8" w:rsidRPr="00236418" w14:paraId="414ACBB8" w14:textId="77777777" w:rsidTr="006538EB">
        <w:trPr>
          <w:jc w:val="center"/>
        </w:trPr>
        <w:tc>
          <w:tcPr>
            <w:tcW w:w="3402" w:type="dxa"/>
            <w:tcBorders>
              <w:bottom w:val="nil"/>
            </w:tcBorders>
            <w:tcMar>
              <w:left w:w="57" w:type="dxa"/>
              <w:right w:w="57" w:type="dxa"/>
            </w:tcMar>
          </w:tcPr>
          <w:p w14:paraId="71CFFFD5" w14:textId="77777777" w:rsidR="002331F8" w:rsidRPr="00236418" w:rsidRDefault="002331F8" w:rsidP="009B3D24">
            <w:pPr>
              <w:pStyle w:val="Tabletext"/>
              <w:spacing w:before="0" w:after="0"/>
              <w:rPr>
                <w:i/>
                <w:iCs/>
                <w:sz w:val="18"/>
                <w:szCs w:val="18"/>
              </w:rPr>
            </w:pPr>
            <w:r w:rsidRPr="00236418">
              <w:rPr>
                <w:rFonts w:asciiTheme="minorHAnsi" w:hAnsiTheme="minorHAnsi" w:cs="Arial"/>
                <w:i/>
                <w:iCs/>
                <w:color w:val="000000"/>
                <w:sz w:val="18"/>
                <w:szCs w:val="18"/>
                <w:lang w:eastAsia="zh-CN"/>
              </w:rPr>
              <w:t>Excédent/déficit Fonds 1000</w:t>
            </w:r>
          </w:p>
        </w:tc>
        <w:tc>
          <w:tcPr>
            <w:tcW w:w="1134" w:type="dxa"/>
            <w:tcBorders>
              <w:bottom w:val="nil"/>
            </w:tcBorders>
            <w:tcMar>
              <w:left w:w="57" w:type="dxa"/>
              <w:right w:w="57" w:type="dxa"/>
            </w:tcMar>
            <w:vAlign w:val="bottom"/>
          </w:tcPr>
          <w:p w14:paraId="53969087"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bottom w:val="nil"/>
            </w:tcBorders>
            <w:vAlign w:val="bottom"/>
          </w:tcPr>
          <w:p w14:paraId="52337883"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bottom w:val="nil"/>
            </w:tcBorders>
            <w:tcMar>
              <w:left w:w="57" w:type="dxa"/>
              <w:right w:w="57" w:type="dxa"/>
            </w:tcMar>
            <w:vAlign w:val="bottom"/>
          </w:tcPr>
          <w:p w14:paraId="1BA321E4"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bottom w:val="nil"/>
            </w:tcBorders>
            <w:tcMar>
              <w:left w:w="57" w:type="dxa"/>
              <w:right w:w="57" w:type="dxa"/>
            </w:tcMar>
            <w:vAlign w:val="bottom"/>
          </w:tcPr>
          <w:p w14:paraId="5C57FBAC"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bottom w:val="nil"/>
            </w:tcBorders>
            <w:tcMar>
              <w:left w:w="57" w:type="dxa"/>
              <w:right w:w="57" w:type="dxa"/>
            </w:tcMar>
            <w:vAlign w:val="bottom"/>
          </w:tcPr>
          <w:p w14:paraId="365ED924" w14:textId="328D8029"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4 778</w:t>
            </w:r>
          </w:p>
        </w:tc>
        <w:tc>
          <w:tcPr>
            <w:tcW w:w="1310" w:type="dxa"/>
            <w:tcBorders>
              <w:bottom w:val="nil"/>
            </w:tcBorders>
            <w:tcMar>
              <w:left w:w="57" w:type="dxa"/>
              <w:right w:w="57" w:type="dxa"/>
            </w:tcMar>
            <w:vAlign w:val="bottom"/>
          </w:tcPr>
          <w:p w14:paraId="6FBD03E1" w14:textId="4B0ABA5B"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36AD2E7F" w14:textId="77777777" w:rsidTr="006538EB">
        <w:trPr>
          <w:jc w:val="center"/>
        </w:trPr>
        <w:tc>
          <w:tcPr>
            <w:tcW w:w="3402" w:type="dxa"/>
            <w:tcBorders>
              <w:bottom w:val="nil"/>
            </w:tcBorders>
            <w:tcMar>
              <w:left w:w="57" w:type="dxa"/>
              <w:right w:w="57" w:type="dxa"/>
            </w:tcMar>
          </w:tcPr>
          <w:p w14:paraId="6D762AC8" w14:textId="77777777" w:rsidR="002331F8" w:rsidRPr="00236418" w:rsidRDefault="002331F8" w:rsidP="009B3D24">
            <w:pPr>
              <w:pStyle w:val="Tabletext"/>
              <w:spacing w:before="0" w:after="0"/>
              <w:rPr>
                <w:i/>
                <w:iCs/>
                <w:sz w:val="18"/>
                <w:szCs w:val="18"/>
                <w:lang w:eastAsia="fr-FR"/>
              </w:rPr>
            </w:pPr>
            <w:r w:rsidRPr="00236418">
              <w:rPr>
                <w:i/>
                <w:iCs/>
                <w:sz w:val="18"/>
                <w:szCs w:val="18"/>
              </w:rPr>
              <w:t>Baisse des réserves du fonds d'investissement</w:t>
            </w:r>
          </w:p>
        </w:tc>
        <w:tc>
          <w:tcPr>
            <w:tcW w:w="1134" w:type="dxa"/>
            <w:tcBorders>
              <w:bottom w:val="nil"/>
            </w:tcBorders>
            <w:tcMar>
              <w:left w:w="57" w:type="dxa"/>
              <w:right w:w="57" w:type="dxa"/>
            </w:tcMar>
            <w:vAlign w:val="bottom"/>
          </w:tcPr>
          <w:p w14:paraId="69542BCC"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bottom w:val="nil"/>
            </w:tcBorders>
            <w:vAlign w:val="bottom"/>
          </w:tcPr>
          <w:p w14:paraId="5D2115BD"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bottom w:val="nil"/>
            </w:tcBorders>
            <w:tcMar>
              <w:left w:w="57" w:type="dxa"/>
              <w:right w:w="57" w:type="dxa"/>
            </w:tcMar>
            <w:vAlign w:val="bottom"/>
          </w:tcPr>
          <w:p w14:paraId="594BCB53"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bottom w:val="nil"/>
            </w:tcBorders>
            <w:tcMar>
              <w:left w:w="57" w:type="dxa"/>
              <w:right w:w="57" w:type="dxa"/>
            </w:tcMar>
            <w:vAlign w:val="bottom"/>
          </w:tcPr>
          <w:p w14:paraId="4BC41CEC"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bottom w:val="nil"/>
            </w:tcBorders>
            <w:tcMar>
              <w:left w:w="57" w:type="dxa"/>
              <w:right w:w="57" w:type="dxa"/>
            </w:tcMar>
            <w:vAlign w:val="bottom"/>
          </w:tcPr>
          <w:p w14:paraId="3D96678C" w14:textId="13DE7E9D"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170</w:t>
            </w:r>
          </w:p>
        </w:tc>
        <w:tc>
          <w:tcPr>
            <w:tcW w:w="1310" w:type="dxa"/>
            <w:tcBorders>
              <w:bottom w:val="nil"/>
            </w:tcBorders>
            <w:tcMar>
              <w:left w:w="57" w:type="dxa"/>
              <w:right w:w="57" w:type="dxa"/>
            </w:tcMar>
            <w:vAlign w:val="bottom"/>
          </w:tcPr>
          <w:p w14:paraId="4E0F2938" w14:textId="01220624"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31C01875" w14:textId="77777777" w:rsidTr="006538EB">
        <w:trPr>
          <w:jc w:val="center"/>
        </w:trPr>
        <w:tc>
          <w:tcPr>
            <w:tcW w:w="3402" w:type="dxa"/>
            <w:tcBorders>
              <w:bottom w:val="single" w:sz="4" w:space="0" w:color="auto"/>
            </w:tcBorders>
            <w:tcMar>
              <w:left w:w="57" w:type="dxa"/>
              <w:right w:w="57" w:type="dxa"/>
            </w:tcMar>
          </w:tcPr>
          <w:p w14:paraId="2CDDA038" w14:textId="77777777" w:rsidR="002331F8" w:rsidRPr="00236418" w:rsidRDefault="002331F8" w:rsidP="009B3D24">
            <w:pPr>
              <w:pStyle w:val="Tabletext"/>
              <w:spacing w:before="20" w:after="20"/>
              <w:rPr>
                <w:i/>
                <w:iCs/>
                <w:sz w:val="18"/>
                <w:szCs w:val="18"/>
                <w:lang w:eastAsia="fr-FR"/>
              </w:rPr>
            </w:pPr>
            <w:r w:rsidRPr="00236418">
              <w:rPr>
                <w:i/>
                <w:iCs/>
                <w:sz w:val="18"/>
                <w:szCs w:val="18"/>
              </w:rPr>
              <w:t>Différences de périmètres</w:t>
            </w:r>
          </w:p>
        </w:tc>
        <w:tc>
          <w:tcPr>
            <w:tcW w:w="1134" w:type="dxa"/>
            <w:tcBorders>
              <w:bottom w:val="single" w:sz="4" w:space="0" w:color="auto"/>
            </w:tcBorders>
            <w:tcMar>
              <w:left w:w="57" w:type="dxa"/>
              <w:right w:w="57" w:type="dxa"/>
            </w:tcMar>
            <w:vAlign w:val="bottom"/>
          </w:tcPr>
          <w:p w14:paraId="4D585544"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90" w:type="dxa"/>
            <w:tcBorders>
              <w:bottom w:val="single" w:sz="4" w:space="0" w:color="auto"/>
            </w:tcBorders>
            <w:vAlign w:val="bottom"/>
          </w:tcPr>
          <w:p w14:paraId="50CBF223"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154" w:type="dxa"/>
            <w:tcBorders>
              <w:bottom w:val="single" w:sz="4" w:space="0" w:color="auto"/>
            </w:tcBorders>
            <w:tcMar>
              <w:left w:w="57" w:type="dxa"/>
              <w:right w:w="57" w:type="dxa"/>
            </w:tcMar>
            <w:vAlign w:val="bottom"/>
          </w:tcPr>
          <w:p w14:paraId="3B14F9CA"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087" w:type="dxa"/>
            <w:tcBorders>
              <w:bottom w:val="single" w:sz="4" w:space="0" w:color="auto"/>
            </w:tcBorders>
            <w:tcMar>
              <w:left w:w="57" w:type="dxa"/>
              <w:right w:w="57" w:type="dxa"/>
            </w:tcMar>
            <w:vAlign w:val="bottom"/>
          </w:tcPr>
          <w:p w14:paraId="2EBF8264"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236418">
              <w:rPr>
                <w:rFonts w:cs="Arial"/>
                <w:color w:val="000000"/>
                <w:sz w:val="18"/>
                <w:szCs w:val="18"/>
                <w:lang w:eastAsia="zh-CN"/>
              </w:rPr>
              <w:t> </w:t>
            </w:r>
          </w:p>
        </w:tc>
        <w:tc>
          <w:tcPr>
            <w:tcW w:w="1330" w:type="dxa"/>
            <w:tcBorders>
              <w:bottom w:val="single" w:sz="4" w:space="0" w:color="auto"/>
            </w:tcBorders>
            <w:tcMar>
              <w:left w:w="57" w:type="dxa"/>
              <w:right w:w="57" w:type="dxa"/>
            </w:tcMar>
            <w:vAlign w:val="bottom"/>
          </w:tcPr>
          <w:p w14:paraId="03F9FF2A" w14:textId="15B2291C"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236418">
              <w:rPr>
                <w:rFonts w:cs="Arial"/>
                <w:i/>
                <w:iCs/>
                <w:color w:val="000000"/>
                <w:sz w:val="18"/>
                <w:szCs w:val="18"/>
                <w:lang w:eastAsia="zh-CN"/>
              </w:rPr>
              <w:t>2 083</w:t>
            </w:r>
          </w:p>
        </w:tc>
        <w:tc>
          <w:tcPr>
            <w:tcW w:w="1310" w:type="dxa"/>
            <w:tcBorders>
              <w:bottom w:val="single" w:sz="4" w:space="0" w:color="auto"/>
            </w:tcBorders>
            <w:tcMar>
              <w:left w:w="57" w:type="dxa"/>
              <w:right w:w="57" w:type="dxa"/>
            </w:tcMar>
            <w:vAlign w:val="bottom"/>
          </w:tcPr>
          <w:p w14:paraId="28BE90A7" w14:textId="1D43FD6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236418" w14:paraId="6F8CD114" w14:textId="77777777" w:rsidTr="006538EB">
        <w:trPr>
          <w:jc w:val="center"/>
        </w:trPr>
        <w:tc>
          <w:tcPr>
            <w:tcW w:w="3402" w:type="dxa"/>
            <w:tcBorders>
              <w:bottom w:val="single" w:sz="4" w:space="0" w:color="auto"/>
            </w:tcBorders>
            <w:tcMar>
              <w:left w:w="57" w:type="dxa"/>
              <w:right w:w="57" w:type="dxa"/>
            </w:tcMar>
          </w:tcPr>
          <w:p w14:paraId="3177066A" w14:textId="77777777" w:rsidR="002331F8" w:rsidRPr="00236418" w:rsidRDefault="002331F8" w:rsidP="009B3D24">
            <w:pPr>
              <w:pStyle w:val="Tablehead"/>
              <w:spacing w:before="0" w:after="0"/>
              <w:jc w:val="left"/>
              <w:rPr>
                <w:sz w:val="18"/>
                <w:szCs w:val="18"/>
              </w:rPr>
            </w:pPr>
            <w:r w:rsidRPr="00236418">
              <w:rPr>
                <w:sz w:val="18"/>
                <w:szCs w:val="18"/>
              </w:rPr>
              <w:t>Excédent/Déficit tel que montré dans l'état de la performance financière</w:t>
            </w:r>
          </w:p>
        </w:tc>
        <w:tc>
          <w:tcPr>
            <w:tcW w:w="1134" w:type="dxa"/>
            <w:tcBorders>
              <w:bottom w:val="single" w:sz="4" w:space="0" w:color="auto"/>
            </w:tcBorders>
            <w:tcMar>
              <w:left w:w="57" w:type="dxa"/>
              <w:right w:w="57" w:type="dxa"/>
            </w:tcMar>
            <w:vAlign w:val="bottom"/>
          </w:tcPr>
          <w:p w14:paraId="3E3DD60B"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390" w:type="dxa"/>
            <w:tcBorders>
              <w:bottom w:val="single" w:sz="4" w:space="0" w:color="auto"/>
            </w:tcBorders>
            <w:vAlign w:val="bottom"/>
          </w:tcPr>
          <w:p w14:paraId="65492D0D"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154" w:type="dxa"/>
            <w:tcBorders>
              <w:bottom w:val="single" w:sz="4" w:space="0" w:color="auto"/>
            </w:tcBorders>
            <w:tcMar>
              <w:left w:w="57" w:type="dxa"/>
              <w:right w:w="57" w:type="dxa"/>
            </w:tcMar>
            <w:vAlign w:val="bottom"/>
          </w:tcPr>
          <w:p w14:paraId="43522962"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087" w:type="dxa"/>
            <w:tcBorders>
              <w:bottom w:val="single" w:sz="4" w:space="0" w:color="auto"/>
            </w:tcBorders>
            <w:tcMar>
              <w:left w:w="57" w:type="dxa"/>
              <w:right w:w="57" w:type="dxa"/>
            </w:tcMar>
            <w:vAlign w:val="bottom"/>
          </w:tcPr>
          <w:p w14:paraId="420A7064" w14:textId="77777777"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236418">
              <w:rPr>
                <w:rFonts w:cs="Arial"/>
                <w:b/>
                <w:bCs/>
                <w:color w:val="000000"/>
                <w:sz w:val="18"/>
                <w:szCs w:val="18"/>
                <w:lang w:eastAsia="zh-CN"/>
              </w:rPr>
              <w:t> </w:t>
            </w:r>
          </w:p>
        </w:tc>
        <w:tc>
          <w:tcPr>
            <w:tcW w:w="1330" w:type="dxa"/>
            <w:tcBorders>
              <w:bottom w:val="single" w:sz="4" w:space="0" w:color="auto"/>
            </w:tcBorders>
            <w:tcMar>
              <w:left w:w="57" w:type="dxa"/>
              <w:right w:w="57" w:type="dxa"/>
            </w:tcMar>
            <w:vAlign w:val="bottom"/>
          </w:tcPr>
          <w:p w14:paraId="2586735D" w14:textId="74BE49B8"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i/>
                <w:iCs/>
                <w:color w:val="000000"/>
                <w:sz w:val="18"/>
                <w:szCs w:val="18"/>
                <w:lang w:eastAsia="zh-CN"/>
              </w:rPr>
            </w:pPr>
            <w:r w:rsidRPr="00236418">
              <w:rPr>
                <w:rFonts w:cs="Arial"/>
                <w:b/>
                <w:bCs/>
                <w:i/>
                <w:iCs/>
                <w:color w:val="000000"/>
                <w:sz w:val="18"/>
                <w:szCs w:val="18"/>
                <w:lang w:eastAsia="zh-CN"/>
              </w:rPr>
              <w:t>–57 463</w:t>
            </w:r>
          </w:p>
        </w:tc>
        <w:tc>
          <w:tcPr>
            <w:tcW w:w="1310" w:type="dxa"/>
            <w:tcBorders>
              <w:bottom w:val="single" w:sz="4" w:space="0" w:color="auto"/>
            </w:tcBorders>
            <w:tcMar>
              <w:left w:w="57" w:type="dxa"/>
              <w:right w:w="57" w:type="dxa"/>
            </w:tcMar>
            <w:vAlign w:val="bottom"/>
          </w:tcPr>
          <w:p w14:paraId="320471C1" w14:textId="3F5297EF" w:rsidR="002331F8" w:rsidRPr="00236418"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p>
        </w:tc>
      </w:tr>
    </w:tbl>
    <w:p w14:paraId="083DCF8D" w14:textId="77777777" w:rsidR="00DF6159" w:rsidRPr="00236418" w:rsidRDefault="00DF6159" w:rsidP="009B3D24">
      <w:pPr>
        <w:spacing w:before="240"/>
      </w:pPr>
      <w:bookmarkStart w:id="633" w:name="_Toc387166623"/>
      <w:bookmarkStart w:id="634" w:name="_Toc395260908"/>
      <w:bookmarkStart w:id="635" w:name="_Toc395261096"/>
      <w:bookmarkStart w:id="636" w:name="_Toc395511687"/>
      <w:r w:rsidRPr="00236418">
        <w:t>Pour plus d'informations, voir la Note 26.</w:t>
      </w:r>
    </w:p>
    <w:p w14:paraId="464FFB43" w14:textId="77777777" w:rsidR="00DF6159" w:rsidRPr="00236418" w:rsidRDefault="00DF6159" w:rsidP="0050145B">
      <w:pPr>
        <w:pStyle w:val="Heading1"/>
        <w:jc w:val="center"/>
      </w:pPr>
      <w:bookmarkStart w:id="637" w:name="_Toc452138601"/>
      <w:bookmarkStart w:id="638" w:name="_Toc452139050"/>
      <w:bookmarkStart w:id="639" w:name="_Toc452139414"/>
      <w:bookmarkStart w:id="640" w:name="_Toc452139813"/>
      <w:bookmarkStart w:id="641" w:name="_Toc452140680"/>
      <w:bookmarkStart w:id="642" w:name="_Toc482801471"/>
      <w:bookmarkStart w:id="643" w:name="_Toc482888031"/>
      <w:bookmarkStart w:id="644" w:name="_Toc482888065"/>
      <w:bookmarkStart w:id="645" w:name="_Toc482888374"/>
      <w:bookmarkStart w:id="646" w:name="_Toc511649441"/>
      <w:bookmarkStart w:id="647" w:name="_Toc511649813"/>
      <w:bookmarkStart w:id="648" w:name="_Toc511649927"/>
      <w:bookmarkStart w:id="649" w:name="_Toc511651183"/>
      <w:bookmarkStart w:id="650" w:name="_Toc511724048"/>
      <w:bookmarkStart w:id="651" w:name="_Toc511739037"/>
      <w:bookmarkStart w:id="652" w:name="_Toc511740817"/>
      <w:bookmarkStart w:id="653" w:name="_Toc511741206"/>
      <w:bookmarkStart w:id="654" w:name="_Toc10450712"/>
      <w:bookmarkStart w:id="655" w:name="_Toc41567344"/>
      <w:bookmarkStart w:id="656" w:name="_Toc41567830"/>
      <w:bookmarkStart w:id="657" w:name="_Toc41814942"/>
      <w:r w:rsidRPr="00236418">
        <w:lastRenderedPageBreak/>
        <w:t>Notes relatives aux états financiers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0567052C" w14:textId="77777777" w:rsidR="00DF6159" w:rsidRPr="00236418" w:rsidRDefault="00DF6159" w:rsidP="00081C96">
      <w:pPr>
        <w:pStyle w:val="Heading1"/>
        <w:rPr>
          <w:sz w:val="24"/>
          <w:szCs w:val="24"/>
        </w:rPr>
      </w:pPr>
      <w:bookmarkStart w:id="658" w:name="_Toc329178761"/>
      <w:bookmarkStart w:id="659" w:name="_Toc329181734"/>
      <w:bookmarkStart w:id="660" w:name="_Toc329202549"/>
      <w:bookmarkStart w:id="661" w:name="_Toc329204981"/>
      <w:bookmarkStart w:id="662" w:name="_Toc329206818"/>
      <w:bookmarkStart w:id="663" w:name="_Toc358379902"/>
      <w:bookmarkStart w:id="664" w:name="_Toc358380442"/>
      <w:bookmarkStart w:id="665" w:name="_Toc452139814"/>
      <w:bookmarkStart w:id="666" w:name="_Toc452140681"/>
      <w:bookmarkStart w:id="667" w:name="_Toc482801472"/>
      <w:bookmarkStart w:id="668" w:name="_Toc511649442"/>
      <w:bookmarkStart w:id="669" w:name="_Toc511649814"/>
      <w:bookmarkStart w:id="670" w:name="_Toc511649928"/>
      <w:bookmarkStart w:id="671" w:name="_Toc511651184"/>
      <w:bookmarkStart w:id="672" w:name="_Toc511724049"/>
      <w:bookmarkStart w:id="673" w:name="_Toc511739038"/>
      <w:bookmarkStart w:id="674" w:name="_Toc511741207"/>
      <w:bookmarkStart w:id="675" w:name="_Toc10450713"/>
      <w:bookmarkStart w:id="676" w:name="_Toc41566318"/>
      <w:bookmarkStart w:id="677" w:name="_Toc41567345"/>
      <w:bookmarkStart w:id="678" w:name="_Toc41567831"/>
      <w:bookmarkStart w:id="679" w:name="_Toc41814943"/>
      <w:r w:rsidRPr="00236418">
        <w:rPr>
          <w:sz w:val="24"/>
          <w:szCs w:val="24"/>
        </w:rPr>
        <w:t>Note 1</w:t>
      </w:r>
      <w:r w:rsidRPr="00236418">
        <w:rPr>
          <w:sz w:val="24"/>
          <w:szCs w:val="24"/>
        </w:rPr>
        <w:tab/>
      </w:r>
      <w:bookmarkEnd w:id="658"/>
      <w:bookmarkEnd w:id="659"/>
      <w:bookmarkEnd w:id="660"/>
      <w:bookmarkEnd w:id="661"/>
      <w:bookmarkEnd w:id="662"/>
      <w:bookmarkEnd w:id="663"/>
      <w:bookmarkEnd w:id="664"/>
      <w:bookmarkEnd w:id="665"/>
      <w:bookmarkEnd w:id="666"/>
      <w:r w:rsidRPr="00236418">
        <w:rPr>
          <w:sz w:val="24"/>
          <w:szCs w:val="24"/>
        </w:rPr>
        <w:t>Objectifs de l'Union</w:t>
      </w:r>
      <w:bookmarkEnd w:id="667"/>
      <w:bookmarkEnd w:id="668"/>
      <w:bookmarkEnd w:id="669"/>
      <w:bookmarkEnd w:id="670"/>
      <w:bookmarkEnd w:id="671"/>
      <w:bookmarkEnd w:id="672"/>
      <w:bookmarkEnd w:id="673"/>
      <w:bookmarkEnd w:id="674"/>
      <w:bookmarkEnd w:id="675"/>
      <w:bookmarkEnd w:id="676"/>
      <w:bookmarkEnd w:id="677"/>
      <w:bookmarkEnd w:id="678"/>
      <w:bookmarkEnd w:id="679"/>
    </w:p>
    <w:p w14:paraId="5C3E1591" w14:textId="77777777" w:rsidR="00DF6159" w:rsidRPr="00236418" w:rsidRDefault="00DF6159" w:rsidP="009B3D24">
      <w:pPr>
        <w:rPr>
          <w:b/>
        </w:rPr>
      </w:pPr>
      <w:r w:rsidRPr="00236418">
        <w:t>L'Union internationale des télécommunications (UIT) est l'institution spécialisée des</w:t>
      </w:r>
      <w:hyperlink r:id="rId30" w:tgtFrame="_blank" w:history="1">
        <w:r w:rsidRPr="00236418">
          <w:rPr>
            <w:rStyle w:val="Hyperlink"/>
          </w:rPr>
          <w:t xml:space="preserve"> </w:t>
        </w:r>
        <w:r w:rsidRPr="00236418">
          <w:rPr>
            <w:rStyle w:val="Hyperlink"/>
            <w:rFonts w:cs="Calibri"/>
          </w:rPr>
          <w:t>Nations Unies</w:t>
        </w:r>
      </w:hyperlink>
      <w:r w:rsidRPr="00236418">
        <w:t xml:space="preserve"> pour les technologies de l'information et de la communication (TIC). Pôle de convergence mondial où se retrouvent pouvoirs publics et secteur privé, l'UIT aide le monde à communiquer, et ce dans trois Secteurs fondamentaux: les </w:t>
      </w:r>
      <w:hyperlink r:id="rId31" w:history="1">
        <w:r w:rsidRPr="00236418">
          <w:rPr>
            <w:rStyle w:val="Hyperlink"/>
            <w:rFonts w:cs="Calibri"/>
          </w:rPr>
          <w:t>radiocommunications</w:t>
        </w:r>
      </w:hyperlink>
      <w:r w:rsidRPr="00236418">
        <w:t xml:space="preserve">, la </w:t>
      </w:r>
      <w:hyperlink r:id="rId32" w:history="1">
        <w:r w:rsidRPr="00236418">
          <w:rPr>
            <w:rStyle w:val="Hyperlink"/>
            <w:rFonts w:cs="Calibri"/>
          </w:rPr>
          <w:t>normalisation</w:t>
        </w:r>
      </w:hyperlink>
      <w:r w:rsidRPr="00236418">
        <w:t xml:space="preserve"> et le </w:t>
      </w:r>
      <w:hyperlink r:id="rId33" w:history="1">
        <w:r w:rsidRPr="00236418">
          <w:rPr>
            <w:rStyle w:val="Hyperlink"/>
            <w:rFonts w:cs="Calibri"/>
          </w:rPr>
          <w:t>développement</w:t>
        </w:r>
      </w:hyperlink>
      <w:r w:rsidRPr="00236418">
        <w:t>. L'UIT reconnaît pleinement à chaque État le droit souverain de réglementer ses télécommunications.</w:t>
      </w:r>
    </w:p>
    <w:p w14:paraId="54CE3870" w14:textId="77777777" w:rsidR="00DF6159" w:rsidRPr="00236418" w:rsidRDefault="00DF6159" w:rsidP="009B3D24">
      <w:pPr>
        <w:rPr>
          <w:lang w:eastAsia="fr-FR"/>
        </w:rPr>
      </w:pPr>
      <w:r w:rsidRPr="00236418">
        <w:rPr>
          <w:lang w:eastAsia="fr-FR"/>
        </w:rPr>
        <w:t xml:space="preserve">L'UIT, qui est aussi l'organisatrice des manifestations </w:t>
      </w:r>
      <w:hyperlink r:id="rId34" w:history="1">
        <w:r w:rsidRPr="00236418">
          <w:rPr>
            <w:rStyle w:val="Hyperlink"/>
            <w:rFonts w:asciiTheme="minorHAnsi" w:hAnsiTheme="minorHAnsi" w:cs="Arial"/>
            <w:szCs w:val="24"/>
            <w:lang w:eastAsia="fr-FR"/>
          </w:rPr>
          <w:t>ITU TELECOM</w:t>
        </w:r>
      </w:hyperlink>
      <w:r w:rsidRPr="00236418">
        <w:rPr>
          <w:lang w:eastAsia="fr-FR"/>
        </w:rPr>
        <w:t>, a été responsable au premier chef de l'organisation du </w:t>
      </w:r>
      <w:hyperlink r:id="rId35" w:history="1">
        <w:r w:rsidRPr="00236418">
          <w:rPr>
            <w:rStyle w:val="Hyperlink"/>
            <w:rFonts w:asciiTheme="minorHAnsi" w:hAnsiTheme="minorHAnsi" w:cs="Arial"/>
            <w:szCs w:val="24"/>
            <w:lang w:eastAsia="fr-FR"/>
          </w:rPr>
          <w:t>Sommet mondial sur la société de l'information</w:t>
        </w:r>
      </w:hyperlink>
      <w:r w:rsidRPr="00236418">
        <w:rPr>
          <w:lang w:eastAsia="fr-FR"/>
        </w:rPr>
        <w:t>.</w:t>
      </w:r>
    </w:p>
    <w:p w14:paraId="0657F596" w14:textId="7C02E123" w:rsidR="00DF6159" w:rsidRPr="00236418" w:rsidRDefault="00DF6159" w:rsidP="009B3D24">
      <w:pPr>
        <w:rPr>
          <w:lang w:eastAsia="fr-FR"/>
        </w:rPr>
      </w:pPr>
      <w:r w:rsidRPr="00236418">
        <w:rPr>
          <w:rFonts w:asciiTheme="minorHAnsi" w:hAnsiTheme="minorHAnsi" w:cs="Arial"/>
          <w:szCs w:val="24"/>
          <w:lang w:eastAsia="fr-FR"/>
        </w:rPr>
        <w:t xml:space="preserve">L'UIT a son siège à Place des Nations, 1211 Genève 20, Suisse, et compte 193 </w:t>
      </w:r>
      <w:hyperlink r:id="rId36" w:history="1">
        <w:r w:rsidRPr="00236418">
          <w:rPr>
            <w:rStyle w:val="Hyperlink"/>
            <w:rFonts w:asciiTheme="minorHAnsi" w:hAnsiTheme="minorHAnsi" w:cs="Arial"/>
            <w:szCs w:val="24"/>
            <w:lang w:eastAsia="fr-FR"/>
          </w:rPr>
          <w:t>États Membres</w:t>
        </w:r>
      </w:hyperlink>
      <w:r w:rsidRPr="00236418">
        <w:rPr>
          <w:rFonts w:asciiTheme="minorHAnsi" w:hAnsiTheme="minorHAnsi" w:cs="Arial"/>
          <w:szCs w:val="24"/>
          <w:lang w:eastAsia="fr-FR"/>
        </w:rPr>
        <w:t xml:space="preserve"> et plus de </w:t>
      </w:r>
      <w:r w:rsidR="00E10F27" w:rsidRPr="00236418">
        <w:rPr>
          <w:rFonts w:asciiTheme="minorHAnsi" w:hAnsiTheme="minorHAnsi" w:cs="Arial"/>
          <w:szCs w:val="24"/>
          <w:lang w:eastAsia="fr-FR"/>
        </w:rPr>
        <w:t>1 2</w:t>
      </w:r>
      <w:r w:rsidRPr="00236418">
        <w:rPr>
          <w:rFonts w:asciiTheme="minorHAnsi" w:hAnsiTheme="minorHAnsi" w:cs="Arial"/>
          <w:szCs w:val="24"/>
          <w:lang w:eastAsia="fr-FR"/>
        </w:rPr>
        <w:t xml:space="preserve">00 </w:t>
      </w:r>
      <w:hyperlink r:id="rId37" w:history="1">
        <w:r w:rsidRPr="00236418">
          <w:rPr>
            <w:rStyle w:val="Hyperlink"/>
            <w:rFonts w:cs="Arial"/>
            <w:szCs w:val="24"/>
            <w:lang w:eastAsia="fr-FR"/>
          </w:rPr>
          <w:t>Membres de Secteur</w:t>
        </w:r>
      </w:hyperlink>
      <w:r w:rsidRPr="00236418">
        <w:t xml:space="preserve">, </w:t>
      </w:r>
      <w:hyperlink r:id="rId38" w:history="1">
        <w:r w:rsidRPr="00236418">
          <w:rPr>
            <w:rStyle w:val="Hyperlink"/>
            <w:rFonts w:asciiTheme="minorHAnsi" w:hAnsiTheme="minorHAnsi" w:cs="Arial"/>
            <w:szCs w:val="24"/>
            <w:lang w:eastAsia="fr-FR"/>
          </w:rPr>
          <w:t>Associés</w:t>
        </w:r>
      </w:hyperlink>
      <w:r w:rsidRPr="00236418">
        <w:rPr>
          <w:rStyle w:val="Hyperlink"/>
          <w:color w:val="auto"/>
          <w:u w:val="none"/>
        </w:rPr>
        <w:t xml:space="preserve"> </w:t>
      </w:r>
      <w:r w:rsidRPr="00236418">
        <w:rPr>
          <w:rStyle w:val="Hyperlink"/>
          <w:rFonts w:asciiTheme="minorHAnsi" w:hAnsiTheme="minorHAnsi" w:cs="Arial"/>
          <w:color w:val="auto"/>
          <w:szCs w:val="24"/>
          <w:u w:val="none"/>
          <w:lang w:eastAsia="fr-FR"/>
        </w:rPr>
        <w:t xml:space="preserve">et </w:t>
      </w:r>
      <w:hyperlink r:id="rId39" w:history="1">
        <w:r w:rsidRPr="00236418">
          <w:rPr>
            <w:rStyle w:val="Hyperlink"/>
            <w:rFonts w:asciiTheme="minorHAnsi" w:hAnsiTheme="minorHAnsi" w:cs="Arial"/>
            <w:szCs w:val="24"/>
            <w:lang w:eastAsia="fr-FR"/>
          </w:rPr>
          <w:t>établissements universitaires associés à ses travaux</w:t>
        </w:r>
      </w:hyperlink>
      <w:r w:rsidRPr="00236418">
        <w:rPr>
          <w:rFonts w:asciiTheme="minorHAnsi" w:hAnsiTheme="minorHAnsi" w:cs="Arial"/>
          <w:szCs w:val="24"/>
          <w:lang w:eastAsia="fr-FR"/>
        </w:rPr>
        <w:t>. L'UIT a quatre bureaux régionaux, huit bureaux de zone, un bureau de liaison auprès de l'Organisation des Nations Unies à New York et une unité de coordination au siège pour l'Europe.</w:t>
      </w:r>
    </w:p>
    <w:p w14:paraId="7775273F" w14:textId="77777777" w:rsidR="00DF6159" w:rsidRPr="00236418" w:rsidRDefault="00DF6159" w:rsidP="009B3D24">
      <w:r w:rsidRPr="00236418">
        <w:t xml:space="preserve">L'objet de l'Union est le suivant: </w:t>
      </w:r>
    </w:p>
    <w:p w14:paraId="646F9F16" w14:textId="77777777" w:rsidR="00DF6159" w:rsidRPr="00236418" w:rsidRDefault="00DF6159" w:rsidP="009B3D24">
      <w:pPr>
        <w:pStyle w:val="enumlev1"/>
      </w:pPr>
      <w:r w:rsidRPr="00236418">
        <w:rPr>
          <w:lang w:eastAsia="fr-FR"/>
        </w:rPr>
        <w:t>–</w:t>
      </w:r>
      <w:r w:rsidRPr="00236418">
        <w:rPr>
          <w:lang w:eastAsia="fr-FR"/>
        </w:rPr>
        <w:tab/>
      </w:r>
      <w:r w:rsidRPr="00236418">
        <w:t>Maintenir et étendre la coopération internationale entre tous ses États Membres pour l'amélioration et l'emploi rationnel des télécommunications de toutes sortes.</w:t>
      </w:r>
    </w:p>
    <w:p w14:paraId="2936EAEE" w14:textId="77777777" w:rsidR="00DF6159" w:rsidRPr="00236418" w:rsidRDefault="00DF6159" w:rsidP="009B3D24">
      <w:pPr>
        <w:pStyle w:val="enumlev1"/>
      </w:pPr>
      <w:r w:rsidRPr="00236418">
        <w:t>–</w:t>
      </w:r>
      <w:r w:rsidRPr="00236418">
        <w:tab/>
        <w:t>Favoriser le développement de moyens techniques et leur exploitation la plus efficace, en vue d'augmenter le rendement des services de télécommunication, d'accroître leur utilité et de généraliser le plus possible leur utilisation par le public.</w:t>
      </w:r>
    </w:p>
    <w:p w14:paraId="3ADF816E" w14:textId="77777777" w:rsidR="00DF6159" w:rsidRPr="00236418" w:rsidRDefault="00DF6159" w:rsidP="009B3D24">
      <w:pPr>
        <w:pStyle w:val="enumlev1"/>
      </w:pPr>
      <w:r w:rsidRPr="00236418">
        <w:t>–</w:t>
      </w:r>
      <w:r w:rsidRPr="00236418">
        <w:tab/>
        <w:t>S'efforcer d'étendre les avantages des nouvelles technologies de télécommunication à tous les habitants de la planète.</w:t>
      </w:r>
    </w:p>
    <w:p w14:paraId="2B75320D" w14:textId="77777777" w:rsidR="00DF6159" w:rsidRPr="00236418" w:rsidRDefault="00DF6159" w:rsidP="009B3D24">
      <w:pPr>
        <w:pStyle w:val="enumlev1"/>
      </w:pPr>
      <w:r w:rsidRPr="00236418">
        <w:t>–</w:t>
      </w:r>
      <w:r w:rsidRPr="00236418">
        <w:tab/>
        <w:t>Promouvoir l'utilisation des services de télécommunication en vue de faciliter les relations pacifiques.</w:t>
      </w:r>
    </w:p>
    <w:p w14:paraId="4A0DF570" w14:textId="77777777" w:rsidR="00DF6159" w:rsidRPr="00236418" w:rsidRDefault="00DF6159" w:rsidP="009B3D24">
      <w:pPr>
        <w:pStyle w:val="enumlev1"/>
      </w:pPr>
      <w:r w:rsidRPr="00236418">
        <w:t>–</w:t>
      </w:r>
      <w:r w:rsidRPr="00236418">
        <w:tab/>
        <w:t>Harmoniser les efforts des États Membres et favoriser une coopération et un partenariat fructueux et constructifs entre les États Membres et les Membres des Secteurs à ces fins.</w:t>
      </w:r>
    </w:p>
    <w:p w14:paraId="148DA5ED" w14:textId="77777777" w:rsidR="00DF6159" w:rsidRPr="00236418" w:rsidRDefault="00DF6159" w:rsidP="009B3D24">
      <w:pPr>
        <w:pStyle w:val="enumlev1"/>
        <w:rPr>
          <w:b/>
        </w:rPr>
      </w:pPr>
      <w:r w:rsidRPr="00236418">
        <w:t>–</w:t>
      </w:r>
      <w:r w:rsidRPr="00236418">
        <w:tab/>
        <w:t>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19233F94" w14:textId="77777777" w:rsidR="00DF6159" w:rsidRPr="00236418" w:rsidRDefault="00DF6159" w:rsidP="009B3D24">
      <w:r w:rsidRPr="00236418">
        <w:t>À cet effet et plus particulièrement, l'Union:</w:t>
      </w:r>
    </w:p>
    <w:p w14:paraId="784AD95E" w14:textId="77777777" w:rsidR="00DF6159" w:rsidRPr="00236418" w:rsidRDefault="00DF6159" w:rsidP="009B3D24">
      <w:pPr>
        <w:pStyle w:val="enumlev1"/>
      </w:pPr>
      <w:r w:rsidRPr="00236418">
        <w:rPr>
          <w:lang w:eastAsia="fr-FR"/>
        </w:rPr>
        <w:t>–</w:t>
      </w:r>
      <w:r w:rsidRPr="00236418">
        <w:rPr>
          <w:lang w:eastAsia="fr-FR"/>
        </w:rPr>
        <w:tab/>
      </w:r>
      <w:r w:rsidRPr="00236418">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p w14:paraId="6A81EBB9" w14:textId="77777777" w:rsidR="00DF6159" w:rsidRPr="00236418" w:rsidRDefault="00DF6159" w:rsidP="00053383">
      <w:pPr>
        <w:pStyle w:val="enumlev1"/>
        <w:keepLines/>
      </w:pPr>
      <w:r w:rsidRPr="00236418">
        <w:lastRenderedPageBreak/>
        <w:t>–</w:t>
      </w:r>
      <w:r w:rsidRPr="00236418">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 et d'autres orbites;</w:t>
      </w:r>
    </w:p>
    <w:p w14:paraId="153D0CB9" w14:textId="77777777" w:rsidR="00DF6159" w:rsidRPr="00236418" w:rsidRDefault="00DF6159" w:rsidP="009B3D24">
      <w:pPr>
        <w:pStyle w:val="enumlev1"/>
      </w:pPr>
      <w:r w:rsidRPr="00236418">
        <w:t>–</w:t>
      </w:r>
      <w:r w:rsidRPr="00236418">
        <w:tab/>
        <w:t>facilite la normalisation mondiale des télécommunications, avec une qualité de service satisfaisante;</w:t>
      </w:r>
    </w:p>
    <w:p w14:paraId="621DD9FD" w14:textId="77777777" w:rsidR="00DF6159" w:rsidRPr="00236418" w:rsidRDefault="00DF6159" w:rsidP="009B3D24">
      <w:pPr>
        <w:pStyle w:val="enumlev1"/>
        <w:rPr>
          <w:lang w:eastAsia="fr-FR"/>
        </w:rPr>
      </w:pPr>
      <w:r w:rsidRPr="00236418">
        <w:t>–</w:t>
      </w:r>
      <w:r w:rsidRPr="00236418">
        <w:tab/>
        <w:t>encourage la coopération et la solidarité internationales en vue d'assurer l'assistance technique aux pays en développement ainsi que la création, le développement et le perfectionnement des installations</w:t>
      </w:r>
      <w:r w:rsidRPr="00236418">
        <w:rPr>
          <w:lang w:eastAsia="fr-FR"/>
        </w:rPr>
        <w:t xml:space="preserve"> et des réseaux de télécommunication dans les pays en développement par tous les moyens à sa disposition, y compris sa participation aux programmes appropriés des Nations Unies et l'utilisation de ses propres ressources, selon les besoins;</w:t>
      </w:r>
    </w:p>
    <w:p w14:paraId="2E40B560" w14:textId="77777777" w:rsidR="00DF6159" w:rsidRPr="00236418" w:rsidRDefault="00DF6159" w:rsidP="009B3D24">
      <w:pPr>
        <w:pStyle w:val="enumlev1"/>
        <w:rPr>
          <w:lang w:eastAsia="fr-FR"/>
        </w:rPr>
      </w:pPr>
      <w:r w:rsidRPr="00236418">
        <w:rPr>
          <w:lang w:eastAsia="fr-FR"/>
        </w:rPr>
        <w:t>–</w:t>
      </w:r>
      <w:r w:rsidRPr="00236418">
        <w:rPr>
          <w:lang w:eastAsia="fr-FR"/>
        </w:rPr>
        <w:tab/>
        <w:t>coordonne les efforts en vue d'harmoniser le développement des moyens de télécommunication, notamment ceux faisant appel aux techniques spatiales, de manière à utiliser au mieux les possibilités qu'ils offrent;</w:t>
      </w:r>
    </w:p>
    <w:p w14:paraId="037ADE06" w14:textId="77777777" w:rsidR="00DF6159" w:rsidRPr="00236418" w:rsidRDefault="00DF6159" w:rsidP="009B3D24">
      <w:pPr>
        <w:pStyle w:val="enumlev1"/>
        <w:rPr>
          <w:lang w:eastAsia="fr-FR"/>
        </w:rPr>
      </w:pPr>
      <w:r w:rsidRPr="00236418">
        <w:rPr>
          <w:lang w:eastAsia="fr-FR"/>
        </w:rPr>
        <w:t>–</w:t>
      </w:r>
      <w:r w:rsidRPr="00236418">
        <w:rPr>
          <w:lang w:eastAsia="fr-FR"/>
        </w:rPr>
        <w:tab/>
        <w:t>favorise la collaboration entre les États Membres et les Membres des Secteurs en vue d'établir des tarifs à des niveaux aussi bas que possible, compatibles avec un service de bonne qualité et une gestion financière des télécommunications saine et indépendante;</w:t>
      </w:r>
    </w:p>
    <w:p w14:paraId="1BA43DDC" w14:textId="77777777" w:rsidR="00DF6159" w:rsidRPr="00236418" w:rsidRDefault="00DF6159" w:rsidP="009B3D24">
      <w:pPr>
        <w:pStyle w:val="enumlev1"/>
        <w:rPr>
          <w:lang w:eastAsia="fr-FR"/>
        </w:rPr>
      </w:pPr>
      <w:r w:rsidRPr="00236418">
        <w:rPr>
          <w:lang w:eastAsia="fr-FR"/>
        </w:rPr>
        <w:t>–</w:t>
      </w:r>
      <w:r w:rsidRPr="00236418">
        <w:rPr>
          <w:lang w:eastAsia="fr-FR"/>
        </w:rPr>
        <w:tab/>
        <w:t>encourage l'adoption de mesures permettant d'assurer la sécurité de la vie humaine par la coopération des services de télécommunication;</w:t>
      </w:r>
    </w:p>
    <w:p w14:paraId="06E5E4D0" w14:textId="77777777" w:rsidR="00DF6159" w:rsidRPr="00236418" w:rsidRDefault="00DF6159" w:rsidP="009B3D24">
      <w:pPr>
        <w:pStyle w:val="enumlev1"/>
        <w:rPr>
          <w:lang w:eastAsia="fr-FR"/>
        </w:rPr>
      </w:pPr>
      <w:r w:rsidRPr="00236418">
        <w:rPr>
          <w:lang w:eastAsia="fr-FR"/>
        </w:rPr>
        <w:t>–</w:t>
      </w:r>
      <w:r w:rsidRPr="00236418">
        <w:rPr>
          <w:lang w:eastAsia="fr-FR"/>
        </w:rPr>
        <w:tab/>
        <w:t>procède à des études, arrête des réglementations, adopte des résolutions, formule des recommandations et des vœux, recueille et publie des informations concernant les télécommunications;</w:t>
      </w:r>
    </w:p>
    <w:p w14:paraId="3C87A268" w14:textId="77777777" w:rsidR="00DF6159" w:rsidRPr="00236418" w:rsidRDefault="00DF6159" w:rsidP="009B3D24">
      <w:pPr>
        <w:pStyle w:val="enumlev1"/>
        <w:rPr>
          <w:lang w:eastAsia="fr-FR"/>
        </w:rPr>
      </w:pPr>
      <w:r w:rsidRPr="00236418">
        <w:rPr>
          <w:lang w:eastAsia="fr-FR"/>
        </w:rPr>
        <w:t>–</w:t>
      </w:r>
      <w:r w:rsidRPr="00236418">
        <w:rPr>
          <w:lang w:eastAsia="fr-FR"/>
        </w:rPr>
        <w:tab/>
        <w:t>s'emploie, avec les organismes de financement et de développement internationaux, à promouvoir l'établissement de lignes de crédit préférentielles et favorables destinées au développement de projets sociaux visant, entre autres, à étendre les services de télécommunication aux zones les plus isolées dans les pays;</w:t>
      </w:r>
    </w:p>
    <w:p w14:paraId="3A6E3504" w14:textId="77777777" w:rsidR="00DF6159" w:rsidRPr="00236418" w:rsidRDefault="00DF6159" w:rsidP="009B3D24">
      <w:pPr>
        <w:pStyle w:val="enumlev1"/>
        <w:rPr>
          <w:lang w:eastAsia="fr-FR"/>
        </w:rPr>
      </w:pPr>
      <w:r w:rsidRPr="00236418">
        <w:rPr>
          <w:lang w:eastAsia="fr-FR"/>
        </w:rPr>
        <w:t>–</w:t>
      </w:r>
      <w:r w:rsidRPr="00236418">
        <w:rPr>
          <w:lang w:eastAsia="fr-FR"/>
        </w:rPr>
        <w:tab/>
        <w:t>encourage la participation des entités concernées aux activités de l'Union et la coopération avec les organisations régionales ou autres en vue de répondre à l'objet de l'Union.</w:t>
      </w:r>
    </w:p>
    <w:p w14:paraId="30F4AE00" w14:textId="77777777" w:rsidR="00DF6159" w:rsidRPr="00236418" w:rsidRDefault="00DF6159" w:rsidP="009B3D24">
      <w:r w:rsidRPr="00236418">
        <w:t>La Conférence de plénipotentiaires est l'</w:t>
      </w:r>
      <w:r w:rsidRPr="00236418">
        <w:rPr>
          <w:bCs/>
        </w:rPr>
        <w:t>organe suprême</w:t>
      </w:r>
      <w:r w:rsidRPr="00236418">
        <w:t xml:space="preserve"> de l'UIT. </w:t>
      </w:r>
      <w:r w:rsidRPr="00236418">
        <w:rPr>
          <w:bCs/>
        </w:rPr>
        <w:t>Convoquée tous les quatre ans</w:t>
      </w:r>
      <w:r w:rsidRPr="00236418">
        <w:t>, la Conférence:</w:t>
      </w:r>
    </w:p>
    <w:p w14:paraId="35C3FDC8" w14:textId="77777777" w:rsidR="00DF6159" w:rsidRPr="00236418" w:rsidRDefault="00DF6159" w:rsidP="009B3D24">
      <w:pPr>
        <w:pStyle w:val="enumlev1"/>
      </w:pPr>
      <w:r w:rsidRPr="00236418">
        <w:rPr>
          <w:lang w:eastAsia="fr-FR"/>
        </w:rPr>
        <w:t>•</w:t>
      </w:r>
      <w:r w:rsidRPr="00236418">
        <w:rPr>
          <w:lang w:eastAsia="fr-FR"/>
        </w:rPr>
        <w:tab/>
      </w:r>
      <w:r w:rsidRPr="00236418">
        <w:t>détermine les principes généraux de l'Union;</w:t>
      </w:r>
    </w:p>
    <w:p w14:paraId="3AEBBBF2" w14:textId="77777777" w:rsidR="00DF6159" w:rsidRPr="00236418" w:rsidRDefault="00DF6159" w:rsidP="009B3D24">
      <w:pPr>
        <w:pStyle w:val="enumlev1"/>
      </w:pPr>
      <w:r w:rsidRPr="00236418">
        <w:t>•</w:t>
      </w:r>
      <w:r w:rsidRPr="00236418">
        <w:tab/>
        <w:t>adopte un plan stratégique et un plan financier pour une période de quatre ans;</w:t>
      </w:r>
    </w:p>
    <w:p w14:paraId="00960809" w14:textId="77777777" w:rsidR="00DF6159" w:rsidRPr="00236418" w:rsidRDefault="00DF6159" w:rsidP="009B3D24">
      <w:pPr>
        <w:pStyle w:val="enumlev1"/>
        <w:rPr>
          <w:lang w:eastAsia="fr-FR"/>
        </w:rPr>
      </w:pPr>
      <w:r w:rsidRPr="00236418">
        <w:t>•</w:t>
      </w:r>
      <w:r w:rsidRPr="00236418">
        <w:tab/>
        <w:t xml:space="preserve">élit les membres de l'équipe de direction de l'organisation, les Membres du </w:t>
      </w:r>
      <w:hyperlink r:id="rId40" w:history="1">
        <w:r w:rsidRPr="00236418">
          <w:rPr>
            <w:rStyle w:val="Hyperlink"/>
          </w:rPr>
          <w:t>Conseil</w:t>
        </w:r>
      </w:hyperlink>
      <w:r w:rsidRPr="00236418">
        <w:t xml:space="preserve"> et les M</w:t>
      </w:r>
      <w:r w:rsidRPr="00236418">
        <w:rPr>
          <w:lang w:eastAsia="fr-FR"/>
        </w:rPr>
        <w:t xml:space="preserve">embres du </w:t>
      </w:r>
      <w:hyperlink r:id="rId41" w:history="1">
        <w:r w:rsidRPr="00236418">
          <w:rPr>
            <w:rStyle w:val="Hyperlink"/>
          </w:rPr>
          <w:t xml:space="preserve">Comité du </w:t>
        </w:r>
        <w:hyperlink r:id="rId42" w:history="1">
          <w:r w:rsidRPr="00236418">
            <w:rPr>
              <w:rStyle w:val="Hyperlink"/>
            </w:rPr>
            <w:t>Règlement</w:t>
          </w:r>
        </w:hyperlink>
        <w:r w:rsidRPr="00236418">
          <w:rPr>
            <w:rStyle w:val="Hyperlink"/>
          </w:rPr>
          <w:t xml:space="preserve"> des radiocommunications</w:t>
        </w:r>
      </w:hyperlink>
      <w:r w:rsidRPr="00236418">
        <w:rPr>
          <w:lang w:eastAsia="fr-FR"/>
        </w:rPr>
        <w:t>.</w:t>
      </w:r>
    </w:p>
    <w:p w14:paraId="16BF01EF" w14:textId="77777777" w:rsidR="00DF6159" w:rsidRPr="00236418" w:rsidRDefault="00DF6159" w:rsidP="009B3D24">
      <w:pPr>
        <w:rPr>
          <w:b/>
        </w:rPr>
      </w:pPr>
      <w:r w:rsidRPr="00236418">
        <w:t xml:space="preserve">La Conférence de plénipotentiaires est un événement important, </w:t>
      </w:r>
      <w:r w:rsidRPr="00236418">
        <w:rPr>
          <w:bCs/>
        </w:rPr>
        <w:t>à l'occasion duquel les États Membres de l'UIT décident du rôle futur de l'organisation</w:t>
      </w:r>
      <w:r w:rsidRPr="00236418">
        <w:t xml:space="preserve"> et déterminent par là même sa capacité à influencer et à orienter l'évolution des technologies de l'information et de la communication (TIC) dans le monde.</w:t>
      </w:r>
    </w:p>
    <w:p w14:paraId="38B9FE4D" w14:textId="77777777" w:rsidR="00DF6159" w:rsidRPr="00236418" w:rsidRDefault="00DF6159" w:rsidP="009B3D24">
      <w:r w:rsidRPr="00236418">
        <w:rPr>
          <w:bCs/>
        </w:rPr>
        <w:t>Les Membres des Secteurs, les organisations régionales de télécommunication et les organisations intergouvernementales, ainsi que l'organisation des Nations Unies et ses institutions spécialisées</w:t>
      </w:r>
      <w:r w:rsidRPr="00236418">
        <w:t xml:space="preserve"> participent également à la Conférence en qualité d'observateurs.</w:t>
      </w:r>
    </w:p>
    <w:p w14:paraId="525D9219" w14:textId="77777777" w:rsidR="00DF6159" w:rsidRPr="00236418" w:rsidRDefault="00DF6159" w:rsidP="00081C96">
      <w:pPr>
        <w:pStyle w:val="Heading1"/>
        <w:rPr>
          <w:sz w:val="24"/>
          <w:szCs w:val="24"/>
        </w:rPr>
      </w:pPr>
      <w:bookmarkStart w:id="680" w:name="_Toc329178763"/>
      <w:bookmarkStart w:id="681" w:name="_Toc329181736"/>
      <w:bookmarkStart w:id="682" w:name="_Toc329202551"/>
      <w:bookmarkStart w:id="683" w:name="_Toc329204983"/>
      <w:bookmarkStart w:id="684" w:name="_Toc329206820"/>
      <w:bookmarkStart w:id="685" w:name="_Toc358379904"/>
      <w:bookmarkStart w:id="686" w:name="_Toc358380444"/>
      <w:bookmarkStart w:id="687" w:name="_Toc387166625"/>
      <w:bookmarkStart w:id="688" w:name="_Toc395260910"/>
      <w:bookmarkStart w:id="689" w:name="_Toc395511689"/>
      <w:bookmarkStart w:id="690" w:name="_Toc452138603"/>
      <w:bookmarkStart w:id="691" w:name="_Toc452139052"/>
      <w:bookmarkStart w:id="692" w:name="_Toc452139416"/>
      <w:bookmarkStart w:id="693" w:name="_Toc452139816"/>
      <w:bookmarkStart w:id="694" w:name="_Toc452140683"/>
      <w:bookmarkStart w:id="695" w:name="_Toc482801473"/>
      <w:bookmarkStart w:id="696" w:name="_Toc511649443"/>
      <w:bookmarkStart w:id="697" w:name="_Toc511649815"/>
      <w:bookmarkStart w:id="698" w:name="_Toc511649929"/>
      <w:bookmarkStart w:id="699" w:name="_Toc511651185"/>
      <w:bookmarkStart w:id="700" w:name="_Toc511724050"/>
      <w:bookmarkStart w:id="701" w:name="_Toc511739039"/>
      <w:bookmarkStart w:id="702" w:name="_Toc511741208"/>
      <w:bookmarkStart w:id="703" w:name="_Toc10450714"/>
      <w:bookmarkStart w:id="704" w:name="_Toc41566319"/>
      <w:bookmarkStart w:id="705" w:name="_Toc41567346"/>
      <w:bookmarkStart w:id="706" w:name="_Toc41567832"/>
      <w:bookmarkStart w:id="707" w:name="_Toc41814944"/>
      <w:r w:rsidRPr="00236418">
        <w:rPr>
          <w:sz w:val="24"/>
          <w:szCs w:val="24"/>
        </w:rPr>
        <w:lastRenderedPageBreak/>
        <w:t>Note 2</w:t>
      </w:r>
      <w:r w:rsidRPr="00236418">
        <w:rPr>
          <w:sz w:val="24"/>
          <w:szCs w:val="24"/>
        </w:rPr>
        <w:tab/>
        <w:t>Principaux principes comptables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6ABA9B33" w14:textId="77777777" w:rsidR="00DF6159" w:rsidRPr="00236418" w:rsidRDefault="00DF6159" w:rsidP="00DA2839">
      <w:pPr>
        <w:pStyle w:val="Heading5"/>
        <w:rPr>
          <w:szCs w:val="24"/>
          <w:u w:val="single"/>
        </w:rPr>
      </w:pPr>
      <w:bookmarkStart w:id="708" w:name="_Toc329178764"/>
      <w:bookmarkStart w:id="709" w:name="_Toc329181737"/>
      <w:bookmarkStart w:id="710" w:name="_Toc329202552"/>
      <w:bookmarkStart w:id="711" w:name="_Toc329204984"/>
      <w:bookmarkStart w:id="712" w:name="_Toc329206821"/>
      <w:bookmarkStart w:id="713" w:name="_Toc358379905"/>
      <w:bookmarkStart w:id="714" w:name="_Toc358380445"/>
      <w:bookmarkStart w:id="715" w:name="_Toc387166626"/>
      <w:bookmarkStart w:id="716" w:name="_Toc395260911"/>
      <w:bookmarkStart w:id="717" w:name="_Toc395511690"/>
      <w:bookmarkStart w:id="718" w:name="_Toc452138604"/>
      <w:bookmarkStart w:id="719" w:name="_Toc452139053"/>
      <w:bookmarkStart w:id="720" w:name="_Toc452139417"/>
      <w:bookmarkStart w:id="721" w:name="_Toc452139817"/>
      <w:bookmarkStart w:id="722" w:name="_Toc452140684"/>
      <w:bookmarkStart w:id="723" w:name="_Toc482801474"/>
      <w:bookmarkStart w:id="724" w:name="_Toc511649444"/>
      <w:bookmarkStart w:id="725" w:name="_Toc511649816"/>
      <w:bookmarkStart w:id="726" w:name="_Toc511649930"/>
      <w:bookmarkStart w:id="727" w:name="_Toc511651186"/>
      <w:bookmarkStart w:id="728" w:name="_Toc511724051"/>
      <w:bookmarkStart w:id="729" w:name="_Toc511739040"/>
      <w:bookmarkStart w:id="730" w:name="_Toc511741209"/>
      <w:bookmarkStart w:id="731" w:name="_Toc10450715"/>
      <w:bookmarkStart w:id="732" w:name="_Toc41566320"/>
      <w:bookmarkStart w:id="733" w:name="_Toc41567833"/>
      <w:r w:rsidRPr="00236418">
        <w:rPr>
          <w:u w:val="single"/>
        </w:rPr>
        <w:t>Monnaies étrangères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13E0F6BB" w14:textId="77777777" w:rsidR="00DF6159" w:rsidRPr="00236418" w:rsidRDefault="00DF6159" w:rsidP="009B3D24">
      <w:r w:rsidRPr="00236418">
        <w:t>Le franc suisse (CHF) est la monnaie fonctionnelle de l'UIT et celle utilisée dans la présentation des États financiers.</w:t>
      </w:r>
    </w:p>
    <w:p w14:paraId="3866196F" w14:textId="77777777" w:rsidR="00DF6159" w:rsidRPr="00236418" w:rsidRDefault="00DF6159" w:rsidP="009B3D24">
      <w:pPr>
        <w:spacing w:after="240"/>
      </w:pPr>
      <w:r w:rsidRPr="00236418">
        <w:t xml:space="preserve">Les opérations en monnaies autres que le franc suisse sont converties en cette monnaie au taux de change opérationnel des Nations Unies (United Nations </w:t>
      </w:r>
      <w:proofErr w:type="spellStart"/>
      <w:r w:rsidRPr="00236418">
        <w:t>Operational</w:t>
      </w:r>
      <w:proofErr w:type="spellEnd"/>
      <w:r w:rsidRPr="00236418">
        <w:t xml:space="preserve"> Rates of Exchange, UNORE) pratiqué à la date de la transaction. Les avoirs et engagements monétaires libellés en monnaies étrangères sont convertis en franc suisse au taux de change UNORE en vigueur à la date de clôture de l'exercice. Les pertes et les gains de change, réalisés ou non, résultant du règlement de ces opérations et de la conversion à la date de clôture des avoirs et engagements libellés en devises sont comptabilisés dans l'état de la performance financière. L'UIT applique les taux de change UNORE communiqués par l'ONU, à savoir: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
      </w:tblPr>
      <w:tblGrid>
        <w:gridCol w:w="2405"/>
        <w:gridCol w:w="1985"/>
        <w:gridCol w:w="1842"/>
      </w:tblGrid>
      <w:tr w:rsidR="00DF6159" w:rsidRPr="00236418" w14:paraId="6BAF6162" w14:textId="77777777" w:rsidTr="004A51D4">
        <w:trPr>
          <w:jc w:val="center"/>
        </w:trPr>
        <w:tc>
          <w:tcPr>
            <w:tcW w:w="2405" w:type="dxa"/>
          </w:tcPr>
          <w:p w14:paraId="3FEA8553" w14:textId="77777777" w:rsidR="00DF6159" w:rsidRPr="00236418" w:rsidRDefault="00DF6159" w:rsidP="009B3D24">
            <w:pPr>
              <w:pStyle w:val="Tablehead"/>
              <w:spacing w:before="0" w:after="0"/>
              <w:rPr>
                <w:szCs w:val="22"/>
              </w:rPr>
            </w:pPr>
            <w:bookmarkStart w:id="734" w:name="_MON_1395735014"/>
            <w:bookmarkStart w:id="735" w:name="_MON_1397396387"/>
            <w:bookmarkStart w:id="736" w:name="_MON_1388239821"/>
            <w:bookmarkStart w:id="737" w:name="_MON_1388229541"/>
            <w:bookmarkEnd w:id="734"/>
            <w:bookmarkEnd w:id="735"/>
            <w:bookmarkEnd w:id="736"/>
            <w:bookmarkEnd w:id="737"/>
            <w:r w:rsidRPr="00236418">
              <w:rPr>
                <w:szCs w:val="22"/>
              </w:rPr>
              <w:t>CHF pour</w:t>
            </w:r>
          </w:p>
        </w:tc>
        <w:tc>
          <w:tcPr>
            <w:tcW w:w="1985" w:type="dxa"/>
            <w:tcBorders>
              <w:right w:val="single" w:sz="4" w:space="0" w:color="auto"/>
            </w:tcBorders>
          </w:tcPr>
          <w:p w14:paraId="23099E5D" w14:textId="00F19451" w:rsidR="00DF6159" w:rsidRPr="00236418" w:rsidRDefault="00DF6159" w:rsidP="009B3D24">
            <w:pPr>
              <w:pStyle w:val="Tablehead"/>
              <w:spacing w:before="0" w:after="0"/>
              <w:rPr>
                <w:szCs w:val="22"/>
              </w:rPr>
            </w:pPr>
            <w:r w:rsidRPr="00236418">
              <w:rPr>
                <w:szCs w:val="22"/>
              </w:rPr>
              <w:t>Décembre 201</w:t>
            </w:r>
            <w:r w:rsidR="00E10F27" w:rsidRPr="00236418">
              <w:rPr>
                <w:szCs w:val="22"/>
              </w:rPr>
              <w:t>9</w:t>
            </w:r>
          </w:p>
        </w:tc>
        <w:tc>
          <w:tcPr>
            <w:tcW w:w="1842" w:type="dxa"/>
            <w:tcBorders>
              <w:left w:val="single" w:sz="4" w:space="0" w:color="auto"/>
            </w:tcBorders>
          </w:tcPr>
          <w:p w14:paraId="430D2E20" w14:textId="248BDCE1" w:rsidR="00DF6159" w:rsidRPr="00236418" w:rsidRDefault="00DF6159" w:rsidP="009B3D24">
            <w:pPr>
              <w:pStyle w:val="Tablehead"/>
              <w:spacing w:before="0" w:after="0"/>
              <w:rPr>
                <w:szCs w:val="22"/>
              </w:rPr>
            </w:pPr>
            <w:r w:rsidRPr="00236418">
              <w:rPr>
                <w:szCs w:val="22"/>
              </w:rPr>
              <w:t>Décembre 201</w:t>
            </w:r>
            <w:r w:rsidR="00E10F27" w:rsidRPr="00236418">
              <w:rPr>
                <w:szCs w:val="22"/>
              </w:rPr>
              <w:t>8</w:t>
            </w:r>
          </w:p>
        </w:tc>
      </w:tr>
      <w:tr w:rsidR="00DF6159" w:rsidRPr="00236418" w14:paraId="6493BBE4" w14:textId="77777777" w:rsidTr="004A51D4">
        <w:trPr>
          <w:jc w:val="center"/>
        </w:trPr>
        <w:tc>
          <w:tcPr>
            <w:tcW w:w="2405" w:type="dxa"/>
          </w:tcPr>
          <w:p w14:paraId="4237CBB0" w14:textId="77777777" w:rsidR="00DF6159" w:rsidRPr="00236418" w:rsidRDefault="00DF6159" w:rsidP="009B3D24">
            <w:pPr>
              <w:pStyle w:val="Tabletext"/>
              <w:spacing w:before="0" w:after="0"/>
              <w:rPr>
                <w:szCs w:val="22"/>
              </w:rPr>
            </w:pPr>
          </w:p>
        </w:tc>
        <w:tc>
          <w:tcPr>
            <w:tcW w:w="1985" w:type="dxa"/>
            <w:tcBorders>
              <w:right w:val="single" w:sz="4" w:space="0" w:color="auto"/>
            </w:tcBorders>
          </w:tcPr>
          <w:p w14:paraId="718DE5BE" w14:textId="77777777" w:rsidR="00DF6159" w:rsidRPr="00236418" w:rsidRDefault="00DF6159" w:rsidP="009B3D24">
            <w:pPr>
              <w:pStyle w:val="Tabletext"/>
              <w:spacing w:before="0" w:after="0"/>
              <w:rPr>
                <w:szCs w:val="22"/>
              </w:rPr>
            </w:pPr>
          </w:p>
        </w:tc>
        <w:tc>
          <w:tcPr>
            <w:tcW w:w="1842" w:type="dxa"/>
            <w:tcBorders>
              <w:left w:val="single" w:sz="4" w:space="0" w:color="auto"/>
            </w:tcBorders>
          </w:tcPr>
          <w:p w14:paraId="6BB39CD0" w14:textId="77777777" w:rsidR="00DF6159" w:rsidRPr="00236418" w:rsidRDefault="00DF6159" w:rsidP="009B3D24">
            <w:pPr>
              <w:pStyle w:val="Tabletext"/>
              <w:spacing w:before="0" w:after="0"/>
              <w:rPr>
                <w:szCs w:val="22"/>
              </w:rPr>
            </w:pPr>
          </w:p>
        </w:tc>
      </w:tr>
      <w:tr w:rsidR="00E10F27" w:rsidRPr="00236418" w14:paraId="54EAACA6" w14:textId="77777777" w:rsidTr="004A51D4">
        <w:trPr>
          <w:jc w:val="center"/>
        </w:trPr>
        <w:tc>
          <w:tcPr>
            <w:tcW w:w="2405" w:type="dxa"/>
          </w:tcPr>
          <w:p w14:paraId="129BFC10" w14:textId="77777777" w:rsidR="00E10F27" w:rsidRPr="00236418" w:rsidRDefault="00E10F27" w:rsidP="009B3D24">
            <w:pPr>
              <w:pStyle w:val="Tabletext"/>
              <w:spacing w:before="0" w:after="0"/>
              <w:rPr>
                <w:szCs w:val="22"/>
              </w:rPr>
            </w:pPr>
            <w:r w:rsidRPr="00236418">
              <w:rPr>
                <w:szCs w:val="22"/>
              </w:rPr>
              <w:t>1 Dollar EU</w:t>
            </w:r>
          </w:p>
        </w:tc>
        <w:tc>
          <w:tcPr>
            <w:tcW w:w="1985" w:type="dxa"/>
            <w:tcBorders>
              <w:right w:val="single" w:sz="4" w:space="0" w:color="auto"/>
            </w:tcBorders>
            <w:vAlign w:val="bottom"/>
          </w:tcPr>
          <w:p w14:paraId="0521AA50" w14:textId="798D4F36"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0,99900</w:t>
            </w:r>
          </w:p>
        </w:tc>
        <w:tc>
          <w:tcPr>
            <w:tcW w:w="1842" w:type="dxa"/>
            <w:tcBorders>
              <w:left w:val="single" w:sz="4" w:space="0" w:color="auto"/>
            </w:tcBorders>
            <w:vAlign w:val="bottom"/>
          </w:tcPr>
          <w:p w14:paraId="778F70E3" w14:textId="587EEDD4" w:rsidR="00E10F27" w:rsidRPr="00236418" w:rsidRDefault="00E10F27" w:rsidP="009B3D24">
            <w:pPr>
              <w:pStyle w:val="Tabletext"/>
              <w:spacing w:before="0" w:after="0"/>
              <w:jc w:val="right"/>
              <w:rPr>
                <w:szCs w:val="22"/>
              </w:rPr>
            </w:pPr>
            <w:r w:rsidRPr="00236418">
              <w:rPr>
                <w:szCs w:val="22"/>
              </w:rPr>
              <w:t>0,99600</w:t>
            </w:r>
          </w:p>
        </w:tc>
      </w:tr>
      <w:tr w:rsidR="00E10F27" w:rsidRPr="00236418" w14:paraId="104896D3" w14:textId="77777777" w:rsidTr="004A51D4">
        <w:trPr>
          <w:jc w:val="center"/>
        </w:trPr>
        <w:tc>
          <w:tcPr>
            <w:tcW w:w="2405" w:type="dxa"/>
          </w:tcPr>
          <w:p w14:paraId="49EE43A1" w14:textId="77777777" w:rsidR="00E10F27" w:rsidRPr="00236418" w:rsidRDefault="00E10F27" w:rsidP="009B3D24">
            <w:pPr>
              <w:pStyle w:val="Tabletext"/>
              <w:spacing w:before="0" w:after="0"/>
              <w:rPr>
                <w:szCs w:val="22"/>
              </w:rPr>
            </w:pPr>
            <w:r w:rsidRPr="00236418">
              <w:rPr>
                <w:szCs w:val="22"/>
              </w:rPr>
              <w:t>1 Euro</w:t>
            </w:r>
          </w:p>
        </w:tc>
        <w:tc>
          <w:tcPr>
            <w:tcW w:w="1985" w:type="dxa"/>
            <w:tcBorders>
              <w:right w:val="single" w:sz="4" w:space="0" w:color="auto"/>
            </w:tcBorders>
            <w:vAlign w:val="bottom"/>
          </w:tcPr>
          <w:p w14:paraId="54A563D5" w14:textId="44D6AADF"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1,09901</w:t>
            </w:r>
          </w:p>
        </w:tc>
        <w:tc>
          <w:tcPr>
            <w:tcW w:w="1842" w:type="dxa"/>
            <w:tcBorders>
              <w:left w:val="single" w:sz="4" w:space="0" w:color="auto"/>
            </w:tcBorders>
            <w:vAlign w:val="bottom"/>
          </w:tcPr>
          <w:p w14:paraId="67F3D53E" w14:textId="1876D647" w:rsidR="00E10F27" w:rsidRPr="00236418" w:rsidRDefault="00E10F27" w:rsidP="009B3D24">
            <w:pPr>
              <w:pStyle w:val="Tabletext"/>
              <w:spacing w:before="0" w:after="0"/>
              <w:jc w:val="right"/>
              <w:rPr>
                <w:szCs w:val="22"/>
              </w:rPr>
            </w:pPr>
            <w:r w:rsidRPr="00236418">
              <w:rPr>
                <w:szCs w:val="22"/>
              </w:rPr>
              <w:t>1,13311</w:t>
            </w:r>
          </w:p>
        </w:tc>
      </w:tr>
      <w:tr w:rsidR="00E10F27" w:rsidRPr="00236418" w14:paraId="33B59F9A" w14:textId="77777777" w:rsidTr="004A51D4">
        <w:trPr>
          <w:jc w:val="center"/>
        </w:trPr>
        <w:tc>
          <w:tcPr>
            <w:tcW w:w="2405" w:type="dxa"/>
          </w:tcPr>
          <w:p w14:paraId="4BCED453" w14:textId="77777777" w:rsidR="00E10F27" w:rsidRPr="00236418" w:rsidRDefault="00E10F27" w:rsidP="009B3D24">
            <w:pPr>
              <w:pStyle w:val="Tabletext"/>
              <w:spacing w:before="0" w:after="0"/>
              <w:rPr>
                <w:szCs w:val="22"/>
              </w:rPr>
            </w:pPr>
            <w:r w:rsidRPr="00236418">
              <w:rPr>
                <w:szCs w:val="22"/>
              </w:rPr>
              <w:t>1 BBD (Barbade)</w:t>
            </w:r>
          </w:p>
        </w:tc>
        <w:tc>
          <w:tcPr>
            <w:tcW w:w="1985" w:type="dxa"/>
            <w:tcBorders>
              <w:right w:val="single" w:sz="4" w:space="0" w:color="auto"/>
            </w:tcBorders>
            <w:vAlign w:val="bottom"/>
          </w:tcPr>
          <w:p w14:paraId="58B44C6B" w14:textId="3530613E"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0,49950</w:t>
            </w:r>
          </w:p>
        </w:tc>
        <w:tc>
          <w:tcPr>
            <w:tcW w:w="1842" w:type="dxa"/>
            <w:tcBorders>
              <w:left w:val="single" w:sz="4" w:space="0" w:color="auto"/>
            </w:tcBorders>
            <w:vAlign w:val="bottom"/>
          </w:tcPr>
          <w:p w14:paraId="17E47DAA" w14:textId="220729BA" w:rsidR="00E10F27" w:rsidRPr="00236418" w:rsidRDefault="00E10F27" w:rsidP="009B3D24">
            <w:pPr>
              <w:pStyle w:val="Tabletext"/>
              <w:spacing w:before="0" w:after="0"/>
              <w:jc w:val="right"/>
              <w:rPr>
                <w:szCs w:val="22"/>
              </w:rPr>
            </w:pPr>
            <w:r w:rsidRPr="00236418">
              <w:rPr>
                <w:szCs w:val="22"/>
              </w:rPr>
              <w:t>0,49800</w:t>
            </w:r>
          </w:p>
        </w:tc>
      </w:tr>
      <w:tr w:rsidR="00E10F27" w:rsidRPr="00236418" w14:paraId="290F42CF" w14:textId="77777777" w:rsidTr="004A51D4">
        <w:trPr>
          <w:jc w:val="center"/>
        </w:trPr>
        <w:tc>
          <w:tcPr>
            <w:tcW w:w="2405" w:type="dxa"/>
          </w:tcPr>
          <w:p w14:paraId="59B89D4D" w14:textId="77777777" w:rsidR="00E10F27" w:rsidRPr="00236418" w:rsidRDefault="00E10F27" w:rsidP="009B3D24">
            <w:pPr>
              <w:pStyle w:val="Tabletext"/>
              <w:spacing w:before="0" w:after="0"/>
              <w:rPr>
                <w:szCs w:val="22"/>
              </w:rPr>
            </w:pPr>
            <w:r w:rsidRPr="00236418">
              <w:rPr>
                <w:szCs w:val="22"/>
              </w:rPr>
              <w:t>1 BRL (Brésil)</w:t>
            </w:r>
          </w:p>
        </w:tc>
        <w:tc>
          <w:tcPr>
            <w:tcW w:w="1985" w:type="dxa"/>
            <w:tcBorders>
              <w:right w:val="single" w:sz="4" w:space="0" w:color="auto"/>
            </w:tcBorders>
            <w:vAlign w:val="bottom"/>
          </w:tcPr>
          <w:p w14:paraId="1A778252" w14:textId="12A45AA7"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0,23434</w:t>
            </w:r>
          </w:p>
        </w:tc>
        <w:tc>
          <w:tcPr>
            <w:tcW w:w="1842" w:type="dxa"/>
            <w:tcBorders>
              <w:left w:val="single" w:sz="4" w:space="0" w:color="auto"/>
            </w:tcBorders>
            <w:vAlign w:val="bottom"/>
          </w:tcPr>
          <w:p w14:paraId="75CF341D" w14:textId="07D88670" w:rsidR="00E10F27" w:rsidRPr="00236418" w:rsidRDefault="00E10F27" w:rsidP="009B3D24">
            <w:pPr>
              <w:pStyle w:val="Tabletext"/>
              <w:spacing w:before="0" w:after="0"/>
              <w:jc w:val="right"/>
              <w:rPr>
                <w:szCs w:val="22"/>
              </w:rPr>
            </w:pPr>
            <w:r w:rsidRPr="00236418">
              <w:rPr>
                <w:szCs w:val="22"/>
              </w:rPr>
              <w:t>0,25884</w:t>
            </w:r>
          </w:p>
        </w:tc>
      </w:tr>
      <w:tr w:rsidR="00E10F27" w:rsidRPr="00236418" w14:paraId="0E3914E4" w14:textId="77777777" w:rsidTr="004A51D4">
        <w:trPr>
          <w:jc w:val="center"/>
        </w:trPr>
        <w:tc>
          <w:tcPr>
            <w:tcW w:w="2405" w:type="dxa"/>
          </w:tcPr>
          <w:p w14:paraId="4982C5DB" w14:textId="77777777" w:rsidR="00E10F27" w:rsidRPr="00236418" w:rsidRDefault="00E10F27" w:rsidP="009B3D24">
            <w:pPr>
              <w:pStyle w:val="Tabletext"/>
              <w:spacing w:before="0" w:after="0"/>
              <w:rPr>
                <w:szCs w:val="22"/>
              </w:rPr>
            </w:pPr>
            <w:r w:rsidRPr="00236418">
              <w:rPr>
                <w:szCs w:val="22"/>
              </w:rPr>
              <w:t>1 CLP (Chili)</w:t>
            </w:r>
          </w:p>
        </w:tc>
        <w:tc>
          <w:tcPr>
            <w:tcW w:w="1985" w:type="dxa"/>
            <w:tcBorders>
              <w:right w:val="single" w:sz="4" w:space="0" w:color="auto"/>
            </w:tcBorders>
            <w:vAlign w:val="bottom"/>
          </w:tcPr>
          <w:p w14:paraId="38ED476A" w14:textId="33357E37"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0,00123</w:t>
            </w:r>
          </w:p>
        </w:tc>
        <w:tc>
          <w:tcPr>
            <w:tcW w:w="1842" w:type="dxa"/>
            <w:tcBorders>
              <w:left w:val="single" w:sz="4" w:space="0" w:color="auto"/>
            </w:tcBorders>
            <w:vAlign w:val="bottom"/>
          </w:tcPr>
          <w:p w14:paraId="01D973B8" w14:textId="18AA1D34" w:rsidR="00E10F27" w:rsidRPr="00236418" w:rsidRDefault="00E10F27" w:rsidP="009B3D24">
            <w:pPr>
              <w:pStyle w:val="Tabletext"/>
              <w:spacing w:before="0" w:after="0"/>
              <w:jc w:val="right"/>
              <w:rPr>
                <w:szCs w:val="22"/>
              </w:rPr>
            </w:pPr>
            <w:r w:rsidRPr="00236418">
              <w:rPr>
                <w:szCs w:val="22"/>
              </w:rPr>
              <w:t>0,00149</w:t>
            </w:r>
          </w:p>
        </w:tc>
      </w:tr>
      <w:tr w:rsidR="00E10F27" w:rsidRPr="00236418" w14:paraId="106A2159" w14:textId="77777777" w:rsidTr="004A51D4">
        <w:trPr>
          <w:jc w:val="center"/>
        </w:trPr>
        <w:tc>
          <w:tcPr>
            <w:tcW w:w="2405" w:type="dxa"/>
          </w:tcPr>
          <w:p w14:paraId="3EE32767" w14:textId="77777777" w:rsidR="00E10F27" w:rsidRPr="00236418" w:rsidRDefault="00E10F27" w:rsidP="009B3D24">
            <w:pPr>
              <w:pStyle w:val="Tabletext"/>
              <w:spacing w:before="0" w:after="0"/>
              <w:rPr>
                <w:szCs w:val="22"/>
              </w:rPr>
            </w:pPr>
            <w:r w:rsidRPr="00236418">
              <w:rPr>
                <w:szCs w:val="22"/>
              </w:rPr>
              <w:t>1 ETB (Éthiopie)</w:t>
            </w:r>
          </w:p>
        </w:tc>
        <w:tc>
          <w:tcPr>
            <w:tcW w:w="1985" w:type="dxa"/>
            <w:tcBorders>
              <w:right w:val="single" w:sz="4" w:space="0" w:color="auto"/>
            </w:tcBorders>
            <w:vAlign w:val="bottom"/>
          </w:tcPr>
          <w:p w14:paraId="2B6B6A38" w14:textId="463A6A80"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0,03304</w:t>
            </w:r>
          </w:p>
        </w:tc>
        <w:tc>
          <w:tcPr>
            <w:tcW w:w="1842" w:type="dxa"/>
            <w:tcBorders>
              <w:left w:val="single" w:sz="4" w:space="0" w:color="auto"/>
            </w:tcBorders>
            <w:vAlign w:val="bottom"/>
          </w:tcPr>
          <w:p w14:paraId="52D6AAFA" w14:textId="512F154D" w:rsidR="00E10F27" w:rsidRPr="00236418" w:rsidRDefault="00E10F27" w:rsidP="009B3D24">
            <w:pPr>
              <w:pStyle w:val="Tabletext"/>
              <w:spacing w:before="0" w:after="0"/>
              <w:jc w:val="right"/>
              <w:rPr>
                <w:szCs w:val="22"/>
              </w:rPr>
            </w:pPr>
            <w:r w:rsidRPr="00236418">
              <w:rPr>
                <w:szCs w:val="22"/>
              </w:rPr>
              <w:t>0,03553</w:t>
            </w:r>
          </w:p>
        </w:tc>
      </w:tr>
      <w:tr w:rsidR="00E10F27" w:rsidRPr="00236418" w14:paraId="49346DFE" w14:textId="77777777" w:rsidTr="004A51D4">
        <w:trPr>
          <w:jc w:val="center"/>
        </w:trPr>
        <w:tc>
          <w:tcPr>
            <w:tcW w:w="2405" w:type="dxa"/>
          </w:tcPr>
          <w:p w14:paraId="528E15B8" w14:textId="77777777" w:rsidR="00E10F27" w:rsidRPr="00236418" w:rsidRDefault="00E10F27" w:rsidP="009B3D24">
            <w:pPr>
              <w:pStyle w:val="Tabletext"/>
              <w:spacing w:before="0" w:after="0"/>
              <w:rPr>
                <w:szCs w:val="22"/>
              </w:rPr>
            </w:pPr>
            <w:r w:rsidRPr="00236418">
              <w:rPr>
                <w:szCs w:val="22"/>
              </w:rPr>
              <w:t>1 HNL (Honduras)</w:t>
            </w:r>
          </w:p>
        </w:tc>
        <w:tc>
          <w:tcPr>
            <w:tcW w:w="1985" w:type="dxa"/>
            <w:tcBorders>
              <w:right w:val="single" w:sz="4" w:space="0" w:color="auto"/>
            </w:tcBorders>
            <w:vAlign w:val="bottom"/>
          </w:tcPr>
          <w:p w14:paraId="2FE40B23" w14:textId="0E659BCD"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0,04055</w:t>
            </w:r>
          </w:p>
        </w:tc>
        <w:tc>
          <w:tcPr>
            <w:tcW w:w="1842" w:type="dxa"/>
            <w:tcBorders>
              <w:left w:val="single" w:sz="4" w:space="0" w:color="auto"/>
            </w:tcBorders>
            <w:vAlign w:val="bottom"/>
          </w:tcPr>
          <w:p w14:paraId="5A8C08A4" w14:textId="16511AC5" w:rsidR="00E10F27" w:rsidRPr="00236418" w:rsidRDefault="00E10F27" w:rsidP="009B3D24">
            <w:pPr>
              <w:pStyle w:val="Tabletext"/>
              <w:spacing w:before="0" w:after="0"/>
              <w:jc w:val="right"/>
              <w:rPr>
                <w:szCs w:val="22"/>
              </w:rPr>
            </w:pPr>
            <w:r w:rsidRPr="00236418">
              <w:rPr>
                <w:szCs w:val="22"/>
              </w:rPr>
              <w:t>0,04098</w:t>
            </w:r>
          </w:p>
        </w:tc>
      </w:tr>
      <w:tr w:rsidR="00E10F27" w:rsidRPr="00236418" w14:paraId="5B62E8F4" w14:textId="77777777" w:rsidTr="004A51D4">
        <w:trPr>
          <w:jc w:val="center"/>
        </w:trPr>
        <w:tc>
          <w:tcPr>
            <w:tcW w:w="2405" w:type="dxa"/>
          </w:tcPr>
          <w:p w14:paraId="7B6C911F" w14:textId="77777777" w:rsidR="00E10F27" w:rsidRPr="00236418" w:rsidRDefault="00E10F27" w:rsidP="009B3D24">
            <w:pPr>
              <w:pStyle w:val="Tabletext"/>
              <w:spacing w:before="0" w:after="0"/>
              <w:rPr>
                <w:szCs w:val="22"/>
              </w:rPr>
            </w:pPr>
            <w:r w:rsidRPr="00236418">
              <w:rPr>
                <w:szCs w:val="22"/>
              </w:rPr>
              <w:t>1 IDR (Indonésie)</w:t>
            </w:r>
          </w:p>
        </w:tc>
        <w:tc>
          <w:tcPr>
            <w:tcW w:w="1985" w:type="dxa"/>
            <w:tcBorders>
              <w:right w:val="single" w:sz="4" w:space="0" w:color="auto"/>
            </w:tcBorders>
            <w:vAlign w:val="bottom"/>
          </w:tcPr>
          <w:p w14:paraId="0F084907" w14:textId="6402F772"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0,00007</w:t>
            </w:r>
          </w:p>
        </w:tc>
        <w:tc>
          <w:tcPr>
            <w:tcW w:w="1842" w:type="dxa"/>
            <w:tcBorders>
              <w:left w:val="single" w:sz="4" w:space="0" w:color="auto"/>
            </w:tcBorders>
            <w:vAlign w:val="bottom"/>
          </w:tcPr>
          <w:p w14:paraId="4BE64146" w14:textId="407CAB58" w:rsidR="00E10F27" w:rsidRPr="00236418" w:rsidRDefault="00E10F27" w:rsidP="009B3D24">
            <w:pPr>
              <w:pStyle w:val="Tabletext"/>
              <w:spacing w:before="0" w:after="0"/>
              <w:jc w:val="right"/>
              <w:rPr>
                <w:szCs w:val="22"/>
              </w:rPr>
            </w:pPr>
            <w:r w:rsidRPr="00236418">
              <w:rPr>
                <w:szCs w:val="22"/>
              </w:rPr>
              <w:t>0,00007</w:t>
            </w:r>
          </w:p>
        </w:tc>
      </w:tr>
      <w:tr w:rsidR="00E10F27" w:rsidRPr="00236418" w14:paraId="46AC350E" w14:textId="77777777" w:rsidTr="004A51D4">
        <w:trPr>
          <w:jc w:val="center"/>
        </w:trPr>
        <w:tc>
          <w:tcPr>
            <w:tcW w:w="2405" w:type="dxa"/>
          </w:tcPr>
          <w:p w14:paraId="7C8FC043" w14:textId="77777777" w:rsidR="00E10F27" w:rsidRPr="00236418" w:rsidRDefault="00E10F27" w:rsidP="009B3D24">
            <w:pPr>
              <w:pStyle w:val="Tabletext"/>
              <w:spacing w:before="0" w:after="0"/>
              <w:rPr>
                <w:szCs w:val="22"/>
              </w:rPr>
            </w:pPr>
            <w:r w:rsidRPr="00236418">
              <w:rPr>
                <w:szCs w:val="22"/>
              </w:rPr>
              <w:t>1 EGP (Égypte)</w:t>
            </w:r>
          </w:p>
        </w:tc>
        <w:tc>
          <w:tcPr>
            <w:tcW w:w="1985" w:type="dxa"/>
            <w:tcBorders>
              <w:right w:val="single" w:sz="4" w:space="0" w:color="auto"/>
            </w:tcBorders>
            <w:vAlign w:val="bottom"/>
          </w:tcPr>
          <w:p w14:paraId="31CFD290" w14:textId="67D43DA0"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0,06195</w:t>
            </w:r>
          </w:p>
        </w:tc>
        <w:tc>
          <w:tcPr>
            <w:tcW w:w="1842" w:type="dxa"/>
            <w:tcBorders>
              <w:left w:val="single" w:sz="4" w:space="0" w:color="auto"/>
            </w:tcBorders>
            <w:vAlign w:val="bottom"/>
          </w:tcPr>
          <w:p w14:paraId="0CCD9A7C" w14:textId="09C61627" w:rsidR="00E10F27" w:rsidRPr="00236418" w:rsidRDefault="00E10F27" w:rsidP="009B3D24">
            <w:pPr>
              <w:pStyle w:val="Tabletext"/>
              <w:spacing w:before="0" w:after="0"/>
              <w:jc w:val="right"/>
              <w:rPr>
                <w:szCs w:val="22"/>
              </w:rPr>
            </w:pPr>
            <w:r w:rsidRPr="00236418">
              <w:rPr>
                <w:szCs w:val="22"/>
              </w:rPr>
              <w:t>0,05576</w:t>
            </w:r>
          </w:p>
        </w:tc>
      </w:tr>
      <w:tr w:rsidR="00E10F27" w:rsidRPr="00236418" w14:paraId="5E5E9628" w14:textId="77777777" w:rsidTr="004A51D4">
        <w:trPr>
          <w:jc w:val="center"/>
        </w:trPr>
        <w:tc>
          <w:tcPr>
            <w:tcW w:w="2405" w:type="dxa"/>
          </w:tcPr>
          <w:p w14:paraId="577C21CB" w14:textId="77777777" w:rsidR="00E10F27" w:rsidRPr="00236418" w:rsidRDefault="00E10F27" w:rsidP="009B3D24">
            <w:pPr>
              <w:pStyle w:val="Tabletext"/>
              <w:spacing w:before="0" w:after="0"/>
              <w:rPr>
                <w:szCs w:val="22"/>
              </w:rPr>
            </w:pPr>
            <w:r w:rsidRPr="00236418">
              <w:rPr>
                <w:szCs w:val="22"/>
              </w:rPr>
              <w:t>1 RUB (Russie)</w:t>
            </w:r>
          </w:p>
        </w:tc>
        <w:tc>
          <w:tcPr>
            <w:tcW w:w="1985" w:type="dxa"/>
            <w:tcBorders>
              <w:right w:val="single" w:sz="4" w:space="0" w:color="auto"/>
            </w:tcBorders>
            <w:vAlign w:val="bottom"/>
          </w:tcPr>
          <w:p w14:paraId="50293C11" w14:textId="2C5CF5B1"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0,01560</w:t>
            </w:r>
          </w:p>
        </w:tc>
        <w:tc>
          <w:tcPr>
            <w:tcW w:w="1842" w:type="dxa"/>
            <w:tcBorders>
              <w:left w:val="single" w:sz="4" w:space="0" w:color="auto"/>
            </w:tcBorders>
            <w:vAlign w:val="bottom"/>
          </w:tcPr>
          <w:p w14:paraId="58F2316A" w14:textId="0F4C9F14" w:rsidR="00E10F27" w:rsidRPr="00236418" w:rsidRDefault="00E10F27" w:rsidP="009B3D24">
            <w:pPr>
              <w:pStyle w:val="Tabletext"/>
              <w:spacing w:before="0" w:after="0"/>
              <w:jc w:val="right"/>
              <w:rPr>
                <w:szCs w:val="22"/>
              </w:rPr>
            </w:pPr>
            <w:r w:rsidRPr="00236418">
              <w:rPr>
                <w:szCs w:val="22"/>
              </w:rPr>
              <w:t>0,01502</w:t>
            </w:r>
          </w:p>
        </w:tc>
      </w:tr>
      <w:tr w:rsidR="00E10F27" w:rsidRPr="00236418" w14:paraId="51D51B75" w14:textId="77777777" w:rsidTr="004A51D4">
        <w:trPr>
          <w:jc w:val="center"/>
        </w:trPr>
        <w:tc>
          <w:tcPr>
            <w:tcW w:w="2405" w:type="dxa"/>
          </w:tcPr>
          <w:p w14:paraId="6DB376E3" w14:textId="77777777" w:rsidR="00E10F27" w:rsidRPr="00236418" w:rsidRDefault="00E10F27" w:rsidP="009B3D24">
            <w:pPr>
              <w:pStyle w:val="Tabletext"/>
              <w:spacing w:before="0" w:after="0"/>
              <w:rPr>
                <w:szCs w:val="22"/>
              </w:rPr>
            </w:pPr>
            <w:r w:rsidRPr="00236418">
              <w:rPr>
                <w:szCs w:val="22"/>
              </w:rPr>
              <w:t>1 VND (Viet Nam)</w:t>
            </w:r>
          </w:p>
        </w:tc>
        <w:tc>
          <w:tcPr>
            <w:tcW w:w="1985" w:type="dxa"/>
            <w:tcBorders>
              <w:right w:val="single" w:sz="4" w:space="0" w:color="auto"/>
            </w:tcBorders>
            <w:vAlign w:val="bottom"/>
          </w:tcPr>
          <w:p w14:paraId="18E4D40F" w14:textId="0FA608F6"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0,00004</w:t>
            </w:r>
          </w:p>
        </w:tc>
        <w:tc>
          <w:tcPr>
            <w:tcW w:w="1842" w:type="dxa"/>
            <w:tcBorders>
              <w:left w:val="single" w:sz="4" w:space="0" w:color="auto"/>
            </w:tcBorders>
            <w:vAlign w:val="bottom"/>
          </w:tcPr>
          <w:p w14:paraId="1DA80504" w14:textId="097F6BA1" w:rsidR="00E10F27" w:rsidRPr="00236418" w:rsidRDefault="00E10F27" w:rsidP="009B3D24">
            <w:pPr>
              <w:pStyle w:val="Tabletext"/>
              <w:spacing w:before="0" w:after="0"/>
              <w:jc w:val="right"/>
              <w:rPr>
                <w:szCs w:val="22"/>
              </w:rPr>
            </w:pPr>
            <w:r w:rsidRPr="00236418">
              <w:rPr>
                <w:szCs w:val="22"/>
              </w:rPr>
              <w:t>0,00004</w:t>
            </w:r>
          </w:p>
        </w:tc>
      </w:tr>
      <w:tr w:rsidR="00E10F27" w:rsidRPr="00236418" w14:paraId="5860BCD3" w14:textId="77777777" w:rsidTr="004A51D4">
        <w:trPr>
          <w:jc w:val="center"/>
        </w:trPr>
        <w:tc>
          <w:tcPr>
            <w:tcW w:w="2405" w:type="dxa"/>
          </w:tcPr>
          <w:p w14:paraId="778B2966" w14:textId="77777777" w:rsidR="00E10F27" w:rsidRPr="00236418" w:rsidRDefault="00E10F27" w:rsidP="009B3D24">
            <w:pPr>
              <w:pStyle w:val="Tabletext"/>
              <w:spacing w:before="0" w:after="0"/>
              <w:rPr>
                <w:szCs w:val="22"/>
              </w:rPr>
            </w:pPr>
            <w:r w:rsidRPr="00236418">
              <w:rPr>
                <w:szCs w:val="22"/>
              </w:rPr>
              <w:t>1 XOF (Sénégal)</w:t>
            </w:r>
          </w:p>
        </w:tc>
        <w:tc>
          <w:tcPr>
            <w:tcW w:w="1985" w:type="dxa"/>
            <w:tcBorders>
              <w:right w:val="single" w:sz="4" w:space="0" w:color="auto"/>
            </w:tcBorders>
            <w:vAlign w:val="bottom"/>
          </w:tcPr>
          <w:p w14:paraId="30C01C5A" w14:textId="304DE00D"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0,00168</w:t>
            </w:r>
          </w:p>
        </w:tc>
        <w:tc>
          <w:tcPr>
            <w:tcW w:w="1842" w:type="dxa"/>
            <w:tcBorders>
              <w:left w:val="single" w:sz="4" w:space="0" w:color="auto"/>
            </w:tcBorders>
            <w:vAlign w:val="bottom"/>
          </w:tcPr>
          <w:p w14:paraId="550C6A8E" w14:textId="7850BD27" w:rsidR="00E10F27" w:rsidRPr="00236418" w:rsidRDefault="00E10F27" w:rsidP="009B3D24">
            <w:pPr>
              <w:pStyle w:val="Tabletext"/>
              <w:spacing w:before="0" w:after="0"/>
              <w:jc w:val="right"/>
              <w:rPr>
                <w:szCs w:val="22"/>
              </w:rPr>
            </w:pPr>
            <w:r w:rsidRPr="00236418">
              <w:rPr>
                <w:szCs w:val="22"/>
              </w:rPr>
              <w:t>0,00173</w:t>
            </w:r>
          </w:p>
        </w:tc>
      </w:tr>
      <w:tr w:rsidR="00E10F27" w:rsidRPr="00236418" w14:paraId="4C17C7C6" w14:textId="77777777" w:rsidTr="004A51D4">
        <w:trPr>
          <w:jc w:val="center"/>
        </w:trPr>
        <w:tc>
          <w:tcPr>
            <w:tcW w:w="2405" w:type="dxa"/>
          </w:tcPr>
          <w:p w14:paraId="1238D26E" w14:textId="77777777" w:rsidR="00E10F27" w:rsidRPr="00236418" w:rsidRDefault="00E10F27" w:rsidP="009B3D24">
            <w:pPr>
              <w:pStyle w:val="Tabletext"/>
              <w:spacing w:before="0" w:after="0"/>
              <w:rPr>
                <w:szCs w:val="22"/>
              </w:rPr>
            </w:pPr>
            <w:r w:rsidRPr="00236418">
              <w:rPr>
                <w:szCs w:val="22"/>
              </w:rPr>
              <w:t>1 XAF (Cameroun)</w:t>
            </w:r>
          </w:p>
        </w:tc>
        <w:tc>
          <w:tcPr>
            <w:tcW w:w="1985" w:type="dxa"/>
            <w:tcBorders>
              <w:bottom w:val="single" w:sz="4" w:space="0" w:color="auto"/>
              <w:right w:val="single" w:sz="4" w:space="0" w:color="auto"/>
            </w:tcBorders>
            <w:vAlign w:val="bottom"/>
          </w:tcPr>
          <w:p w14:paraId="28ED8F64" w14:textId="2B8376AE"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0,00168</w:t>
            </w:r>
          </w:p>
        </w:tc>
        <w:tc>
          <w:tcPr>
            <w:tcW w:w="1842" w:type="dxa"/>
            <w:tcBorders>
              <w:left w:val="single" w:sz="4" w:space="0" w:color="auto"/>
            </w:tcBorders>
            <w:vAlign w:val="bottom"/>
          </w:tcPr>
          <w:p w14:paraId="3CA2C978" w14:textId="4C756DD0" w:rsidR="00E10F27" w:rsidRPr="00236418" w:rsidRDefault="00E10F27" w:rsidP="009B3D24">
            <w:pPr>
              <w:pStyle w:val="Tabletext"/>
              <w:spacing w:before="0" w:after="0"/>
              <w:jc w:val="right"/>
              <w:rPr>
                <w:szCs w:val="22"/>
              </w:rPr>
            </w:pPr>
            <w:r w:rsidRPr="00236418">
              <w:rPr>
                <w:szCs w:val="22"/>
              </w:rPr>
              <w:t>0,00173</w:t>
            </w:r>
          </w:p>
        </w:tc>
      </w:tr>
      <w:tr w:rsidR="00E10F27" w:rsidRPr="00236418" w14:paraId="539ED170" w14:textId="77777777" w:rsidTr="004A51D4">
        <w:trPr>
          <w:jc w:val="center"/>
        </w:trPr>
        <w:tc>
          <w:tcPr>
            <w:tcW w:w="2405" w:type="dxa"/>
          </w:tcPr>
          <w:p w14:paraId="4757E633" w14:textId="77777777" w:rsidR="00E10F27" w:rsidRPr="00236418" w:rsidRDefault="00E10F27" w:rsidP="009B3D24">
            <w:pPr>
              <w:pStyle w:val="Tabletext"/>
              <w:spacing w:before="0" w:after="0"/>
              <w:rPr>
                <w:szCs w:val="22"/>
              </w:rPr>
            </w:pPr>
            <w:r w:rsidRPr="00236418">
              <w:rPr>
                <w:szCs w:val="22"/>
              </w:rPr>
              <w:t>1 THB (Thaïlande)</w:t>
            </w:r>
          </w:p>
        </w:tc>
        <w:tc>
          <w:tcPr>
            <w:tcW w:w="1985" w:type="dxa"/>
            <w:tcBorders>
              <w:bottom w:val="single" w:sz="4" w:space="0" w:color="auto"/>
              <w:right w:val="single" w:sz="4" w:space="0" w:color="auto"/>
            </w:tcBorders>
            <w:vAlign w:val="bottom"/>
          </w:tcPr>
          <w:p w14:paraId="12270241" w14:textId="7CF979F7" w:rsidR="00E10F27" w:rsidRPr="00236418" w:rsidRDefault="00E10F27" w:rsidP="009B3D24">
            <w:pPr>
              <w:pStyle w:val="Tabletext"/>
              <w:spacing w:before="0" w:after="0"/>
              <w:jc w:val="right"/>
              <w:rPr>
                <w:rFonts w:asciiTheme="minorHAnsi" w:hAnsiTheme="minorHAnsi" w:cstheme="minorHAnsi"/>
                <w:szCs w:val="22"/>
              </w:rPr>
            </w:pPr>
            <w:r w:rsidRPr="00236418">
              <w:rPr>
                <w:rFonts w:asciiTheme="minorHAnsi" w:hAnsiTheme="minorHAnsi" w:cstheme="minorHAnsi"/>
                <w:color w:val="000000"/>
                <w:szCs w:val="22"/>
              </w:rPr>
              <w:t>0,03305</w:t>
            </w:r>
          </w:p>
        </w:tc>
        <w:tc>
          <w:tcPr>
            <w:tcW w:w="1842" w:type="dxa"/>
            <w:tcBorders>
              <w:left w:val="single" w:sz="4" w:space="0" w:color="auto"/>
            </w:tcBorders>
            <w:vAlign w:val="bottom"/>
          </w:tcPr>
          <w:p w14:paraId="7D8E3547" w14:textId="5002AD16" w:rsidR="00E10F27" w:rsidRPr="00236418" w:rsidRDefault="00E10F27" w:rsidP="009B3D24">
            <w:pPr>
              <w:pStyle w:val="Tabletext"/>
              <w:spacing w:before="0" w:after="0"/>
              <w:jc w:val="right"/>
              <w:rPr>
                <w:szCs w:val="22"/>
              </w:rPr>
            </w:pPr>
            <w:r w:rsidRPr="00236418">
              <w:rPr>
                <w:szCs w:val="22"/>
              </w:rPr>
              <w:t>0,03025</w:t>
            </w:r>
          </w:p>
        </w:tc>
      </w:tr>
    </w:tbl>
    <w:p w14:paraId="0ED59E37" w14:textId="77777777" w:rsidR="00DF6159" w:rsidRPr="00236418" w:rsidRDefault="00DF6159" w:rsidP="00DA2839">
      <w:pPr>
        <w:pStyle w:val="Heading5"/>
        <w:rPr>
          <w:u w:val="single"/>
        </w:rPr>
      </w:pPr>
      <w:bookmarkStart w:id="738" w:name="_Toc387166627"/>
      <w:bookmarkStart w:id="739" w:name="_Toc395260912"/>
      <w:bookmarkStart w:id="740" w:name="_Toc395511691"/>
      <w:bookmarkStart w:id="741" w:name="_Toc452138605"/>
      <w:bookmarkStart w:id="742" w:name="_Toc452139054"/>
      <w:bookmarkStart w:id="743" w:name="_Toc452139418"/>
      <w:bookmarkStart w:id="744" w:name="_Toc452139818"/>
      <w:bookmarkStart w:id="745" w:name="_Toc452140405"/>
      <w:bookmarkStart w:id="746" w:name="_Toc452140685"/>
      <w:bookmarkStart w:id="747" w:name="_Toc482801475"/>
      <w:bookmarkStart w:id="748" w:name="_Toc511649445"/>
      <w:bookmarkStart w:id="749" w:name="_Toc511649817"/>
      <w:bookmarkStart w:id="750" w:name="_Toc511649931"/>
      <w:bookmarkStart w:id="751" w:name="_Toc511651187"/>
      <w:bookmarkStart w:id="752" w:name="_Toc511724052"/>
      <w:bookmarkStart w:id="753" w:name="_Toc511739041"/>
      <w:bookmarkStart w:id="754" w:name="_Toc511741210"/>
      <w:bookmarkStart w:id="755" w:name="_Toc10450716"/>
      <w:bookmarkStart w:id="756" w:name="_Toc41566321"/>
      <w:bookmarkStart w:id="757" w:name="_Toc41567834"/>
      <w:bookmarkStart w:id="758" w:name="_Toc269839066"/>
      <w:bookmarkStart w:id="759" w:name="_Toc329178765"/>
      <w:bookmarkStart w:id="760" w:name="_Toc329181738"/>
      <w:bookmarkStart w:id="761" w:name="_Toc329202553"/>
      <w:bookmarkStart w:id="762" w:name="_Toc329204985"/>
      <w:bookmarkStart w:id="763" w:name="_Toc329206822"/>
      <w:bookmarkStart w:id="764" w:name="_Toc358379906"/>
      <w:bookmarkStart w:id="765" w:name="_Toc358380446"/>
      <w:r w:rsidRPr="00236418">
        <w:rPr>
          <w:u w:val="single"/>
        </w:rPr>
        <w:t>Instruments financiers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3423665E" w14:textId="77777777" w:rsidR="00DF6159" w:rsidRPr="00236418" w:rsidRDefault="00DF6159" w:rsidP="009B3D24">
      <w:r w:rsidRPr="00236418">
        <w:t>Les instruments financiers de l'UIT se composent des caisses et des dépôts à court terme, des placements, des créances issues d'opérations avec contrepartie directe, des créances sans contrepartie directe, des comptes fournisseurs, des découverts bancaires, des prêts et des emprunts.</w:t>
      </w:r>
    </w:p>
    <w:p w14:paraId="4D1AFB70" w14:textId="77777777" w:rsidR="00DF6159" w:rsidRPr="00236418" w:rsidRDefault="00DF6159" w:rsidP="009B3D24">
      <w:pPr>
        <w:rPr>
          <w:u w:val="single"/>
        </w:rPr>
      </w:pPr>
      <w:bookmarkStart w:id="766" w:name="_Toc358379907"/>
      <w:bookmarkStart w:id="767" w:name="_Toc358380447"/>
      <w:bookmarkStart w:id="768" w:name="_Toc387166628"/>
      <w:bookmarkStart w:id="769" w:name="_Toc387167439"/>
      <w:bookmarkStart w:id="770" w:name="_Toc395260913"/>
      <w:bookmarkStart w:id="771" w:name="_Toc395511692"/>
      <w:r w:rsidRPr="00236418">
        <w:rPr>
          <w:u w:val="single"/>
        </w:rPr>
        <w:t>Trésorerie et équivalents de trésorerie</w:t>
      </w:r>
      <w:bookmarkEnd w:id="766"/>
      <w:bookmarkEnd w:id="767"/>
      <w:bookmarkEnd w:id="768"/>
      <w:bookmarkEnd w:id="769"/>
      <w:bookmarkEnd w:id="770"/>
      <w:bookmarkEnd w:id="771"/>
    </w:p>
    <w:p w14:paraId="1F2CE8FB" w14:textId="77777777" w:rsidR="00DF6159" w:rsidRPr="00236418" w:rsidRDefault="00DF6159" w:rsidP="009B3D24">
      <w:r w:rsidRPr="00236418">
        <w:t>La trésorerie et équivalents de trésorerie comprennent les fonds en caisse, les comptes postaux, les avoirs en banques et les comptes de dépôts auprès de la Confédération suisse – Département fédéral des finances.</w:t>
      </w:r>
    </w:p>
    <w:p w14:paraId="18F2B13D" w14:textId="77777777" w:rsidR="00DF6159" w:rsidRPr="00236418" w:rsidRDefault="00DF6159" w:rsidP="009B3D24">
      <w:pPr>
        <w:rPr>
          <w:u w:val="single"/>
        </w:rPr>
      </w:pPr>
      <w:bookmarkStart w:id="772" w:name="_Toc387166629"/>
      <w:bookmarkStart w:id="773" w:name="_Toc387167440"/>
      <w:bookmarkStart w:id="774" w:name="_Toc395260914"/>
      <w:bookmarkStart w:id="775" w:name="_Toc395511693"/>
      <w:bookmarkStart w:id="776" w:name="_Toc452138606"/>
      <w:bookmarkStart w:id="777" w:name="_Toc452139055"/>
      <w:bookmarkStart w:id="778" w:name="_Toc452139419"/>
      <w:bookmarkStart w:id="779" w:name="_Toc452139819"/>
      <w:bookmarkStart w:id="780" w:name="_Toc452140406"/>
      <w:bookmarkStart w:id="781" w:name="_Toc452140686"/>
      <w:bookmarkStart w:id="782" w:name="_Toc482801476"/>
      <w:bookmarkStart w:id="783" w:name="_Toc482888731"/>
      <w:bookmarkStart w:id="784" w:name="_Toc511649446"/>
      <w:bookmarkStart w:id="785" w:name="_Toc511649818"/>
      <w:bookmarkStart w:id="786" w:name="_Toc511649932"/>
      <w:bookmarkStart w:id="787" w:name="_Toc511650543"/>
      <w:bookmarkStart w:id="788" w:name="_Toc511651188"/>
      <w:bookmarkStart w:id="789" w:name="_Toc511724053"/>
      <w:bookmarkStart w:id="790" w:name="_Toc511739042"/>
      <w:bookmarkStart w:id="791" w:name="_Toc511741211"/>
      <w:bookmarkStart w:id="792" w:name="_Toc9605705"/>
      <w:bookmarkStart w:id="793" w:name="_Toc10450717"/>
      <w:r w:rsidRPr="00236418">
        <w:rPr>
          <w:u w:val="single"/>
        </w:rPr>
        <w:t>Placements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318632A6" w14:textId="77777777" w:rsidR="00DF6159" w:rsidRPr="00236418" w:rsidRDefault="00DF6159" w:rsidP="009B3D24">
      <w:r w:rsidRPr="00236418">
        <w:t xml:space="preserve">Les placements à terme d'une durée de trois à neuf mois, très liquides qui sont convertibles en un montant connu de trésorerie et qui sont soumis à un risque négligeable de changement de valeur sont désignés comme actifs financiers à la juste valeur par le biais d'un excédent/déficit lors de la comptabilisation initiale. Le produit des placements est comptabilisé trimestriellement sur la base du rendement effectif. </w:t>
      </w:r>
    </w:p>
    <w:p w14:paraId="0451DAB5" w14:textId="77777777" w:rsidR="00DF6159" w:rsidRPr="00236418" w:rsidRDefault="00DF6159" w:rsidP="009B3D24">
      <w:r w:rsidRPr="00236418">
        <w:lastRenderedPageBreak/>
        <w:t>Les placements sont comptabilisés initialement lorsque l'UIT devient partie aux dispositions contractuelles de l'instrument. Tous les achats et toutes les ventes de placements sont comptabilisés sur la base de leur date de transaction. Les placements sont comptabilisés initialement à leur juste valeur en tenant compte des éventuels coûts de transaction qui leur sont directement imputables.</w:t>
      </w:r>
    </w:p>
    <w:p w14:paraId="53400168" w14:textId="77777777" w:rsidR="00DF6159" w:rsidRPr="00236418" w:rsidRDefault="00DF6159" w:rsidP="009B3D24">
      <w:r w:rsidRPr="00236418">
        <w:t xml:space="preserve">Les actifs financiers sont </w:t>
      </w:r>
      <w:proofErr w:type="spellStart"/>
      <w:r w:rsidRPr="00236418">
        <w:t>dé</w:t>
      </w:r>
      <w:r w:rsidRPr="00236418">
        <w:rPr>
          <w:color w:val="000000" w:themeColor="text1"/>
        </w:rPr>
        <w:t>comptabilisés</w:t>
      </w:r>
      <w:proofErr w:type="spellEnd"/>
      <w:r w:rsidRPr="00236418">
        <w:t xml:space="preserve"> lorsque l'UIT a transféré ses droits de recevoir les flux de trésorerie des actifs financiers et les risques y relatifs.</w:t>
      </w:r>
    </w:p>
    <w:p w14:paraId="5982E0B3" w14:textId="77777777" w:rsidR="00DF6159" w:rsidRPr="00236418" w:rsidRDefault="00DF6159" w:rsidP="009B3D24">
      <w:r w:rsidRPr="00236418">
        <w:t>Les placements sont présentés au bilan en actifs et passifs courants ou non-courants selon que leur échéance est inférieure ou supérieure à un an.</w:t>
      </w:r>
    </w:p>
    <w:p w14:paraId="0CF31EC7" w14:textId="77777777" w:rsidR="00DF6159" w:rsidRPr="00236418" w:rsidRDefault="00DF6159" w:rsidP="009B3D24">
      <w:r w:rsidRPr="00236418">
        <w:t xml:space="preserve">Les actifs financiers sont </w:t>
      </w:r>
      <w:proofErr w:type="spellStart"/>
      <w:r w:rsidRPr="00236418">
        <w:t>dé</w:t>
      </w:r>
      <w:r w:rsidRPr="00236418">
        <w:rPr>
          <w:color w:val="000000" w:themeColor="text1"/>
        </w:rPr>
        <w:t>comptabilisés</w:t>
      </w:r>
      <w:proofErr w:type="spellEnd"/>
      <w:r w:rsidRPr="00236418">
        <w:t xml:space="preserve"> lorsque les droits contractuels de l'UIT de recevoir les flux de trésorerie des actifs financiers ont expirés ou ont été transférés et lorsque tous les risques et les avantages liés au droit de propriété ont été transférés.</w:t>
      </w:r>
    </w:p>
    <w:p w14:paraId="65F07369" w14:textId="77777777" w:rsidR="00DF6159" w:rsidRPr="00236418" w:rsidRDefault="00DF6159" w:rsidP="009B3D24">
      <w:pPr>
        <w:rPr>
          <w:u w:val="single"/>
        </w:rPr>
      </w:pPr>
      <w:bookmarkStart w:id="794" w:name="_Toc269839073"/>
      <w:bookmarkStart w:id="795" w:name="_Toc329178768"/>
      <w:bookmarkStart w:id="796" w:name="_Toc329181741"/>
      <w:bookmarkStart w:id="797" w:name="_Toc329202556"/>
      <w:bookmarkStart w:id="798" w:name="_Toc329204988"/>
      <w:bookmarkStart w:id="799" w:name="_Toc329206825"/>
      <w:bookmarkStart w:id="800" w:name="_Toc358379911"/>
      <w:bookmarkStart w:id="801" w:name="_Toc358380451"/>
      <w:bookmarkStart w:id="802" w:name="_Toc387166630"/>
      <w:bookmarkStart w:id="803" w:name="_Toc387167441"/>
      <w:bookmarkStart w:id="804" w:name="_Toc395260915"/>
      <w:bookmarkStart w:id="805" w:name="_Toc395511694"/>
      <w:bookmarkStart w:id="806" w:name="_Toc452138607"/>
      <w:bookmarkStart w:id="807" w:name="_Toc452139056"/>
      <w:bookmarkStart w:id="808" w:name="_Toc452139420"/>
      <w:bookmarkStart w:id="809" w:name="_Toc452139820"/>
      <w:bookmarkStart w:id="810" w:name="_Toc452140407"/>
      <w:bookmarkStart w:id="811" w:name="_Toc452140687"/>
      <w:bookmarkStart w:id="812" w:name="_Toc482801477"/>
      <w:bookmarkStart w:id="813" w:name="_Toc482888732"/>
      <w:bookmarkStart w:id="814" w:name="_Toc511649447"/>
      <w:bookmarkStart w:id="815" w:name="_Toc511649819"/>
      <w:bookmarkStart w:id="816" w:name="_Toc511649933"/>
      <w:bookmarkStart w:id="817" w:name="_Toc511650051"/>
      <w:bookmarkStart w:id="818" w:name="_Toc511650544"/>
      <w:bookmarkStart w:id="819" w:name="_Toc511651189"/>
      <w:bookmarkStart w:id="820" w:name="_Toc511724054"/>
      <w:bookmarkStart w:id="821" w:name="_Toc511739043"/>
      <w:bookmarkStart w:id="822" w:name="_Toc511741212"/>
      <w:bookmarkStart w:id="823" w:name="_Toc9605706"/>
      <w:bookmarkStart w:id="824" w:name="_Toc10450718"/>
      <w:r w:rsidRPr="00236418">
        <w:rPr>
          <w:u w:val="single"/>
        </w:rPr>
        <w:t>Autres dettes financières</w:t>
      </w:r>
      <w:bookmarkEnd w:id="794"/>
      <w:r w:rsidRPr="00236418">
        <w:rPr>
          <w:u w:val="single"/>
        </w:rPr>
        <w:t xml:space="preserve"> et </w:t>
      </w:r>
      <w:bookmarkEnd w:id="795"/>
      <w:bookmarkEnd w:id="796"/>
      <w:bookmarkEnd w:id="797"/>
      <w:bookmarkEnd w:id="798"/>
      <w:bookmarkEnd w:id="799"/>
      <w:bookmarkEnd w:id="800"/>
      <w:bookmarkEnd w:id="801"/>
      <w:r w:rsidRPr="00236418">
        <w:rPr>
          <w:u w:val="single"/>
        </w:rPr>
        <w:t>emprunt auprès de la FIPOI</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5488690C" w14:textId="77777777" w:rsidR="00DF6159" w:rsidRPr="00236418" w:rsidRDefault="00DF6159" w:rsidP="009B3D24">
      <w:pPr>
        <w:keepNext/>
        <w:keepLines/>
      </w:pPr>
      <w:r w:rsidRPr="00236418">
        <w:t xml:space="preserve">Les autres dettes financières comprennent les emprunts, les autres financements, les découverts bancaires, les fournisseurs et créanciers d'exploitation. Elles sont présentées au bilan en passifs courants ou non courants selon que leur échéance est inférieure ou supérieure à un an. </w:t>
      </w:r>
    </w:p>
    <w:p w14:paraId="1032CC67" w14:textId="77777777" w:rsidR="00DF6159" w:rsidRPr="00236418" w:rsidRDefault="00DF6159" w:rsidP="009B3D24">
      <w:r w:rsidRPr="00236418">
        <w:t>Les passifs financiers portant intérêt sont évalués ultérieurement au coût amorti selon la méthode du taux d'intérêt effectif, à l'exception des passifs pour lesquels la comptabilisation des intérêts serait négligeable.</w:t>
      </w:r>
    </w:p>
    <w:p w14:paraId="07D83322" w14:textId="77777777" w:rsidR="00DF6159" w:rsidRPr="00236418" w:rsidRDefault="00DF6159" w:rsidP="009B3D24">
      <w:r w:rsidRPr="00236418">
        <w:t xml:space="preserve">L'UIT a emprunté des capitaux auprès de la Fondation des Immeubles pour les Organisations Internationales (FIPOI) lors de la construction et de la rénovation des bâtiments sis à Genève. Ces emprunts étaient originellement soumis à un intérêt. Toutefois, le Département fédéral des affaires étrangères (DFAE) a supprimé le prélèvement des intérêts à partir de 1996. Ainsi, l'UIT a uniquement l'obligation de rembourser le montant principal. </w:t>
      </w:r>
    </w:p>
    <w:p w14:paraId="0C2E5D2C" w14:textId="4AB1A605" w:rsidR="00DF6159" w:rsidRPr="00236418" w:rsidRDefault="00DF6159" w:rsidP="009B3D24">
      <w:r w:rsidRPr="00236418">
        <w:t>Le prêt est évalué à son coût amorti selon un taux d'intérêt à long terme de 3,25% qui correspond aux intérêts liés aux prêts accordés par la FIPOI mais non versés. La différence entre la valeur nominale et le coût amorti représente une contribution en nature qui s'élevait au 31 décembre 201</w:t>
      </w:r>
      <w:r w:rsidR="004A51D4" w:rsidRPr="00236418">
        <w:t>9</w:t>
      </w:r>
      <w:r w:rsidRPr="00236418">
        <w:t xml:space="preserve"> à un montant global de 14 millions CHF. L'UIT a choisi de ne pas présenter ce montant dans la catégorie "emprunts et dettes financières" dans l'état de la situation financière. Par contre, l'UIT montre dans l'état de la performance financière, des charges et des produits en tant que contribution en nature correspondant à la diminution de l'escompte entre le 1er janvier et le 31 décembre de l'année écoulée</w:t>
      </w:r>
      <w:r w:rsidRPr="00236418">
        <w:rPr>
          <w:color w:val="000000" w:themeColor="text1"/>
        </w:rPr>
        <w:t xml:space="preserve">. </w:t>
      </w:r>
    </w:p>
    <w:p w14:paraId="69B90ED7" w14:textId="77777777" w:rsidR="00DF6159" w:rsidRPr="00236418" w:rsidRDefault="00DF6159" w:rsidP="009B3D24">
      <w:pPr>
        <w:rPr>
          <w:u w:val="single"/>
        </w:rPr>
      </w:pPr>
      <w:bookmarkStart w:id="825" w:name="_Toc358379908"/>
      <w:bookmarkStart w:id="826" w:name="_Toc358380448"/>
      <w:bookmarkStart w:id="827" w:name="_Toc387166631"/>
      <w:bookmarkStart w:id="828" w:name="_Toc387167442"/>
      <w:bookmarkStart w:id="829" w:name="_Toc395260916"/>
      <w:bookmarkStart w:id="830" w:name="_Toc395511695"/>
      <w:bookmarkStart w:id="831" w:name="_Toc452138608"/>
      <w:bookmarkStart w:id="832" w:name="_Toc452139057"/>
      <w:bookmarkStart w:id="833" w:name="_Toc452139421"/>
      <w:bookmarkStart w:id="834" w:name="_Toc452139821"/>
      <w:bookmarkStart w:id="835" w:name="_Toc452140408"/>
      <w:bookmarkStart w:id="836" w:name="_Toc452140688"/>
      <w:bookmarkStart w:id="837" w:name="_Toc482801478"/>
      <w:bookmarkStart w:id="838" w:name="_Toc482888733"/>
      <w:bookmarkStart w:id="839" w:name="_Toc511649448"/>
      <w:bookmarkStart w:id="840" w:name="_Toc511649820"/>
      <w:bookmarkStart w:id="841" w:name="_Toc511649934"/>
      <w:bookmarkStart w:id="842" w:name="_Toc511650545"/>
      <w:bookmarkStart w:id="843" w:name="_Toc511651190"/>
      <w:bookmarkStart w:id="844" w:name="_Toc511724055"/>
      <w:bookmarkStart w:id="845" w:name="_Toc511739044"/>
      <w:bookmarkStart w:id="846" w:name="_Toc511741213"/>
      <w:bookmarkStart w:id="847" w:name="_Toc9605707"/>
      <w:bookmarkStart w:id="848" w:name="_Toc10450719"/>
      <w:bookmarkEnd w:id="758"/>
      <w:bookmarkEnd w:id="759"/>
      <w:bookmarkEnd w:id="760"/>
      <w:bookmarkEnd w:id="761"/>
      <w:bookmarkEnd w:id="762"/>
      <w:bookmarkEnd w:id="763"/>
      <w:bookmarkEnd w:id="764"/>
      <w:bookmarkEnd w:id="765"/>
      <w:r w:rsidRPr="00236418">
        <w:rPr>
          <w:u w:val="single"/>
        </w:rPr>
        <w:t>Créances et prêts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7B7B2E3C" w14:textId="77777777" w:rsidR="00DF6159" w:rsidRPr="00236418" w:rsidRDefault="00DF6159" w:rsidP="009B3D24">
      <w:pPr>
        <w:rPr>
          <w:spacing w:val="-2"/>
        </w:rPr>
      </w:pPr>
      <w:r w:rsidRPr="00236418">
        <w:t>Les créances et prêts de l'UIT sont des actifs financiers non dérivés avec des échéances fixes ou déterminables qui ne sont pas cotés sur un marché actif. Ils prennent naissance lorsque l'UIT est engagée contractuellement avec un tiers et jusqu'à ce que les transferts de trésorerie liés à ces actifs financiers aient été exécutés et que les risques et avantages liés à ces actifs aient également été transférés à l'UIT. Ces actifs sont inclus dans les actifs courants, hormis ceux dont l'échéance est supérieure à douze mois après la date de clôture</w:t>
      </w:r>
      <w:r w:rsidRPr="00236418">
        <w:rPr>
          <w:spacing w:val="-2"/>
        </w:rPr>
        <w:t>. Ces derniers sont classés dans les actifs non courants.</w:t>
      </w:r>
    </w:p>
    <w:p w14:paraId="3FA9B5B9" w14:textId="77777777" w:rsidR="00DF6159" w:rsidRPr="00236418" w:rsidRDefault="00DF6159" w:rsidP="009B3D24">
      <w:r w:rsidRPr="00236418">
        <w:t xml:space="preserve">Les créances sont classées en deux catégories distinctes: les créances issues d'opérations avec contrepartie directe, telles les créances issues de la vente de publications, et les créances sans contrepartie directe, notamment celles liées aux contributions versées à l'UIT. Les contributions </w:t>
      </w:r>
      <w:r w:rsidRPr="00236418">
        <w:lastRenderedPageBreak/>
        <w:t>mises en recouvrement sont intégrées dans le plan financier lorsque le niveau des contributions des États Membres a été fixé lors de la Conférence de plénipotentiaires pour une période de quatre ans. Ces contributions sont reconnues sur une base annuelle.</w:t>
      </w:r>
    </w:p>
    <w:p w14:paraId="6CAD52D8" w14:textId="77777777" w:rsidR="00DF6159" w:rsidRPr="00236418" w:rsidRDefault="00DF6159" w:rsidP="009B3D24">
      <w:r w:rsidRPr="00236418">
        <w:t>Les contributions volontaires sont initialement reconnues lorsqu'il existe un accord signé entre l'UIT et le donateur.</w:t>
      </w:r>
    </w:p>
    <w:p w14:paraId="5050241A" w14:textId="77777777" w:rsidR="00DF6159" w:rsidRPr="00236418" w:rsidRDefault="00DF6159" w:rsidP="009B3D24">
      <w:r w:rsidRPr="00236418">
        <w:t>Les créances et les prêts sont reconnus à leur juste valeur lors de leur comptabilisation initiale. La juste valeur est adaptée lors de la revue des créances douteuses au moment de la clôture annuelle des comptes.</w:t>
      </w:r>
    </w:p>
    <w:p w14:paraId="2D85C832" w14:textId="77777777" w:rsidR="00DF6159" w:rsidRPr="00236418" w:rsidRDefault="00DF6159" w:rsidP="00DA2839">
      <w:pPr>
        <w:pStyle w:val="Heading5"/>
        <w:rPr>
          <w:u w:val="single"/>
          <w:lang w:eastAsia="zh-CN"/>
        </w:rPr>
      </w:pPr>
      <w:bookmarkStart w:id="849" w:name="_Toc296007012"/>
      <w:bookmarkStart w:id="850" w:name="_Toc329178766"/>
      <w:bookmarkStart w:id="851" w:name="_Toc329181739"/>
      <w:bookmarkStart w:id="852" w:name="_Toc329202554"/>
      <w:bookmarkStart w:id="853" w:name="_Toc329204986"/>
      <w:bookmarkStart w:id="854" w:name="_Toc329206823"/>
      <w:bookmarkStart w:id="855" w:name="_Toc358379909"/>
      <w:bookmarkStart w:id="856" w:name="_Toc358380449"/>
      <w:bookmarkStart w:id="857" w:name="_Toc387166632"/>
      <w:bookmarkStart w:id="858" w:name="_Toc395260917"/>
      <w:bookmarkStart w:id="859" w:name="_Toc395511696"/>
      <w:bookmarkStart w:id="860" w:name="_Toc452138609"/>
      <w:bookmarkStart w:id="861" w:name="_Toc452139058"/>
      <w:bookmarkStart w:id="862" w:name="_Toc452139422"/>
      <w:bookmarkStart w:id="863" w:name="_Toc452139822"/>
      <w:bookmarkStart w:id="864" w:name="_Toc452140689"/>
      <w:bookmarkStart w:id="865" w:name="_Toc482801479"/>
      <w:bookmarkStart w:id="866" w:name="_Toc511649449"/>
      <w:bookmarkStart w:id="867" w:name="_Toc511649821"/>
      <w:bookmarkStart w:id="868" w:name="_Toc511649935"/>
      <w:bookmarkStart w:id="869" w:name="_Toc511651191"/>
      <w:bookmarkStart w:id="870" w:name="_Toc511724056"/>
      <w:bookmarkStart w:id="871" w:name="_Toc511739045"/>
      <w:bookmarkStart w:id="872" w:name="_Toc511741214"/>
      <w:bookmarkStart w:id="873" w:name="_Toc10450720"/>
      <w:bookmarkStart w:id="874" w:name="_Toc41566322"/>
      <w:bookmarkStart w:id="875" w:name="_Toc41567835"/>
      <w:r w:rsidRPr="00236418">
        <w:rPr>
          <w:u w:val="single"/>
        </w:rPr>
        <w:t xml:space="preserve">Évaluation de la provision pour dépréciation </w:t>
      </w:r>
      <w:bookmarkEnd w:id="849"/>
      <w:bookmarkEnd w:id="850"/>
      <w:bookmarkEnd w:id="851"/>
      <w:bookmarkEnd w:id="852"/>
      <w:bookmarkEnd w:id="853"/>
      <w:bookmarkEnd w:id="854"/>
      <w:bookmarkEnd w:id="855"/>
      <w:bookmarkEnd w:id="856"/>
      <w:r w:rsidRPr="00236418">
        <w:rPr>
          <w:u w:val="single"/>
        </w:rPr>
        <w:t>des créances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05DFC56" w14:textId="77777777" w:rsidR="00DF6159" w:rsidRPr="00236418" w:rsidRDefault="00DF6159" w:rsidP="009B3D24">
      <w:r w:rsidRPr="00236418">
        <w:t>L'évaluation du besoin de constituer ou de corriger une provision pour dépréciation d'actifs est réalisée selon la nature de la créance, sur la base des catégories de créances suivantes:</w:t>
      </w:r>
    </w:p>
    <w:p w14:paraId="30A61E60" w14:textId="77777777" w:rsidR="00DF6159" w:rsidRPr="00236418" w:rsidRDefault="00DF6159" w:rsidP="009B3D24">
      <w:r w:rsidRPr="00236418">
        <w:t>1 – États Membres</w:t>
      </w:r>
    </w:p>
    <w:p w14:paraId="6FE80604" w14:textId="77777777" w:rsidR="00DF6159" w:rsidRPr="00236418" w:rsidRDefault="00DF6159" w:rsidP="009B3D24">
      <w:r w:rsidRPr="00236418">
        <w:t>Conformément à l'article 28 paragraphe 169 de la Constitution, un État Membre en retard dans ses paiements à l'Union perd son droit de vote défini aux numéros 27 et 28 de la Constitution tant que le montant de ses arriérés est égal ou supérieur au montant des contributions dues pour les deux années précédentes.</w:t>
      </w:r>
    </w:p>
    <w:p w14:paraId="333BB812" w14:textId="77777777" w:rsidR="00DF6159" w:rsidRPr="00236418" w:rsidRDefault="00DF6159" w:rsidP="009B3D24">
      <w:r w:rsidRPr="00236418">
        <w:t>Sur la base de ce paragraphe, une provision pour les États Membres ayant des arriérés de plus de deux ans est constituée. L'évaluation et le suivi se font sur la base de la notification financière. Cette notification est produite tous les trimestres. Le calcul de la provision se fait sur la base de la notification du dernier trimestre de l'année. Celle-ci est produite en début de l'année suivante.</w:t>
      </w:r>
    </w:p>
    <w:p w14:paraId="151164AE" w14:textId="77777777" w:rsidR="00DF6159" w:rsidRPr="00236418" w:rsidRDefault="00DF6159" w:rsidP="009B3D24">
      <w:pPr>
        <w:spacing w:before="40"/>
      </w:pPr>
      <w:r w:rsidRPr="00236418">
        <w:t>Le montant de la provision est égal à 100% de la créance impayée depuis plus de deux ans augmentée des intérêts moratoires imputés depuis le début du retard de paiement.</w:t>
      </w:r>
    </w:p>
    <w:p w14:paraId="57502E64" w14:textId="77777777" w:rsidR="00DF6159" w:rsidRPr="00236418" w:rsidRDefault="00DF6159" w:rsidP="009B3D24">
      <w:r w:rsidRPr="00236418">
        <w:t>2 – Membres de Secteur, Associés et établissements universitaires</w:t>
      </w:r>
    </w:p>
    <w:p w14:paraId="3A10A199" w14:textId="77777777" w:rsidR="00DF6159" w:rsidRPr="00236418" w:rsidRDefault="00DF6159" w:rsidP="009B3D24">
      <w:r w:rsidRPr="00236418">
        <w:t xml:space="preserve">S'agissant des Membres de Secteur et des Associés, la Résolution 152 (Rév. Busan, 2014) de la Conférence de plénipotentiaires prévoit, dans le point 6 du </w:t>
      </w:r>
      <w:r w:rsidRPr="00236418">
        <w:rPr>
          <w:i/>
        </w:rPr>
        <w:t>décide</w:t>
      </w:r>
      <w:r w:rsidRPr="00236418">
        <w:t>, que, en cas de retard de paiement, la participation aux travaux de l'UIT, sera suspendue six mois (180 jours) après l'expiration de l'échéance fixée pour le paiement de la contribution annuelle, et en cas d'absence d'un plan d'amortissement négocié et convenu, l'exclusion d'un Membre de Secteur ou d'un Associé pour défaut de paiement interviendra trois mois (90 jours) après la date de réception de la notification de sa suspension.</w:t>
      </w:r>
    </w:p>
    <w:p w14:paraId="2B143A4F" w14:textId="77777777" w:rsidR="00DF6159" w:rsidRPr="00236418" w:rsidRDefault="00DF6159" w:rsidP="009B3D24">
      <w:r w:rsidRPr="00236418">
        <w:t>Toutes les créances impayées y compris les intérêts moratoires de plus de deux ans sont provisionnées à 100%.</w:t>
      </w:r>
    </w:p>
    <w:p w14:paraId="420DA65E" w14:textId="77777777" w:rsidR="00DF6159" w:rsidRPr="00236418" w:rsidRDefault="00DF6159" w:rsidP="009B3D24">
      <w:pPr>
        <w:keepNext/>
        <w:keepLines/>
      </w:pPr>
      <w:r w:rsidRPr="00236418">
        <w:t>3 – Produits provenant du traitement des fiches de notification de réseaux à satellite (SNF)</w:t>
      </w:r>
    </w:p>
    <w:p w14:paraId="20B42A6F" w14:textId="77777777" w:rsidR="00DF6159" w:rsidRPr="00236418" w:rsidRDefault="00DF6159" w:rsidP="009B3D24">
      <w:pPr>
        <w:keepNext/>
        <w:keepLines/>
      </w:pPr>
      <w:r w:rsidRPr="00236418">
        <w:t>L'Union constitue une provision pour les factures SNF, intérêts moratoires de 6% à partir de la date d'échéance en cas de retard de paiement. Les factures ayant une date d'échéance de six mois, une provision de 100% sera constituée au 31 décembre de l'année qui suit leur émission.</w:t>
      </w:r>
    </w:p>
    <w:p w14:paraId="3ACCA656" w14:textId="77777777" w:rsidR="00DF6159" w:rsidRPr="00236418" w:rsidRDefault="00DF6159" w:rsidP="009B3D24">
      <w:r w:rsidRPr="00236418">
        <w:t>4 – Publications</w:t>
      </w:r>
    </w:p>
    <w:p w14:paraId="58160C0E" w14:textId="084D88F7" w:rsidR="00DF6159" w:rsidRPr="00236418" w:rsidRDefault="00DF6159" w:rsidP="009B3D24">
      <w:pPr>
        <w:spacing w:before="40"/>
      </w:pPr>
      <w:r w:rsidRPr="00236418">
        <w:t>Les publications sont en majorité payées d'avance, sauf lorsque le client est l'administration d'un État</w:t>
      </w:r>
      <w:r w:rsidR="000406A5" w:rsidRPr="00236418">
        <w:t xml:space="preserve"> </w:t>
      </w:r>
      <w:r w:rsidRPr="00236418">
        <w:t>Membre. La constitution de cette provision est identique au principe appliqué aux contributions des États Membres et Membres de Secteur.</w:t>
      </w:r>
    </w:p>
    <w:p w14:paraId="60D9549E" w14:textId="77777777" w:rsidR="00DF6159" w:rsidRPr="00236418" w:rsidRDefault="00DF6159" w:rsidP="009B3D24">
      <w:pPr>
        <w:keepNext/>
        <w:keepLines/>
      </w:pPr>
      <w:r w:rsidRPr="00236418">
        <w:lastRenderedPageBreak/>
        <w:t xml:space="preserve">5 – Autres débiteurs (par exemple, contributions volontaires) </w:t>
      </w:r>
    </w:p>
    <w:p w14:paraId="0C9021F2" w14:textId="77777777" w:rsidR="00DF6159" w:rsidRPr="00236418" w:rsidRDefault="00DF6159" w:rsidP="009B3D24">
      <w:pPr>
        <w:keepNext/>
        <w:keepLines/>
      </w:pPr>
      <w:r w:rsidRPr="00236418">
        <w:t xml:space="preserve">Le montant de la provision est égal à 100% des créances impayées au 31 décembre de l'année qui suit l'émission des factures. </w:t>
      </w:r>
    </w:p>
    <w:p w14:paraId="1072EDA6" w14:textId="77777777" w:rsidR="00DF6159" w:rsidRPr="00236418" w:rsidRDefault="00DF6159" w:rsidP="009B3D24">
      <w:r w:rsidRPr="00236418">
        <w:t>6 – ITU TELECOM</w:t>
      </w:r>
    </w:p>
    <w:p w14:paraId="2413BDA4" w14:textId="77777777" w:rsidR="00DF6159" w:rsidRPr="00236418" w:rsidRDefault="00DF6159" w:rsidP="009B3D24">
      <w:r w:rsidRPr="00236418">
        <w:t>Les créances pour les évènements ITU TELECOM sont provisionnées à 100% au moment du bouclement des comptes des expositions, lorsqu'il existe une incertitude quant au paiement.</w:t>
      </w:r>
    </w:p>
    <w:p w14:paraId="245F093B" w14:textId="77777777" w:rsidR="00DF6159" w:rsidRPr="00236418" w:rsidRDefault="00DF6159" w:rsidP="00DA2839">
      <w:pPr>
        <w:pStyle w:val="Heading5"/>
        <w:rPr>
          <w:u w:val="single"/>
        </w:rPr>
      </w:pPr>
      <w:bookmarkStart w:id="876" w:name="_Toc296007013"/>
      <w:bookmarkStart w:id="877" w:name="_Toc329178767"/>
      <w:bookmarkStart w:id="878" w:name="_Toc329181740"/>
      <w:bookmarkStart w:id="879" w:name="_Toc329202555"/>
      <w:bookmarkStart w:id="880" w:name="_Toc329204987"/>
      <w:bookmarkStart w:id="881" w:name="_Toc329206824"/>
      <w:bookmarkStart w:id="882" w:name="_Toc358379910"/>
      <w:bookmarkStart w:id="883" w:name="_Toc358380450"/>
      <w:bookmarkStart w:id="884" w:name="_Toc387166633"/>
      <w:bookmarkStart w:id="885" w:name="_Toc395260918"/>
      <w:bookmarkStart w:id="886" w:name="_Toc395511697"/>
      <w:bookmarkStart w:id="887" w:name="_Toc452138610"/>
      <w:bookmarkStart w:id="888" w:name="_Toc452139059"/>
      <w:bookmarkStart w:id="889" w:name="_Toc452139423"/>
      <w:bookmarkStart w:id="890" w:name="_Toc452139823"/>
      <w:bookmarkStart w:id="891" w:name="_Toc452140690"/>
      <w:bookmarkStart w:id="892" w:name="_Toc482801480"/>
      <w:bookmarkStart w:id="893" w:name="_Toc511649450"/>
      <w:bookmarkStart w:id="894" w:name="_Toc511649822"/>
      <w:bookmarkStart w:id="895" w:name="_Toc511649936"/>
      <w:bookmarkStart w:id="896" w:name="_Toc511651192"/>
      <w:bookmarkStart w:id="897" w:name="_Toc511724057"/>
      <w:bookmarkStart w:id="898" w:name="_Toc511739046"/>
      <w:bookmarkStart w:id="899" w:name="_Toc511741215"/>
      <w:bookmarkStart w:id="900" w:name="_Toc10450721"/>
      <w:bookmarkStart w:id="901" w:name="_Toc41566323"/>
      <w:bookmarkStart w:id="902" w:name="_Toc41567836"/>
      <w:r w:rsidRPr="00236418">
        <w:rPr>
          <w:u w:val="single"/>
        </w:rPr>
        <w:t>Utilisation et dissolution d'une provision pour dépréciation d'actif</w:t>
      </w:r>
      <w:bookmarkEnd w:id="876"/>
      <w:r w:rsidRPr="00236418">
        <w:rPr>
          <w:u w:val="single"/>
        </w:rPr>
        <w:t>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6CF1EF4D" w14:textId="4A7FFFA4" w:rsidR="00DF6159" w:rsidRPr="00236418" w:rsidRDefault="00DF6159" w:rsidP="009B3D24">
      <w:r w:rsidRPr="00236418">
        <w:t>Lorsque l'irrécouvrabilité d'une créance est constatée (par exemple acte de défaut de bien ou abandon de créance approuvé par le Conseil), la dette est passée par pertes et profits. La provision correspondante est alors utilisée pour équilibrer le solde des comptes. Si le montant de la dépréciation diminue au cours d'un exercice ultérieur, et si cette diminution peut être objectivement liée à un évènement survenant après la comptabilisation de la dépréciation (par exemple, la signature d'un plan d'amortissement de la dette), la perte de valeur comptabilisée est reprise, tout ou en partie, par une dissolution de provision.</w:t>
      </w:r>
    </w:p>
    <w:p w14:paraId="18765922" w14:textId="77777777" w:rsidR="00DF6159" w:rsidRPr="00236418" w:rsidRDefault="00DF6159" w:rsidP="009B3D24">
      <w:r w:rsidRPr="00236418">
        <w:t>Dans le cas des États Membres et des Membres de Secteur, la provision est diminuée des versements annuels effectués dans le cadre d'un plan d'amortissement de la dette, après paiement de chaque annuité. Les intérêts moratoires sont extournés après remboursement du capital de la dette, sous réserve de l'approbation du Conseil. Ce montant inclus les créances liées aux publications.</w:t>
      </w:r>
    </w:p>
    <w:p w14:paraId="0F462015" w14:textId="77777777" w:rsidR="00DF6159" w:rsidRPr="00236418" w:rsidRDefault="00DF6159" w:rsidP="009B3D24">
      <w:r w:rsidRPr="00236418">
        <w:t>Si au cours d'un exercice ultérieur de nouvelles créances remplissent les critères de dépréciation retenus dans le paragraphe ci-dessus, une constitution de provision doit être comptabilisée au 31 décembre de l'année.</w:t>
      </w:r>
    </w:p>
    <w:p w14:paraId="104977FC" w14:textId="77777777" w:rsidR="00DF6159" w:rsidRPr="00236418" w:rsidRDefault="00DF6159" w:rsidP="00DA2839">
      <w:pPr>
        <w:pStyle w:val="Heading5"/>
        <w:rPr>
          <w:u w:val="single"/>
        </w:rPr>
      </w:pPr>
      <w:bookmarkStart w:id="903" w:name="_Toc269839070"/>
      <w:bookmarkStart w:id="904" w:name="_Toc329178769"/>
      <w:bookmarkStart w:id="905" w:name="_Toc329181742"/>
      <w:bookmarkStart w:id="906" w:name="_Toc329202557"/>
      <w:bookmarkStart w:id="907" w:name="_Toc329204989"/>
      <w:bookmarkStart w:id="908" w:name="_Toc329206826"/>
      <w:bookmarkStart w:id="909" w:name="_Toc358379912"/>
      <w:bookmarkStart w:id="910" w:name="_Toc358380452"/>
      <w:bookmarkStart w:id="911" w:name="_Toc387166634"/>
      <w:bookmarkStart w:id="912" w:name="_Toc387167445"/>
      <w:bookmarkStart w:id="913" w:name="_Toc395260919"/>
      <w:bookmarkStart w:id="914" w:name="_Toc395511698"/>
      <w:bookmarkStart w:id="915" w:name="_Toc452138611"/>
      <w:bookmarkStart w:id="916" w:name="_Toc452139060"/>
      <w:bookmarkStart w:id="917" w:name="_Toc452139424"/>
      <w:bookmarkStart w:id="918" w:name="_Toc452139824"/>
      <w:bookmarkStart w:id="919" w:name="_Toc452140691"/>
      <w:bookmarkStart w:id="920" w:name="_Toc482801481"/>
      <w:bookmarkStart w:id="921" w:name="_Toc511649451"/>
      <w:bookmarkStart w:id="922" w:name="_Toc511649823"/>
      <w:bookmarkStart w:id="923" w:name="_Toc511649937"/>
      <w:bookmarkStart w:id="924" w:name="_Toc511651193"/>
      <w:bookmarkStart w:id="925" w:name="_Toc511724058"/>
      <w:bookmarkStart w:id="926" w:name="_Toc511739047"/>
      <w:bookmarkStart w:id="927" w:name="_Toc511741216"/>
      <w:bookmarkStart w:id="928" w:name="_Toc10450722"/>
      <w:bookmarkStart w:id="929" w:name="_Toc41566324"/>
      <w:bookmarkStart w:id="930" w:name="_Toc41567837"/>
      <w:r w:rsidRPr="00236418">
        <w:rPr>
          <w:u w:val="single"/>
        </w:rPr>
        <w:t>Stocks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6D8CB46B" w14:textId="77777777" w:rsidR="00DF6159" w:rsidRPr="00236418" w:rsidRDefault="00DF6159" w:rsidP="009B3D24">
      <w:r w:rsidRPr="00236418">
        <w:t xml:space="preserve">Les stocks se composent des </w:t>
      </w:r>
      <w:r w:rsidRPr="00236418">
        <w:rPr>
          <w:color w:val="000000"/>
        </w:rPr>
        <w:t>publications</w:t>
      </w:r>
      <w:r w:rsidRPr="00236418">
        <w:t xml:space="preserve"> et souvenirs marqués du logo de l'UIT, des magasins de consommables, d</w:t>
      </w:r>
      <w:r w:rsidRPr="00236418">
        <w:rPr>
          <w:color w:val="000000"/>
        </w:rPr>
        <w:t>es matières</w:t>
      </w:r>
      <w:r w:rsidRPr="00236418">
        <w:t xml:space="preserve"> premières pour la maintenance et d</w:t>
      </w:r>
      <w:r w:rsidRPr="00236418">
        <w:rPr>
          <w:color w:val="000000"/>
        </w:rPr>
        <w:t xml:space="preserve">es </w:t>
      </w:r>
      <w:r w:rsidRPr="00236418">
        <w:t xml:space="preserve">réserves de </w:t>
      </w:r>
      <w:r w:rsidRPr="00236418">
        <w:rPr>
          <w:color w:val="000000"/>
        </w:rPr>
        <w:t>pièces détachées non affectées à la mai</w:t>
      </w:r>
      <w:r w:rsidRPr="00236418">
        <w:t>ntenance d'actifs particuliers.</w:t>
      </w:r>
    </w:p>
    <w:p w14:paraId="49F25DB6" w14:textId="77777777" w:rsidR="00DF6159" w:rsidRPr="00236418" w:rsidRDefault="00DF6159" w:rsidP="009B3D24">
      <w:pPr>
        <w:rPr>
          <w:color w:val="000000"/>
        </w:rPr>
      </w:pPr>
      <w:r w:rsidRPr="00236418">
        <w:rPr>
          <w:color w:val="000000"/>
        </w:rPr>
        <w:t>Pour les biens consommables, la valeur des stocks est calculée en utilisant la méthode du coût moyen pondéré. La même méthode est utilisée pour tous les stocks présentant une nature et un usage similaire dans l'organisation.</w:t>
      </w:r>
    </w:p>
    <w:p w14:paraId="7201FE3C" w14:textId="77777777" w:rsidR="00DF6159" w:rsidRPr="00236418" w:rsidRDefault="00DF6159" w:rsidP="009B3D24">
      <w:pPr>
        <w:rPr>
          <w:color w:val="000000"/>
        </w:rPr>
      </w:pPr>
      <w:r w:rsidRPr="00236418">
        <w:rPr>
          <w:color w:val="000000"/>
        </w:rPr>
        <w:t>Les publications sont valorisées selon un coût standard basé sur un barème mis à jour annuellement. Le coût standard ne comprend pas les coûts directs de personnel, toutefois, le coût du papier est augmenté de 253%, qui représentent les coûts directs liés à la reprographie. La valeur nette réalisable représente le prix de vente estimatif diminué des coûts estimés d'achèvement, de commercialisation, de vente et de distribution des publications.</w:t>
      </w:r>
    </w:p>
    <w:p w14:paraId="51832BF2" w14:textId="77777777" w:rsidR="00DF6159" w:rsidRPr="00236418" w:rsidRDefault="00DF6159" w:rsidP="00053383">
      <w:pPr>
        <w:keepLines/>
      </w:pPr>
      <w:r w:rsidRPr="00236418">
        <w:rPr>
          <w:color w:val="000000"/>
        </w:rPr>
        <w:t>Lorsque les stocks de publications sont distribués à un coût nul ou symbolique, ceux-ci sont évalués à la valeur que l'Organisation devrait payer pour acquérir les avantages économiques ou le potentiel de service pour réaliser les objectifs de l'Organisation. Si les avantages économiques ou le potentiel de service ne peuvent être acquis sur le marché, les stocks sont évalués à la valeur de remplacement.</w:t>
      </w:r>
    </w:p>
    <w:p w14:paraId="3039CF56" w14:textId="77777777" w:rsidR="00DF6159" w:rsidRPr="00236418" w:rsidRDefault="00DF6159" w:rsidP="00053383">
      <w:pPr>
        <w:keepLines/>
        <w:rPr>
          <w:lang w:eastAsia="fr-FR"/>
        </w:rPr>
      </w:pPr>
      <w:r w:rsidRPr="00236418">
        <w:rPr>
          <w:lang w:eastAsia="fr-FR"/>
        </w:rPr>
        <w:lastRenderedPageBreak/>
        <w:t>Un inventaire physique annuel de tous les stocks est réalisé. À chaque date de clôture, s'il existe un quelconque indice montrant que les stocks ont pu perdre de leur valeur, ceux-ci sont dépréciés. L'évaluation des publications se fait en deux temps: tout d'abord sur la base de dommages identifiés lors de l'inventaire physique annuel et ensuite selon l'obsolescence des publications. L'organisation détermine également si une perte de valeur comptabilisée précédemment a diminué ou s'est éteinte. S'il existe un tel indice, la valeur nette de réalisation ou le coût de remplacement des stocks sont estimés et mises à jour</w:t>
      </w:r>
      <w:r w:rsidRPr="00236418">
        <w:t>.</w:t>
      </w:r>
    </w:p>
    <w:p w14:paraId="34D3E9B7" w14:textId="77777777" w:rsidR="00DF6159" w:rsidRPr="00236418" w:rsidRDefault="00DF6159" w:rsidP="009B3D24">
      <w:pPr>
        <w:rPr>
          <w:lang w:eastAsia="fr-FR"/>
        </w:rPr>
      </w:pPr>
      <w:r w:rsidRPr="00236418">
        <w:rPr>
          <w:lang w:eastAsia="fr-FR"/>
        </w:rPr>
        <w:t>Les publications et articles qui ne seront plus proposés à la vente ou destinés à la distribution gratuite verront leur valeur nette comptable réduite à zéro.</w:t>
      </w:r>
    </w:p>
    <w:p w14:paraId="40B9D24B" w14:textId="77777777" w:rsidR="00DF6159" w:rsidRPr="00236418" w:rsidRDefault="00DF6159" w:rsidP="00DA2839">
      <w:pPr>
        <w:pStyle w:val="Heading5"/>
        <w:rPr>
          <w:u w:val="single"/>
        </w:rPr>
      </w:pPr>
      <w:bookmarkStart w:id="931" w:name="_Toc269839071"/>
      <w:bookmarkStart w:id="932" w:name="_Toc329178770"/>
      <w:bookmarkStart w:id="933" w:name="_Toc329181743"/>
      <w:bookmarkStart w:id="934" w:name="_Toc329202558"/>
      <w:bookmarkStart w:id="935" w:name="_Toc329204990"/>
      <w:bookmarkStart w:id="936" w:name="_Toc329206827"/>
      <w:bookmarkStart w:id="937" w:name="_Toc358379913"/>
      <w:bookmarkStart w:id="938" w:name="_Toc358380453"/>
      <w:bookmarkStart w:id="939" w:name="_Toc387166635"/>
      <w:bookmarkStart w:id="940" w:name="_Toc395260920"/>
      <w:bookmarkStart w:id="941" w:name="_Toc395511699"/>
      <w:bookmarkStart w:id="942" w:name="_Toc452138612"/>
      <w:bookmarkStart w:id="943" w:name="_Toc452139061"/>
      <w:bookmarkStart w:id="944" w:name="_Toc452139425"/>
      <w:bookmarkStart w:id="945" w:name="_Toc452139825"/>
      <w:bookmarkStart w:id="946" w:name="_Toc452140692"/>
      <w:bookmarkStart w:id="947" w:name="_Toc482801482"/>
      <w:bookmarkStart w:id="948" w:name="_Toc511649452"/>
      <w:bookmarkStart w:id="949" w:name="_Toc511649824"/>
      <w:bookmarkStart w:id="950" w:name="_Toc511649938"/>
      <w:bookmarkStart w:id="951" w:name="_Toc511651194"/>
      <w:bookmarkStart w:id="952" w:name="_Toc511724059"/>
      <w:bookmarkStart w:id="953" w:name="_Toc511739048"/>
      <w:bookmarkStart w:id="954" w:name="_Toc511741217"/>
      <w:bookmarkStart w:id="955" w:name="_Toc10450723"/>
      <w:bookmarkStart w:id="956" w:name="_Toc41566325"/>
      <w:bookmarkStart w:id="957" w:name="_Toc41567838"/>
      <w:r w:rsidRPr="00236418">
        <w:rPr>
          <w:u w:val="single"/>
        </w:rPr>
        <w:t>Immobilisations corporelles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33C565A8" w14:textId="77777777" w:rsidR="00DF6159" w:rsidRPr="00236418" w:rsidRDefault="00DF6159" w:rsidP="009B3D24">
      <w:r w:rsidRPr="00236418">
        <w:t>Les immobilisations corporelles détenues par l'UIT sont évaluées à leur coût historique déduction faite du cumul des amortissements et des pertes de valeurs. Les bâtiments ont été comptabilisés dans l'état de la situation financière d'ouverture IPSAS au 1er janvier 2010 à leur valeur intrinsèque sur la base de l'étude menée par un cabinet externe. La valeur des bâtiments a été comptabilisée selon l'approche par composantes. Les terrains ne sont pas pris en compte dans le calcul de la valeur intrinsèque des bâtiments. Le droit de superficie concernant les terrains mis à disposition par l'État de Genève est sans charge pour l'Union.</w:t>
      </w:r>
    </w:p>
    <w:p w14:paraId="36D9B2C7" w14:textId="77777777" w:rsidR="00DF6159" w:rsidRPr="00236418" w:rsidRDefault="00DF6159" w:rsidP="009B3D24">
      <w:r w:rsidRPr="00236418">
        <w:t>Les donations en nature sont valorisées à la juste valeur estimée à la date de réception des biens mobiliers. La reconnaissance des revenus liés à des donations en espèces destinées à la création ou à l'achat d'une immobilisation spécifique est étalée sur une durée égale à la dépréciation de l'immobilisation concernée à partir de la date de mise en service.</w:t>
      </w:r>
    </w:p>
    <w:p w14:paraId="58AC407A" w14:textId="77777777" w:rsidR="00DF6159" w:rsidRPr="00236418" w:rsidRDefault="00DF6159" w:rsidP="009B3D24">
      <w:pPr>
        <w:rPr>
          <w:b/>
          <w:bCs/>
        </w:rPr>
      </w:pPr>
      <w:r w:rsidRPr="00236418">
        <w:rPr>
          <w:bCs/>
        </w:rPr>
        <w:t>Les biens d'une valeur égale ou supérieure à 5</w:t>
      </w:r>
      <w:r w:rsidRPr="00236418">
        <w:t> 000</w:t>
      </w:r>
      <w:r w:rsidRPr="00236418">
        <w:rPr>
          <w:bCs/>
        </w:rPr>
        <w:t> CHF sont capitalisés au moment de la réception du bien et amortis linéairement par la suite.</w:t>
      </w:r>
    </w:p>
    <w:p w14:paraId="63326D66" w14:textId="77777777" w:rsidR="00DF6159" w:rsidRPr="00236418" w:rsidRDefault="00DF6159" w:rsidP="009B3D24">
      <w:pPr>
        <w:rPr>
          <w:b/>
          <w:bCs/>
        </w:rPr>
      </w:pPr>
      <w:r w:rsidRPr="00236418">
        <w:rPr>
          <w:bCs/>
        </w:rPr>
        <w:t>Les biens d'un coût inférieur à 5 000 CHF (biens de faible valeur) sont capitalisés lors du mois de leur acquisition et entièrement comptabilisés en tant que dépenses dans l'état de la performance financière à la clôture mensuelle suivant l'acquisition.</w:t>
      </w:r>
    </w:p>
    <w:p w14:paraId="209BBD2B" w14:textId="77777777" w:rsidR="00DF6159" w:rsidRPr="00236418" w:rsidRDefault="00DF6159" w:rsidP="009B3D24">
      <w:pPr>
        <w:rPr>
          <w:b/>
          <w:bCs/>
        </w:rPr>
      </w:pPr>
      <w:r w:rsidRPr="00236418">
        <w:rPr>
          <w:bCs/>
        </w:rPr>
        <w:t>Les immobilisations corporelles acquises dans le cadre des projets menés par les activités extrabudgétaires (notamment les Projets du Programme des Nations Unies pour le développement, les projets d'exécution nationales et les contributions volontaires) sont entièrement comptabilisées en tant que dépenses dans l'état de la performance financière à la clôture mensuelle suivant l'acquisition.</w:t>
      </w:r>
    </w:p>
    <w:p w14:paraId="11B4EFAB" w14:textId="77777777" w:rsidR="00DF6159" w:rsidRPr="00236418" w:rsidRDefault="00DF6159" w:rsidP="009B3D24">
      <w:r w:rsidRPr="00236418">
        <w:t>Les coûts ultérieurs liés aux immobilisations sont capitalisés et amortis lorsqu'ils entraînent une augmentation du potentiel de service lié à l'utilisation de l'immobilisation et ne concernent pas des coûts de maintenance ou de réparation de l'immobilisation concernée. Ces derniers sont comptabilisés dans l'état de la performance financière.</w:t>
      </w:r>
    </w:p>
    <w:p w14:paraId="655B2CD0" w14:textId="77777777" w:rsidR="00DF6159" w:rsidRPr="00236418" w:rsidRDefault="00DF6159" w:rsidP="009B3D24">
      <w:r w:rsidRPr="00236418">
        <w:t>Lorsqu'une immobilisation se compose de plusieurs éléments significatifs ayant des durées d'utilité différentes, chaque élément est comptabilisé séparément. Les amortissements sont effectués de manière linéaire selon la durée d'utilité estimée de chaque objet, compte tenu d'une durée résiduelle finale, s'il y a lieu. Les valeurs résiduelles, durées d'utilité et modes d'amortissement des actifs sont revus, et modifiés si nécessaire, à chaque clôture annuelle.</w:t>
      </w:r>
    </w:p>
    <w:p w14:paraId="75D32284" w14:textId="77777777" w:rsidR="00DF6159" w:rsidRPr="00236418" w:rsidRDefault="00DF6159" w:rsidP="009B3D24">
      <w:pPr>
        <w:keepNext/>
        <w:keepLines/>
        <w:spacing w:after="120"/>
      </w:pPr>
      <w:r w:rsidRPr="00236418">
        <w:br w:type="page"/>
      </w:r>
    </w:p>
    <w:p w14:paraId="3FE024EE" w14:textId="77777777" w:rsidR="00DF6159" w:rsidRPr="00236418" w:rsidRDefault="00DF6159" w:rsidP="009B3D24">
      <w:pPr>
        <w:keepNext/>
        <w:keepLines/>
        <w:spacing w:after="120"/>
      </w:pPr>
      <w:r w:rsidRPr="00236418">
        <w:lastRenderedPageBreak/>
        <w:t>Les durées moyennes d'utilité retenues sont les suivantes:</w:t>
      </w:r>
    </w:p>
    <w:tbl>
      <w:tblPr>
        <w:tblStyle w:val="TableGrid"/>
        <w:tblW w:w="0" w:type="auto"/>
        <w:tblLayout w:type="fixed"/>
        <w:tblLook w:val="04A0" w:firstRow="1" w:lastRow="0" w:firstColumn="1" w:lastColumn="0" w:noHBand="0" w:noVBand="1"/>
      </w:tblPr>
      <w:tblGrid>
        <w:gridCol w:w="6091"/>
        <w:gridCol w:w="3538"/>
      </w:tblGrid>
      <w:tr w:rsidR="00DF6159" w:rsidRPr="00236418" w14:paraId="313CBDE3" w14:textId="77777777" w:rsidTr="006538EB">
        <w:tc>
          <w:tcPr>
            <w:tcW w:w="6091" w:type="dxa"/>
            <w:vAlign w:val="center"/>
          </w:tcPr>
          <w:p w14:paraId="14F5856C" w14:textId="77777777" w:rsidR="00DF6159" w:rsidRPr="00236418" w:rsidRDefault="00DF6159" w:rsidP="009B3D24">
            <w:pPr>
              <w:pStyle w:val="TableHead0"/>
              <w:keepNext w:val="0"/>
              <w:tabs>
                <w:tab w:val="center" w:pos="2724"/>
                <w:tab w:val="right" w:pos="5449"/>
              </w:tabs>
              <w:spacing w:before="120" w:after="120"/>
              <w:rPr>
                <w:rFonts w:asciiTheme="minorHAnsi" w:hAnsiTheme="minorHAnsi" w:cstheme="minorHAnsi"/>
              </w:rPr>
            </w:pPr>
            <w:r w:rsidRPr="00236418">
              <w:rPr>
                <w:rFonts w:asciiTheme="minorHAnsi" w:hAnsiTheme="minorHAnsi" w:cstheme="minorHAnsi"/>
              </w:rPr>
              <w:t>Catégories et sous-catégories d'actifs</w:t>
            </w:r>
          </w:p>
        </w:tc>
        <w:tc>
          <w:tcPr>
            <w:tcW w:w="3538" w:type="dxa"/>
            <w:vAlign w:val="center"/>
          </w:tcPr>
          <w:p w14:paraId="2A0C343C" w14:textId="77777777" w:rsidR="00DF6159" w:rsidRPr="00236418" w:rsidRDefault="00DF6159" w:rsidP="009B3D24">
            <w:pPr>
              <w:pStyle w:val="TableHead0"/>
              <w:keepNext w:val="0"/>
              <w:spacing w:before="120" w:after="120"/>
              <w:rPr>
                <w:rFonts w:asciiTheme="minorHAnsi" w:hAnsiTheme="minorHAnsi" w:cstheme="minorHAnsi"/>
              </w:rPr>
            </w:pPr>
            <w:r w:rsidRPr="00236418">
              <w:rPr>
                <w:rFonts w:asciiTheme="minorHAnsi" w:hAnsiTheme="minorHAnsi" w:cstheme="minorHAnsi"/>
              </w:rPr>
              <w:t>Durée d'utilité estimée (en années)</w:t>
            </w:r>
          </w:p>
        </w:tc>
      </w:tr>
      <w:tr w:rsidR="00DF6159" w:rsidRPr="00236418" w14:paraId="6D3EA3DE" w14:textId="77777777" w:rsidTr="006538EB">
        <w:tc>
          <w:tcPr>
            <w:tcW w:w="6091" w:type="dxa"/>
          </w:tcPr>
          <w:p w14:paraId="024D6A03" w14:textId="77777777" w:rsidR="00DF6159" w:rsidRPr="00236418" w:rsidRDefault="00DF6159" w:rsidP="009B3D24">
            <w:pPr>
              <w:pStyle w:val="TableText0"/>
              <w:rPr>
                <w:rFonts w:asciiTheme="minorHAnsi" w:hAnsiTheme="minorHAnsi" w:cstheme="minorHAnsi"/>
              </w:rPr>
            </w:pPr>
          </w:p>
        </w:tc>
        <w:tc>
          <w:tcPr>
            <w:tcW w:w="3538" w:type="dxa"/>
          </w:tcPr>
          <w:p w14:paraId="6EE89F92" w14:textId="77777777" w:rsidR="00DF6159" w:rsidRPr="00236418" w:rsidRDefault="00DF6159" w:rsidP="009B3D24">
            <w:pPr>
              <w:pStyle w:val="TableText0"/>
              <w:rPr>
                <w:rFonts w:asciiTheme="minorHAnsi" w:hAnsiTheme="minorHAnsi" w:cstheme="minorHAnsi"/>
              </w:rPr>
            </w:pPr>
          </w:p>
        </w:tc>
      </w:tr>
      <w:tr w:rsidR="00DF6159" w:rsidRPr="00236418" w14:paraId="4C0D95FE" w14:textId="77777777" w:rsidTr="006538EB">
        <w:tc>
          <w:tcPr>
            <w:tcW w:w="6091" w:type="dxa"/>
          </w:tcPr>
          <w:p w14:paraId="172167EC" w14:textId="77777777" w:rsidR="00DF6159" w:rsidRPr="00236418" w:rsidRDefault="00DF6159" w:rsidP="009B3D24">
            <w:pPr>
              <w:pStyle w:val="TableText0"/>
              <w:rPr>
                <w:rFonts w:asciiTheme="minorHAnsi" w:hAnsiTheme="minorHAnsi" w:cstheme="minorHAnsi"/>
              </w:rPr>
            </w:pPr>
            <w:r w:rsidRPr="00236418">
              <w:rPr>
                <w:rFonts w:asciiTheme="minorHAnsi" w:hAnsiTheme="minorHAnsi" w:cstheme="minorHAnsi"/>
              </w:rPr>
              <w:t>Bâtiments</w:t>
            </w:r>
          </w:p>
        </w:tc>
        <w:tc>
          <w:tcPr>
            <w:tcW w:w="3538" w:type="dxa"/>
          </w:tcPr>
          <w:p w14:paraId="779C8E57" w14:textId="77777777" w:rsidR="00DF6159" w:rsidRPr="00236418" w:rsidRDefault="00DF6159" w:rsidP="009B3D24">
            <w:pPr>
              <w:pStyle w:val="TableText0"/>
              <w:rPr>
                <w:rFonts w:asciiTheme="minorHAnsi" w:hAnsiTheme="minorHAnsi" w:cstheme="minorHAnsi"/>
              </w:rPr>
            </w:pPr>
          </w:p>
        </w:tc>
      </w:tr>
      <w:tr w:rsidR="00DF6159" w:rsidRPr="00236418" w14:paraId="32DB0815" w14:textId="77777777" w:rsidTr="006538EB">
        <w:tc>
          <w:tcPr>
            <w:tcW w:w="6091" w:type="dxa"/>
          </w:tcPr>
          <w:p w14:paraId="40400AD0"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Structure</w:t>
            </w:r>
          </w:p>
        </w:tc>
        <w:tc>
          <w:tcPr>
            <w:tcW w:w="3538" w:type="dxa"/>
          </w:tcPr>
          <w:p w14:paraId="73EBA9B9"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100</w:t>
            </w:r>
          </w:p>
        </w:tc>
      </w:tr>
      <w:tr w:rsidR="00DF6159" w:rsidRPr="00236418" w14:paraId="1832E91F" w14:textId="77777777" w:rsidTr="006538EB">
        <w:tc>
          <w:tcPr>
            <w:tcW w:w="6091" w:type="dxa"/>
          </w:tcPr>
          <w:p w14:paraId="17D1DA6F"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Enveloppe (toiture plate, isolation, étanchéité ...)</w:t>
            </w:r>
          </w:p>
        </w:tc>
        <w:tc>
          <w:tcPr>
            <w:tcW w:w="3538" w:type="dxa"/>
          </w:tcPr>
          <w:p w14:paraId="68B58EC4"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60</w:t>
            </w:r>
          </w:p>
        </w:tc>
      </w:tr>
      <w:tr w:rsidR="00DF6159" w:rsidRPr="00236418" w14:paraId="26B9E574" w14:textId="77777777" w:rsidTr="006538EB">
        <w:tc>
          <w:tcPr>
            <w:tcW w:w="6091" w:type="dxa"/>
          </w:tcPr>
          <w:p w14:paraId="7425FDA9"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Enveloppe (façades métalliques, vitrages aluminium ...)</w:t>
            </w:r>
          </w:p>
        </w:tc>
        <w:tc>
          <w:tcPr>
            <w:tcW w:w="3538" w:type="dxa"/>
          </w:tcPr>
          <w:p w14:paraId="70812D75"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r>
      <w:tr w:rsidR="00DF6159" w:rsidRPr="00236418" w14:paraId="6781202A" w14:textId="77777777" w:rsidTr="006538EB">
        <w:tc>
          <w:tcPr>
            <w:tcW w:w="6091" w:type="dxa"/>
          </w:tcPr>
          <w:p w14:paraId="44A46809"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Aménagements intérieurs (faux-planchers, partitions ...)</w:t>
            </w:r>
          </w:p>
        </w:tc>
        <w:tc>
          <w:tcPr>
            <w:tcW w:w="3538" w:type="dxa"/>
          </w:tcPr>
          <w:p w14:paraId="7237F363"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r>
      <w:tr w:rsidR="00DF6159" w:rsidRPr="00236418" w14:paraId="3B205771" w14:textId="77777777" w:rsidTr="006538EB">
        <w:tc>
          <w:tcPr>
            <w:tcW w:w="6091" w:type="dxa"/>
          </w:tcPr>
          <w:p w14:paraId="5FBBC731" w14:textId="77777777" w:rsidR="00DF6159" w:rsidRPr="00236418" w:rsidRDefault="00DF6159" w:rsidP="009B3D24">
            <w:pPr>
              <w:pStyle w:val="TableText0"/>
              <w:ind w:left="284"/>
              <w:rPr>
                <w:rFonts w:asciiTheme="minorHAnsi" w:hAnsiTheme="minorHAnsi" w:cstheme="minorHAnsi"/>
              </w:rPr>
            </w:pPr>
            <w:r w:rsidRPr="00236418">
              <w:rPr>
                <w:rFonts w:asciiTheme="minorHAnsi" w:hAnsiTheme="minorHAnsi" w:cstheme="minorHAnsi"/>
              </w:rPr>
              <w:t>Aménagements intérieurs (revêtements sols, murs</w:t>
            </w:r>
            <w:r w:rsidRPr="00236418">
              <w:rPr>
                <w:rFonts w:asciiTheme="minorHAnsi" w:hAnsiTheme="minorHAnsi" w:cstheme="minorHAnsi"/>
              </w:rPr>
              <w:br/>
              <w:t>et plafonds ...)</w:t>
            </w:r>
          </w:p>
        </w:tc>
        <w:tc>
          <w:tcPr>
            <w:tcW w:w="3538" w:type="dxa"/>
          </w:tcPr>
          <w:p w14:paraId="41D59E22"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r>
      <w:tr w:rsidR="00DF6159" w:rsidRPr="00236418" w14:paraId="1E1D1A88" w14:textId="77777777" w:rsidTr="006538EB">
        <w:tc>
          <w:tcPr>
            <w:tcW w:w="6091" w:type="dxa"/>
          </w:tcPr>
          <w:p w14:paraId="62C762C4"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Équipements spéciaux</w:t>
            </w:r>
          </w:p>
        </w:tc>
        <w:tc>
          <w:tcPr>
            <w:tcW w:w="3538" w:type="dxa"/>
          </w:tcPr>
          <w:p w14:paraId="1624D571"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r>
      <w:tr w:rsidR="00DF6159" w:rsidRPr="00236418" w14:paraId="4848F37C" w14:textId="77777777" w:rsidTr="006538EB">
        <w:tc>
          <w:tcPr>
            <w:tcW w:w="6091" w:type="dxa"/>
          </w:tcPr>
          <w:p w14:paraId="5D8F9C03"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Installations techniques (électricité)</w:t>
            </w:r>
          </w:p>
        </w:tc>
        <w:tc>
          <w:tcPr>
            <w:tcW w:w="3538" w:type="dxa"/>
          </w:tcPr>
          <w:p w14:paraId="6960F94D"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50</w:t>
            </w:r>
          </w:p>
        </w:tc>
      </w:tr>
      <w:tr w:rsidR="00DF6159" w:rsidRPr="00236418" w14:paraId="328B7FD9" w14:textId="77777777" w:rsidTr="006538EB">
        <w:tc>
          <w:tcPr>
            <w:tcW w:w="6091" w:type="dxa"/>
          </w:tcPr>
          <w:p w14:paraId="31B1C732"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Installations techniques (sanitaires)</w:t>
            </w:r>
          </w:p>
        </w:tc>
        <w:tc>
          <w:tcPr>
            <w:tcW w:w="3538" w:type="dxa"/>
          </w:tcPr>
          <w:p w14:paraId="0C339944"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r>
      <w:tr w:rsidR="00DF6159" w:rsidRPr="00236418" w14:paraId="78046B8B" w14:textId="77777777" w:rsidTr="006538EB">
        <w:tc>
          <w:tcPr>
            <w:tcW w:w="6091" w:type="dxa"/>
          </w:tcPr>
          <w:p w14:paraId="2CB47FE0"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Installations techniques (chauffage, ventilation)</w:t>
            </w:r>
          </w:p>
        </w:tc>
        <w:tc>
          <w:tcPr>
            <w:tcW w:w="3538" w:type="dxa"/>
          </w:tcPr>
          <w:p w14:paraId="239A7843"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30</w:t>
            </w:r>
          </w:p>
        </w:tc>
      </w:tr>
      <w:tr w:rsidR="00DF6159" w:rsidRPr="00236418" w14:paraId="55040B7C" w14:textId="77777777" w:rsidTr="006538EB">
        <w:tc>
          <w:tcPr>
            <w:tcW w:w="6091" w:type="dxa"/>
          </w:tcPr>
          <w:p w14:paraId="5C9E9F17" w14:textId="77777777" w:rsidR="00DF6159" w:rsidRPr="00236418" w:rsidRDefault="00DF6159" w:rsidP="009B3D24">
            <w:pPr>
              <w:pStyle w:val="TableText0"/>
              <w:ind w:firstLine="284"/>
              <w:rPr>
                <w:rFonts w:asciiTheme="minorHAnsi" w:hAnsiTheme="minorHAnsi" w:cstheme="minorHAnsi"/>
              </w:rPr>
            </w:pPr>
            <w:r w:rsidRPr="00236418">
              <w:rPr>
                <w:rFonts w:asciiTheme="minorHAnsi" w:hAnsiTheme="minorHAnsi" w:cstheme="minorHAnsi"/>
              </w:rPr>
              <w:t>Éléments transports</w:t>
            </w:r>
          </w:p>
        </w:tc>
        <w:tc>
          <w:tcPr>
            <w:tcW w:w="3538" w:type="dxa"/>
          </w:tcPr>
          <w:p w14:paraId="4C4A2F43" w14:textId="77777777" w:rsidR="00DF6159" w:rsidRPr="00236418" w:rsidRDefault="00DF6159" w:rsidP="009B3D24">
            <w:pPr>
              <w:pStyle w:val="Tabletext"/>
              <w:spacing w:before="20" w:after="0"/>
              <w:ind w:right="424"/>
              <w:jc w:val="right"/>
              <w:rPr>
                <w:rFonts w:asciiTheme="minorHAnsi" w:hAnsiTheme="minorHAnsi" w:cstheme="minorHAnsi"/>
                <w:lang w:eastAsia="fr-FR"/>
              </w:rPr>
            </w:pPr>
            <w:r w:rsidRPr="00236418">
              <w:rPr>
                <w:rFonts w:asciiTheme="minorHAnsi" w:hAnsiTheme="minorHAnsi" w:cstheme="minorHAnsi"/>
                <w:lang w:eastAsia="fr-FR"/>
              </w:rPr>
              <w:t>40</w:t>
            </w:r>
          </w:p>
        </w:tc>
      </w:tr>
      <w:tr w:rsidR="00DF6159" w:rsidRPr="00236418" w14:paraId="790FE672" w14:textId="77777777" w:rsidTr="006538EB">
        <w:tc>
          <w:tcPr>
            <w:tcW w:w="6091" w:type="dxa"/>
          </w:tcPr>
          <w:p w14:paraId="17396E57" w14:textId="77777777" w:rsidR="00DF6159" w:rsidRPr="00236418" w:rsidRDefault="00DF6159" w:rsidP="009B3D24">
            <w:pPr>
              <w:pStyle w:val="TableText0"/>
              <w:spacing w:before="0" w:after="0"/>
              <w:rPr>
                <w:rFonts w:asciiTheme="minorHAnsi" w:hAnsiTheme="minorHAnsi" w:cstheme="minorHAnsi"/>
              </w:rPr>
            </w:pPr>
          </w:p>
        </w:tc>
        <w:tc>
          <w:tcPr>
            <w:tcW w:w="3538" w:type="dxa"/>
          </w:tcPr>
          <w:p w14:paraId="114AAE5D" w14:textId="77777777" w:rsidR="00DF6159" w:rsidRPr="00236418" w:rsidRDefault="00DF6159" w:rsidP="009B3D24">
            <w:pPr>
              <w:pStyle w:val="TableText0"/>
              <w:spacing w:before="0" w:after="0"/>
              <w:rPr>
                <w:rFonts w:asciiTheme="minorHAnsi" w:hAnsiTheme="minorHAnsi" w:cstheme="minorHAnsi"/>
              </w:rPr>
            </w:pPr>
          </w:p>
        </w:tc>
      </w:tr>
      <w:tr w:rsidR="00DF6159" w:rsidRPr="00236418" w14:paraId="0FEEB56A" w14:textId="77777777" w:rsidTr="006538EB">
        <w:tc>
          <w:tcPr>
            <w:tcW w:w="6091" w:type="dxa"/>
          </w:tcPr>
          <w:p w14:paraId="72089A3F" w14:textId="77777777" w:rsidR="00DF6159" w:rsidRPr="00236418" w:rsidRDefault="00DF6159" w:rsidP="009B3D24">
            <w:pPr>
              <w:pStyle w:val="TableText0"/>
              <w:rPr>
                <w:rFonts w:asciiTheme="minorHAnsi" w:hAnsiTheme="minorHAnsi" w:cstheme="minorHAnsi"/>
              </w:rPr>
            </w:pPr>
            <w:r w:rsidRPr="00236418">
              <w:rPr>
                <w:rFonts w:asciiTheme="minorHAnsi" w:hAnsiTheme="minorHAnsi" w:cstheme="minorHAnsi"/>
              </w:rPr>
              <w:t>Machineries et équipements</w:t>
            </w:r>
          </w:p>
        </w:tc>
        <w:tc>
          <w:tcPr>
            <w:tcW w:w="3538" w:type="dxa"/>
          </w:tcPr>
          <w:p w14:paraId="4F126663" w14:textId="77777777" w:rsidR="00DF6159" w:rsidRPr="00236418" w:rsidRDefault="00DF6159" w:rsidP="009B3D24">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r>
      <w:tr w:rsidR="00DF6159" w:rsidRPr="00236418" w14:paraId="5186C9EA" w14:textId="77777777" w:rsidTr="006538EB">
        <w:tc>
          <w:tcPr>
            <w:tcW w:w="6091" w:type="dxa"/>
          </w:tcPr>
          <w:p w14:paraId="53B267FE" w14:textId="77777777" w:rsidR="00DF6159" w:rsidRPr="00236418" w:rsidRDefault="00DF6159" w:rsidP="009B3D24">
            <w:pPr>
              <w:pStyle w:val="TableText0"/>
              <w:rPr>
                <w:rFonts w:asciiTheme="minorHAnsi" w:hAnsiTheme="minorHAnsi" w:cstheme="minorHAnsi"/>
              </w:rPr>
            </w:pPr>
            <w:r w:rsidRPr="00236418">
              <w:rPr>
                <w:rFonts w:asciiTheme="minorHAnsi" w:hAnsiTheme="minorHAnsi" w:cstheme="minorHAnsi"/>
              </w:rPr>
              <w:t>Mobilier &amp; agencement</w:t>
            </w:r>
          </w:p>
        </w:tc>
        <w:tc>
          <w:tcPr>
            <w:tcW w:w="3538" w:type="dxa"/>
          </w:tcPr>
          <w:p w14:paraId="7E4C55DC" w14:textId="77777777" w:rsidR="00DF6159" w:rsidRPr="00236418" w:rsidRDefault="00DF6159" w:rsidP="009B3D24">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r>
      <w:tr w:rsidR="00DF6159" w:rsidRPr="00236418" w14:paraId="1F4CE011" w14:textId="77777777" w:rsidTr="006538EB">
        <w:tc>
          <w:tcPr>
            <w:tcW w:w="6091" w:type="dxa"/>
          </w:tcPr>
          <w:p w14:paraId="3AFCEC8D" w14:textId="77777777" w:rsidR="00DF6159" w:rsidRPr="00236418" w:rsidRDefault="00DF6159" w:rsidP="009B3D24">
            <w:pPr>
              <w:pStyle w:val="TableText0"/>
              <w:rPr>
                <w:rFonts w:asciiTheme="minorHAnsi" w:hAnsiTheme="minorHAnsi" w:cstheme="minorHAnsi"/>
              </w:rPr>
            </w:pPr>
            <w:r w:rsidRPr="00236418">
              <w:rPr>
                <w:rFonts w:asciiTheme="minorHAnsi" w:hAnsiTheme="minorHAnsi" w:cstheme="minorHAnsi"/>
              </w:rPr>
              <w:t>Véhicules</w:t>
            </w:r>
          </w:p>
        </w:tc>
        <w:tc>
          <w:tcPr>
            <w:tcW w:w="3538" w:type="dxa"/>
          </w:tcPr>
          <w:p w14:paraId="140BAF32" w14:textId="77777777" w:rsidR="00DF6159" w:rsidRPr="00236418" w:rsidRDefault="00DF6159" w:rsidP="009B3D24">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5</w:t>
            </w:r>
          </w:p>
        </w:tc>
      </w:tr>
      <w:tr w:rsidR="00DF6159" w:rsidRPr="00236418" w14:paraId="6693DD04" w14:textId="77777777" w:rsidTr="006538EB">
        <w:tc>
          <w:tcPr>
            <w:tcW w:w="6091" w:type="dxa"/>
          </w:tcPr>
          <w:p w14:paraId="633CA9EA" w14:textId="77777777" w:rsidR="00DF6159" w:rsidRPr="00236418" w:rsidRDefault="00DF6159" w:rsidP="009B3D24">
            <w:pPr>
              <w:pStyle w:val="TableText0"/>
              <w:rPr>
                <w:rFonts w:asciiTheme="minorHAnsi" w:hAnsiTheme="minorHAnsi" w:cstheme="minorHAnsi"/>
              </w:rPr>
            </w:pPr>
            <w:r w:rsidRPr="00236418">
              <w:rPr>
                <w:rFonts w:asciiTheme="minorHAnsi" w:hAnsiTheme="minorHAnsi" w:cstheme="minorHAnsi"/>
              </w:rPr>
              <w:t>Matériel informatique</w:t>
            </w:r>
          </w:p>
        </w:tc>
        <w:tc>
          <w:tcPr>
            <w:tcW w:w="3538" w:type="dxa"/>
          </w:tcPr>
          <w:p w14:paraId="294F69A0" w14:textId="77777777" w:rsidR="00DF6159" w:rsidRPr="00236418" w:rsidRDefault="00DF6159" w:rsidP="009B3D24">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3</w:t>
            </w:r>
          </w:p>
        </w:tc>
      </w:tr>
      <w:tr w:rsidR="00DF6159" w:rsidRPr="00236418" w14:paraId="6AF634CA" w14:textId="77777777" w:rsidTr="006538EB">
        <w:tc>
          <w:tcPr>
            <w:tcW w:w="6091" w:type="dxa"/>
          </w:tcPr>
          <w:p w14:paraId="5192BDA4" w14:textId="77777777" w:rsidR="00DF6159" w:rsidRPr="00236418" w:rsidRDefault="00DF6159" w:rsidP="009B3D24">
            <w:pPr>
              <w:pStyle w:val="TableText0"/>
              <w:spacing w:before="0" w:after="0"/>
              <w:rPr>
                <w:rFonts w:asciiTheme="minorHAnsi" w:hAnsiTheme="minorHAnsi" w:cstheme="minorHAnsi"/>
              </w:rPr>
            </w:pPr>
          </w:p>
        </w:tc>
        <w:tc>
          <w:tcPr>
            <w:tcW w:w="3538" w:type="dxa"/>
          </w:tcPr>
          <w:p w14:paraId="05821898" w14:textId="77777777" w:rsidR="00DF6159" w:rsidRPr="00236418" w:rsidRDefault="00DF6159" w:rsidP="009B3D24">
            <w:pPr>
              <w:pStyle w:val="Tabletext"/>
              <w:spacing w:before="0" w:after="0"/>
              <w:ind w:right="424"/>
              <w:jc w:val="right"/>
              <w:rPr>
                <w:rFonts w:asciiTheme="minorHAnsi" w:hAnsiTheme="minorHAnsi" w:cstheme="minorHAnsi"/>
                <w:lang w:eastAsia="fr-FR"/>
              </w:rPr>
            </w:pPr>
          </w:p>
        </w:tc>
      </w:tr>
      <w:tr w:rsidR="00DF6159" w:rsidRPr="00236418" w14:paraId="41ABCE80" w14:textId="77777777" w:rsidTr="006538EB">
        <w:tc>
          <w:tcPr>
            <w:tcW w:w="6091" w:type="dxa"/>
          </w:tcPr>
          <w:p w14:paraId="025424B8" w14:textId="77777777" w:rsidR="00DF6159" w:rsidRPr="00236418" w:rsidRDefault="00DF6159" w:rsidP="009B3D24">
            <w:pPr>
              <w:pStyle w:val="TableText0"/>
              <w:rPr>
                <w:rFonts w:asciiTheme="minorHAnsi" w:hAnsiTheme="minorHAnsi" w:cstheme="minorHAnsi"/>
              </w:rPr>
            </w:pPr>
            <w:r w:rsidRPr="00236418">
              <w:rPr>
                <w:rFonts w:asciiTheme="minorHAnsi" w:hAnsiTheme="minorHAnsi" w:cstheme="minorHAnsi"/>
              </w:rPr>
              <w:t>Licences et progiciels</w:t>
            </w:r>
          </w:p>
        </w:tc>
        <w:tc>
          <w:tcPr>
            <w:tcW w:w="3538" w:type="dxa"/>
          </w:tcPr>
          <w:p w14:paraId="711159B8" w14:textId="77777777" w:rsidR="00DF6159" w:rsidRPr="00236418" w:rsidRDefault="00DF6159" w:rsidP="009B3D24">
            <w:pPr>
              <w:pStyle w:val="Tabletext"/>
              <w:spacing w:before="20" w:after="20"/>
              <w:ind w:right="424"/>
              <w:jc w:val="right"/>
              <w:rPr>
                <w:rFonts w:asciiTheme="minorHAnsi" w:hAnsiTheme="minorHAnsi" w:cstheme="minorHAnsi"/>
                <w:lang w:eastAsia="fr-FR"/>
              </w:rPr>
            </w:pPr>
            <w:r w:rsidRPr="00236418">
              <w:rPr>
                <w:rFonts w:asciiTheme="minorHAnsi" w:hAnsiTheme="minorHAnsi" w:cstheme="minorHAnsi"/>
                <w:lang w:eastAsia="fr-FR"/>
              </w:rPr>
              <w:t>3</w:t>
            </w:r>
          </w:p>
        </w:tc>
      </w:tr>
    </w:tbl>
    <w:p w14:paraId="771DC935" w14:textId="77777777" w:rsidR="00DF6159" w:rsidRPr="00236418" w:rsidRDefault="00DF6159" w:rsidP="009B3D24">
      <w:pPr>
        <w:pStyle w:val="Normalaftertitle"/>
      </w:pPr>
      <w:r w:rsidRPr="00236418">
        <w:t>L'UIT examine à chaque date de clôture annuelle s'il existe un indice révélant qu'un actif a pu perdre de sa valeur. Si un tel indice existe, la valeur recouvrable de l'actif est estimée et une perte de valeur est inscrite dans l'état de la performance financière lorsque la valeur comptable est supérieure à la valeur recouvrable.</w:t>
      </w:r>
    </w:p>
    <w:p w14:paraId="4CBCE5BF" w14:textId="77777777" w:rsidR="00DF6159" w:rsidRPr="00236418" w:rsidRDefault="00DF6159" w:rsidP="009B3D24">
      <w:r w:rsidRPr="00236418">
        <w:t>La valeur recouvrable est la valeur la plus élevée entre la juste valeur nette des coûts de sortie et la valeur d'utilité. La valeur recouvrable d'un actif est calculée de manière individuelle. La valeur d'utilité des actifs immobilisés utilisés à des fins non commerciales correspond à la valeur actualisée du potentiel de service attendu de leur utilisation.</w:t>
      </w:r>
    </w:p>
    <w:p w14:paraId="05C6B505" w14:textId="77777777" w:rsidR="00DF6159" w:rsidRPr="00236418" w:rsidRDefault="00DF6159" w:rsidP="009B3D24">
      <w:r w:rsidRPr="00236418">
        <w:t>Une perte de valeur comptabilisée au cours d'exercices antérieurs est reprise lorsqu'il y a un changement dans les estimations de la valeur recouvrable depuis la dernière estimation. La valeur nette comptable de l'actif est augmentée, mais ne doit pas excéder la valeur nette comptable qui aurait été celle de l'actif si aucune perte de valeur n'avait été reconnue en premier lieu. La reprise est inscrite au compte de résultat.</w:t>
      </w:r>
    </w:p>
    <w:p w14:paraId="331B321F" w14:textId="77777777" w:rsidR="00DF6159" w:rsidRPr="00236418" w:rsidRDefault="00DF6159" w:rsidP="00DA2839">
      <w:pPr>
        <w:pStyle w:val="Heading5"/>
        <w:rPr>
          <w:u w:val="single"/>
        </w:rPr>
      </w:pPr>
      <w:bookmarkStart w:id="958" w:name="_Toc329202559"/>
      <w:bookmarkStart w:id="959" w:name="_Toc329204991"/>
      <w:bookmarkStart w:id="960" w:name="_Toc329206828"/>
      <w:bookmarkStart w:id="961" w:name="_Toc358379914"/>
      <w:bookmarkStart w:id="962" w:name="_Toc358380454"/>
      <w:bookmarkStart w:id="963" w:name="_Toc387166636"/>
      <w:bookmarkStart w:id="964" w:name="_Toc395260921"/>
      <w:bookmarkStart w:id="965" w:name="_Toc395511700"/>
      <w:bookmarkStart w:id="966" w:name="_Toc452138613"/>
      <w:bookmarkStart w:id="967" w:name="_Toc452139062"/>
      <w:bookmarkStart w:id="968" w:name="_Toc452139426"/>
      <w:bookmarkStart w:id="969" w:name="_Toc452139826"/>
      <w:bookmarkStart w:id="970" w:name="_Toc452140693"/>
      <w:bookmarkStart w:id="971" w:name="_Toc482801483"/>
      <w:bookmarkStart w:id="972" w:name="_Toc511649453"/>
      <w:bookmarkStart w:id="973" w:name="_Toc511649825"/>
      <w:bookmarkStart w:id="974" w:name="_Toc511649939"/>
      <w:bookmarkStart w:id="975" w:name="_Toc511651195"/>
      <w:bookmarkStart w:id="976" w:name="_Toc511724060"/>
      <w:bookmarkStart w:id="977" w:name="_Toc511739049"/>
      <w:bookmarkStart w:id="978" w:name="_Toc511741218"/>
      <w:bookmarkStart w:id="979" w:name="_Toc10450724"/>
      <w:bookmarkStart w:id="980" w:name="_Toc41566326"/>
      <w:bookmarkStart w:id="981" w:name="_Toc41567839"/>
      <w:r w:rsidRPr="00236418">
        <w:rPr>
          <w:u w:val="single"/>
        </w:rPr>
        <w:t>Immobilisations acquises en contrats de location</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355E96AB" w14:textId="439D3671" w:rsidR="00DF6159" w:rsidRPr="00236418" w:rsidRDefault="00DF6159" w:rsidP="009B3D24">
      <w:pPr>
        <w:rPr>
          <w:rStyle w:val="Heading3Char"/>
          <w:color w:val="000000" w:themeColor="text1"/>
          <w:u w:val="single"/>
        </w:rPr>
      </w:pPr>
      <w:r w:rsidRPr="00236418">
        <w:t>Dans le cadre de ses activités, l'UIT peut utiliser des actifs mis à sa disposition en vertu de contrats de location. Ces contrats de location ont fait l'objet d'une analyse au regard des situations décrites et indicateurs fournis par la norme IPSAS 13 afin de déterminer s'il s'agit de contrats de location simple ou de contrats de location</w:t>
      </w:r>
      <w:r w:rsidRPr="00236418">
        <w:rPr>
          <w:rFonts w:cs="Arial"/>
          <w:color w:val="000000"/>
          <w:szCs w:val="24"/>
          <w:lang w:eastAsia="fr-FR"/>
        </w:rPr>
        <w:t>-</w:t>
      </w:r>
      <w:r w:rsidRPr="00236418">
        <w:t>financement. Au 31 décembre 201</w:t>
      </w:r>
      <w:r w:rsidR="004A51D4" w:rsidRPr="00236418">
        <w:t>9</w:t>
      </w:r>
      <w:r w:rsidRPr="00236418">
        <w:t xml:space="preserve">, les contrats de location </w:t>
      </w:r>
      <w:r w:rsidRPr="00236418">
        <w:lastRenderedPageBreak/>
        <w:t>passés par l'UIT correspondent à la définition de contrats de location simple et sont comptabilisés comme tels. Les paiements effectués au titre de ces contrats sont comptabilisés en charges dans l'état de la performance financière sur une base linéaire jusqu'à l'échéance du contrat.</w:t>
      </w:r>
      <w:bookmarkStart w:id="982" w:name="_Toc269839072"/>
    </w:p>
    <w:p w14:paraId="08C6FBEF" w14:textId="77777777" w:rsidR="00DF6159" w:rsidRPr="00236418" w:rsidRDefault="00DF6159" w:rsidP="00DA2839">
      <w:pPr>
        <w:pStyle w:val="Heading5"/>
        <w:rPr>
          <w:u w:val="single"/>
        </w:rPr>
      </w:pPr>
      <w:bookmarkStart w:id="983" w:name="_Toc329178771"/>
      <w:bookmarkStart w:id="984" w:name="_Toc329181744"/>
      <w:bookmarkStart w:id="985" w:name="_Toc329202560"/>
      <w:bookmarkStart w:id="986" w:name="_Toc329204992"/>
      <w:bookmarkStart w:id="987" w:name="_Toc329206829"/>
      <w:bookmarkStart w:id="988" w:name="_Toc358379915"/>
      <w:bookmarkStart w:id="989" w:name="_Toc358380455"/>
      <w:bookmarkStart w:id="990" w:name="_Toc387166637"/>
      <w:bookmarkStart w:id="991" w:name="_Toc395260922"/>
      <w:bookmarkStart w:id="992" w:name="_Toc395511701"/>
      <w:bookmarkStart w:id="993" w:name="_Toc452138614"/>
      <w:bookmarkStart w:id="994" w:name="_Toc452139063"/>
      <w:bookmarkStart w:id="995" w:name="_Toc452139427"/>
      <w:bookmarkStart w:id="996" w:name="_Toc452139827"/>
      <w:bookmarkStart w:id="997" w:name="_Toc452140694"/>
      <w:bookmarkStart w:id="998" w:name="_Toc482801484"/>
      <w:bookmarkStart w:id="999" w:name="_Toc511649454"/>
      <w:bookmarkStart w:id="1000" w:name="_Toc511649826"/>
      <w:bookmarkStart w:id="1001" w:name="_Toc511649940"/>
      <w:bookmarkStart w:id="1002" w:name="_Toc511651196"/>
      <w:bookmarkStart w:id="1003" w:name="_Toc511724061"/>
      <w:bookmarkStart w:id="1004" w:name="_Toc511739050"/>
      <w:bookmarkStart w:id="1005" w:name="_Toc511741219"/>
      <w:bookmarkStart w:id="1006" w:name="_Toc10450725"/>
      <w:bookmarkStart w:id="1007" w:name="_Toc41566327"/>
      <w:bookmarkStart w:id="1008" w:name="_Toc41567840"/>
      <w:r w:rsidRPr="00236418">
        <w:rPr>
          <w:u w:val="single"/>
        </w:rPr>
        <w:t>Immobilisations incorporelles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54BBC32F" w14:textId="77777777" w:rsidR="00DF6159" w:rsidRPr="00236418" w:rsidRDefault="00DF6159" w:rsidP="009B3D24">
      <w:pPr>
        <w:keepNext/>
        <w:keepLines/>
      </w:pPr>
      <w:r w:rsidRPr="00236418">
        <w:t xml:space="preserve">Les immobilisations incorporelles, les licences informatiques et les logiciels d'une valeur supérieure à 50 000 CHF sont comptabilisés sur la base de leur coût historique déduction faite du cumul des amortissements et des pertes de valeur éventuelles, à l'exception du bilan d'ouverture où la valeur nette a été reprise. Les licences, progiciels, </w:t>
      </w:r>
      <w:r w:rsidRPr="00236418">
        <w:rPr>
          <w:color w:val="000000" w:themeColor="text1"/>
        </w:rPr>
        <w:t>patentes, et droits</w:t>
      </w:r>
      <w:r w:rsidRPr="00236418">
        <w:t xml:space="preserve"> sont amortis linéairement sur une durée de trois ans.</w:t>
      </w:r>
    </w:p>
    <w:p w14:paraId="423BC73A" w14:textId="77777777" w:rsidR="00DF6159" w:rsidRPr="00236418" w:rsidRDefault="00DF6159" w:rsidP="009B3D24">
      <w:pPr>
        <w:rPr>
          <w:b/>
        </w:rPr>
      </w:pPr>
      <w:r w:rsidRPr="00236418">
        <w:t>Tous les coûts égaux ou inférieurs à 50 000 CHF sont capitalisés au moment de la réception des biens et comptabilisés entièrement en tant que dépenses dans l'état de la performance financière à la clôture mensuelle suivant l'acquisition.</w:t>
      </w:r>
    </w:p>
    <w:p w14:paraId="0A56DE28" w14:textId="77777777" w:rsidR="00DF6159" w:rsidRPr="00236418" w:rsidRDefault="00DF6159" w:rsidP="009B3D24">
      <w:r w:rsidRPr="00236418">
        <w:t>Les licences, progiciels, brevets développés en interne sont capitalisés si l'UIT peut espérer bénéficier des avantages économiques ou des possibilités de service qui leur sont associés. Les coûts de développement directement liés à la conception et à l'essai de produits logiciels reconnaissables et uniques gérés par l'UIT sont comptabilisés comme des immobilisations incorporelles lorsque les critères ci</w:t>
      </w:r>
      <w:r w:rsidRPr="00236418">
        <w:rPr>
          <w:rFonts w:cs="Arial"/>
          <w:color w:val="000000"/>
          <w:szCs w:val="24"/>
          <w:lang w:eastAsia="fr-FR"/>
        </w:rPr>
        <w:t>-</w:t>
      </w:r>
      <w:r w:rsidRPr="00236418">
        <w:t>après sont satisfaits à la date de clôture:</w:t>
      </w:r>
    </w:p>
    <w:p w14:paraId="41954F17" w14:textId="77777777" w:rsidR="00DF6159" w:rsidRPr="00236418" w:rsidRDefault="00DF6159" w:rsidP="009B3D24">
      <w:pPr>
        <w:pStyle w:val="enumlev1"/>
      </w:pPr>
      <w:r w:rsidRPr="00236418">
        <w:t>–</w:t>
      </w:r>
      <w:r w:rsidRPr="00236418">
        <w:tab/>
        <w:t>Il est techniquement possible d'achever le développement du produit logiciel qui pourra ainsi être utilisé.</w:t>
      </w:r>
    </w:p>
    <w:p w14:paraId="180805CA" w14:textId="77777777" w:rsidR="00DF6159" w:rsidRPr="00236418" w:rsidRDefault="00DF6159" w:rsidP="009B3D24">
      <w:pPr>
        <w:pStyle w:val="enumlev1"/>
      </w:pPr>
      <w:r w:rsidRPr="00236418">
        <w:t>–</w:t>
      </w:r>
      <w:r w:rsidRPr="00236418">
        <w:tab/>
        <w:t>La direction a l'intention d'achever le développement du produit logiciel et de l'utiliser ou de le mettre en vente.</w:t>
      </w:r>
    </w:p>
    <w:p w14:paraId="06D2E776" w14:textId="77777777" w:rsidR="00DF6159" w:rsidRPr="00236418" w:rsidRDefault="00DF6159" w:rsidP="009B3D24">
      <w:pPr>
        <w:pStyle w:val="enumlev1"/>
      </w:pPr>
      <w:r w:rsidRPr="00236418">
        <w:t>–</w:t>
      </w:r>
      <w:r w:rsidRPr="00236418">
        <w:tab/>
        <w:t>Il est possible d'utiliser ou de vendre le produit logiciel.</w:t>
      </w:r>
    </w:p>
    <w:p w14:paraId="64063B82" w14:textId="77777777" w:rsidR="00DF6159" w:rsidRPr="00236418" w:rsidRDefault="00DF6159" w:rsidP="009B3D24">
      <w:pPr>
        <w:pStyle w:val="enumlev1"/>
      </w:pPr>
      <w:r w:rsidRPr="00236418">
        <w:t>–</w:t>
      </w:r>
      <w:r w:rsidRPr="00236418">
        <w:tab/>
        <w:t>Il est possible de prouver que le produit logiciel générera vraisemblablement des bénéfices économiques dans l'avenir.</w:t>
      </w:r>
    </w:p>
    <w:p w14:paraId="5E25D96B" w14:textId="77777777" w:rsidR="00DF6159" w:rsidRPr="00236418" w:rsidRDefault="00DF6159" w:rsidP="009B3D24">
      <w:pPr>
        <w:pStyle w:val="enumlev1"/>
      </w:pPr>
      <w:r w:rsidRPr="00236418">
        <w:t>–</w:t>
      </w:r>
      <w:r w:rsidRPr="00236418">
        <w:tab/>
        <w:t xml:space="preserve">Des ressources appropriées sur les plans technique, financier ou autre </w:t>
      </w:r>
      <w:proofErr w:type="gramStart"/>
      <w:r w:rsidRPr="00236418">
        <w:t>sont</w:t>
      </w:r>
      <w:proofErr w:type="gramEnd"/>
      <w:r w:rsidRPr="00236418">
        <w:t xml:space="preserve"> disponibles pour achever le développement du produit logiciel et l'utiliser ou le vendre; les charges liées au développement du produit logiciel peuvent être évaluées de façon fiable.</w:t>
      </w:r>
    </w:p>
    <w:p w14:paraId="6D12CCFD" w14:textId="77777777" w:rsidR="00DF6159" w:rsidRPr="00236418" w:rsidRDefault="00DF6159" w:rsidP="009B3D24">
      <w:r w:rsidRPr="00236418">
        <w:t>Les coûts directement liés au produit logiciel, qui sont capitalisés en tant qu'élément de ce produit, comprennent les dépenses de personnel liées au développement du logiciel et une part appropriée des charges indirectes correspondantes.</w:t>
      </w:r>
    </w:p>
    <w:p w14:paraId="054EEE10" w14:textId="77777777" w:rsidR="00DF6159" w:rsidRPr="00236418" w:rsidRDefault="00DF6159" w:rsidP="009B3D24">
      <w:r w:rsidRPr="00236418">
        <w:t>D'autres dépenses liées au développement, qui ne satisfont pas à ces critères, sont comptabilisées comme des charges lorsqu'elles sont engagées. Les coûts de développement qui ont été comptabilisés au préalable comme des charges ne sont pas comptabilisés dans l'actif de l'exercice suivant.</w:t>
      </w:r>
    </w:p>
    <w:p w14:paraId="400FA1DF" w14:textId="77777777" w:rsidR="00DF6159" w:rsidRPr="00236418" w:rsidRDefault="00DF6159" w:rsidP="009B3D24">
      <w:r w:rsidRPr="00236418">
        <w:t>Les coûts de développement de logiciels informatiques comptabilisés comme des actifs sont amortis pendant leur durée de vie utile estimée (trois ans maximum).</w:t>
      </w:r>
    </w:p>
    <w:p w14:paraId="32C1BB7C" w14:textId="77777777" w:rsidR="00DF6159" w:rsidRPr="00236418" w:rsidRDefault="00DF6159" w:rsidP="009B3D24">
      <w:r w:rsidRPr="00236418">
        <w:t>Les coûts associés à l'entretien des progiciels informatiques sont comptabilisés comme des charges lorsqu'ils sont engagés.</w:t>
      </w:r>
    </w:p>
    <w:p w14:paraId="4D4244DC" w14:textId="77777777" w:rsidR="00DF6159" w:rsidRPr="00236418" w:rsidRDefault="00DF6159" w:rsidP="009B3D24">
      <w:pPr>
        <w:pStyle w:val="Headingb"/>
      </w:pPr>
      <w:bookmarkStart w:id="1009" w:name="_Toc269839074"/>
      <w:bookmarkStart w:id="1010" w:name="_Toc329178772"/>
      <w:bookmarkStart w:id="1011" w:name="_Toc329181745"/>
      <w:bookmarkStart w:id="1012" w:name="_Toc329202561"/>
      <w:bookmarkStart w:id="1013" w:name="_Toc329204993"/>
      <w:bookmarkStart w:id="1014" w:name="_Toc329206830"/>
      <w:bookmarkStart w:id="1015" w:name="_Toc358379916"/>
      <w:bookmarkStart w:id="1016" w:name="_Toc358380456"/>
      <w:bookmarkStart w:id="1017" w:name="_Toc387166638"/>
      <w:bookmarkStart w:id="1018" w:name="_Toc395260923"/>
      <w:bookmarkStart w:id="1019" w:name="_Toc395511702"/>
      <w:bookmarkStart w:id="1020" w:name="_Toc452138615"/>
      <w:bookmarkStart w:id="1021" w:name="_Toc452139064"/>
      <w:bookmarkStart w:id="1022" w:name="_Toc452139428"/>
      <w:bookmarkStart w:id="1023" w:name="_Toc452139828"/>
      <w:bookmarkStart w:id="1024" w:name="_Toc452140695"/>
      <w:bookmarkStart w:id="1025" w:name="_Toc482801485"/>
      <w:bookmarkStart w:id="1026" w:name="_Toc511649455"/>
      <w:bookmarkStart w:id="1027" w:name="_Toc511649827"/>
      <w:bookmarkStart w:id="1028" w:name="_Toc511649941"/>
      <w:bookmarkStart w:id="1029" w:name="_Toc511651197"/>
      <w:bookmarkStart w:id="1030" w:name="_Toc511724062"/>
      <w:bookmarkStart w:id="1031" w:name="_Toc511739051"/>
      <w:bookmarkStart w:id="1032" w:name="_Toc511741220"/>
      <w:r w:rsidRPr="00236418">
        <w:br w:type="page"/>
      </w:r>
    </w:p>
    <w:p w14:paraId="02588A56" w14:textId="77777777" w:rsidR="00DF6159" w:rsidRPr="00236418" w:rsidRDefault="00DF6159" w:rsidP="00DA2839">
      <w:pPr>
        <w:pStyle w:val="Heading5"/>
        <w:rPr>
          <w:u w:val="single"/>
        </w:rPr>
      </w:pPr>
      <w:bookmarkStart w:id="1033" w:name="_Toc10450726"/>
      <w:bookmarkStart w:id="1034" w:name="_Toc41566328"/>
      <w:bookmarkStart w:id="1035" w:name="_Toc41567841"/>
      <w:r w:rsidRPr="00236418">
        <w:rPr>
          <w:u w:val="single"/>
        </w:rPr>
        <w:lastRenderedPageBreak/>
        <w:t>Provisions</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19BFB3A0" w14:textId="77777777" w:rsidR="00DF6159" w:rsidRPr="00236418" w:rsidRDefault="00DF6159" w:rsidP="009B3D24">
      <w:r w:rsidRPr="00236418">
        <w:t xml:space="preserve">Les provisions comprennent les engagements dont l'issue, l'échéance ou le montant à payer est incertain. Elles sont comptabilisées lorsque l'UIT a une obligation juridique ou implicite résultant d'un événement passé, lorsqu'il est probable qu'une sortie de ressources sera nécessaire pour éteindre l'obligation et lorsque le montant de l'obligation peut être estimé de manière fiable. </w:t>
      </w:r>
    </w:p>
    <w:p w14:paraId="6A5AC54F" w14:textId="77777777" w:rsidR="00DF6159" w:rsidRPr="00236418" w:rsidRDefault="00DF6159" w:rsidP="009B3D24">
      <w:pPr>
        <w:spacing w:before="40"/>
      </w:pPr>
      <w:r w:rsidRPr="00236418">
        <w:t>Lorsqu'une sortie de ressources n'est pas probable ou ne peut pas être estimée de manière fiable, l'obligation n'est pas portée au bilan mais est présentée dans les Notes.</w:t>
      </w:r>
    </w:p>
    <w:p w14:paraId="375063C8" w14:textId="77777777" w:rsidR="00DF6159" w:rsidRPr="00236418" w:rsidRDefault="00DF6159" w:rsidP="00DA2839">
      <w:pPr>
        <w:pStyle w:val="Heading5"/>
        <w:rPr>
          <w:u w:val="single"/>
        </w:rPr>
      </w:pPr>
      <w:bookmarkStart w:id="1036" w:name="_Toc269839075"/>
      <w:bookmarkStart w:id="1037" w:name="_Toc329178773"/>
      <w:bookmarkStart w:id="1038" w:name="_Toc329181746"/>
      <w:bookmarkStart w:id="1039" w:name="_Toc329202562"/>
      <w:bookmarkStart w:id="1040" w:name="_Toc329204994"/>
      <w:bookmarkStart w:id="1041" w:name="_Toc329206831"/>
      <w:bookmarkStart w:id="1042" w:name="_Toc358379917"/>
      <w:bookmarkStart w:id="1043" w:name="_Toc358380457"/>
      <w:bookmarkStart w:id="1044" w:name="_Toc387166639"/>
      <w:bookmarkStart w:id="1045" w:name="_Toc395260924"/>
      <w:bookmarkStart w:id="1046" w:name="_Toc395511703"/>
      <w:bookmarkStart w:id="1047" w:name="_Toc452138616"/>
      <w:bookmarkStart w:id="1048" w:name="_Toc452139065"/>
      <w:bookmarkStart w:id="1049" w:name="_Toc452139429"/>
      <w:bookmarkStart w:id="1050" w:name="_Toc452139829"/>
      <w:bookmarkStart w:id="1051" w:name="_Toc452140696"/>
      <w:bookmarkStart w:id="1052" w:name="_Toc482801486"/>
      <w:bookmarkStart w:id="1053" w:name="_Toc511649456"/>
      <w:bookmarkStart w:id="1054" w:name="_Toc511649828"/>
      <w:bookmarkStart w:id="1055" w:name="_Toc511649942"/>
      <w:bookmarkStart w:id="1056" w:name="_Toc511651198"/>
      <w:bookmarkStart w:id="1057" w:name="_Toc511724063"/>
      <w:bookmarkStart w:id="1058" w:name="_Toc511739052"/>
      <w:bookmarkStart w:id="1059" w:name="_Toc511741221"/>
      <w:bookmarkStart w:id="1060" w:name="_Toc10450727"/>
      <w:bookmarkStart w:id="1061" w:name="_Toc41566329"/>
      <w:bookmarkStart w:id="1062" w:name="_Toc41567842"/>
      <w:r w:rsidRPr="00236418">
        <w:rPr>
          <w:u w:val="single"/>
        </w:rPr>
        <w:t>Actifs et passifs éventuels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2210C1B4" w14:textId="77777777" w:rsidR="00DF6159" w:rsidRPr="00236418" w:rsidRDefault="00DF6159" w:rsidP="009B3D24">
      <w:r w:rsidRPr="00236418">
        <w:t>Les actifs et passifs éventuels sont des droits et des engagements possibles qui résultent d'évènements passés et dont l'existence sera confirmée uniquement par la survenance ou la non-occurrence d'un ou de plusieurs évènements futurs incertains sur lesquels l'UIT n'exerce pas un contrôle total. Ces éléments sont présentés dans les Notes.</w:t>
      </w:r>
    </w:p>
    <w:p w14:paraId="77E3EC41" w14:textId="77777777" w:rsidR="00DF6159" w:rsidRPr="00236418" w:rsidRDefault="00DF6159" w:rsidP="00DA2839">
      <w:pPr>
        <w:pStyle w:val="Heading5"/>
        <w:rPr>
          <w:u w:val="single"/>
          <w:lang w:eastAsia="zh-CN"/>
        </w:rPr>
      </w:pPr>
      <w:bookmarkStart w:id="1063" w:name="_Toc329178774"/>
      <w:bookmarkStart w:id="1064" w:name="_Toc329181747"/>
      <w:bookmarkStart w:id="1065" w:name="_Toc329202563"/>
      <w:bookmarkStart w:id="1066" w:name="_Toc329204995"/>
      <w:bookmarkStart w:id="1067" w:name="_Toc329206832"/>
      <w:bookmarkStart w:id="1068" w:name="_Toc358379918"/>
      <w:bookmarkStart w:id="1069" w:name="_Toc358380458"/>
      <w:bookmarkStart w:id="1070" w:name="_Toc387166640"/>
      <w:bookmarkStart w:id="1071" w:name="_Toc395260925"/>
      <w:bookmarkStart w:id="1072" w:name="_Toc395511704"/>
      <w:bookmarkStart w:id="1073" w:name="_Toc452138617"/>
      <w:bookmarkStart w:id="1074" w:name="_Toc452139066"/>
      <w:bookmarkStart w:id="1075" w:name="_Toc452139430"/>
      <w:bookmarkStart w:id="1076" w:name="_Toc452139830"/>
      <w:bookmarkStart w:id="1077" w:name="_Toc452140697"/>
      <w:bookmarkStart w:id="1078" w:name="_Toc482801487"/>
      <w:bookmarkStart w:id="1079" w:name="_Toc511649457"/>
      <w:bookmarkStart w:id="1080" w:name="_Toc511649829"/>
      <w:bookmarkStart w:id="1081" w:name="_Toc511649943"/>
      <w:bookmarkStart w:id="1082" w:name="_Toc511651199"/>
      <w:bookmarkStart w:id="1083" w:name="_Toc511724064"/>
      <w:bookmarkStart w:id="1084" w:name="_Toc511739053"/>
      <w:bookmarkStart w:id="1085" w:name="_Toc511741222"/>
      <w:bookmarkStart w:id="1086" w:name="_Toc10450728"/>
      <w:bookmarkStart w:id="1087" w:name="_Toc41566330"/>
      <w:bookmarkStart w:id="1088" w:name="_Toc41567843"/>
      <w:r w:rsidRPr="00236418">
        <w:rPr>
          <w:u w:val="single"/>
        </w:rPr>
        <w:t>Prestations dues aux employés</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7DEB7FF5" w14:textId="77777777" w:rsidR="00DF6159" w:rsidRPr="00236418" w:rsidRDefault="00DF6159" w:rsidP="009B3D24">
      <w:r w:rsidRPr="00236418">
        <w:t>Les prestations suivantes qui sont dues aux employés sont comptabilisées:</w:t>
      </w:r>
    </w:p>
    <w:p w14:paraId="4E98CE11" w14:textId="77777777" w:rsidR="00DF6159" w:rsidRPr="00236418" w:rsidRDefault="00DF6159" w:rsidP="009B3D24">
      <w:pPr>
        <w:pStyle w:val="enumlev1"/>
      </w:pPr>
      <w:r w:rsidRPr="00236418">
        <w:t>–</w:t>
      </w:r>
      <w:r w:rsidRPr="00236418">
        <w:tab/>
        <w:t>Les prestations à court terme qui doivent être réglées dans les douze mois suivant la clôture de l'exercice pendant lequel les employés ont assuré les services correspondants.</w:t>
      </w:r>
    </w:p>
    <w:p w14:paraId="572649F3" w14:textId="77777777" w:rsidR="00DF6159" w:rsidRPr="00236418" w:rsidRDefault="00DF6159" w:rsidP="009B3D24">
      <w:pPr>
        <w:pStyle w:val="enumlev1"/>
      </w:pPr>
      <w:r w:rsidRPr="00236418">
        <w:t>–</w:t>
      </w:r>
      <w:r w:rsidRPr="00236418">
        <w:tab/>
        <w:t>Les prestations à long terme dues au report possible d'avantages acquis pendant l'exercice ou les exercices précédents.</w:t>
      </w:r>
    </w:p>
    <w:p w14:paraId="72EFDF11" w14:textId="77777777" w:rsidR="00DF6159" w:rsidRPr="00236418" w:rsidRDefault="00DF6159" w:rsidP="009B3D24">
      <w:pPr>
        <w:pStyle w:val="enumlev1"/>
      </w:pPr>
      <w:r w:rsidRPr="00236418">
        <w:t>–</w:t>
      </w:r>
      <w:r w:rsidRPr="00236418">
        <w:tab/>
        <w:t>Les prestations à long terme dues après la cessation de service.</w:t>
      </w:r>
    </w:p>
    <w:p w14:paraId="774D8FAD" w14:textId="77777777" w:rsidR="00DF6159" w:rsidRPr="00236418" w:rsidRDefault="00DF6159" w:rsidP="009B3D24">
      <w:r w:rsidRPr="00236418">
        <w:t>Les prestations à long terme comprennent:</w:t>
      </w:r>
    </w:p>
    <w:p w14:paraId="758DCD77" w14:textId="77777777" w:rsidR="00DF6159" w:rsidRPr="00236418" w:rsidRDefault="00DF6159" w:rsidP="009B3D24">
      <w:pPr>
        <w:pStyle w:val="enumlev1"/>
      </w:pPr>
      <w:r w:rsidRPr="00236418">
        <w:t>–</w:t>
      </w:r>
      <w:r w:rsidRPr="00236418">
        <w:tab/>
        <w:t>Les engagements liés à la possibilité d'accumuler des congés non pris et qui sont pris en compte pour définir la date de départ en retraite.</w:t>
      </w:r>
    </w:p>
    <w:p w14:paraId="5C10448A" w14:textId="77777777" w:rsidR="00DF6159" w:rsidRPr="00236418" w:rsidRDefault="00DF6159" w:rsidP="009B3D24">
      <w:pPr>
        <w:pStyle w:val="enumlev1"/>
      </w:pPr>
      <w:r w:rsidRPr="00236418">
        <w:t>–</w:t>
      </w:r>
      <w:r w:rsidRPr="00236418">
        <w:tab/>
        <w:t>Les engagements liés aux obligations de rapatriement.</w:t>
      </w:r>
    </w:p>
    <w:p w14:paraId="77225B24" w14:textId="77777777" w:rsidR="00DF6159" w:rsidRPr="00236418" w:rsidRDefault="00DF6159" w:rsidP="009B3D24">
      <w:pPr>
        <w:pStyle w:val="enumlev1"/>
      </w:pPr>
      <w:r w:rsidRPr="00236418">
        <w:t>–</w:t>
      </w:r>
      <w:r w:rsidRPr="00236418">
        <w:tab/>
        <w:t>Les engagements liés au plan de pension de la Caisse commune des pensions du personnel des Nations Unies.</w:t>
      </w:r>
    </w:p>
    <w:p w14:paraId="7C0F5B53" w14:textId="77777777" w:rsidR="00DF6159" w:rsidRPr="00236418" w:rsidRDefault="00DF6159" w:rsidP="009B3D24">
      <w:pPr>
        <w:pStyle w:val="enumlev1"/>
      </w:pPr>
      <w:r w:rsidRPr="00236418">
        <w:t>–</w:t>
      </w:r>
      <w:r w:rsidRPr="00236418">
        <w:tab/>
        <w:t>Les engagements concernant l'assurance maladie après la cessation de service (ASHI) tels que définis par le programme ASHI des Nations Unies.</w:t>
      </w:r>
    </w:p>
    <w:p w14:paraId="742F8B0A" w14:textId="77777777" w:rsidR="00DF6159" w:rsidRPr="00236418" w:rsidRDefault="00DF6159" w:rsidP="009B3D24">
      <w:pPr>
        <w:pStyle w:val="enumlev1"/>
      </w:pPr>
      <w:r w:rsidRPr="00236418">
        <w:t>–</w:t>
      </w:r>
      <w:r w:rsidRPr="00236418">
        <w:tab/>
        <w:t>Les engagements pour l'ancien plan de pension afin de définir les engagements de l'UIT à la date de clôture de l'exercice.</w:t>
      </w:r>
    </w:p>
    <w:p w14:paraId="5EF603A1" w14:textId="77777777" w:rsidR="00DF6159" w:rsidRPr="00236418" w:rsidRDefault="00DF6159" w:rsidP="009B3D24">
      <w:r w:rsidRPr="00236418">
        <w:t>Ces deux dernières prestations répondent à la définition de régimes à prestations définies et, comme c'est le cas également pour les obligations de rapatriement, font l'objet d'études actuarielles.</w:t>
      </w:r>
    </w:p>
    <w:p w14:paraId="1EF62137" w14:textId="77777777" w:rsidR="00DF6159" w:rsidRPr="00236418" w:rsidRDefault="00DF6159" w:rsidP="009B3D24">
      <w:r w:rsidRPr="00236418">
        <w:t>L'UIT est une organisation membre de la Caisse commune des pensions du personnel des Nations Unies (CCPPNU), créée par l'Assemblée générale des Nations Unies pour assurer aux employés des prestations de retraite, de décès, d'invalidité et des prestations connexes. La Caisse est un régime multi-employeurs capitalisé à prestations définies. Comme indiqué dans l'Article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p>
    <w:p w14:paraId="6364F9C5" w14:textId="77777777" w:rsidR="00DF6159" w:rsidRPr="00236418" w:rsidRDefault="00DF6159" w:rsidP="009B3D24">
      <w:r w:rsidRPr="00236418">
        <w:lastRenderedPageBreak/>
        <w:t xml:space="preserve">Le plan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au régime. L'UIT et la CCPPNU, tout comme les autres organisations affiliées à la Caisse, ne sont pas en mesure de déterminer la quote-part de l'institution dans les engagements au titre des prestations définies, les actifs du régime et les coûts associés au régime de façon suffisamment fiable aux fins de comptabilisation. En conséquence, l'institution assimile ce régime à un régime à cotisations définies, conformément aux dispositions de la norme IPSAS 39 sur </w:t>
      </w:r>
      <w:r w:rsidRPr="00236418">
        <w:rPr>
          <w:color w:val="000000"/>
        </w:rPr>
        <w:t>les avantages du personnel</w:t>
      </w:r>
      <w:r w:rsidRPr="00236418">
        <w:t>. Les cotisations de l'institution au plan pendant l'exercice sont comptabilisées en charges dans l'état de la performance financière.</w:t>
      </w:r>
    </w:p>
    <w:p w14:paraId="33CEDCA6" w14:textId="77777777" w:rsidR="00DF6159" w:rsidRPr="00236418" w:rsidRDefault="00DF6159" w:rsidP="009B3D24">
      <w:r w:rsidRPr="00236418">
        <w:t xml:space="preserve">L'UIT a mis en œuvre un nouveau régime d'assurance maladie appelé Convention Collective d'Assurance Maladie (CCAM). Gérée par l'UIT, cette Convention repose sur un contrat signé avec les compagnies </w:t>
      </w:r>
      <w:proofErr w:type="spellStart"/>
      <w:r w:rsidRPr="00236418">
        <w:t>Cigna</w:t>
      </w:r>
      <w:proofErr w:type="spellEnd"/>
      <w:r w:rsidRPr="00236418">
        <w:t>/</w:t>
      </w:r>
      <w:proofErr w:type="spellStart"/>
      <w:r w:rsidRPr="00236418">
        <w:t>Vanbreda</w:t>
      </w:r>
      <w:proofErr w:type="spellEnd"/>
      <w:r w:rsidRPr="00236418">
        <w:t xml:space="preserve"> International, </w:t>
      </w:r>
      <w:proofErr w:type="spellStart"/>
      <w:r w:rsidRPr="00236418">
        <w:t>Cigna</w:t>
      </w:r>
      <w:proofErr w:type="spellEnd"/>
      <w:r w:rsidRPr="00236418">
        <w:t xml:space="preserve"> étant l'assureur et </w:t>
      </w:r>
      <w:proofErr w:type="spellStart"/>
      <w:r w:rsidRPr="00236418">
        <w:t>Cigna</w:t>
      </w:r>
      <w:proofErr w:type="spellEnd"/>
      <w:r w:rsidRPr="00236418">
        <w:t>/</w:t>
      </w:r>
      <w:proofErr w:type="spellStart"/>
      <w:r w:rsidRPr="00236418">
        <w:t>Vanbreda</w:t>
      </w:r>
      <w:proofErr w:type="spellEnd"/>
      <w:r w:rsidRPr="00236418">
        <w:t xml:space="preserve"> le gestionnaire des demandes de remboursement. Les engagements concernant l'ASHI font l'objet d'une étude actuarielle selon la norme IPSAS 39 afin de définir et de comptabiliser le montant des engagements futurs de l'UIT relatif à ces prestations. Une évaluation actuarielle indépendante a été commandée par l'UIT afin d'évaluer les engagements au titre de l'ASHI fin décembre. La comptabilisation des gains et pertes actuarielles de ce plan suit la méthode AERE "Autres éléments du résultat étendu" qui prescrit une comptabilisation des gains et pertes actuarielles de l'exercice à l'actif net dans l'état de la situation financière.</w:t>
      </w:r>
    </w:p>
    <w:p w14:paraId="21F39D3B" w14:textId="77777777" w:rsidR="00DF6159" w:rsidRPr="00236418" w:rsidRDefault="00DF6159" w:rsidP="009B3D24">
      <w:r w:rsidRPr="00236418">
        <w:t>Les hypothèses concernant l'UIT sont décrites dans les Notes relatives aux avantages du personnel.</w:t>
      </w:r>
    </w:p>
    <w:p w14:paraId="19E39A81" w14:textId="77777777" w:rsidR="00DF6159" w:rsidRPr="00236418" w:rsidRDefault="00DF6159" w:rsidP="00DA2839">
      <w:pPr>
        <w:pStyle w:val="Heading5"/>
        <w:rPr>
          <w:u w:val="single"/>
        </w:rPr>
      </w:pPr>
      <w:bookmarkStart w:id="1089" w:name="_Toc329202564"/>
      <w:bookmarkStart w:id="1090" w:name="_Toc329204996"/>
      <w:bookmarkStart w:id="1091" w:name="_Toc329206833"/>
      <w:bookmarkStart w:id="1092" w:name="_Toc358379919"/>
      <w:bookmarkStart w:id="1093" w:name="_Toc358380459"/>
      <w:bookmarkStart w:id="1094" w:name="_Toc387166641"/>
      <w:bookmarkStart w:id="1095" w:name="_Toc395260926"/>
      <w:bookmarkStart w:id="1096" w:name="_Toc395511705"/>
      <w:bookmarkStart w:id="1097" w:name="_Toc452138618"/>
      <w:bookmarkStart w:id="1098" w:name="_Toc452139067"/>
      <w:bookmarkStart w:id="1099" w:name="_Toc452139431"/>
      <w:bookmarkStart w:id="1100" w:name="_Toc452139831"/>
      <w:bookmarkStart w:id="1101" w:name="_Toc452140698"/>
      <w:bookmarkStart w:id="1102" w:name="_Toc482801488"/>
      <w:bookmarkStart w:id="1103" w:name="_Toc511649458"/>
      <w:bookmarkStart w:id="1104" w:name="_Toc511649830"/>
      <w:bookmarkStart w:id="1105" w:name="_Toc511649944"/>
      <w:bookmarkStart w:id="1106" w:name="_Toc511651200"/>
      <w:bookmarkStart w:id="1107" w:name="_Toc511724065"/>
      <w:bookmarkStart w:id="1108" w:name="_Toc511739054"/>
      <w:bookmarkStart w:id="1109" w:name="_Toc511741223"/>
      <w:bookmarkStart w:id="1110" w:name="_Toc10450729"/>
      <w:bookmarkStart w:id="1111" w:name="_Toc41566331"/>
      <w:bookmarkStart w:id="1112" w:name="_Toc41567844"/>
      <w:r w:rsidRPr="00236418">
        <w:rPr>
          <w:u w:val="single"/>
        </w:rPr>
        <w:t>Comptabilisation des fonds</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4BAB17EF" w14:textId="77777777" w:rsidR="00DF6159" w:rsidRPr="00236418" w:rsidRDefault="00DF6159" w:rsidP="009B3D24">
      <w:pPr>
        <w:pStyle w:val="Headingb"/>
        <w:rPr>
          <w:i/>
          <w:iCs/>
        </w:rPr>
      </w:pPr>
      <w:bookmarkStart w:id="1113" w:name="_Toc329202565"/>
      <w:bookmarkStart w:id="1114" w:name="_Toc329204997"/>
      <w:bookmarkStart w:id="1115" w:name="_Toc329206834"/>
      <w:bookmarkStart w:id="1116" w:name="_Toc358379920"/>
      <w:bookmarkStart w:id="1117" w:name="_Toc358380460"/>
      <w:bookmarkStart w:id="1118" w:name="_Toc387166642"/>
      <w:bookmarkStart w:id="1119" w:name="_Toc387167453"/>
      <w:bookmarkStart w:id="1120" w:name="_Toc395260927"/>
      <w:bookmarkStart w:id="1121" w:name="_Toc395511706"/>
      <w:bookmarkStart w:id="1122" w:name="_Toc452138619"/>
      <w:bookmarkStart w:id="1123" w:name="_Toc452139068"/>
      <w:bookmarkStart w:id="1124" w:name="_Toc452139432"/>
      <w:bookmarkStart w:id="1125" w:name="_Toc452139832"/>
      <w:bookmarkStart w:id="1126" w:name="_Toc452140419"/>
      <w:bookmarkStart w:id="1127" w:name="_Toc452140699"/>
      <w:bookmarkStart w:id="1128" w:name="_Toc482801489"/>
      <w:bookmarkStart w:id="1129" w:name="_Toc511649459"/>
      <w:bookmarkStart w:id="1130" w:name="_Toc511649831"/>
      <w:bookmarkStart w:id="1131" w:name="_Toc511649945"/>
      <w:bookmarkStart w:id="1132" w:name="_Toc511650063"/>
      <w:bookmarkStart w:id="1133" w:name="_Toc511650556"/>
      <w:bookmarkStart w:id="1134" w:name="_Toc511651201"/>
      <w:bookmarkStart w:id="1135" w:name="_Toc511724066"/>
      <w:bookmarkStart w:id="1136" w:name="_Toc511739055"/>
      <w:bookmarkStart w:id="1137" w:name="_Toc511741224"/>
      <w:bookmarkStart w:id="1138" w:name="_Toc9605718"/>
      <w:bookmarkStart w:id="1139" w:name="_Toc10450730"/>
      <w:bookmarkStart w:id="1140" w:name="_Toc41566332"/>
      <w:bookmarkStart w:id="1141" w:name="_Toc41814945"/>
      <w:r w:rsidRPr="00236418">
        <w:rPr>
          <w:i/>
          <w:iCs/>
        </w:rPr>
        <w:t>Fonds de tiers affectés</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7DC21A31" w14:textId="77777777" w:rsidR="00DF6159" w:rsidRPr="00236418" w:rsidRDefault="00DF6159" w:rsidP="009B3D24">
      <w:r w:rsidRPr="00236418">
        <w:t>Il s'agit de financements provenant de tiers pour appuyer l'Union dans la mise en œuvre de projets en faveur des pays en développement ou menés dans ces pays. Ces contributions sont assorties de conditions contractuelles. Ces financements ne sont comptabilisés en tant que revenus que lorsque les donateurs se sont engagés par écrit et au fur et à mesure des dépenses encourues. Les projets financés ne débutent que lorsque les fonds ont été versés à l'UIT. À la clôture de l'exercice budgétaire, le solde non utilisé de ces financements est comptabilisé dans la balance des fonds affectés dans l'état de la situation financière. Dans certains cas particuliers, les fonds sont versés à l'UIT en remboursement des dépenses déjà engagées.</w:t>
      </w:r>
    </w:p>
    <w:p w14:paraId="1A73B8FF" w14:textId="77777777" w:rsidR="00DF6159" w:rsidRPr="00236418" w:rsidRDefault="00DF6159" w:rsidP="009B3D24">
      <w:r w:rsidRPr="00236418">
        <w:t>Ces fonds de tiers affectés se répartissent de la manière suivante:</w:t>
      </w:r>
    </w:p>
    <w:p w14:paraId="648CD764" w14:textId="77777777" w:rsidR="00DF6159" w:rsidRPr="00236418" w:rsidRDefault="00DF6159" w:rsidP="009B3D24">
      <w:pPr>
        <w:pStyle w:val="enumlev1"/>
        <w:rPr>
          <w:b/>
          <w:bCs/>
        </w:rPr>
      </w:pPr>
      <w:r w:rsidRPr="00236418">
        <w:t>–</w:t>
      </w:r>
      <w:r w:rsidRPr="00236418">
        <w:rPr>
          <w:b/>
          <w:bCs/>
        </w:rPr>
        <w:tab/>
        <w:t>Programme des Nations Unies pour le développement</w:t>
      </w:r>
    </w:p>
    <w:p w14:paraId="0A2FFF7B" w14:textId="77777777" w:rsidR="00DF6159" w:rsidRPr="00236418" w:rsidRDefault="00DF6159" w:rsidP="009B3D24">
      <w:r w:rsidRPr="00236418">
        <w:t xml:space="preserve">L'UIT a passé un Accord avec le Programme des Nations Unies pour le développement (PNUD), et peut être exécuteur exclusif ou </w:t>
      </w:r>
      <w:proofErr w:type="spellStart"/>
      <w:r w:rsidRPr="00236418">
        <w:t>coexécuteur</w:t>
      </w:r>
      <w:proofErr w:type="spellEnd"/>
      <w:r w:rsidRPr="00236418">
        <w:t xml:space="preserve"> avec le PNUD de divers projets. Pour les projets exécutés, soit partiellement, soit en totalité par l'UIT, le PNUD fournit à l'UIT une allocation budgétaire. De manière générale, il existe deux catégories de projets PNUD: les projets exécutés par l'UIT; et les projets exécutés par les gouvernements.</w:t>
      </w:r>
    </w:p>
    <w:p w14:paraId="6E68D797" w14:textId="77777777" w:rsidR="00DF6159" w:rsidRPr="00236418" w:rsidRDefault="00DF6159" w:rsidP="009B3D24">
      <w:r w:rsidRPr="00236418">
        <w:t>À la fin de chaque année sur la base du "Project Delivery Report" (PDR), le PNUD rembourse à l'UIT la totalité des dépenses encourues, fixées par cette allocation. Au titre de son appui aux projets, l'UIT perçoit une allocation calculée au prorata des dépenses enregistrées dans les PDR.</w:t>
      </w:r>
    </w:p>
    <w:p w14:paraId="4723A7C1" w14:textId="77777777" w:rsidR="00DF6159" w:rsidRPr="00236418" w:rsidRDefault="00DF6159" w:rsidP="009B3D24">
      <w:pPr>
        <w:pStyle w:val="enumlev1"/>
      </w:pPr>
      <w:r w:rsidRPr="00236418">
        <w:br w:type="page"/>
      </w:r>
    </w:p>
    <w:p w14:paraId="3DE7602B" w14:textId="77777777" w:rsidR="00DF6159" w:rsidRPr="00236418" w:rsidRDefault="00DF6159" w:rsidP="009B3D24">
      <w:pPr>
        <w:pStyle w:val="enumlev1"/>
        <w:rPr>
          <w:b/>
          <w:bCs/>
        </w:rPr>
      </w:pPr>
      <w:r w:rsidRPr="00236418">
        <w:lastRenderedPageBreak/>
        <w:t>–</w:t>
      </w:r>
      <w:r w:rsidRPr="00236418">
        <w:rPr>
          <w:b/>
          <w:bCs/>
        </w:rPr>
        <w:tab/>
        <w:t>Fonds d'affectation spéciale</w:t>
      </w:r>
    </w:p>
    <w:p w14:paraId="70612F47" w14:textId="77777777" w:rsidR="00DF6159" w:rsidRPr="00236418" w:rsidRDefault="00DF6159" w:rsidP="009B3D24">
      <w:r w:rsidRPr="00236418">
        <w:t>Les fonds d'affectation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d'affection spéciale sont constitués de contributions volontaires dont l'utilisation est spécifique et restreinte. Ces contributions engendrent des dépenses d'appui pendant l'exécution et la mise en œuvre des projets.</w:t>
      </w:r>
    </w:p>
    <w:p w14:paraId="5B5FB8F1" w14:textId="77777777" w:rsidR="00DF6159" w:rsidRPr="00236418" w:rsidRDefault="00DF6159" w:rsidP="009B3D24">
      <w:pPr>
        <w:pStyle w:val="enumlev1"/>
        <w:keepNext/>
        <w:keepLines/>
        <w:rPr>
          <w:b/>
          <w:bCs/>
        </w:rPr>
      </w:pPr>
      <w:r w:rsidRPr="00236418">
        <w:rPr>
          <w:b/>
          <w:bCs/>
        </w:rPr>
        <w:t>–</w:t>
      </w:r>
      <w:r w:rsidRPr="00236418">
        <w:rPr>
          <w:b/>
          <w:bCs/>
        </w:rPr>
        <w:tab/>
        <w:t>Contributions volontaires</w:t>
      </w:r>
    </w:p>
    <w:p w14:paraId="0246E306" w14:textId="77777777" w:rsidR="00DF6159" w:rsidRPr="00236418" w:rsidRDefault="00DF6159" w:rsidP="009B3D24">
      <w:pPr>
        <w:keepNext/>
        <w:keepLines/>
      </w:pPr>
      <w:r w:rsidRPr="00236418">
        <w:t>Les contributions volontaires proviennent de donateurs et viennent compléter le financement des activités spécifiques inscrites au budget ordinaire, telles que les séminaires, les groupes de travail, les commissions d'études, les formations et les bourses. Elles peuvent servir à financer des activités à long terme et n'engendrent pas de dépenses d'appui.</w:t>
      </w:r>
    </w:p>
    <w:p w14:paraId="74801F1D" w14:textId="77777777" w:rsidR="00DF6159" w:rsidRPr="00236418" w:rsidRDefault="00DF6159" w:rsidP="009B3D24">
      <w:r w:rsidRPr="00236418">
        <w:t>L'Union tient une comptabilité des contributions volontaires dans la devise dans laquelle celles-ci sont versées, et gère les projets fondés sur le budget alloué dans cette même devise, sauf indication contraire.</w:t>
      </w:r>
    </w:p>
    <w:p w14:paraId="723695BE" w14:textId="77777777" w:rsidR="00DF6159" w:rsidRPr="00236418" w:rsidRDefault="00DF6159" w:rsidP="009B3D24">
      <w:pPr>
        <w:pStyle w:val="Headingi"/>
        <w:keepNext w:val="0"/>
        <w:keepLines w:val="0"/>
        <w:spacing w:before="120"/>
        <w:ind w:left="0" w:firstLine="0"/>
        <w:outlineLvl w:val="9"/>
        <w:rPr>
          <w:b/>
          <w:bCs/>
        </w:rPr>
      </w:pPr>
      <w:bookmarkStart w:id="1142" w:name="_Toc329202566"/>
      <w:bookmarkStart w:id="1143" w:name="_Toc329204998"/>
      <w:bookmarkStart w:id="1144" w:name="_Toc329206835"/>
      <w:bookmarkStart w:id="1145" w:name="_Toc358379921"/>
      <w:bookmarkStart w:id="1146" w:name="_Toc358380461"/>
      <w:bookmarkStart w:id="1147" w:name="_Toc387166643"/>
      <w:bookmarkStart w:id="1148" w:name="_Toc387167454"/>
      <w:bookmarkStart w:id="1149" w:name="_Toc395260928"/>
      <w:bookmarkStart w:id="1150" w:name="_Toc395511707"/>
      <w:bookmarkStart w:id="1151" w:name="_Toc452138620"/>
      <w:bookmarkStart w:id="1152" w:name="_Toc452139069"/>
      <w:bookmarkStart w:id="1153" w:name="_Toc452139433"/>
      <w:bookmarkStart w:id="1154" w:name="_Toc452139833"/>
      <w:bookmarkStart w:id="1155" w:name="_Toc452140420"/>
      <w:bookmarkStart w:id="1156" w:name="_Toc452140700"/>
      <w:bookmarkStart w:id="1157" w:name="_Toc482801490"/>
      <w:bookmarkStart w:id="1158" w:name="_Toc482888745"/>
      <w:bookmarkStart w:id="1159" w:name="_Toc511649460"/>
      <w:bookmarkStart w:id="1160" w:name="_Toc511649832"/>
      <w:bookmarkStart w:id="1161" w:name="_Toc511649946"/>
      <w:bookmarkStart w:id="1162" w:name="_Toc511650064"/>
      <w:bookmarkStart w:id="1163" w:name="_Toc511650557"/>
      <w:bookmarkStart w:id="1164" w:name="_Toc511651202"/>
      <w:bookmarkStart w:id="1165" w:name="_Toc511724067"/>
      <w:bookmarkStart w:id="1166" w:name="_Toc511739056"/>
      <w:bookmarkStart w:id="1167" w:name="_Toc511741225"/>
      <w:bookmarkStart w:id="1168" w:name="_Toc9605719"/>
      <w:bookmarkStart w:id="1169" w:name="_Toc10450731"/>
      <w:bookmarkStart w:id="1170" w:name="_Toc41566333"/>
      <w:bookmarkStart w:id="1171" w:name="_Toc41814946"/>
      <w:r w:rsidRPr="00236418">
        <w:rPr>
          <w:b/>
          <w:bCs/>
        </w:rPr>
        <w:t>Fonds de tiers en cours d'affectation</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331B94AF" w14:textId="77777777" w:rsidR="00DF6159" w:rsidRPr="00236418" w:rsidRDefault="00DF6159" w:rsidP="009B3D24">
      <w:r w:rsidRPr="00236418">
        <w:t>Il s'agit de fonds reçus de tiers dont l'affectation n'a pas encore été finalisée et qui ne peuvent en conséquence pas encore être dépensés.</w:t>
      </w:r>
    </w:p>
    <w:p w14:paraId="4423BE63" w14:textId="77777777" w:rsidR="00DF6159" w:rsidRPr="00236418" w:rsidRDefault="00DF6159" w:rsidP="00DA2839">
      <w:pPr>
        <w:pStyle w:val="Heading5"/>
        <w:rPr>
          <w:u w:val="single"/>
        </w:rPr>
      </w:pPr>
      <w:bookmarkStart w:id="1172" w:name="_Toc329202567"/>
      <w:bookmarkStart w:id="1173" w:name="_Toc329204999"/>
      <w:bookmarkStart w:id="1174" w:name="_Toc329206836"/>
      <w:bookmarkStart w:id="1175" w:name="_Toc358379922"/>
      <w:bookmarkStart w:id="1176" w:name="_Toc358380462"/>
      <w:bookmarkStart w:id="1177" w:name="_Toc387166645"/>
      <w:bookmarkStart w:id="1178" w:name="_Toc395260930"/>
      <w:bookmarkStart w:id="1179" w:name="_Toc395511709"/>
      <w:bookmarkStart w:id="1180" w:name="_Toc452138621"/>
      <w:bookmarkStart w:id="1181" w:name="_Toc452139070"/>
      <w:bookmarkStart w:id="1182" w:name="_Toc452139434"/>
      <w:bookmarkStart w:id="1183" w:name="_Toc452139834"/>
      <w:bookmarkStart w:id="1184" w:name="_Toc452140701"/>
      <w:bookmarkStart w:id="1185" w:name="_Toc482801491"/>
      <w:bookmarkStart w:id="1186" w:name="_Toc511649461"/>
      <w:bookmarkStart w:id="1187" w:name="_Toc511649833"/>
      <w:bookmarkStart w:id="1188" w:name="_Toc511649947"/>
      <w:bookmarkStart w:id="1189" w:name="_Toc511651203"/>
      <w:bookmarkStart w:id="1190" w:name="_Toc511724068"/>
      <w:bookmarkStart w:id="1191" w:name="_Toc511739057"/>
      <w:bookmarkStart w:id="1192" w:name="_Toc511741226"/>
      <w:bookmarkStart w:id="1193" w:name="_Toc10450732"/>
      <w:bookmarkStart w:id="1194" w:name="_Toc41566334"/>
      <w:bookmarkStart w:id="1195" w:name="_Toc41567845"/>
      <w:r w:rsidRPr="00236418">
        <w:rPr>
          <w:u w:val="single"/>
        </w:rPr>
        <w:t>Fonds de réserve</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2A4BBA60" w14:textId="77777777" w:rsidR="00DF6159" w:rsidRPr="00236418" w:rsidRDefault="00DF6159" w:rsidP="009B3D24">
      <w:pPr>
        <w:rPr>
          <w:b/>
        </w:rPr>
      </w:pPr>
      <w:r w:rsidRPr="00236418">
        <w:t>Conformément au numéro 485 de la Convention et à l'Article 27 du Règlement financier, le Fonds de réserve est alimenté principalement par des crédits budgétaires inutilisés. Son évolution est décrite en détail dans l'état de variation de l'actif net de l'Union. Le Fonds de réserve est constitué des éléments suivants:</w:t>
      </w:r>
    </w:p>
    <w:p w14:paraId="3639C99F" w14:textId="77777777" w:rsidR="00DF6159" w:rsidRPr="00236418" w:rsidRDefault="00DF6159" w:rsidP="009B3D24">
      <w:pPr>
        <w:pStyle w:val="enumlev1"/>
      </w:pPr>
      <w:r w:rsidRPr="00236418">
        <w:t>a)</w:t>
      </w:r>
      <w:r w:rsidRPr="00236418">
        <w:tab/>
        <w:t>Le solde net positif/négatif de la mise en œuvre du budget ordinaire de chaque exercice.</w:t>
      </w:r>
    </w:p>
    <w:p w14:paraId="61F89CF2" w14:textId="77777777" w:rsidR="00DF6159" w:rsidRPr="00236418" w:rsidRDefault="00DF6159" w:rsidP="009B3D24">
      <w:pPr>
        <w:pStyle w:val="enumlev1"/>
      </w:pPr>
      <w:r w:rsidRPr="00236418">
        <w:t>b)</w:t>
      </w:r>
      <w:r w:rsidRPr="00236418">
        <w:tab/>
        <w:t>Les transferts provenant d'autres fonds et/ou réserves, sur décision du Conseil.</w:t>
      </w:r>
    </w:p>
    <w:p w14:paraId="19A9D4FF" w14:textId="77777777" w:rsidR="00DF6159" w:rsidRPr="00236418" w:rsidRDefault="00DF6159" w:rsidP="009B3D24">
      <w:pPr>
        <w:pStyle w:val="enumlev1"/>
      </w:pPr>
      <w:r w:rsidRPr="00236418">
        <w:t>c)</w:t>
      </w:r>
      <w:r w:rsidRPr="00236418">
        <w:tab/>
        <w:t>Les autres augmentations du Fonds de réserve prescrites par les normes comptables communes aux organisations du système des Nations Unies.</w:t>
      </w:r>
    </w:p>
    <w:p w14:paraId="235CEF63" w14:textId="77777777" w:rsidR="00DF6159" w:rsidRPr="00236418" w:rsidRDefault="00DF6159" w:rsidP="009B3D24">
      <w:r w:rsidRPr="00236418">
        <w:t>Le Fonds de réserve inclut également les fonds provenant des activités pour lesquelles l'UIT applique le principe du recouvrement des coûts conformément à la Résolution 1113 du Conseil (Document C97/133). À ce jour, les produits et les services pour lesquels l'UIT applique le principe de recouvrement des coûts sont les suivants:</w:t>
      </w:r>
    </w:p>
    <w:p w14:paraId="3F587E02" w14:textId="77777777" w:rsidR="00DF6159" w:rsidRPr="00236418" w:rsidRDefault="00DF6159" w:rsidP="009B3D24">
      <w:pPr>
        <w:pStyle w:val="enumlev1"/>
      </w:pPr>
      <w:r w:rsidRPr="00236418">
        <w:t>–</w:t>
      </w:r>
      <w:r w:rsidRPr="00236418">
        <w:tab/>
        <w:t>L'enregistrement des numéros universels de libre appel international (UIFN).</w:t>
      </w:r>
    </w:p>
    <w:p w14:paraId="40E6F2C9" w14:textId="77777777" w:rsidR="00DF6159" w:rsidRPr="00236418" w:rsidRDefault="00DF6159" w:rsidP="009B3D24">
      <w:pPr>
        <w:pStyle w:val="enumlev1"/>
      </w:pPr>
      <w:r w:rsidRPr="00236418">
        <w:t>–</w:t>
      </w:r>
      <w:r w:rsidRPr="00236418">
        <w:tab/>
        <w:t>Le mémorandum d'accord sur les systèmes mobiles mondiaux de communications personnelles par satellite (GMPCS-</w:t>
      </w:r>
      <w:proofErr w:type="spellStart"/>
      <w:r w:rsidRPr="00236418">
        <w:t>MoU</w:t>
      </w:r>
      <w:proofErr w:type="spellEnd"/>
      <w:r w:rsidRPr="00236418">
        <w:t>).</w:t>
      </w:r>
    </w:p>
    <w:p w14:paraId="76FCDD9C" w14:textId="77777777" w:rsidR="00DF6159" w:rsidRPr="00236418" w:rsidRDefault="00DF6159" w:rsidP="009B3D24">
      <w:pPr>
        <w:pStyle w:val="enumlev1"/>
      </w:pPr>
      <w:r w:rsidRPr="00236418">
        <w:t>–</w:t>
      </w:r>
      <w:r w:rsidRPr="00236418">
        <w:tab/>
        <w:t>Le traitement des fiches de notification des réseaux à satellite.</w:t>
      </w:r>
    </w:p>
    <w:p w14:paraId="5DCEACA5" w14:textId="77777777" w:rsidR="00DF6159" w:rsidRPr="00236418" w:rsidRDefault="00DF6159" w:rsidP="009B3D24">
      <w:pPr>
        <w:pStyle w:val="enumlev1"/>
      </w:pPr>
      <w:r w:rsidRPr="00236418">
        <w:t>–</w:t>
      </w:r>
      <w:r w:rsidRPr="00236418">
        <w:tab/>
        <w:t>L'enregistrement des numéros de kiosque internationaux universels (UIPRN) et des numéros internationaux universels à coût partagé (UISCN).</w:t>
      </w:r>
    </w:p>
    <w:p w14:paraId="5CC22343" w14:textId="77777777" w:rsidR="00DF6159" w:rsidRPr="00236418" w:rsidRDefault="00DF6159" w:rsidP="009B3D24">
      <w:pPr>
        <w:pStyle w:val="enumlev1"/>
      </w:pPr>
      <w:r w:rsidRPr="00236418">
        <w:t>–</w:t>
      </w:r>
      <w:r w:rsidRPr="00236418">
        <w:tab/>
        <w:t>ITU TELECOM.</w:t>
      </w:r>
    </w:p>
    <w:p w14:paraId="1ECF9BB5" w14:textId="77777777" w:rsidR="00DF6159" w:rsidRPr="00236418" w:rsidRDefault="00DF6159" w:rsidP="009B3D24">
      <w:pPr>
        <w:pStyle w:val="enumlev1"/>
      </w:pPr>
      <w:r w:rsidRPr="00236418">
        <w:t>–</w:t>
      </w:r>
      <w:r w:rsidRPr="00236418">
        <w:tab/>
        <w:t>La vente des publications.</w:t>
      </w:r>
    </w:p>
    <w:p w14:paraId="1D95247B" w14:textId="77777777" w:rsidR="00DF6159" w:rsidRPr="00236418" w:rsidRDefault="00DF6159" w:rsidP="009B3D24">
      <w:pPr>
        <w:pStyle w:val="enumlev1"/>
      </w:pPr>
      <w:r w:rsidRPr="00236418">
        <w:t>–</w:t>
      </w:r>
      <w:r w:rsidRPr="00236418">
        <w:tab/>
        <w:t>Les recettes au titre de l'appui aux projets.</w:t>
      </w:r>
    </w:p>
    <w:p w14:paraId="7DA53F39" w14:textId="77777777" w:rsidR="00DF6159" w:rsidRPr="00236418" w:rsidRDefault="00DF6159" w:rsidP="009B3D24">
      <w:pPr>
        <w:rPr>
          <w:b/>
        </w:rPr>
      </w:pPr>
      <w:r w:rsidRPr="00236418">
        <w:lastRenderedPageBreak/>
        <w:t>Nonobstant la disposition 4b) de l'Article 13 du Règlement financier de l'UIT, compte tenu de la nécessité de maintenir le Fonds de réserve à un niveau minimal fixé par la Conférence de plénipotentiaires, le Conseil, par décision spéciale, peut effectuer des prélèvements sur le Fonds de réserve, afin, notamment, de procéder aux opérations suivantes:</w:t>
      </w:r>
    </w:p>
    <w:p w14:paraId="477764EB" w14:textId="77777777" w:rsidR="00DF6159" w:rsidRPr="00236418" w:rsidRDefault="00DF6159" w:rsidP="009B3D24">
      <w:pPr>
        <w:pStyle w:val="enumlev1"/>
      </w:pPr>
      <w:r w:rsidRPr="00236418">
        <w:t>a)</w:t>
      </w:r>
      <w:r w:rsidRPr="00236418">
        <w:tab/>
        <w:t>réduire le montant de l'unité contributive;</w:t>
      </w:r>
    </w:p>
    <w:p w14:paraId="4A6764E9" w14:textId="77777777" w:rsidR="00DF6159" w:rsidRPr="00236418" w:rsidRDefault="00DF6159" w:rsidP="009B3D24">
      <w:pPr>
        <w:pStyle w:val="enumlev1"/>
      </w:pPr>
      <w:r w:rsidRPr="00236418">
        <w:t>b)</w:t>
      </w:r>
      <w:r w:rsidRPr="00236418">
        <w:tab/>
        <w:t>équilibrer le Budget de l'Union;</w:t>
      </w:r>
    </w:p>
    <w:p w14:paraId="7B971ACE" w14:textId="77777777" w:rsidR="00DF6159" w:rsidRPr="00236418" w:rsidRDefault="00DF6159" w:rsidP="009B3D24">
      <w:pPr>
        <w:pStyle w:val="enumlev1"/>
      </w:pPr>
      <w:r w:rsidRPr="00236418">
        <w:t>c)</w:t>
      </w:r>
      <w:r w:rsidRPr="00236418">
        <w:tab/>
        <w:t>effectuer des transferts sur d'autres fonds et/ou réserves; ou</w:t>
      </w:r>
    </w:p>
    <w:p w14:paraId="6EEC3AB5" w14:textId="77777777" w:rsidR="00DF6159" w:rsidRPr="00236418" w:rsidRDefault="00DF6159" w:rsidP="009B3D24">
      <w:pPr>
        <w:pStyle w:val="enumlev1"/>
      </w:pPr>
      <w:r w:rsidRPr="00236418">
        <w:t>d)</w:t>
      </w:r>
      <w:r w:rsidRPr="00236418">
        <w:tab/>
        <w:t>débiter du Fonds de réserve tout montant prescrit par les normes comptables communes aux organisations du système des Nations Unies.</w:t>
      </w:r>
    </w:p>
    <w:p w14:paraId="779524EA" w14:textId="77777777" w:rsidR="00DF6159" w:rsidRPr="00236418" w:rsidRDefault="00DF6159" w:rsidP="00DA2839">
      <w:pPr>
        <w:pStyle w:val="Heading5"/>
        <w:rPr>
          <w:u w:val="single"/>
        </w:rPr>
      </w:pPr>
      <w:bookmarkStart w:id="1196" w:name="_Toc452140702"/>
      <w:bookmarkStart w:id="1197" w:name="_Toc482801492"/>
      <w:bookmarkStart w:id="1198" w:name="_Toc511649462"/>
      <w:bookmarkStart w:id="1199" w:name="_Toc511649834"/>
      <w:bookmarkStart w:id="1200" w:name="_Toc511649948"/>
      <w:bookmarkStart w:id="1201" w:name="_Toc511651204"/>
      <w:bookmarkStart w:id="1202" w:name="_Toc511724069"/>
      <w:bookmarkStart w:id="1203" w:name="_Toc511739058"/>
      <w:bookmarkStart w:id="1204" w:name="_Toc511741227"/>
      <w:bookmarkStart w:id="1205" w:name="_Toc10450733"/>
      <w:bookmarkStart w:id="1206" w:name="_Toc41566335"/>
      <w:bookmarkStart w:id="1207" w:name="_Toc41567846"/>
      <w:r w:rsidRPr="00236418">
        <w:rPr>
          <w:u w:val="single"/>
        </w:rPr>
        <w:t>Autres fonds</w:t>
      </w:r>
      <w:bookmarkEnd w:id="1196"/>
      <w:bookmarkEnd w:id="1197"/>
      <w:bookmarkEnd w:id="1198"/>
      <w:bookmarkEnd w:id="1199"/>
      <w:bookmarkEnd w:id="1200"/>
      <w:bookmarkEnd w:id="1201"/>
      <w:bookmarkEnd w:id="1202"/>
      <w:bookmarkEnd w:id="1203"/>
      <w:bookmarkEnd w:id="1204"/>
      <w:bookmarkEnd w:id="1205"/>
      <w:bookmarkEnd w:id="1206"/>
      <w:bookmarkEnd w:id="1207"/>
    </w:p>
    <w:p w14:paraId="2FB62C41" w14:textId="77777777" w:rsidR="00DF6159" w:rsidRPr="00236418" w:rsidRDefault="00DF6159" w:rsidP="009B3D24">
      <w:r w:rsidRPr="00236418">
        <w:t>Les autres fonds incluent la Caisse d'assurance du personnel de l'UIT, la Caisse des pensions et le Fonds ASHI.</w:t>
      </w:r>
    </w:p>
    <w:p w14:paraId="7ACC8E34" w14:textId="77777777" w:rsidR="00DF6159" w:rsidRPr="00236418" w:rsidRDefault="00DF6159" w:rsidP="009B3D24">
      <w:r w:rsidRPr="00236418">
        <w:t>La Caisse d'assurance du personnel de l'UIT recouvre deux fonds:</w:t>
      </w:r>
    </w:p>
    <w:p w14:paraId="147863DE" w14:textId="77777777" w:rsidR="00DF6159" w:rsidRPr="00236418" w:rsidRDefault="00DF6159" w:rsidP="009B3D24">
      <w:pPr>
        <w:pStyle w:val="enumlev1"/>
      </w:pPr>
      <w:r w:rsidRPr="00236418">
        <w:t>–</w:t>
      </w:r>
      <w:r w:rsidRPr="00236418">
        <w:tab/>
        <w:t>Le Fonds de pensions.</w:t>
      </w:r>
    </w:p>
    <w:p w14:paraId="699C029A" w14:textId="77777777" w:rsidR="00DF6159" w:rsidRPr="00236418" w:rsidRDefault="00DF6159" w:rsidP="009B3D24">
      <w:pPr>
        <w:pStyle w:val="enumlev1"/>
      </w:pPr>
      <w:r w:rsidRPr="00236418">
        <w:t>–</w:t>
      </w:r>
      <w:r w:rsidRPr="00236418">
        <w:tab/>
        <w:t>Le Fonds d'intervention.</w:t>
      </w:r>
    </w:p>
    <w:p w14:paraId="211CCEAD" w14:textId="47E51CA4" w:rsidR="00DF6159" w:rsidRPr="00236418" w:rsidRDefault="00DF6159" w:rsidP="009B3D24">
      <w:r w:rsidRPr="00236418">
        <w:t>Ces fonds servent à assurer le paiement des pensions des membres du personnel qui étaient en service avant le 1er janvier 1960, date à laquelle l'UIT a été affiliée à la Caisse commune des pensions du personnel des Nations Unies. En 201</w:t>
      </w:r>
      <w:r w:rsidR="004A51D4" w:rsidRPr="00236418">
        <w:t>9</w:t>
      </w:r>
      <w:r w:rsidRPr="00236418">
        <w:t>, le Fonds de réserve et des compléments a assuré le paiement de 2</w:t>
      </w:r>
      <w:r w:rsidR="004A51D4" w:rsidRPr="00236418">
        <w:t>1</w:t>
      </w:r>
      <w:r w:rsidRPr="00236418">
        <w:t xml:space="preserve"> pensions de retraite et de </w:t>
      </w:r>
      <w:r w:rsidR="004A51D4" w:rsidRPr="00236418">
        <w:t>17</w:t>
      </w:r>
      <w:r w:rsidRPr="00236418">
        <w:t> pensions de réversion. Le Fonds d'intervention a servi à aider les fonctionnaires pensionnés ou en service qui se trouvent en difficulté financière. Le dernier calcul des engagements à provisionner pour les bénéficiaires de la Caisse d'assurance du personnel de l'UIT a été effectué le 31 décembre 2011.</w:t>
      </w:r>
    </w:p>
    <w:p w14:paraId="69317892" w14:textId="77777777" w:rsidR="00DF6159" w:rsidRPr="00236418" w:rsidRDefault="00DF6159" w:rsidP="009B3D24">
      <w:r w:rsidRPr="00236418">
        <w:t xml:space="preserve">Conformément à la Résolution 7 (Genève, 1959) de la Conférence de plénipotentiaires, le personnel de l'UIT est affilié, à compter du 1er janvier 1960, à la Caisse commune des pensions du personnel des Nations Unies. Aux termes de l'Article 86 de ses Statuts, la Caisse d'assurance du personnel de l'UIT est administrée par l'Union. La fortune de la Caisse d'assurance est à placer en valeurs pupillaires. Les comptes de cette Caisse sont vérifiés par le Vérificateur extérieur dans le cadre des contrôles périodiques des comptes de l'Union. </w:t>
      </w:r>
    </w:p>
    <w:p w14:paraId="29EB5BF2" w14:textId="77777777" w:rsidR="00DF6159" w:rsidRPr="00236418" w:rsidRDefault="00DF6159" w:rsidP="009B3D24">
      <w:r w:rsidRPr="00236418">
        <w:t>Depuis 2013, les autres fonds incluent également un fonds destiné au financement à long terme des engagements non financés au titre de l'assurance maladie après la cessation d'activité (ASHI), ainsi qu'une nouvelle caisse d'assurance maladie, laquelle sert de fonds de garantie pour le nouveau régime d'assurance maladie de l'UIT depuis 2014.</w:t>
      </w:r>
    </w:p>
    <w:p w14:paraId="453323C3" w14:textId="77777777" w:rsidR="00DF6159" w:rsidRPr="00236418" w:rsidRDefault="00DF6159" w:rsidP="00DA2839">
      <w:pPr>
        <w:pStyle w:val="Heading5"/>
        <w:rPr>
          <w:u w:val="single"/>
        </w:rPr>
      </w:pPr>
      <w:bookmarkStart w:id="1208" w:name="_Toc511651205"/>
      <w:bookmarkStart w:id="1209" w:name="_Toc511724070"/>
      <w:bookmarkStart w:id="1210" w:name="_Toc511739059"/>
      <w:bookmarkStart w:id="1211" w:name="_Toc511741228"/>
      <w:bookmarkStart w:id="1212" w:name="_Toc10450734"/>
      <w:bookmarkStart w:id="1213" w:name="_Toc41566336"/>
      <w:bookmarkStart w:id="1214" w:name="_Toc41567847"/>
      <w:r w:rsidRPr="00236418">
        <w:rPr>
          <w:u w:val="single"/>
        </w:rPr>
        <w:t>Fonds pour le nouveau bâtiment</w:t>
      </w:r>
      <w:bookmarkEnd w:id="1208"/>
      <w:bookmarkEnd w:id="1209"/>
      <w:bookmarkEnd w:id="1210"/>
      <w:bookmarkEnd w:id="1211"/>
      <w:bookmarkEnd w:id="1212"/>
      <w:bookmarkEnd w:id="1213"/>
      <w:bookmarkEnd w:id="1214"/>
    </w:p>
    <w:p w14:paraId="55EFC94E" w14:textId="77777777" w:rsidR="00DF6159" w:rsidRPr="00236418" w:rsidRDefault="00DF6159" w:rsidP="009B3D24">
      <w:r w:rsidRPr="00236418">
        <w:t xml:space="preserve">Par sa </w:t>
      </w:r>
      <w:hyperlink r:id="rId43" w:history="1">
        <w:r w:rsidRPr="00236418">
          <w:rPr>
            <w:rStyle w:val="Hyperlink"/>
            <w:rFonts w:asciiTheme="minorHAnsi" w:hAnsiTheme="minorHAnsi"/>
          </w:rPr>
          <w:t>Décision 588</w:t>
        </w:r>
      </w:hyperlink>
      <w:r w:rsidRPr="00236418">
        <w:t>, le Conseil, à sa session de 2016, a décidé de remplacer le bâtiment Varembé par une nouvelle construction (ci-après dénommée "Varembé-2") incluant aussi les bureaux et les installations de la Tour, en complément du bâtiment Montbrillant, qui sera conservé et réaménagé.</w:t>
      </w:r>
    </w:p>
    <w:p w14:paraId="6B0A8A87" w14:textId="30FA7593" w:rsidR="00DF6159" w:rsidRPr="00236418" w:rsidRDefault="00DF6159" w:rsidP="009B3D24">
      <w:r w:rsidRPr="00236418">
        <w:t>Un prêt sans intérêt à hauteur de 150 millions CHF a été accordé par la Confédération suisse pour financer ce projet</w:t>
      </w:r>
      <w:r w:rsidR="00226A19" w:rsidRPr="00236418">
        <w:t xml:space="preserve">. À sa session additionnelle de 2019, le Conseil a adopté sa Décision 619 </w:t>
      </w:r>
      <w:r w:rsidR="00F336D0" w:rsidRPr="00236418">
        <w:t>par laquelle il a fixé</w:t>
      </w:r>
      <w:r w:rsidR="00226A19" w:rsidRPr="00236418">
        <w:t xml:space="preserve"> le budget pour le nouveau bâtiment à 170 1</w:t>
      </w:r>
      <w:r w:rsidR="007C7E1C" w:rsidRPr="00236418">
        <w:t>39</w:t>
      </w:r>
      <w:r w:rsidR="00226A19" w:rsidRPr="00236418">
        <w:t> 000 CHF (150 000 000 CHF provenant du prêt consenti par le pays hôte</w:t>
      </w:r>
      <w:r w:rsidR="007C7E1C" w:rsidRPr="00236418">
        <w:t xml:space="preserve"> et</w:t>
      </w:r>
      <w:r w:rsidR="00226A19" w:rsidRPr="00236418">
        <w:t xml:space="preserve"> 20,14 millions CHF des parrainages, des dons et des </w:t>
      </w:r>
      <w:r w:rsidR="00226A19" w:rsidRPr="00236418">
        <w:lastRenderedPageBreak/>
        <w:t>économies</w:t>
      </w:r>
      <w:r w:rsidR="00F336D0" w:rsidRPr="00236418">
        <w:t xml:space="preserve"> provenant de l'excédent enregistré en 2018) et a demandé de prévoir un fonds de réserve additionnel de 12,6 millions CHF à utiliser, au besoin, pour couvrir les coûts supplémentaires non prévus. Le Fonds pour le registre des risques a été créé à cet effet.</w:t>
      </w:r>
    </w:p>
    <w:p w14:paraId="0E714B0B" w14:textId="5E177863" w:rsidR="00DF6159" w:rsidRPr="00236418" w:rsidRDefault="00DF6159" w:rsidP="009B3D24">
      <w:pPr>
        <w:rPr>
          <w:color w:val="000000"/>
        </w:rPr>
      </w:pPr>
      <w:r w:rsidRPr="00236418">
        <w:t>Le Secrétaire général a adressé une demande à la Suisse pour la première tranche du prêt concernant la première phase du projet, qui couvre le concours d'architecture, les études architecturales et les dépenses connexes pour la période allant jusqu'au 31 décembre 202</w:t>
      </w:r>
      <w:r w:rsidR="004A51D4" w:rsidRPr="00236418">
        <w:t>1</w:t>
      </w:r>
      <w:r w:rsidRPr="00236418">
        <w:t xml:space="preserve">. </w:t>
      </w:r>
      <w:r w:rsidRPr="00236418">
        <w:rPr>
          <w:color w:val="000000"/>
        </w:rPr>
        <w:t>Le prêt demandé s'élève à 12 millions CHF, et le premier remboursement annuel ne sera effectué qu'après réception du bâtiment (au plus tôt en 2026). Le prêt a été octroyé par le Parlement suisse en décembre 2016 et l'UIT a signé un contrat avec la Fondation des immeubles pour les organisations internationales (FIPOI) pour la gestion du prêt. Les fonds ont été débloqués au début de l'année 2017.</w:t>
      </w:r>
    </w:p>
    <w:p w14:paraId="2B588AFD" w14:textId="058D6881" w:rsidR="00DF6159" w:rsidRPr="00236418" w:rsidRDefault="00DF6159" w:rsidP="009B3D24">
      <w:bookmarkStart w:id="1215" w:name="_Hlk40869603"/>
      <w:r w:rsidRPr="00236418">
        <w:t xml:space="preserve">Afin d'assurer le suivi de la mise en œuvre de ce projet </w:t>
      </w:r>
      <w:bookmarkEnd w:id="1215"/>
      <w:r w:rsidR="00F336D0" w:rsidRPr="00236418">
        <w:t>et des politiques comptables, deux fonds ont été créés en vue d'identifier les sources de financement de ce projet de nouveau bâtiment.</w:t>
      </w:r>
      <w:r w:rsidR="002405FE" w:rsidRPr="00236418">
        <w:t xml:space="preserve"> </w:t>
      </w:r>
      <w:r w:rsidR="00F336D0" w:rsidRPr="00236418">
        <w:t>Ces fonds sont</w:t>
      </w:r>
      <w:r w:rsidRPr="00236418">
        <w:t xml:space="preserve"> décrit</w:t>
      </w:r>
      <w:r w:rsidR="00F336D0" w:rsidRPr="00236418">
        <w:t>s</w:t>
      </w:r>
      <w:r w:rsidRPr="00236418">
        <w:t xml:space="preserve"> au titre de la présentation de l'information sectorielle, ainsi que dans l'Annexe B2.</w:t>
      </w:r>
    </w:p>
    <w:p w14:paraId="7ED8C2E7" w14:textId="77777777" w:rsidR="00DF6159" w:rsidRPr="00236418" w:rsidRDefault="00DF6159" w:rsidP="00DA2839">
      <w:pPr>
        <w:pStyle w:val="Heading5"/>
        <w:rPr>
          <w:u w:val="single"/>
        </w:rPr>
      </w:pPr>
      <w:bookmarkStart w:id="1216" w:name="_Toc452140703"/>
      <w:bookmarkStart w:id="1217" w:name="_Toc482801493"/>
      <w:bookmarkStart w:id="1218" w:name="_Toc511649463"/>
      <w:bookmarkStart w:id="1219" w:name="_Toc511649835"/>
      <w:bookmarkStart w:id="1220" w:name="_Toc511649949"/>
      <w:bookmarkStart w:id="1221" w:name="_Toc511651206"/>
      <w:bookmarkStart w:id="1222" w:name="_Toc511724071"/>
      <w:bookmarkStart w:id="1223" w:name="_Toc511739060"/>
      <w:bookmarkStart w:id="1224" w:name="_Toc511741229"/>
      <w:bookmarkStart w:id="1225" w:name="_Toc10450735"/>
      <w:bookmarkStart w:id="1226" w:name="_Toc41566337"/>
      <w:bookmarkStart w:id="1227" w:name="_Toc41567848"/>
      <w:r w:rsidRPr="00236418">
        <w:rPr>
          <w:u w:val="single"/>
        </w:rPr>
        <w:t>Fonds destinés aux activités extrabudgétaires</w:t>
      </w:r>
      <w:bookmarkEnd w:id="1216"/>
      <w:bookmarkEnd w:id="1217"/>
      <w:bookmarkEnd w:id="1218"/>
      <w:bookmarkEnd w:id="1219"/>
      <w:bookmarkEnd w:id="1220"/>
      <w:bookmarkEnd w:id="1221"/>
      <w:bookmarkEnd w:id="1222"/>
      <w:bookmarkEnd w:id="1223"/>
      <w:bookmarkEnd w:id="1224"/>
      <w:bookmarkEnd w:id="1225"/>
      <w:bookmarkEnd w:id="1226"/>
      <w:bookmarkEnd w:id="1227"/>
    </w:p>
    <w:p w14:paraId="5CBA248F" w14:textId="77777777" w:rsidR="00DF6159" w:rsidRPr="00236418" w:rsidRDefault="00DF6159" w:rsidP="009B3D24">
      <w:pPr>
        <w:pStyle w:val="enumlev1"/>
        <w:spacing w:before="120"/>
        <w:rPr>
          <w:b/>
          <w:bCs/>
        </w:rPr>
      </w:pPr>
      <w:r w:rsidRPr="00236418">
        <w:t>–</w:t>
      </w:r>
      <w:r w:rsidRPr="00236418">
        <w:rPr>
          <w:b/>
          <w:bCs/>
        </w:rPr>
        <w:tab/>
        <w:t>Fonds pour le développement des technologies de l'information et de la communication</w:t>
      </w:r>
    </w:p>
    <w:p w14:paraId="6C19598A" w14:textId="77777777" w:rsidR="00DF6159" w:rsidRPr="00236418" w:rsidRDefault="00DF6159" w:rsidP="009B3D24">
      <w:r w:rsidRPr="00236418">
        <w:t xml:space="preserve">Conformément à la mission de l'UIT, qui est d'encourager l'expansion des services modernes de communication dans le monde, le Conseil attribue une part des excédents de recettes produits par les manifestations ITU TELECOM au Fonds pour le développement des technologies de l'information et de la communication (FDTIC) et utilisée pour financer divers projets nationaux et régionaux de développement. Dans le cadre d'un financement de projet à travers le FDTIC, seules les charges sont comptabilisées dans le compte de résultat. À la clôture de chaque exercice budgétaire, les fonds propres affectés qui figurent au bilan sont diminués du montant total des charges encourues au cours de ce même exercice. Ce même principe s'applique pour les projets financés par le plan d'action de développement. En effet, les fonds disponibles pour ces programmes ont déjà été comptabilisés comme des produits lors des exercices budgétaires précédents. </w:t>
      </w:r>
    </w:p>
    <w:p w14:paraId="238CE9F0" w14:textId="77777777" w:rsidR="00DF6159" w:rsidRPr="00236418" w:rsidRDefault="00DF6159" w:rsidP="009B3D24">
      <w:r w:rsidRPr="00236418">
        <w:t>Le FDTIC enregistre également des contributions versées par des Membres ou des tiers pour financer divers projets de développement des TIC.</w:t>
      </w:r>
    </w:p>
    <w:p w14:paraId="6FF757C1" w14:textId="77777777" w:rsidR="00DF6159" w:rsidRPr="00236418" w:rsidRDefault="00DF6159" w:rsidP="009B3D24">
      <w:pPr>
        <w:pStyle w:val="enumlev1"/>
        <w:spacing w:before="120"/>
        <w:rPr>
          <w:b/>
          <w:bCs/>
        </w:rPr>
      </w:pPr>
      <w:r w:rsidRPr="00236418">
        <w:t>–</w:t>
      </w:r>
      <w:r w:rsidRPr="00236418">
        <w:rPr>
          <w:b/>
          <w:bCs/>
        </w:rPr>
        <w:tab/>
        <w:t>Fonds de roulement des expositions ITU TELECOM</w:t>
      </w:r>
    </w:p>
    <w:p w14:paraId="7EEE7075" w14:textId="77777777" w:rsidR="00DF6159" w:rsidRPr="00236418" w:rsidRDefault="00DF6159" w:rsidP="009B3D24">
      <w:r w:rsidRPr="00236418">
        <w:t>Les manifestations ITU Telecom constituent une tribune mondiale dans le cadre de laquelle les gouvernements, les grandes sociétés et les petites et moyennes entreprises (PME) s'emploient à accélérer l'innovation dans le secteur des TIC au service du développement socio-économique. Elles comprennent une exposition dans le cadre de laquelle sont présentés des services, des applications et des solutions novateurs ainsi que les possibilités d'investissement et de partenariat dans le monde entier; un sommet des hautes personnalités et un Forum de premier plan qui sont le cadre de débats au plus haut niveau sur des questions d'actualité ayant des incidences pour le secteur des TIC et permettent d'étudier en détail les évolutions en ce qui concerne les questions technologiques, politiques et réglementaires, ainsi que les modèles stratégiques et économiques dans l'économie numérique. Les manifestations ITU Telecom rassemblent également des participants de tout premier plan, notamment des chefs d'État, des ministres, des régulateurs, des cadres dirigeants et d'autres personnalités influentes.</w:t>
      </w:r>
    </w:p>
    <w:p w14:paraId="1C5D47B2" w14:textId="77777777" w:rsidR="00DF6159" w:rsidRPr="00236418" w:rsidRDefault="00DF6159" w:rsidP="009B3D24">
      <w:r w:rsidRPr="00236418">
        <w:lastRenderedPageBreak/>
        <w:t>Après la clôture des comptes de chaque manifestation ITU Telecom, l'excédent de recettes ou l'excédent de dépenses est transféré au Fonds de roulement des expositions dont le solde est inscrit dans les états financiers de l'Union. Sous réserve de l'approbation du Conseil, les fonds peuvent être transférés du Fonds de roulement des expositions au Fonds pour le développement des TIC.</w:t>
      </w:r>
    </w:p>
    <w:p w14:paraId="41942FA3" w14:textId="77777777" w:rsidR="00DF6159" w:rsidRPr="00236418" w:rsidRDefault="00DF6159" w:rsidP="009B3D24">
      <w:pPr>
        <w:pStyle w:val="enumlev1"/>
        <w:spacing w:before="120"/>
        <w:rPr>
          <w:b/>
          <w:bCs/>
        </w:rPr>
      </w:pPr>
      <w:r w:rsidRPr="00236418">
        <w:t>–</w:t>
      </w:r>
      <w:r w:rsidRPr="00236418">
        <w:rPr>
          <w:b/>
          <w:bCs/>
        </w:rPr>
        <w:tab/>
        <w:t>Réserves destinées aux projets extrabudgétaires</w:t>
      </w:r>
    </w:p>
    <w:p w14:paraId="6CF44DFD" w14:textId="77777777" w:rsidR="00DF6159" w:rsidRPr="00236418" w:rsidRDefault="00DF6159" w:rsidP="009B3D24">
      <w:r w:rsidRPr="00236418">
        <w:t>L'Union a constitué un compte de réserve qui est alimenté par les reliquats de projets clôturés. Cette réserve servira à financer de nouveaux projets ou de nouvelles initiatives régionales mais également à combler certains projets déficitaires.</w:t>
      </w:r>
    </w:p>
    <w:p w14:paraId="7360D194" w14:textId="77777777" w:rsidR="00DF6159" w:rsidRPr="00236418" w:rsidRDefault="00DF6159" w:rsidP="00DA2839">
      <w:pPr>
        <w:pStyle w:val="Heading5"/>
        <w:rPr>
          <w:u w:val="single"/>
        </w:rPr>
      </w:pPr>
      <w:bookmarkStart w:id="1228" w:name="_Toc269839077"/>
      <w:bookmarkStart w:id="1229" w:name="_Toc329178775"/>
      <w:bookmarkStart w:id="1230" w:name="_Toc329181748"/>
      <w:bookmarkStart w:id="1231" w:name="_Toc329202568"/>
      <w:bookmarkStart w:id="1232" w:name="_Toc329205000"/>
      <w:bookmarkStart w:id="1233" w:name="_Toc329206837"/>
      <w:bookmarkStart w:id="1234" w:name="_Toc358379923"/>
      <w:bookmarkStart w:id="1235" w:name="_Toc358380463"/>
      <w:bookmarkStart w:id="1236" w:name="_Toc387166646"/>
      <w:bookmarkStart w:id="1237" w:name="_Toc395260931"/>
      <w:bookmarkStart w:id="1238" w:name="_Toc395511710"/>
      <w:bookmarkStart w:id="1239" w:name="_Toc452140704"/>
      <w:bookmarkStart w:id="1240" w:name="_Toc482801494"/>
      <w:bookmarkStart w:id="1241" w:name="_Toc511649464"/>
      <w:bookmarkStart w:id="1242" w:name="_Toc511649836"/>
      <w:bookmarkStart w:id="1243" w:name="_Toc511649950"/>
      <w:bookmarkStart w:id="1244" w:name="_Toc511651207"/>
      <w:bookmarkStart w:id="1245" w:name="_Toc511724072"/>
      <w:bookmarkStart w:id="1246" w:name="_Toc511739061"/>
      <w:bookmarkStart w:id="1247" w:name="_Toc511741230"/>
      <w:bookmarkStart w:id="1248" w:name="_Toc10450736"/>
      <w:bookmarkStart w:id="1249" w:name="_Toc41566338"/>
      <w:bookmarkStart w:id="1250" w:name="_Toc41567849"/>
      <w:r w:rsidRPr="00236418">
        <w:rPr>
          <w:u w:val="single"/>
        </w:rPr>
        <w:t>Comptabilisation des produits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6454FF8B" w14:textId="77777777" w:rsidR="00DF6159" w:rsidRPr="00236418" w:rsidRDefault="00DF6159" w:rsidP="009B3D24">
      <w:pPr>
        <w:keepNext/>
        <w:keepLines/>
      </w:pPr>
      <w:r w:rsidRPr="00236418">
        <w:t>Les états financiers sont établis sur la base d'une comptabilité d'exercice, les produits étant comptabilisés: au début de chaque exercice pour les contributions des Membres (budget ordinaire); ou lorsque les contributions sont confirmées (contributions volontaires) par écrit.</w:t>
      </w:r>
    </w:p>
    <w:p w14:paraId="2BDC5D2D" w14:textId="77777777" w:rsidR="00DF6159" w:rsidRPr="00236418" w:rsidRDefault="00DF6159" w:rsidP="009B3D24">
      <w:pPr>
        <w:rPr>
          <w:b/>
        </w:rPr>
      </w:pPr>
      <w:r w:rsidRPr="00236418">
        <w:t>Les produits comprennent les contributions mises en recouvrement, les contributions volontaires et les autres produits tirés du recouvrement.</w:t>
      </w:r>
    </w:p>
    <w:p w14:paraId="3FEF4D7B" w14:textId="77777777" w:rsidR="00DF6159" w:rsidRPr="00236418" w:rsidRDefault="00DF6159" w:rsidP="009B3D24">
      <w:r w:rsidRPr="00236418">
        <w:rPr>
          <w:u w:val="single"/>
        </w:rPr>
        <w:t>Contributions mises en recouvrement</w:t>
      </w:r>
      <w:r w:rsidRPr="00236418">
        <w:t xml:space="preserve">: Il s'agit principalement des contributions provenant des États Membres, des Membres de Secteur ainsi que des Associés. La Conférence de plénipotentiaires fixe la limite supérieure de l'unité contributive qui servira de base dans le calcul des revenus de l'Union pour les budgets biennaux des quatre années à venir. Les États Membres et les Membres de Secteur choisissent librement la classe de contribution selon laquelle ils entendent participer aux dépenses de l'Union </w:t>
      </w:r>
      <w:r w:rsidRPr="00236418">
        <w:rPr>
          <w:color w:val="000000"/>
        </w:rPr>
        <w:t xml:space="preserve">conformément aux dispositions pertinentes de la Constitution de l'UIT et s'acquittent, au titre de l'année de leur adhésion ou admission, une contribution calculée, pour les Membres, à partir du premier jour du mois de l'adhésion ou de l'admission. </w:t>
      </w:r>
      <w:r w:rsidRPr="00236418">
        <w:t>Ces revenus servent à mettre en application les activités de l'Union définies par cette même Conférence de plénipotentiaires.</w:t>
      </w:r>
    </w:p>
    <w:p w14:paraId="5A7C421F" w14:textId="77777777" w:rsidR="00DF6159" w:rsidRPr="00236418" w:rsidRDefault="00DF6159" w:rsidP="009B3D24">
      <w:pPr>
        <w:rPr>
          <w:b/>
        </w:rPr>
      </w:pPr>
      <w:r w:rsidRPr="00236418">
        <w:t xml:space="preserve">Les </w:t>
      </w:r>
      <w:r w:rsidRPr="00236418">
        <w:rPr>
          <w:u w:val="single"/>
        </w:rPr>
        <w:t>autres produits tirés du recouvrement</w:t>
      </w:r>
      <w:r w:rsidRPr="00236418">
        <w:t xml:space="preserve"> comprennent les produits et les services pour lesquels l'UIT applique le principe du recouvrement des coûts, à savoir: </w:t>
      </w:r>
    </w:p>
    <w:p w14:paraId="6C018251" w14:textId="77777777" w:rsidR="00DF6159" w:rsidRPr="00236418" w:rsidRDefault="00DF6159" w:rsidP="009B3D24">
      <w:pPr>
        <w:pStyle w:val="enumlev1"/>
      </w:pPr>
      <w:r w:rsidRPr="00236418">
        <w:t>–</w:t>
      </w:r>
      <w:r w:rsidRPr="00236418">
        <w:tab/>
        <w:t>L'enregistrement des numéros universels de libre appel international (UIFN).</w:t>
      </w:r>
    </w:p>
    <w:p w14:paraId="10F13C37" w14:textId="77777777" w:rsidR="00DF6159" w:rsidRPr="00236418" w:rsidRDefault="00DF6159" w:rsidP="009B3D24">
      <w:pPr>
        <w:pStyle w:val="enumlev1"/>
      </w:pPr>
      <w:r w:rsidRPr="00236418">
        <w:t>–</w:t>
      </w:r>
      <w:r w:rsidRPr="00236418">
        <w:tab/>
        <w:t>Le mémorandum d'accord sur les communications personnelles mondiales par satellite (GMPCS</w:t>
      </w:r>
      <w:r w:rsidRPr="00236418">
        <w:noBreakHyphen/>
      </w:r>
      <w:proofErr w:type="spellStart"/>
      <w:r w:rsidRPr="00236418">
        <w:t>MoU</w:t>
      </w:r>
      <w:proofErr w:type="spellEnd"/>
      <w:r w:rsidRPr="00236418">
        <w:t>).</w:t>
      </w:r>
    </w:p>
    <w:p w14:paraId="119FB4EB" w14:textId="77777777" w:rsidR="00DF6159" w:rsidRPr="00236418" w:rsidRDefault="00DF6159" w:rsidP="009B3D24">
      <w:pPr>
        <w:pStyle w:val="enumlev1"/>
      </w:pPr>
      <w:r w:rsidRPr="00236418">
        <w:t>–</w:t>
      </w:r>
      <w:r w:rsidRPr="00236418">
        <w:tab/>
        <w:t>Le traitement des fiches de notification des réseaux à satellite.</w:t>
      </w:r>
    </w:p>
    <w:p w14:paraId="36EC51EB" w14:textId="77777777" w:rsidR="00DF6159" w:rsidRPr="00236418" w:rsidRDefault="00DF6159" w:rsidP="009B3D24">
      <w:pPr>
        <w:pStyle w:val="enumlev1"/>
      </w:pPr>
      <w:r w:rsidRPr="00236418">
        <w:t>–</w:t>
      </w:r>
      <w:r w:rsidRPr="00236418">
        <w:tab/>
        <w:t>La vente des publications.</w:t>
      </w:r>
    </w:p>
    <w:p w14:paraId="230F8734" w14:textId="77777777" w:rsidR="00DF6159" w:rsidRPr="00236418" w:rsidRDefault="00DF6159" w:rsidP="009B3D24">
      <w:pPr>
        <w:pStyle w:val="enumlev1"/>
      </w:pPr>
      <w:r w:rsidRPr="00236418">
        <w:t>–</w:t>
      </w:r>
      <w:r w:rsidRPr="00236418">
        <w:tab/>
        <w:t>Les recettes au titre de l'appui aux projets.</w:t>
      </w:r>
    </w:p>
    <w:p w14:paraId="25C29FC6" w14:textId="77777777" w:rsidR="00DF6159" w:rsidRPr="00236418" w:rsidRDefault="00DF6159" w:rsidP="009B3D24">
      <w:r w:rsidRPr="00236418">
        <w:t>L'UIT perçoit par avance des contributions pour fournir des prestations pour l'enregistrement des numéros universels de libre appel international (UIFN) et l'enregistrement des numéros de kiosque internationaux universels (UIPRN) et numéros internationaux universels à coût partagé (UISCN).</w:t>
      </w:r>
    </w:p>
    <w:p w14:paraId="36782627" w14:textId="77777777" w:rsidR="00DF6159" w:rsidRPr="00236418" w:rsidRDefault="00DF6159" w:rsidP="009B3D24">
      <w:r w:rsidRPr="00236418">
        <w:t xml:space="preserve">Les demandeurs de ces prestations doivent déposer par avance sur les livres de l'Union un montant de 300 CHF par numéro. </w:t>
      </w:r>
      <w:r w:rsidRPr="00236418">
        <w:rPr>
          <w:color w:val="000000"/>
        </w:rPr>
        <w:t xml:space="preserve">Les entités qui ne sont pas Membres du Secteur de l'UIT-T ou de l'UIT-R sont redevables d'un droit de gestion annuel de 100 CHF par numéro, à verser sur les livres de l'Union. </w:t>
      </w:r>
      <w:r w:rsidRPr="00236418">
        <w:t xml:space="preserve">Au fur et à mesure de l'utilisation de ces numéros, l'UIT facture ses prestations. C'est lors de l'utilisation de ces numéros que l'Union reconnait un produit dans ses livres. Les factures </w:t>
      </w:r>
      <w:r w:rsidRPr="00236418">
        <w:lastRenderedPageBreak/>
        <w:t xml:space="preserve">ainsi établies sont régularisées à travers le compte de dépôts de ces clients. Une facture relative au droit de gestion applicable à tous les membres actifs est publiée et envoyée à toutes les entités </w:t>
      </w:r>
      <w:r w:rsidRPr="00236418">
        <w:rPr>
          <w:color w:val="000000"/>
        </w:rPr>
        <w:t>qui ne sont pas Membres de l'UIT-T ou de l'UIT-R.</w:t>
      </w:r>
    </w:p>
    <w:p w14:paraId="08E70711" w14:textId="77777777" w:rsidR="00DF6159" w:rsidRPr="00236418" w:rsidRDefault="00DF6159" w:rsidP="009B3D24">
      <w:r w:rsidRPr="00236418">
        <w:t>Les contributions volontaires sont comptabilisées lorsqu'il existe un accord signé par les donateurs. Les contributions mises en recouvrement concernant des exercices futurs sont comptabilisées dans les produits différés. Le solde des contributions volontaires non utilisées à la date de clôture est comptabilisé dans les fonds de tiers. Les autres revenus rattachés à des exercices futurs sont comptabilisés dans les produits différés.</w:t>
      </w:r>
    </w:p>
    <w:p w14:paraId="2206D1C6" w14:textId="77777777" w:rsidR="00DF6159" w:rsidRPr="00236418" w:rsidRDefault="00DF6159" w:rsidP="009B3D24">
      <w:r w:rsidRPr="00236418">
        <w:t>Les revenus des ventes de publications sont comptabilisés au moment de leur expédition et ceux des ventes de services d'accès aux statistiques de l'UIT et aux données sur support électronique, sont comptabilisés au moment où ces données deviennent accessibles.</w:t>
      </w:r>
    </w:p>
    <w:p w14:paraId="7AAA4E0D" w14:textId="77777777" w:rsidR="00DF6159" w:rsidRPr="00236418" w:rsidRDefault="00DF6159" w:rsidP="00DA2839">
      <w:pPr>
        <w:pStyle w:val="Heading5"/>
        <w:rPr>
          <w:u w:val="single"/>
        </w:rPr>
      </w:pPr>
      <w:bookmarkStart w:id="1251" w:name="_Toc329202569"/>
      <w:bookmarkStart w:id="1252" w:name="_Toc329205001"/>
      <w:bookmarkStart w:id="1253" w:name="_Toc329206838"/>
      <w:bookmarkStart w:id="1254" w:name="_Toc358379924"/>
      <w:bookmarkStart w:id="1255" w:name="_Toc358380464"/>
      <w:bookmarkStart w:id="1256" w:name="_Toc452140705"/>
      <w:bookmarkStart w:id="1257" w:name="_Toc482801495"/>
      <w:bookmarkStart w:id="1258" w:name="_Toc511649465"/>
      <w:bookmarkStart w:id="1259" w:name="_Toc511649837"/>
      <w:bookmarkStart w:id="1260" w:name="_Toc511649951"/>
      <w:bookmarkStart w:id="1261" w:name="_Toc511651208"/>
      <w:bookmarkStart w:id="1262" w:name="_Toc511724073"/>
      <w:bookmarkStart w:id="1263" w:name="_Toc511739062"/>
      <w:bookmarkStart w:id="1264" w:name="_Toc511741231"/>
      <w:bookmarkStart w:id="1265" w:name="_Toc10450737"/>
      <w:bookmarkStart w:id="1266" w:name="_Toc41566339"/>
      <w:bookmarkStart w:id="1267" w:name="_Toc41567850"/>
      <w:r w:rsidRPr="00236418">
        <w:rPr>
          <w:u w:val="single"/>
        </w:rPr>
        <w:t>Présentation de l'information sectorielle</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7281409B" w14:textId="77777777" w:rsidR="00DF6159" w:rsidRPr="00236418" w:rsidRDefault="00DF6159" w:rsidP="009B3D24">
      <w:r w:rsidRPr="00236418">
        <w:t>L'information sectorielle est basée sur les principales activités et sources de financement de l'UIT et est reportée d'une manière cohérente avec la structure de l'information financière fournie au Chef du Département de la gestion des ressources financières. Ces secteurs sont conformes au programme de travail de l'UIT pour les années 2018-2019:</w:t>
      </w:r>
    </w:p>
    <w:p w14:paraId="63986C1F" w14:textId="77777777" w:rsidR="00DF6159" w:rsidRPr="00236418" w:rsidRDefault="00DF6159" w:rsidP="009B3D24">
      <w:pPr>
        <w:pStyle w:val="enumlev1"/>
      </w:pPr>
      <w:r w:rsidRPr="00236418">
        <w:t>–</w:t>
      </w:r>
      <w:r w:rsidRPr="00236418">
        <w:tab/>
        <w:t>Secrétariat général.</w:t>
      </w:r>
    </w:p>
    <w:p w14:paraId="6978DE2A" w14:textId="77777777" w:rsidR="00DF6159" w:rsidRPr="00236418" w:rsidRDefault="00DF6159" w:rsidP="009B3D24">
      <w:pPr>
        <w:pStyle w:val="enumlev1"/>
      </w:pPr>
      <w:r w:rsidRPr="00236418">
        <w:t>–</w:t>
      </w:r>
      <w:r w:rsidRPr="00236418">
        <w:tab/>
        <w:t>Secteur des radiocommunications (UIT-R): gestion des ressources internationales que constituent le spectre des fréquences radioélectriques et les orbites de satellites.</w:t>
      </w:r>
    </w:p>
    <w:p w14:paraId="5CEFE997" w14:textId="77777777" w:rsidR="00DF6159" w:rsidRPr="00236418" w:rsidRDefault="00DF6159" w:rsidP="009B3D24">
      <w:pPr>
        <w:pStyle w:val="enumlev1"/>
      </w:pPr>
      <w:r w:rsidRPr="00236418">
        <w:t>–</w:t>
      </w:r>
      <w:r w:rsidRPr="00236418">
        <w:tab/>
        <w:t>Secteur de la normalisation des télécommunications (UIT-T): adaptation de méthodes de travail harmonisées et mise en place de modalités de collaboration souples pour répondre aux besoins de marchés.</w:t>
      </w:r>
    </w:p>
    <w:p w14:paraId="7AE13B1D" w14:textId="77777777" w:rsidR="00DF6159" w:rsidRPr="00236418" w:rsidRDefault="00DF6159" w:rsidP="009B3D24">
      <w:pPr>
        <w:pStyle w:val="enumlev1"/>
      </w:pPr>
      <w:r w:rsidRPr="00236418">
        <w:t>–</w:t>
      </w:r>
      <w:r w:rsidRPr="00236418">
        <w:tab/>
        <w:t>Secteur du développement des télécommunications (UIT-D): donner, à des conditions abordables, un accès équitable et durable aux technologies de l'information et de la communication.</w:t>
      </w:r>
    </w:p>
    <w:p w14:paraId="2DA5D201" w14:textId="77777777" w:rsidR="00DF6159" w:rsidRPr="00236418" w:rsidRDefault="00DF6159" w:rsidP="009B3D24">
      <w:pPr>
        <w:pStyle w:val="enumlev1"/>
      </w:pPr>
      <w:r w:rsidRPr="00236418">
        <w:t>–</w:t>
      </w:r>
      <w:r w:rsidRPr="00236418">
        <w:tab/>
        <w:t>Fonds pour le nouveau bâtiment: correspond au projet de construction des nouveaux locaux du siège.</w:t>
      </w:r>
    </w:p>
    <w:p w14:paraId="4D763D9D" w14:textId="77777777" w:rsidR="00DF6159" w:rsidRPr="00236418" w:rsidRDefault="00DF6159" w:rsidP="009B3D24">
      <w:pPr>
        <w:pStyle w:val="enumlev1"/>
      </w:pPr>
      <w:r w:rsidRPr="00236418">
        <w:t>–</w:t>
      </w:r>
      <w:r w:rsidRPr="00236418">
        <w:tab/>
        <w:t>Ancienne Caisse des pensions: regroupe le Fonds de pensions et le Fonds d'intervention.</w:t>
      </w:r>
    </w:p>
    <w:p w14:paraId="4C26944A" w14:textId="77777777" w:rsidR="00DF6159" w:rsidRPr="00236418" w:rsidRDefault="00DF6159" w:rsidP="009B3D24">
      <w:pPr>
        <w:pStyle w:val="enumlev1"/>
      </w:pPr>
      <w:r w:rsidRPr="00236418">
        <w:t>–</w:t>
      </w:r>
      <w:r w:rsidRPr="00236418">
        <w:tab/>
        <w:t>Les projets: il s'agit des fonds PNUD, FAS, FDTIC et contributions volontaires.</w:t>
      </w:r>
    </w:p>
    <w:p w14:paraId="7F13B611" w14:textId="77777777" w:rsidR="00DF6159" w:rsidRPr="00236418" w:rsidRDefault="00DF6159" w:rsidP="009B3D24">
      <w:pPr>
        <w:pStyle w:val="enumlev1"/>
      </w:pPr>
      <w:r w:rsidRPr="00236418">
        <w:t>–</w:t>
      </w:r>
      <w:r w:rsidRPr="00236418">
        <w:tab/>
        <w:t>ITU TELECOM.</w:t>
      </w:r>
    </w:p>
    <w:p w14:paraId="323CAC8D" w14:textId="2B40DC21" w:rsidR="00DF6159" w:rsidRPr="00236418" w:rsidRDefault="00DF6159" w:rsidP="009B3D24">
      <w:r w:rsidRPr="00236418">
        <w:t>En raison de la nature des activités de l'UIT, ses immobilisations corporelles et incorporelles sont utilisées conjointement par l'ensemble des secteurs et ne sont pas gérées par les différents secteurs. En effet, les actifs et passifs de l'Union autres que ceux représentant l'actif net sont la propriété ou relève</w:t>
      </w:r>
      <w:r w:rsidRPr="00236418">
        <w:rPr>
          <w:color w:val="000000" w:themeColor="text1"/>
        </w:rPr>
        <w:t xml:space="preserve">nt </w:t>
      </w:r>
      <w:r w:rsidRPr="00236418">
        <w:t>de la responsabilité de l'organisation dans son ensemble et ne représentent pas des actifs et passifs relatifs à des segments. Les fonds extrabudgétaires ne possèdent pas d'immobilisations. Les actifs et les passifs représentent de nombreuses activités qui sont communes aux segments de l'Union. L'affectation des actifs et passif aux différents secteurs ne pourrait être qu'arbitraire et sans cohérence. Ce qui serait contraire aux principes d'IPSAS 18. C'est</w:t>
      </w:r>
      <w:r w:rsidR="00E72C69" w:rsidRPr="00236418">
        <w:t xml:space="preserve"> </w:t>
      </w:r>
      <w:r w:rsidRPr="00236418">
        <w:t>pourquoi les passifs et actifs individuels ne seront pas détaillés au niveau des segments.</w:t>
      </w:r>
    </w:p>
    <w:p w14:paraId="5CB47929" w14:textId="77777777" w:rsidR="00DF6159" w:rsidRPr="00236418" w:rsidRDefault="00DF6159" w:rsidP="00E72C69">
      <w:pPr>
        <w:pStyle w:val="Heading5"/>
        <w:rPr>
          <w:u w:val="single"/>
        </w:rPr>
      </w:pPr>
      <w:bookmarkStart w:id="1268" w:name="_Toc329178776"/>
      <w:bookmarkStart w:id="1269" w:name="_Toc329181749"/>
      <w:bookmarkStart w:id="1270" w:name="_Toc329202570"/>
      <w:bookmarkStart w:id="1271" w:name="_Toc329205002"/>
      <w:bookmarkStart w:id="1272" w:name="_Toc329206839"/>
      <w:bookmarkStart w:id="1273" w:name="_Toc358379925"/>
      <w:bookmarkStart w:id="1274" w:name="_Toc358380465"/>
      <w:bookmarkStart w:id="1275" w:name="_Toc387166647"/>
      <w:bookmarkStart w:id="1276" w:name="_Toc395260932"/>
      <w:bookmarkStart w:id="1277" w:name="_Toc395511711"/>
      <w:bookmarkStart w:id="1278" w:name="_Toc452140706"/>
      <w:bookmarkStart w:id="1279" w:name="_Toc482801496"/>
      <w:bookmarkStart w:id="1280" w:name="_Toc511649466"/>
      <w:bookmarkStart w:id="1281" w:name="_Toc511649838"/>
      <w:bookmarkStart w:id="1282" w:name="_Toc511649952"/>
      <w:bookmarkStart w:id="1283" w:name="_Toc511651209"/>
      <w:bookmarkStart w:id="1284" w:name="_Toc511724074"/>
      <w:bookmarkStart w:id="1285" w:name="_Toc511739063"/>
      <w:bookmarkStart w:id="1286" w:name="_Toc511741232"/>
      <w:bookmarkStart w:id="1287" w:name="_Toc10450738"/>
      <w:bookmarkStart w:id="1288" w:name="_Toc41566340"/>
      <w:bookmarkStart w:id="1289" w:name="_Toc41567851"/>
      <w:r w:rsidRPr="00236418">
        <w:rPr>
          <w:u w:val="single"/>
        </w:rPr>
        <w:lastRenderedPageBreak/>
        <w:t>Comparaison budgétaire</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1298EEDE" w14:textId="0F79DD2C" w:rsidR="00DF6159" w:rsidRPr="00236418" w:rsidRDefault="00DF6159" w:rsidP="00E72C69">
      <w:pPr>
        <w:keepLines/>
      </w:pPr>
      <w:r w:rsidRPr="00236418">
        <w:t>Le projet de budget de l'Union pour la période 2018-2019 est fondé sur la Décision 5 (Rév. Dubaï, 2018), "Recettes et dépenses de l'Union pour la période 2016-2019", et sur le Plan stratégique de l'Union pour 2016-2019 figurant dans la Résolution 71 (Rév. Dubaï, 2018) de la Conférence de plénipotentiaires.</w:t>
      </w:r>
    </w:p>
    <w:p w14:paraId="10106D61" w14:textId="77777777" w:rsidR="00DF6159" w:rsidRPr="00236418" w:rsidRDefault="00DF6159" w:rsidP="009B3D24">
      <w:pPr>
        <w:rPr>
          <w:b/>
        </w:rPr>
      </w:pPr>
      <w:r w:rsidRPr="00236418">
        <w:t>En outre, le budget du programme est coordonné avec les plans opérationnels des Secteurs et du Secrétariat général.</w:t>
      </w:r>
    </w:p>
    <w:p w14:paraId="6140D497" w14:textId="77777777" w:rsidR="00DF6159" w:rsidRPr="00236418" w:rsidRDefault="00DF6159" w:rsidP="009B3D24">
      <w:r w:rsidRPr="00236418">
        <w:t>En vertu de la norme IPSAS 24, une comparaison des montants budgétés avec les montants réels doit être intégrée dans les États financiers annuels. Le projet de budget de l'Union pour 2018-2019 se compose de deux budgets annuels. Une estimation du budget a été faite pour chacun des exercices.</w:t>
      </w:r>
    </w:p>
    <w:p w14:paraId="0F288118" w14:textId="2D29880D" w:rsidR="00DF6159" w:rsidRPr="00236418" w:rsidRDefault="00DF6159" w:rsidP="009B3D24">
      <w:r w:rsidRPr="00236418">
        <w:t>Le budget définitif pour l'exercice 201</w:t>
      </w:r>
      <w:r w:rsidR="00CD3717" w:rsidRPr="00236418">
        <w:t>9</w:t>
      </w:r>
      <w:r w:rsidRPr="00236418">
        <w:t xml:space="preserve"> a été approuvé par le Conseil à sa session de 2017 par l'adoption de la Résolution 1387. L'État V contient une comparaison du budget final et des montants effectifs. Le budget et les États financiers n'étant pas préparés sur la même base, l'État V contient un rapprochement des montants figurant dans le budget et des montants figurant dans l'État II (État de la performance financière). La différence de périmètre représente l'intégration dans les États financiers de l'Union des fonds extrabudgétaires.</w:t>
      </w:r>
    </w:p>
    <w:p w14:paraId="1FED4033" w14:textId="77777777" w:rsidR="00DF6159" w:rsidRPr="00236418" w:rsidRDefault="00DF6159" w:rsidP="00DA2839">
      <w:pPr>
        <w:pStyle w:val="Heading1"/>
        <w:spacing w:before="240"/>
        <w:rPr>
          <w:sz w:val="24"/>
          <w:szCs w:val="24"/>
        </w:rPr>
      </w:pPr>
      <w:bookmarkStart w:id="1290" w:name="_Toc268007535"/>
      <w:bookmarkStart w:id="1291" w:name="_Toc329178777"/>
      <w:bookmarkStart w:id="1292" w:name="_Toc329181750"/>
      <w:bookmarkStart w:id="1293" w:name="_Toc329202571"/>
      <w:bookmarkStart w:id="1294" w:name="_Toc329205003"/>
      <w:bookmarkStart w:id="1295" w:name="_Toc329206840"/>
      <w:bookmarkStart w:id="1296" w:name="_Toc358379926"/>
      <w:bookmarkStart w:id="1297" w:name="_Toc358380466"/>
      <w:bookmarkStart w:id="1298" w:name="_Toc452140707"/>
      <w:bookmarkStart w:id="1299" w:name="_Toc482801497"/>
      <w:bookmarkStart w:id="1300" w:name="_Toc511649467"/>
      <w:bookmarkStart w:id="1301" w:name="_Toc511649839"/>
      <w:bookmarkStart w:id="1302" w:name="_Toc511649953"/>
      <w:bookmarkStart w:id="1303" w:name="_Toc511651210"/>
      <w:bookmarkStart w:id="1304" w:name="_Toc511724075"/>
      <w:bookmarkStart w:id="1305" w:name="_Toc511739064"/>
      <w:bookmarkStart w:id="1306" w:name="_Toc511741233"/>
      <w:bookmarkStart w:id="1307" w:name="_Toc10450739"/>
      <w:bookmarkStart w:id="1308" w:name="_Toc41566341"/>
      <w:bookmarkStart w:id="1309" w:name="_Toc41567347"/>
      <w:bookmarkStart w:id="1310" w:name="_Toc41567852"/>
      <w:bookmarkStart w:id="1311" w:name="_Toc41814947"/>
      <w:r w:rsidRPr="00236418">
        <w:rPr>
          <w:sz w:val="24"/>
          <w:szCs w:val="24"/>
        </w:rPr>
        <w:t>Note 3</w:t>
      </w:r>
      <w:r w:rsidRPr="00236418">
        <w:rPr>
          <w:sz w:val="24"/>
          <w:szCs w:val="24"/>
        </w:rPr>
        <w:tab/>
        <w:t>G</w:t>
      </w:r>
      <w:bookmarkEnd w:id="1290"/>
      <w:r w:rsidRPr="00236418">
        <w:rPr>
          <w:sz w:val="24"/>
          <w:szCs w:val="24"/>
        </w:rPr>
        <w:t>estion de l'actif net</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6BC4AD21" w14:textId="77777777" w:rsidR="00DF6159" w:rsidRPr="00236418" w:rsidRDefault="00DF6159" w:rsidP="009B3D24">
      <w:r w:rsidRPr="00236418">
        <w:t>L'actif net de l'Union se compose des fonds propres affectés à l'organisation ou réservés à des projets ainsi que des fonds propres non affectés réservés à des projets.</w:t>
      </w:r>
    </w:p>
    <w:p w14:paraId="7332CB90" w14:textId="5EB3428D" w:rsidR="00DF6159" w:rsidRPr="00236418" w:rsidRDefault="00DF6159" w:rsidP="009B3D24">
      <w:r w:rsidRPr="00236418">
        <w:t>Au 31 décembre 201</w:t>
      </w:r>
      <w:r w:rsidR="00CD3717" w:rsidRPr="00236418">
        <w:t>9</w:t>
      </w:r>
      <w:r w:rsidRPr="00236418">
        <w:t>, l'avoir du Fonds de réserve s'élevait à 2</w:t>
      </w:r>
      <w:r w:rsidR="00CD3717" w:rsidRPr="00236418">
        <w:t>4</w:t>
      </w:r>
      <w:r w:rsidRPr="00236418">
        <w:t>,</w:t>
      </w:r>
      <w:r w:rsidR="00CD3717" w:rsidRPr="00236418">
        <w:t>93</w:t>
      </w:r>
      <w:r w:rsidRPr="00236418">
        <w:t xml:space="preserve"> millions CHF. L'avoir du Fonds de réserve </w:t>
      </w:r>
      <w:proofErr w:type="gramStart"/>
      <w:r w:rsidRPr="00236418">
        <w:t>représente</w:t>
      </w:r>
      <w:proofErr w:type="gramEnd"/>
      <w:r w:rsidRPr="00236418">
        <w:t xml:space="preserve"> 1</w:t>
      </w:r>
      <w:r w:rsidR="00CD3717" w:rsidRPr="00236418">
        <w:t>5</w:t>
      </w:r>
      <w:r w:rsidRPr="00236418">
        <w:t>,1% du budget 201</w:t>
      </w:r>
      <w:r w:rsidR="00CD3717" w:rsidRPr="00236418">
        <w:t>9</w:t>
      </w:r>
      <w:r w:rsidRPr="00236418">
        <w:t>, pourcentage très largement supérieur au seuil de 6% fixé par la Conférence de plénipotentiaires dans sa Décision 5 (Rév. Dubaï, 2018).</w:t>
      </w:r>
    </w:p>
    <w:p w14:paraId="7EB847D3" w14:textId="77777777" w:rsidR="00DF6159" w:rsidRPr="00236418" w:rsidRDefault="00DF6159" w:rsidP="00DA2839">
      <w:pPr>
        <w:pStyle w:val="Heading1"/>
        <w:spacing w:before="240"/>
        <w:rPr>
          <w:sz w:val="24"/>
          <w:szCs w:val="24"/>
        </w:rPr>
      </w:pPr>
      <w:bookmarkStart w:id="1312" w:name="_Toc387166648"/>
      <w:bookmarkStart w:id="1313" w:name="_Toc395260933"/>
      <w:bookmarkStart w:id="1314" w:name="_Toc395511712"/>
      <w:bookmarkStart w:id="1315" w:name="_Toc452138622"/>
      <w:bookmarkStart w:id="1316" w:name="_Toc452139071"/>
      <w:bookmarkStart w:id="1317" w:name="_Toc452139435"/>
      <w:bookmarkStart w:id="1318" w:name="_Toc452139835"/>
      <w:bookmarkStart w:id="1319" w:name="_Toc452140708"/>
      <w:bookmarkStart w:id="1320" w:name="_Toc482801498"/>
      <w:bookmarkStart w:id="1321" w:name="_Toc511649468"/>
      <w:bookmarkStart w:id="1322" w:name="_Toc511649840"/>
      <w:bookmarkStart w:id="1323" w:name="_Toc511649954"/>
      <w:bookmarkStart w:id="1324" w:name="_Toc511651211"/>
      <w:bookmarkStart w:id="1325" w:name="_Toc511724076"/>
      <w:bookmarkStart w:id="1326" w:name="_Toc511739065"/>
      <w:bookmarkStart w:id="1327" w:name="_Toc511741234"/>
      <w:bookmarkStart w:id="1328" w:name="_Toc10450740"/>
      <w:bookmarkStart w:id="1329" w:name="_Toc41566342"/>
      <w:bookmarkStart w:id="1330" w:name="_Toc41567348"/>
      <w:bookmarkStart w:id="1331" w:name="_Toc41567853"/>
      <w:bookmarkStart w:id="1332" w:name="_Toc41814948"/>
      <w:r w:rsidRPr="00236418">
        <w:rPr>
          <w:sz w:val="24"/>
          <w:szCs w:val="24"/>
        </w:rPr>
        <w:t>Note 4</w:t>
      </w:r>
      <w:r w:rsidRPr="00236418">
        <w:rPr>
          <w:sz w:val="24"/>
          <w:szCs w:val="24"/>
        </w:rPr>
        <w:tab/>
        <w:t>Gestion des risques financiers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7EA854DF" w14:textId="77777777" w:rsidR="00DF6159" w:rsidRPr="00236418" w:rsidRDefault="00DF6159" w:rsidP="009B3D24">
      <w:pPr>
        <w:keepNext/>
        <w:keepLines/>
        <w:spacing w:before="60" w:after="60"/>
      </w:pPr>
      <w:r w:rsidRPr="00236418">
        <w:t>Dans le cadre de ses activités, l'UIT est exposée à un certain nombre de risques financiers, à savoir le risque de crédit, le risque de marché (risque de change), le risque de taux d'intérêt et le risque de liquidité. Cette Note présente des informations concernant l'exposition de l'UIT à chacun des risques précédents, et expose les principes adoptés par l'UIT pour gérer les risques financiers et maintenir son capital. La gestion des risques financiers est organisée centralement sous la responsabilité du Secrétaire général.</w:t>
      </w:r>
    </w:p>
    <w:p w14:paraId="1ACCEC85" w14:textId="77777777" w:rsidR="00DF6159" w:rsidRPr="00236418" w:rsidRDefault="00DF6159" w:rsidP="009B3D24">
      <w:pPr>
        <w:pStyle w:val="headingb0"/>
      </w:pPr>
      <w:bookmarkStart w:id="1333" w:name="_Toc387167464"/>
      <w:bookmarkStart w:id="1334" w:name="_Toc482888032"/>
      <w:bookmarkStart w:id="1335" w:name="_Toc482888066"/>
      <w:bookmarkStart w:id="1336" w:name="_Toc482888375"/>
      <w:bookmarkStart w:id="1337" w:name="_Toc482888754"/>
      <w:bookmarkStart w:id="1338" w:name="_Toc511649469"/>
      <w:bookmarkStart w:id="1339" w:name="_Toc511649955"/>
      <w:bookmarkStart w:id="1340" w:name="_Toc511650073"/>
      <w:bookmarkStart w:id="1341" w:name="_Toc511650567"/>
      <w:bookmarkStart w:id="1342" w:name="_Toc511651212"/>
      <w:bookmarkStart w:id="1343" w:name="_Toc511724077"/>
      <w:bookmarkStart w:id="1344" w:name="_Toc511739066"/>
      <w:bookmarkStart w:id="1345" w:name="_Toc511740818"/>
      <w:bookmarkStart w:id="1346" w:name="_Toc511741235"/>
      <w:bookmarkStart w:id="1347" w:name="_Toc10450741"/>
      <w:bookmarkStart w:id="1348" w:name="_Toc41567349"/>
      <w:r w:rsidRPr="00236418">
        <w:t>Juste valeur</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429A6762" w14:textId="77777777" w:rsidR="00DF6159" w:rsidRPr="00236418" w:rsidRDefault="00DF6159" w:rsidP="009B3D24">
      <w:pPr>
        <w:spacing w:after="120"/>
      </w:pPr>
      <w:r w:rsidRPr="00236418">
        <w:t>Ci-dessous figure une comparaison par catégorie de la valeur comptable et de la juste valeur des instruments financiers de l'UIT.</w:t>
      </w:r>
    </w:p>
    <w:tbl>
      <w:tblPr>
        <w:tblStyle w:val="TableGrid"/>
        <w:tblW w:w="10060" w:type="dxa"/>
        <w:tblLayout w:type="fixed"/>
        <w:tblLook w:val="04A0" w:firstRow="1" w:lastRow="0" w:firstColumn="1" w:lastColumn="0" w:noHBand="0" w:noVBand="1"/>
        <w:tblCaption w:val="E"/>
      </w:tblPr>
      <w:tblGrid>
        <w:gridCol w:w="5441"/>
        <w:gridCol w:w="1105"/>
        <w:gridCol w:w="1106"/>
        <w:gridCol w:w="1274"/>
        <w:gridCol w:w="1134"/>
      </w:tblGrid>
      <w:tr w:rsidR="00DF6159" w:rsidRPr="00236418" w14:paraId="13633DAA" w14:textId="77777777" w:rsidTr="006538EB">
        <w:tc>
          <w:tcPr>
            <w:tcW w:w="5441" w:type="dxa"/>
          </w:tcPr>
          <w:p w14:paraId="387CF5DD" w14:textId="77777777" w:rsidR="00DF6159" w:rsidRPr="00236418" w:rsidRDefault="00DF6159" w:rsidP="00B95685">
            <w:pPr>
              <w:pStyle w:val="Tablehead"/>
              <w:keepLines/>
              <w:spacing w:before="60" w:after="0"/>
            </w:pPr>
            <w:r w:rsidRPr="00236418">
              <w:t>En milliers de CHF</w:t>
            </w:r>
          </w:p>
        </w:tc>
        <w:tc>
          <w:tcPr>
            <w:tcW w:w="2211" w:type="dxa"/>
            <w:gridSpan w:val="2"/>
          </w:tcPr>
          <w:p w14:paraId="2CF10244" w14:textId="77777777" w:rsidR="00DF6159" w:rsidRPr="00236418" w:rsidRDefault="00DF6159" w:rsidP="00B95685">
            <w:pPr>
              <w:pStyle w:val="Tablehead"/>
              <w:keepLines/>
              <w:spacing w:before="60" w:after="0"/>
            </w:pPr>
            <w:r w:rsidRPr="00236418">
              <w:t>Valeur comptable</w:t>
            </w:r>
          </w:p>
        </w:tc>
        <w:tc>
          <w:tcPr>
            <w:tcW w:w="2408" w:type="dxa"/>
            <w:gridSpan w:val="2"/>
          </w:tcPr>
          <w:p w14:paraId="34F0C285" w14:textId="77777777" w:rsidR="00DF6159" w:rsidRPr="00236418" w:rsidRDefault="00DF6159" w:rsidP="00B95685">
            <w:pPr>
              <w:pStyle w:val="Tablehead"/>
              <w:keepLines/>
              <w:spacing w:before="60" w:after="0"/>
            </w:pPr>
            <w:r w:rsidRPr="00236418">
              <w:t>Juste valeur</w:t>
            </w:r>
          </w:p>
        </w:tc>
      </w:tr>
      <w:tr w:rsidR="00DF6159" w:rsidRPr="00236418" w14:paraId="1C2FF509" w14:textId="77777777" w:rsidTr="006538EB">
        <w:tc>
          <w:tcPr>
            <w:tcW w:w="5441" w:type="dxa"/>
          </w:tcPr>
          <w:p w14:paraId="614151F6" w14:textId="77777777" w:rsidR="00DF6159" w:rsidRPr="00236418" w:rsidRDefault="00DF6159" w:rsidP="00B95685">
            <w:pPr>
              <w:pStyle w:val="TableText0"/>
              <w:keepLines/>
              <w:spacing w:before="60" w:after="0"/>
              <w:rPr>
                <w:rFonts w:asciiTheme="minorHAnsi" w:hAnsiTheme="minorHAnsi" w:cstheme="minorHAnsi"/>
              </w:rPr>
            </w:pPr>
            <w:r w:rsidRPr="00236418">
              <w:rPr>
                <w:rFonts w:asciiTheme="minorHAnsi" w:hAnsiTheme="minorHAnsi" w:cstheme="minorHAnsi"/>
              </w:rPr>
              <w:t xml:space="preserve">Actifs financiers </w:t>
            </w:r>
          </w:p>
        </w:tc>
        <w:tc>
          <w:tcPr>
            <w:tcW w:w="1105" w:type="dxa"/>
            <w:vAlign w:val="center"/>
          </w:tcPr>
          <w:p w14:paraId="21F234D8" w14:textId="74D41971" w:rsidR="00DF6159" w:rsidRPr="00236418" w:rsidRDefault="00DF6159" w:rsidP="00B95685">
            <w:pPr>
              <w:pStyle w:val="Tablehead"/>
              <w:keepLines/>
              <w:spacing w:before="60" w:after="0"/>
            </w:pPr>
            <w:r w:rsidRPr="00236418">
              <w:t>201</w:t>
            </w:r>
            <w:r w:rsidR="00CD3717" w:rsidRPr="00236418">
              <w:t>9</w:t>
            </w:r>
          </w:p>
        </w:tc>
        <w:tc>
          <w:tcPr>
            <w:tcW w:w="1106" w:type="dxa"/>
            <w:vAlign w:val="center"/>
          </w:tcPr>
          <w:p w14:paraId="63E1FA37" w14:textId="5F9DB5A6" w:rsidR="00DF6159" w:rsidRPr="00236418" w:rsidRDefault="00DF6159" w:rsidP="00B95685">
            <w:pPr>
              <w:pStyle w:val="Tablehead"/>
              <w:keepLines/>
              <w:spacing w:before="60" w:after="0"/>
            </w:pPr>
            <w:r w:rsidRPr="00236418">
              <w:t>201</w:t>
            </w:r>
            <w:r w:rsidR="00CD3717" w:rsidRPr="00236418">
              <w:t>8</w:t>
            </w:r>
          </w:p>
        </w:tc>
        <w:tc>
          <w:tcPr>
            <w:tcW w:w="1274" w:type="dxa"/>
            <w:vAlign w:val="center"/>
          </w:tcPr>
          <w:p w14:paraId="6F48EF36" w14:textId="2257B841" w:rsidR="00DF6159" w:rsidRPr="00236418" w:rsidRDefault="00DF6159" w:rsidP="00B95685">
            <w:pPr>
              <w:pStyle w:val="Tablehead"/>
              <w:keepLines/>
              <w:spacing w:before="60" w:after="0"/>
            </w:pPr>
            <w:r w:rsidRPr="00236418">
              <w:t>201</w:t>
            </w:r>
            <w:r w:rsidR="00CD3717" w:rsidRPr="00236418">
              <w:t>9</w:t>
            </w:r>
          </w:p>
        </w:tc>
        <w:tc>
          <w:tcPr>
            <w:tcW w:w="1134" w:type="dxa"/>
            <w:vAlign w:val="center"/>
          </w:tcPr>
          <w:p w14:paraId="5C0DE5A6" w14:textId="4DF32CA2" w:rsidR="00DF6159" w:rsidRPr="00236418" w:rsidRDefault="00DF6159" w:rsidP="00B95685">
            <w:pPr>
              <w:pStyle w:val="Tablehead"/>
              <w:keepLines/>
              <w:spacing w:before="60" w:after="0"/>
            </w:pPr>
            <w:r w:rsidRPr="00236418">
              <w:t>201</w:t>
            </w:r>
            <w:r w:rsidR="00CD3717" w:rsidRPr="00236418">
              <w:t>8</w:t>
            </w:r>
          </w:p>
        </w:tc>
      </w:tr>
      <w:tr w:rsidR="00CD3717" w:rsidRPr="00236418" w14:paraId="7BC77372" w14:textId="77777777" w:rsidTr="006538EB">
        <w:tc>
          <w:tcPr>
            <w:tcW w:w="5441" w:type="dxa"/>
          </w:tcPr>
          <w:p w14:paraId="76D82B0A" w14:textId="77777777" w:rsidR="00CD3717" w:rsidRPr="00236418" w:rsidRDefault="00CD3717" w:rsidP="00B95685">
            <w:pPr>
              <w:pStyle w:val="TableText0"/>
              <w:keepLines/>
              <w:spacing w:before="60" w:after="0"/>
              <w:rPr>
                <w:rFonts w:asciiTheme="minorHAnsi" w:hAnsiTheme="minorHAnsi" w:cstheme="minorHAnsi"/>
              </w:rPr>
            </w:pPr>
            <w:r w:rsidRPr="00236418">
              <w:rPr>
                <w:rFonts w:asciiTheme="minorHAnsi" w:hAnsiTheme="minorHAnsi" w:cstheme="minorHAnsi"/>
              </w:rPr>
              <w:t>Trésorerie et équivalents de trésorerie</w:t>
            </w:r>
          </w:p>
        </w:tc>
        <w:tc>
          <w:tcPr>
            <w:tcW w:w="1105" w:type="dxa"/>
            <w:vAlign w:val="center"/>
          </w:tcPr>
          <w:p w14:paraId="5DF8177E" w14:textId="27D945D3"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178 852</w:t>
            </w:r>
          </w:p>
        </w:tc>
        <w:tc>
          <w:tcPr>
            <w:tcW w:w="1106" w:type="dxa"/>
            <w:vAlign w:val="center"/>
          </w:tcPr>
          <w:p w14:paraId="11AA162B" w14:textId="090F35B8"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161 826</w:t>
            </w:r>
          </w:p>
        </w:tc>
        <w:tc>
          <w:tcPr>
            <w:tcW w:w="1274" w:type="dxa"/>
            <w:vAlign w:val="center"/>
          </w:tcPr>
          <w:p w14:paraId="4521177C" w14:textId="18D985F4"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178 852</w:t>
            </w:r>
          </w:p>
        </w:tc>
        <w:tc>
          <w:tcPr>
            <w:tcW w:w="1134" w:type="dxa"/>
            <w:vAlign w:val="center"/>
          </w:tcPr>
          <w:p w14:paraId="218EBBCD" w14:textId="5A101893"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161 826</w:t>
            </w:r>
          </w:p>
        </w:tc>
      </w:tr>
      <w:tr w:rsidR="00CD3717" w:rsidRPr="00236418" w14:paraId="5E91A3DA" w14:textId="77777777" w:rsidTr="006538EB">
        <w:tc>
          <w:tcPr>
            <w:tcW w:w="5441" w:type="dxa"/>
          </w:tcPr>
          <w:p w14:paraId="2DA4E3A9" w14:textId="77777777" w:rsidR="00CD3717" w:rsidRPr="00236418" w:rsidRDefault="00CD3717" w:rsidP="00B95685">
            <w:pPr>
              <w:pStyle w:val="TableText0"/>
              <w:keepLines/>
              <w:spacing w:before="60" w:after="0"/>
              <w:rPr>
                <w:rFonts w:asciiTheme="minorHAnsi" w:hAnsiTheme="minorHAnsi" w:cstheme="minorHAnsi"/>
              </w:rPr>
            </w:pPr>
            <w:r w:rsidRPr="00236418">
              <w:rPr>
                <w:rFonts w:asciiTheme="minorHAnsi" w:hAnsiTheme="minorHAnsi" w:cstheme="minorHAnsi"/>
              </w:rPr>
              <w:t>Instruments financiers à la juste valeur par résultat</w:t>
            </w:r>
          </w:p>
        </w:tc>
        <w:tc>
          <w:tcPr>
            <w:tcW w:w="1105" w:type="dxa"/>
            <w:vAlign w:val="center"/>
          </w:tcPr>
          <w:p w14:paraId="29BE9EFE" w14:textId="3C7DA80A"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33 329</w:t>
            </w:r>
          </w:p>
        </w:tc>
        <w:tc>
          <w:tcPr>
            <w:tcW w:w="1106" w:type="dxa"/>
            <w:vAlign w:val="center"/>
          </w:tcPr>
          <w:p w14:paraId="10E62C86" w14:textId="278C8200"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48 996</w:t>
            </w:r>
          </w:p>
        </w:tc>
        <w:tc>
          <w:tcPr>
            <w:tcW w:w="1274" w:type="dxa"/>
            <w:vAlign w:val="center"/>
          </w:tcPr>
          <w:p w14:paraId="6946D7A2" w14:textId="250303CA"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33 329</w:t>
            </w:r>
          </w:p>
        </w:tc>
        <w:tc>
          <w:tcPr>
            <w:tcW w:w="1134" w:type="dxa"/>
            <w:vAlign w:val="center"/>
          </w:tcPr>
          <w:p w14:paraId="5DCB6294" w14:textId="368BB7BD"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48 996</w:t>
            </w:r>
          </w:p>
        </w:tc>
      </w:tr>
      <w:tr w:rsidR="00CD3717" w:rsidRPr="00236418" w14:paraId="214F4505" w14:textId="77777777" w:rsidTr="006538EB">
        <w:tc>
          <w:tcPr>
            <w:tcW w:w="5441" w:type="dxa"/>
          </w:tcPr>
          <w:p w14:paraId="1447C51B" w14:textId="77777777" w:rsidR="00CD3717" w:rsidRPr="00236418" w:rsidRDefault="00CD3717" w:rsidP="00B95685">
            <w:pPr>
              <w:pStyle w:val="TableText0"/>
              <w:keepLines/>
              <w:spacing w:before="60" w:after="0"/>
              <w:rPr>
                <w:rFonts w:asciiTheme="minorHAnsi" w:hAnsiTheme="minorHAnsi" w:cstheme="minorHAnsi"/>
              </w:rPr>
            </w:pPr>
            <w:r w:rsidRPr="00236418">
              <w:rPr>
                <w:rFonts w:asciiTheme="minorHAnsi" w:hAnsiTheme="minorHAnsi" w:cstheme="minorHAnsi"/>
              </w:rPr>
              <w:t xml:space="preserve">Créances résultant d'opérations avec contrepartie </w:t>
            </w:r>
            <w:r w:rsidRPr="00236418">
              <w:rPr>
                <w:rFonts w:asciiTheme="minorHAnsi" w:hAnsiTheme="minorHAnsi" w:cstheme="minorHAnsi"/>
              </w:rPr>
              <w:br/>
              <w:t>directe ‒ courant</w:t>
            </w:r>
          </w:p>
        </w:tc>
        <w:tc>
          <w:tcPr>
            <w:tcW w:w="1105" w:type="dxa"/>
            <w:vAlign w:val="center"/>
          </w:tcPr>
          <w:p w14:paraId="2061474C" w14:textId="29791072"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6 471</w:t>
            </w:r>
          </w:p>
        </w:tc>
        <w:tc>
          <w:tcPr>
            <w:tcW w:w="1106" w:type="dxa"/>
            <w:vAlign w:val="center"/>
          </w:tcPr>
          <w:p w14:paraId="4EF8E1B6" w14:textId="54640FA4"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5 407</w:t>
            </w:r>
          </w:p>
        </w:tc>
        <w:tc>
          <w:tcPr>
            <w:tcW w:w="1274" w:type="dxa"/>
            <w:vAlign w:val="center"/>
          </w:tcPr>
          <w:p w14:paraId="3CF7D850" w14:textId="65B47CF7"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6 471</w:t>
            </w:r>
          </w:p>
        </w:tc>
        <w:tc>
          <w:tcPr>
            <w:tcW w:w="1134" w:type="dxa"/>
            <w:vAlign w:val="center"/>
          </w:tcPr>
          <w:p w14:paraId="0B323CB3" w14:textId="29149C90"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5 407</w:t>
            </w:r>
          </w:p>
        </w:tc>
      </w:tr>
      <w:tr w:rsidR="00CD3717" w:rsidRPr="00236418" w14:paraId="01551B3F" w14:textId="77777777" w:rsidTr="006538EB">
        <w:tc>
          <w:tcPr>
            <w:tcW w:w="5441" w:type="dxa"/>
          </w:tcPr>
          <w:p w14:paraId="791787D0" w14:textId="23DA5F31" w:rsidR="00CD3717" w:rsidRPr="00236418" w:rsidRDefault="00CD3717" w:rsidP="00B95685">
            <w:pPr>
              <w:pStyle w:val="TableText0"/>
              <w:keepLines/>
              <w:spacing w:before="60" w:after="0"/>
              <w:rPr>
                <w:rFonts w:asciiTheme="minorHAnsi" w:hAnsiTheme="minorHAnsi" w:cstheme="minorHAnsi"/>
              </w:rPr>
            </w:pPr>
            <w:r w:rsidRPr="00236418">
              <w:rPr>
                <w:rFonts w:asciiTheme="minorHAnsi" w:hAnsiTheme="minorHAnsi" w:cstheme="minorHAnsi"/>
              </w:rPr>
              <w:t xml:space="preserve">Créances résultant d'opérations sans contrepartie </w:t>
            </w:r>
            <w:r w:rsidRPr="00236418">
              <w:rPr>
                <w:rFonts w:asciiTheme="minorHAnsi" w:hAnsiTheme="minorHAnsi" w:cstheme="minorHAnsi"/>
              </w:rPr>
              <w:br/>
              <w:t xml:space="preserve">directe </w:t>
            </w:r>
            <w:r w:rsidR="00B71E47" w:rsidRPr="00236418">
              <w:rPr>
                <w:rFonts w:asciiTheme="minorHAnsi" w:hAnsiTheme="minorHAnsi" w:cstheme="minorHAnsi"/>
              </w:rPr>
              <w:t>–</w:t>
            </w:r>
            <w:r w:rsidRPr="00236418">
              <w:rPr>
                <w:rFonts w:asciiTheme="minorHAnsi" w:hAnsiTheme="minorHAnsi" w:cstheme="minorHAnsi"/>
              </w:rPr>
              <w:t xml:space="preserve"> courant</w:t>
            </w:r>
          </w:p>
        </w:tc>
        <w:tc>
          <w:tcPr>
            <w:tcW w:w="1105" w:type="dxa"/>
            <w:vAlign w:val="center"/>
          </w:tcPr>
          <w:p w14:paraId="16C21CD8" w14:textId="43EF9915"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88 315</w:t>
            </w:r>
          </w:p>
        </w:tc>
        <w:tc>
          <w:tcPr>
            <w:tcW w:w="1106" w:type="dxa"/>
            <w:vAlign w:val="center"/>
          </w:tcPr>
          <w:p w14:paraId="2FD93BB3" w14:textId="1DB8F806"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85 356</w:t>
            </w:r>
          </w:p>
        </w:tc>
        <w:tc>
          <w:tcPr>
            <w:tcW w:w="1274" w:type="dxa"/>
            <w:vAlign w:val="center"/>
          </w:tcPr>
          <w:p w14:paraId="3BD40277" w14:textId="021E4E67"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88 315</w:t>
            </w:r>
          </w:p>
        </w:tc>
        <w:tc>
          <w:tcPr>
            <w:tcW w:w="1134" w:type="dxa"/>
            <w:vAlign w:val="center"/>
          </w:tcPr>
          <w:p w14:paraId="4F6F7129" w14:textId="16C6FE0E" w:rsidR="00CD3717" w:rsidRPr="00236418"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85 356</w:t>
            </w:r>
          </w:p>
        </w:tc>
      </w:tr>
    </w:tbl>
    <w:p w14:paraId="627CB04F" w14:textId="77777777" w:rsidR="00DF6159" w:rsidRPr="00236418" w:rsidRDefault="00DF6159" w:rsidP="00B95685"/>
    <w:tbl>
      <w:tblPr>
        <w:tblStyle w:val="TableGrid"/>
        <w:tblW w:w="10060" w:type="dxa"/>
        <w:tblLook w:val="04A0" w:firstRow="1" w:lastRow="0" w:firstColumn="1" w:lastColumn="0" w:noHBand="0" w:noVBand="1"/>
        <w:tblCaption w:val="E"/>
      </w:tblPr>
      <w:tblGrid>
        <w:gridCol w:w="5431"/>
        <w:gridCol w:w="1109"/>
        <w:gridCol w:w="1109"/>
        <w:gridCol w:w="1277"/>
        <w:gridCol w:w="1134"/>
      </w:tblGrid>
      <w:tr w:rsidR="00DF6159" w:rsidRPr="00236418" w14:paraId="36434508" w14:textId="77777777" w:rsidTr="006538EB">
        <w:tc>
          <w:tcPr>
            <w:tcW w:w="5431" w:type="dxa"/>
          </w:tcPr>
          <w:p w14:paraId="43782EDA" w14:textId="77777777" w:rsidR="00DF6159" w:rsidRPr="00236418" w:rsidRDefault="00DF6159" w:rsidP="009B3D24">
            <w:pPr>
              <w:pStyle w:val="Tablehead"/>
              <w:spacing w:before="60" w:after="0"/>
            </w:pPr>
            <w:r w:rsidRPr="00236418">
              <w:t>En milliers de CHF</w:t>
            </w:r>
          </w:p>
        </w:tc>
        <w:tc>
          <w:tcPr>
            <w:tcW w:w="2218" w:type="dxa"/>
            <w:gridSpan w:val="2"/>
          </w:tcPr>
          <w:p w14:paraId="74AA3BB5" w14:textId="77777777" w:rsidR="00DF6159" w:rsidRPr="00236418" w:rsidRDefault="00DF6159" w:rsidP="009B3D24">
            <w:pPr>
              <w:pStyle w:val="Tablehead"/>
              <w:spacing w:before="60" w:after="0"/>
            </w:pPr>
            <w:r w:rsidRPr="00236418">
              <w:t>Valeur comptable</w:t>
            </w:r>
          </w:p>
        </w:tc>
        <w:tc>
          <w:tcPr>
            <w:tcW w:w="2411" w:type="dxa"/>
            <w:gridSpan w:val="2"/>
          </w:tcPr>
          <w:p w14:paraId="41C178C7" w14:textId="77777777" w:rsidR="00DF6159" w:rsidRPr="00236418" w:rsidRDefault="00DF6159" w:rsidP="009B3D24">
            <w:pPr>
              <w:pStyle w:val="Tablehead"/>
              <w:spacing w:before="60" w:after="0"/>
            </w:pPr>
            <w:r w:rsidRPr="00236418">
              <w:t>Juste valeur</w:t>
            </w:r>
          </w:p>
        </w:tc>
      </w:tr>
      <w:tr w:rsidR="00DF6159" w:rsidRPr="00236418" w14:paraId="6263516B" w14:textId="77777777" w:rsidTr="006538EB">
        <w:tc>
          <w:tcPr>
            <w:tcW w:w="5431" w:type="dxa"/>
          </w:tcPr>
          <w:p w14:paraId="4DBC1C79" w14:textId="77777777" w:rsidR="00DF6159" w:rsidRPr="00236418" w:rsidRDefault="00DF6159" w:rsidP="009B3D24">
            <w:pPr>
              <w:pStyle w:val="Tabletext"/>
              <w:spacing w:after="0"/>
            </w:pPr>
            <w:r w:rsidRPr="00236418">
              <w:t xml:space="preserve">Passifs financiers </w:t>
            </w:r>
          </w:p>
        </w:tc>
        <w:tc>
          <w:tcPr>
            <w:tcW w:w="1109" w:type="dxa"/>
            <w:vAlign w:val="center"/>
          </w:tcPr>
          <w:p w14:paraId="449D1C42" w14:textId="5E4A6A0D" w:rsidR="00DF6159" w:rsidRPr="00236418" w:rsidRDefault="00DF6159" w:rsidP="009B3D24">
            <w:pPr>
              <w:pStyle w:val="Tablehead"/>
              <w:keepNext/>
              <w:keepLines/>
              <w:spacing w:before="60" w:after="0"/>
            </w:pPr>
            <w:r w:rsidRPr="00236418">
              <w:t>201</w:t>
            </w:r>
            <w:r w:rsidR="00CD3717" w:rsidRPr="00236418">
              <w:t>9</w:t>
            </w:r>
          </w:p>
        </w:tc>
        <w:tc>
          <w:tcPr>
            <w:tcW w:w="1109" w:type="dxa"/>
            <w:vAlign w:val="center"/>
          </w:tcPr>
          <w:p w14:paraId="5A51E2B2" w14:textId="340EB2BB" w:rsidR="00DF6159" w:rsidRPr="00236418" w:rsidRDefault="00DF6159" w:rsidP="009B3D24">
            <w:pPr>
              <w:pStyle w:val="Tablehead"/>
              <w:keepNext/>
              <w:keepLines/>
              <w:spacing w:before="60" w:after="0"/>
            </w:pPr>
            <w:r w:rsidRPr="00236418">
              <w:t>201</w:t>
            </w:r>
            <w:r w:rsidR="00CD3717" w:rsidRPr="00236418">
              <w:t>8</w:t>
            </w:r>
          </w:p>
        </w:tc>
        <w:tc>
          <w:tcPr>
            <w:tcW w:w="1277" w:type="dxa"/>
            <w:vAlign w:val="center"/>
          </w:tcPr>
          <w:p w14:paraId="1272B4E3" w14:textId="0F763519" w:rsidR="00DF6159" w:rsidRPr="00236418" w:rsidRDefault="00DF6159" w:rsidP="009B3D24">
            <w:pPr>
              <w:pStyle w:val="Tablehead"/>
              <w:keepNext/>
              <w:keepLines/>
              <w:spacing w:before="60" w:after="0"/>
            </w:pPr>
            <w:r w:rsidRPr="00236418">
              <w:t>201</w:t>
            </w:r>
            <w:r w:rsidR="00CD3717" w:rsidRPr="00236418">
              <w:t>9</w:t>
            </w:r>
          </w:p>
        </w:tc>
        <w:tc>
          <w:tcPr>
            <w:tcW w:w="1134" w:type="dxa"/>
            <w:vAlign w:val="center"/>
          </w:tcPr>
          <w:p w14:paraId="5592235C" w14:textId="56FACF78" w:rsidR="00DF6159" w:rsidRPr="00236418" w:rsidRDefault="00DF6159" w:rsidP="009B3D24">
            <w:pPr>
              <w:pStyle w:val="Tablehead"/>
              <w:keepNext/>
              <w:keepLines/>
              <w:spacing w:before="60" w:after="0"/>
            </w:pPr>
            <w:r w:rsidRPr="00236418">
              <w:t>201</w:t>
            </w:r>
            <w:r w:rsidR="00CD3717" w:rsidRPr="00236418">
              <w:t>8</w:t>
            </w:r>
          </w:p>
        </w:tc>
      </w:tr>
      <w:tr w:rsidR="00CD3717" w:rsidRPr="00236418" w14:paraId="0E1BB691" w14:textId="77777777" w:rsidTr="006538EB">
        <w:tc>
          <w:tcPr>
            <w:tcW w:w="5431" w:type="dxa"/>
          </w:tcPr>
          <w:p w14:paraId="17375D46" w14:textId="77777777" w:rsidR="00CD3717" w:rsidRPr="00236418" w:rsidRDefault="00CD3717" w:rsidP="009B3D24">
            <w:pPr>
              <w:pStyle w:val="Tabletext"/>
              <w:spacing w:after="0"/>
            </w:pPr>
            <w:r w:rsidRPr="00236418">
              <w:t>Emprunts</w:t>
            </w:r>
          </w:p>
        </w:tc>
        <w:tc>
          <w:tcPr>
            <w:tcW w:w="1109" w:type="dxa"/>
            <w:vAlign w:val="center"/>
          </w:tcPr>
          <w:p w14:paraId="42021362" w14:textId="63F83634"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44 949</w:t>
            </w:r>
          </w:p>
        </w:tc>
        <w:tc>
          <w:tcPr>
            <w:tcW w:w="1109" w:type="dxa"/>
            <w:vAlign w:val="center"/>
          </w:tcPr>
          <w:p w14:paraId="64AE5EFB" w14:textId="77230E76"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43 193</w:t>
            </w:r>
          </w:p>
        </w:tc>
        <w:tc>
          <w:tcPr>
            <w:tcW w:w="1277" w:type="dxa"/>
            <w:vAlign w:val="center"/>
          </w:tcPr>
          <w:p w14:paraId="107EAEDC" w14:textId="6D0ED2BE"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44 949</w:t>
            </w:r>
          </w:p>
        </w:tc>
        <w:tc>
          <w:tcPr>
            <w:tcW w:w="1134" w:type="dxa"/>
            <w:vAlign w:val="center"/>
          </w:tcPr>
          <w:p w14:paraId="6706E212" w14:textId="01255EA4"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43 193</w:t>
            </w:r>
          </w:p>
        </w:tc>
      </w:tr>
      <w:tr w:rsidR="00CD3717" w:rsidRPr="00236418" w14:paraId="199C393C" w14:textId="77777777" w:rsidTr="006538EB">
        <w:tc>
          <w:tcPr>
            <w:tcW w:w="5431" w:type="dxa"/>
          </w:tcPr>
          <w:p w14:paraId="58378CF9" w14:textId="77777777" w:rsidR="00CD3717" w:rsidRPr="00236418" w:rsidRDefault="00CD3717" w:rsidP="009B3D24">
            <w:pPr>
              <w:pStyle w:val="Tabletext"/>
              <w:spacing w:after="0"/>
            </w:pPr>
            <w:r w:rsidRPr="00236418">
              <w:t>Dettes provenant d'opérations avec contrepartie directe</w:t>
            </w:r>
          </w:p>
        </w:tc>
        <w:tc>
          <w:tcPr>
            <w:tcW w:w="1109" w:type="dxa"/>
            <w:vAlign w:val="center"/>
          </w:tcPr>
          <w:p w14:paraId="6628246A" w14:textId="0D6147D6"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4 772</w:t>
            </w:r>
          </w:p>
        </w:tc>
        <w:tc>
          <w:tcPr>
            <w:tcW w:w="1109" w:type="dxa"/>
            <w:vAlign w:val="center"/>
          </w:tcPr>
          <w:p w14:paraId="2D09EF4B" w14:textId="16EEAD52"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4 660</w:t>
            </w:r>
          </w:p>
        </w:tc>
        <w:tc>
          <w:tcPr>
            <w:tcW w:w="1277" w:type="dxa"/>
            <w:vAlign w:val="center"/>
          </w:tcPr>
          <w:p w14:paraId="712DE297" w14:textId="60AF7B0E"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4 772</w:t>
            </w:r>
          </w:p>
        </w:tc>
        <w:tc>
          <w:tcPr>
            <w:tcW w:w="1134" w:type="dxa"/>
            <w:vAlign w:val="center"/>
          </w:tcPr>
          <w:p w14:paraId="085AAC9A" w14:textId="11AC6AA9" w:rsidR="00CD3717" w:rsidRPr="00236418"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lang w:eastAsia="zh-CN"/>
              </w:rPr>
              <w:t>4 660</w:t>
            </w:r>
          </w:p>
        </w:tc>
      </w:tr>
    </w:tbl>
    <w:p w14:paraId="194C697F" w14:textId="77777777" w:rsidR="00DF6159" w:rsidRPr="00236418" w:rsidRDefault="00DF6159" w:rsidP="009B3D24">
      <w:pPr>
        <w:spacing w:before="240"/>
      </w:pPr>
      <w:r w:rsidRPr="00236418">
        <w:t>La juste valeur des actifs et des passifs financiers correspond à la valeur à laquelle ces instruments pourraient s'échanger dans le cadre d'une transaction courante entre des parties consentantes, autre qu'une vente forcée ou une liquidation.</w:t>
      </w:r>
    </w:p>
    <w:p w14:paraId="2377F78B" w14:textId="77777777" w:rsidR="00DF6159" w:rsidRPr="00236418" w:rsidRDefault="00DF6159" w:rsidP="009B3D24">
      <w:r w:rsidRPr="00236418">
        <w:t>Les méthodes et hypothèses suivantes ont été utilisées pour évaluer la juste valeur:</w:t>
      </w:r>
    </w:p>
    <w:p w14:paraId="4C605122" w14:textId="77777777" w:rsidR="00DF6159" w:rsidRPr="00236418" w:rsidRDefault="00DF6159" w:rsidP="009B3D24">
      <w:pPr>
        <w:pStyle w:val="enumlev1"/>
      </w:pPr>
      <w:r w:rsidRPr="00236418">
        <w:t>–</w:t>
      </w:r>
      <w:r w:rsidRPr="00236418">
        <w:tab/>
        <w:t>La trésorerie et les équivalents de trésorerie, les dépôts à court terme, les créances provenant d'opérations avec contrepartie directe, les autres créances, les dettes provenant d'opérations avec contrepartie directe et les autres dettes, sont approximativement équivalents à leur valeur comptable, essentiellement en raison de leur échéance à court terme.</w:t>
      </w:r>
    </w:p>
    <w:p w14:paraId="261563B0" w14:textId="77777777" w:rsidR="00DF6159" w:rsidRPr="00236418" w:rsidRDefault="00DF6159" w:rsidP="009B3D24">
      <w:pPr>
        <w:pStyle w:val="enumlev1"/>
      </w:pPr>
      <w:r w:rsidRPr="00236418">
        <w:t>–</w:t>
      </w:r>
      <w:r w:rsidRPr="00236418">
        <w:tab/>
        <w:t>Les créances à court terme et à long terme sont évaluées comme indiqué dans la Note 2.</w:t>
      </w:r>
    </w:p>
    <w:p w14:paraId="1D9E24B7" w14:textId="77777777" w:rsidR="00DF6159" w:rsidRPr="00236418" w:rsidRDefault="00DF6159" w:rsidP="009B3D24">
      <w:pPr>
        <w:pStyle w:val="enumlev1"/>
      </w:pPr>
      <w:r w:rsidRPr="00236418">
        <w:t>–</w:t>
      </w:r>
      <w:r w:rsidRPr="00236418">
        <w:tab/>
        <w:t>Les emprunts sont évalués comme indiqué dans la Note 2.</w:t>
      </w:r>
    </w:p>
    <w:p w14:paraId="56F348C9" w14:textId="77777777" w:rsidR="00DF6159" w:rsidRPr="00236418" w:rsidRDefault="00DF6159" w:rsidP="009B3D24">
      <w:pPr>
        <w:pStyle w:val="headingb0"/>
      </w:pPr>
      <w:bookmarkStart w:id="1349" w:name="_Toc387167465"/>
      <w:bookmarkStart w:id="1350" w:name="_Toc482888033"/>
      <w:bookmarkStart w:id="1351" w:name="_Toc482888067"/>
      <w:bookmarkStart w:id="1352" w:name="_Toc482888376"/>
      <w:bookmarkStart w:id="1353" w:name="_Toc482888755"/>
      <w:bookmarkStart w:id="1354" w:name="_Toc511649470"/>
      <w:bookmarkStart w:id="1355" w:name="_Toc511649956"/>
      <w:bookmarkStart w:id="1356" w:name="_Toc511650074"/>
      <w:bookmarkStart w:id="1357" w:name="_Toc511650568"/>
      <w:bookmarkStart w:id="1358" w:name="_Toc511651213"/>
      <w:bookmarkStart w:id="1359" w:name="_Toc511724078"/>
      <w:bookmarkStart w:id="1360" w:name="_Toc511739067"/>
      <w:bookmarkStart w:id="1361" w:name="_Toc511740819"/>
      <w:bookmarkStart w:id="1362" w:name="_Toc511741236"/>
      <w:bookmarkStart w:id="1363" w:name="_Toc10450742"/>
      <w:bookmarkStart w:id="1364" w:name="_Toc41567350"/>
      <w:r w:rsidRPr="00236418">
        <w:t>Hiérarchie de juste valeur</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4E3C2BB9" w14:textId="77777777" w:rsidR="00DF6159" w:rsidRPr="00236418" w:rsidRDefault="00DF6159" w:rsidP="009B3D24">
      <w:r w:rsidRPr="00236418">
        <w:t>L'UIT utilise la hiérarchie suivante pour déterminer et faire connaître la juste valeur des instruments financiers à l'aide de techniques d'évaluation.</w:t>
      </w:r>
    </w:p>
    <w:p w14:paraId="756636D7" w14:textId="77777777" w:rsidR="00DF6159" w:rsidRPr="00236418" w:rsidRDefault="00DF6159" w:rsidP="009B3D24">
      <w:pPr>
        <w:spacing w:before="100"/>
      </w:pPr>
      <w:r w:rsidRPr="00236418">
        <w:t>Niveau 1: Prix cotés sur les marchés actifs pour des actifs ou des passifs identiques.</w:t>
      </w:r>
    </w:p>
    <w:p w14:paraId="6D52BFC0" w14:textId="77777777" w:rsidR="00DF6159" w:rsidRPr="00236418" w:rsidRDefault="00DF6159" w:rsidP="009B3D24">
      <w:pPr>
        <w:spacing w:before="100"/>
      </w:pPr>
      <w:r w:rsidRPr="00236418">
        <w:t>Niveau 2: Données d'entrée autres que les prix cotés inclus dans les données d'entrée de niveau 1, qui sont observables pour l'actif ou le passif, soit directement, soit indirectement.</w:t>
      </w:r>
    </w:p>
    <w:p w14:paraId="1A932D73" w14:textId="77777777" w:rsidR="00DF6159" w:rsidRPr="00236418" w:rsidRDefault="00DF6159" w:rsidP="009B3D24">
      <w:pPr>
        <w:spacing w:before="100"/>
      </w:pPr>
      <w:r w:rsidRPr="00236418">
        <w:t>Niveau 3: Techniques qui utilisent des données d'entrées ayant une incidence importante sur la juste valeur comptabilisée, mais qui ne sont pas fondées sur des données de marché observables.</w:t>
      </w:r>
    </w:p>
    <w:p w14:paraId="1B4362A1" w14:textId="378FB25F" w:rsidR="00DF6159" w:rsidRPr="00236418" w:rsidRDefault="00DF6159" w:rsidP="009B3D24">
      <w:r w:rsidRPr="00236418">
        <w:t>Au 31 décembre 201</w:t>
      </w:r>
      <w:r w:rsidR="008129B1" w:rsidRPr="00236418">
        <w:t>9</w:t>
      </w:r>
      <w:r w:rsidRPr="00236418">
        <w:t>, tous les placements sont des dépôts bancaires ou des investissements bancaires à court terme, et sont comptabilisés à leur juste valeur dans l'état de la situation financière.</w:t>
      </w:r>
    </w:p>
    <w:p w14:paraId="032B89C4" w14:textId="77777777" w:rsidR="00DF6159" w:rsidRPr="00236418" w:rsidRDefault="00DF6159" w:rsidP="009B3D24">
      <w:pPr>
        <w:pStyle w:val="enumlev1"/>
      </w:pPr>
      <w:r w:rsidRPr="00236418">
        <w:t>a)</w:t>
      </w:r>
      <w:r w:rsidRPr="00236418">
        <w:tab/>
        <w:t>Risque de crédit</w:t>
      </w:r>
    </w:p>
    <w:p w14:paraId="3850DE6C" w14:textId="77777777" w:rsidR="00DF6159" w:rsidRPr="00236418" w:rsidRDefault="00DF6159" w:rsidP="00EC64ED">
      <w:pPr>
        <w:pStyle w:val="enumlev1"/>
        <w:spacing w:before="120" w:after="120"/>
      </w:pPr>
      <w:r w:rsidRPr="00236418">
        <w:tab/>
        <w:t>Le risque de crédit est le risque de perte financière encouru par l'UIT dans le cas où des clients ou des contreparties à des instruments financiers ne remplissent pas leurs obligations contractuelles. Ce risque provient principalement des investissements, des créances, et de la trésorerie et des équivalents de trésorerie. La valeur comptable des actifs financiers représente l'exposition maximale au risque de crédit. Au 31 décembre, la situation en ce qui concerne l'exposition maximale au risque de crédit était la suivante:</w:t>
      </w:r>
    </w:p>
    <w:tbl>
      <w:tblPr>
        <w:tblStyle w:val="TableGrid"/>
        <w:tblW w:w="0" w:type="auto"/>
        <w:tblInd w:w="567" w:type="dxa"/>
        <w:tblLook w:val="04A0" w:firstRow="1" w:lastRow="0" w:firstColumn="1" w:lastColumn="0" w:noHBand="0" w:noVBand="1"/>
        <w:tblCaption w:val="E"/>
      </w:tblPr>
      <w:tblGrid>
        <w:gridCol w:w="4569"/>
        <w:gridCol w:w="2196"/>
        <w:gridCol w:w="2297"/>
      </w:tblGrid>
      <w:tr w:rsidR="00DF6159" w:rsidRPr="00236418" w14:paraId="50D81965" w14:textId="77777777" w:rsidTr="006538EB">
        <w:tc>
          <w:tcPr>
            <w:tcW w:w="4569" w:type="dxa"/>
          </w:tcPr>
          <w:p w14:paraId="1171B440" w14:textId="77777777" w:rsidR="00DF6159" w:rsidRPr="00236418" w:rsidRDefault="00DF6159" w:rsidP="009B3D24">
            <w:pPr>
              <w:pStyle w:val="Tablehead"/>
              <w:keepNext/>
            </w:pPr>
            <w:r w:rsidRPr="00236418">
              <w:t>En milliers de CHF</w:t>
            </w:r>
          </w:p>
        </w:tc>
        <w:tc>
          <w:tcPr>
            <w:tcW w:w="2196" w:type="dxa"/>
            <w:vAlign w:val="center"/>
          </w:tcPr>
          <w:p w14:paraId="521CABA7" w14:textId="7EC25F3C" w:rsidR="00DF6159" w:rsidRPr="00236418" w:rsidRDefault="00DF6159" w:rsidP="009B3D24">
            <w:pPr>
              <w:pStyle w:val="Tablehead"/>
              <w:rPr>
                <w:rFonts w:cs="Calibri"/>
                <w:color w:val="000000"/>
                <w:lang w:eastAsia="zh-CN"/>
              </w:rPr>
            </w:pPr>
            <w:r w:rsidRPr="00236418">
              <w:rPr>
                <w:rFonts w:cs="Calibri"/>
                <w:color w:val="000000"/>
                <w:lang w:eastAsia="zh-CN"/>
              </w:rPr>
              <w:t>31.12.201</w:t>
            </w:r>
            <w:r w:rsidR="008129B1" w:rsidRPr="00236418">
              <w:rPr>
                <w:rFonts w:cs="Calibri"/>
                <w:color w:val="000000"/>
                <w:lang w:eastAsia="zh-CN"/>
              </w:rPr>
              <w:t>9</w:t>
            </w:r>
          </w:p>
        </w:tc>
        <w:tc>
          <w:tcPr>
            <w:tcW w:w="2297" w:type="dxa"/>
            <w:vAlign w:val="center"/>
          </w:tcPr>
          <w:p w14:paraId="30F20C8C" w14:textId="1A27F53C" w:rsidR="00DF6159" w:rsidRPr="00236418" w:rsidRDefault="00DF6159" w:rsidP="009B3D24">
            <w:pPr>
              <w:pStyle w:val="Tablehead"/>
              <w:rPr>
                <w:rFonts w:cs="Calibri"/>
                <w:color w:val="000000"/>
                <w:lang w:eastAsia="zh-CN"/>
              </w:rPr>
            </w:pPr>
            <w:r w:rsidRPr="00236418">
              <w:rPr>
                <w:rFonts w:cs="Calibri"/>
                <w:color w:val="000000"/>
                <w:lang w:eastAsia="zh-CN"/>
              </w:rPr>
              <w:t>31.12.201</w:t>
            </w:r>
            <w:r w:rsidR="008129B1" w:rsidRPr="00236418">
              <w:rPr>
                <w:rFonts w:cs="Calibri"/>
                <w:color w:val="000000"/>
                <w:lang w:eastAsia="zh-CN"/>
              </w:rPr>
              <w:t>8</w:t>
            </w:r>
          </w:p>
        </w:tc>
      </w:tr>
      <w:tr w:rsidR="008129B1" w:rsidRPr="00236418" w14:paraId="46E67214" w14:textId="77777777" w:rsidTr="006538EB">
        <w:tc>
          <w:tcPr>
            <w:tcW w:w="4569" w:type="dxa"/>
          </w:tcPr>
          <w:p w14:paraId="0D531CEC" w14:textId="77777777" w:rsidR="008129B1" w:rsidRPr="00236418" w:rsidRDefault="008129B1" w:rsidP="009B3D24">
            <w:pPr>
              <w:pStyle w:val="Tabletext"/>
            </w:pPr>
            <w:r w:rsidRPr="00236418">
              <w:t>Investissements</w:t>
            </w:r>
          </w:p>
        </w:tc>
        <w:tc>
          <w:tcPr>
            <w:tcW w:w="2196" w:type="dxa"/>
          </w:tcPr>
          <w:p w14:paraId="48894C6C" w14:textId="3BEA9002" w:rsidR="008129B1" w:rsidRPr="00236418" w:rsidRDefault="008129B1" w:rsidP="009B3D24">
            <w:pPr>
              <w:pStyle w:val="enumlev1"/>
              <w:ind w:left="0" w:firstLine="0"/>
              <w:jc w:val="right"/>
              <w:rPr>
                <w:sz w:val="22"/>
              </w:rPr>
            </w:pPr>
            <w:r w:rsidRPr="00236418">
              <w:rPr>
                <w:sz w:val="22"/>
              </w:rPr>
              <w:t>33 329</w:t>
            </w:r>
          </w:p>
        </w:tc>
        <w:tc>
          <w:tcPr>
            <w:tcW w:w="2297" w:type="dxa"/>
          </w:tcPr>
          <w:p w14:paraId="56459809" w14:textId="2293BDF3" w:rsidR="008129B1" w:rsidRPr="00236418" w:rsidRDefault="008129B1" w:rsidP="009B3D24">
            <w:pPr>
              <w:pStyle w:val="enumlev1"/>
              <w:ind w:left="0" w:firstLine="0"/>
              <w:jc w:val="right"/>
              <w:rPr>
                <w:sz w:val="22"/>
              </w:rPr>
            </w:pPr>
            <w:r w:rsidRPr="00236418">
              <w:rPr>
                <w:sz w:val="22"/>
              </w:rPr>
              <w:t>48 996</w:t>
            </w:r>
          </w:p>
        </w:tc>
      </w:tr>
      <w:tr w:rsidR="008129B1" w:rsidRPr="00236418" w14:paraId="317841E0" w14:textId="77777777" w:rsidTr="006538EB">
        <w:tc>
          <w:tcPr>
            <w:tcW w:w="4569" w:type="dxa"/>
          </w:tcPr>
          <w:p w14:paraId="11B336D2" w14:textId="77777777" w:rsidR="008129B1" w:rsidRPr="00236418" w:rsidRDefault="008129B1" w:rsidP="009B3D24">
            <w:pPr>
              <w:pStyle w:val="Tabletext"/>
            </w:pPr>
            <w:r w:rsidRPr="00236418">
              <w:t>Créances</w:t>
            </w:r>
          </w:p>
        </w:tc>
        <w:tc>
          <w:tcPr>
            <w:tcW w:w="2196" w:type="dxa"/>
          </w:tcPr>
          <w:p w14:paraId="234AC9B1" w14:textId="0B83F048" w:rsidR="008129B1" w:rsidRPr="00236418" w:rsidRDefault="008129B1" w:rsidP="009B3D24">
            <w:pPr>
              <w:pStyle w:val="enumlev1"/>
              <w:ind w:left="0" w:firstLine="0"/>
              <w:jc w:val="right"/>
              <w:rPr>
                <w:sz w:val="22"/>
              </w:rPr>
            </w:pPr>
            <w:r w:rsidRPr="00236418">
              <w:rPr>
                <w:sz w:val="22"/>
              </w:rPr>
              <w:t>103 000</w:t>
            </w:r>
          </w:p>
        </w:tc>
        <w:tc>
          <w:tcPr>
            <w:tcW w:w="2297" w:type="dxa"/>
          </w:tcPr>
          <w:p w14:paraId="07285602" w14:textId="18EAC8C7" w:rsidR="008129B1" w:rsidRPr="00236418" w:rsidRDefault="008129B1" w:rsidP="009B3D24">
            <w:pPr>
              <w:pStyle w:val="enumlev1"/>
              <w:ind w:left="0" w:firstLine="0"/>
              <w:jc w:val="right"/>
              <w:rPr>
                <w:sz w:val="22"/>
              </w:rPr>
            </w:pPr>
            <w:r w:rsidRPr="00236418">
              <w:rPr>
                <w:sz w:val="22"/>
              </w:rPr>
              <w:t>97 746</w:t>
            </w:r>
          </w:p>
        </w:tc>
      </w:tr>
      <w:tr w:rsidR="008129B1" w:rsidRPr="00236418" w14:paraId="69D4FC0C" w14:textId="77777777" w:rsidTr="006538EB">
        <w:tc>
          <w:tcPr>
            <w:tcW w:w="4569" w:type="dxa"/>
          </w:tcPr>
          <w:p w14:paraId="6D83FC39" w14:textId="77777777" w:rsidR="008129B1" w:rsidRPr="00236418" w:rsidRDefault="008129B1" w:rsidP="009B3D24">
            <w:pPr>
              <w:pStyle w:val="Tabletext"/>
            </w:pPr>
            <w:r w:rsidRPr="00236418">
              <w:t>Trésorerie et équivalents de trésorerie</w:t>
            </w:r>
          </w:p>
        </w:tc>
        <w:tc>
          <w:tcPr>
            <w:tcW w:w="2196" w:type="dxa"/>
          </w:tcPr>
          <w:p w14:paraId="7B700C57" w14:textId="754D2BA1" w:rsidR="008129B1" w:rsidRPr="00236418" w:rsidRDefault="008129B1" w:rsidP="009B3D24">
            <w:pPr>
              <w:pStyle w:val="enumlev1"/>
              <w:ind w:left="0" w:firstLine="0"/>
              <w:jc w:val="right"/>
              <w:rPr>
                <w:sz w:val="22"/>
              </w:rPr>
            </w:pPr>
            <w:r w:rsidRPr="00236418">
              <w:rPr>
                <w:sz w:val="22"/>
              </w:rPr>
              <w:t>178 852</w:t>
            </w:r>
          </w:p>
        </w:tc>
        <w:tc>
          <w:tcPr>
            <w:tcW w:w="2297" w:type="dxa"/>
          </w:tcPr>
          <w:p w14:paraId="14966CB4" w14:textId="0225484C" w:rsidR="008129B1" w:rsidRPr="00236418" w:rsidRDefault="008129B1" w:rsidP="009B3D24">
            <w:pPr>
              <w:pStyle w:val="enumlev1"/>
              <w:ind w:left="0" w:firstLine="0"/>
              <w:jc w:val="right"/>
              <w:rPr>
                <w:sz w:val="22"/>
              </w:rPr>
            </w:pPr>
            <w:r w:rsidRPr="00236418">
              <w:rPr>
                <w:sz w:val="22"/>
              </w:rPr>
              <w:t>161 826</w:t>
            </w:r>
          </w:p>
        </w:tc>
      </w:tr>
      <w:tr w:rsidR="008129B1" w:rsidRPr="00236418" w14:paraId="2C6F1C68" w14:textId="77777777" w:rsidTr="006538EB">
        <w:tc>
          <w:tcPr>
            <w:tcW w:w="4569" w:type="dxa"/>
          </w:tcPr>
          <w:p w14:paraId="2AD63D37" w14:textId="77777777" w:rsidR="008129B1" w:rsidRPr="00236418" w:rsidRDefault="008129B1" w:rsidP="009B3D24">
            <w:pPr>
              <w:pStyle w:val="Tabletext"/>
            </w:pPr>
            <w:r w:rsidRPr="00236418">
              <w:t>Exposition maximale au risque de crédit</w:t>
            </w:r>
          </w:p>
        </w:tc>
        <w:tc>
          <w:tcPr>
            <w:tcW w:w="2196" w:type="dxa"/>
          </w:tcPr>
          <w:p w14:paraId="77F72D2F" w14:textId="1EEDFB54" w:rsidR="008129B1" w:rsidRPr="00236418" w:rsidRDefault="008129B1" w:rsidP="009B3D24">
            <w:pPr>
              <w:pStyle w:val="enumlev1"/>
              <w:ind w:left="0" w:firstLine="0"/>
              <w:jc w:val="right"/>
              <w:rPr>
                <w:sz w:val="22"/>
              </w:rPr>
            </w:pPr>
            <w:r w:rsidRPr="00236418">
              <w:rPr>
                <w:sz w:val="22"/>
              </w:rPr>
              <w:t>315 181</w:t>
            </w:r>
          </w:p>
        </w:tc>
        <w:tc>
          <w:tcPr>
            <w:tcW w:w="2297" w:type="dxa"/>
          </w:tcPr>
          <w:p w14:paraId="608D6BD8" w14:textId="22BD67EF" w:rsidR="008129B1" w:rsidRPr="00236418" w:rsidRDefault="008129B1" w:rsidP="009B3D24">
            <w:pPr>
              <w:pStyle w:val="enumlev1"/>
              <w:ind w:left="0" w:firstLine="0"/>
              <w:jc w:val="right"/>
              <w:rPr>
                <w:sz w:val="22"/>
              </w:rPr>
            </w:pPr>
            <w:r w:rsidRPr="00236418">
              <w:rPr>
                <w:sz w:val="22"/>
              </w:rPr>
              <w:t>310 119</w:t>
            </w:r>
          </w:p>
        </w:tc>
      </w:tr>
    </w:tbl>
    <w:p w14:paraId="3DA17A94" w14:textId="77777777" w:rsidR="00DF6159" w:rsidRPr="00236418" w:rsidRDefault="00DF6159" w:rsidP="009B3D24">
      <w:pPr>
        <w:pStyle w:val="enumlev1"/>
        <w:spacing w:before="240"/>
      </w:pPr>
      <w:r w:rsidRPr="00236418">
        <w:lastRenderedPageBreak/>
        <w:t>b)</w:t>
      </w:r>
      <w:r w:rsidRPr="00236418">
        <w:tab/>
        <w:t>Qualité de crédit</w:t>
      </w:r>
    </w:p>
    <w:p w14:paraId="76E84D77" w14:textId="77777777" w:rsidR="00DF6159" w:rsidRPr="00236418" w:rsidRDefault="00DF6159" w:rsidP="009B3D24">
      <w:pPr>
        <w:pStyle w:val="enumlev1"/>
      </w:pPr>
      <w:r w:rsidRPr="00236418">
        <w:tab/>
        <w:t>La qualité de crédit est l'évaluation du risque de défaut de paiement afférent aux contreparties auxquelles l'UIT accorde des crédits, ainsi qu'aux parties avec lesquelles elle investit.</w:t>
      </w:r>
    </w:p>
    <w:p w14:paraId="48F0B5EE" w14:textId="77777777" w:rsidR="00DF6159" w:rsidRPr="00236418" w:rsidRDefault="00DF6159" w:rsidP="009B3D24">
      <w:pPr>
        <w:pStyle w:val="enumlev1"/>
      </w:pPr>
      <w:r w:rsidRPr="00236418">
        <w:tab/>
        <w:t>Des mesures, telles que l'envoi trimestriel d'un relevé de compte et la suspension de la participation aux travaux de l'UIT, ont été instaurées pour s'assurer que les États Membres, les Membres des Secteurs et les Associés règlent leurs arriérés. En outre, la possibilité de perdre le droit de vote a été instaurée pour inciter les États Membres à régler leurs arriérés dans les délais.</w:t>
      </w:r>
    </w:p>
    <w:p w14:paraId="55805449" w14:textId="77777777" w:rsidR="00DF6159" w:rsidRPr="00236418" w:rsidRDefault="00DF6159" w:rsidP="009B3D24">
      <w:pPr>
        <w:pStyle w:val="enumlev1"/>
      </w:pPr>
      <w:r w:rsidRPr="00236418">
        <w:tab/>
        <w:t>L'UIT diminue les risques de crédit sur la trésorerie et les équivalents de trésorerie et les placements en les répartissant entre plusieurs institutions bancaires ayant une cote de solvabilité élevée. En vertu de l'Article 16 du Règlement financier et des règles financières, le Secrétaire général choisit les banques ou autres institutions dans lesquelles sont déposés les fonds de l'Union. À cet égard, le Secrétaire général veille à ce que les fonds soient investis avant tout de façon à minimiser le risque sur les fonds principaux, tout en faisant en sorte que l'Union dispose des liquidités nécessaires pour faire face à ses besoins de trésorerie. L'UIT ne dépose pas de fonds dans des banques dont la cote de solvabilité est inférieure à A3.</w:t>
      </w:r>
    </w:p>
    <w:p w14:paraId="372E52C8" w14:textId="77777777" w:rsidR="00DF6159" w:rsidRPr="00236418" w:rsidRDefault="00DF6159" w:rsidP="009B3D24">
      <w:pPr>
        <w:pStyle w:val="enumlev1"/>
      </w:pPr>
      <w:r w:rsidRPr="00236418">
        <w:tab/>
        <w:t>Ces critères mis à part, les investissements sont choisis sur la base des rendements raisonnablement les plus élevés et dans le respect des principes des Nations Unies.</w:t>
      </w:r>
    </w:p>
    <w:p w14:paraId="072A8978" w14:textId="77777777" w:rsidR="00DF6159" w:rsidRPr="00236418" w:rsidRDefault="00DF6159" w:rsidP="009B3D24">
      <w:pPr>
        <w:pStyle w:val="enumlev1"/>
      </w:pPr>
      <w:r w:rsidRPr="00236418">
        <w:tab/>
        <w:t>Le Secrétaire général désigne les banques dans lesquelles les fonds de l'Union doivent être déposés, ouvre tous les comptes en banque nécessaires aux activités de l'Union et désigne les fonctionnaires autorisés à signer tous ordres relatifs auxdits comptes. Il autorise également toutes les fermetures de comptes en banque.</w:t>
      </w:r>
    </w:p>
    <w:p w14:paraId="05E866A9" w14:textId="77777777" w:rsidR="00DF6159" w:rsidRPr="00236418" w:rsidRDefault="00DF6159" w:rsidP="009B3D24">
      <w:pPr>
        <w:pStyle w:val="enumlev1"/>
      </w:pPr>
      <w:r w:rsidRPr="00236418">
        <w:t>c)</w:t>
      </w:r>
      <w:r w:rsidRPr="00236418">
        <w:tab/>
        <w:t>Risque de taux d'intérêt</w:t>
      </w:r>
    </w:p>
    <w:p w14:paraId="3FB71F5C" w14:textId="77777777" w:rsidR="00DF6159" w:rsidRPr="00236418" w:rsidRDefault="00DF6159" w:rsidP="009B3D24">
      <w:pPr>
        <w:pStyle w:val="enumlev1"/>
      </w:pPr>
      <w:r w:rsidRPr="00236418">
        <w:tab/>
        <w:t>L'UIT est exposée aux risques de taux d'intérêt du fait de ses placements à court terme. En 2015, à la suite de l'introduction par les institutions financières de taux d'intérêt négatifs pour les fonds en caisse, l'UIT a revu avec soin sa politique pour éviter d'impacter sa trésorerie et les équivalents de trésorerie. Depuis, l'Union a réussi à garantir tous les fonds, malgré la nécessité d'assurer un suivi attentif au jour le jour.</w:t>
      </w:r>
    </w:p>
    <w:p w14:paraId="6F3AEE93" w14:textId="77777777" w:rsidR="00DF6159" w:rsidRPr="00236418" w:rsidRDefault="00DF6159" w:rsidP="009B3D24">
      <w:pPr>
        <w:pStyle w:val="enumlev1"/>
      </w:pPr>
      <w:r w:rsidRPr="00236418">
        <w:t>d)</w:t>
      </w:r>
      <w:r w:rsidRPr="00236418">
        <w:tab/>
        <w:t>Risque de liquidité</w:t>
      </w:r>
    </w:p>
    <w:p w14:paraId="42DF7BA8" w14:textId="77777777" w:rsidR="00DF6159" w:rsidRPr="00236418" w:rsidRDefault="00DF6159" w:rsidP="009B3D24">
      <w:pPr>
        <w:pStyle w:val="enumlev1"/>
      </w:pPr>
      <w:r w:rsidRPr="00236418">
        <w:tab/>
        <w:t>Le risque de liquidité est le risque que l'UIT ne soit pas en mesure de remplir ses engagements lorsqu'ils arrivent à échéance. L'approche adoptée par l'UIT pour gérer le risque de liquidité consiste à faire en sorte de disposer de liquidités suffisantes pour remplir ses engagements à leur échéance. Pour veiller à disposer de liquidités suffisantes pour faire face aux charges opérationnelles prévues, l'UIT utilise des prévisions de flux de trésorerie.</w:t>
      </w:r>
    </w:p>
    <w:p w14:paraId="1297B86C" w14:textId="77777777" w:rsidR="00DF6159" w:rsidRPr="00236418" w:rsidRDefault="00DF6159" w:rsidP="009B3D24">
      <w:pPr>
        <w:pStyle w:val="enumlev1"/>
      </w:pPr>
      <w:r w:rsidRPr="00236418">
        <w:tab/>
        <w:t>Le risque de liquidité peut être considéré comme négligeable, étant donné qu'en vertu de l'Article 17 du Règlement financier, le Gouvernement de la Confédération suisse met, selon des conditions à fixer, des avances de fonds à la disposition de l'Union, afin de lui permettre de répondre à ses besoins temporaires de trésorerie.</w:t>
      </w:r>
    </w:p>
    <w:p w14:paraId="618AB949" w14:textId="77777777" w:rsidR="00DF6159" w:rsidRPr="00236418" w:rsidRDefault="00DF6159" w:rsidP="009B3D24">
      <w:pPr>
        <w:pStyle w:val="enumlev1"/>
        <w:spacing w:before="40"/>
      </w:pPr>
      <w:r w:rsidRPr="00236418">
        <w:tab/>
        <w:t>Le principal objectif de la gestion du capital de l'UIT est de faire en sorte que les liquidités disponibles soient suffisantes pour répondre aux besoins de financement de l'organisation, y compris les dépenses d'investissement, afin de garantir la solidité financière de l'Union.</w:t>
      </w:r>
    </w:p>
    <w:p w14:paraId="21F30C40" w14:textId="77777777" w:rsidR="00DF6159" w:rsidRPr="00236418" w:rsidRDefault="00DF6159" w:rsidP="00EC64ED">
      <w:pPr>
        <w:pStyle w:val="enumlev1"/>
        <w:keepNext/>
        <w:keepLines/>
      </w:pPr>
      <w:r w:rsidRPr="00236418">
        <w:lastRenderedPageBreak/>
        <w:t>e)</w:t>
      </w:r>
      <w:r w:rsidRPr="00236418">
        <w:tab/>
        <w:t>Risque de change</w:t>
      </w:r>
    </w:p>
    <w:p w14:paraId="0429A7DB" w14:textId="77777777" w:rsidR="00DF6159" w:rsidRPr="00236418" w:rsidRDefault="00DF6159" w:rsidP="00EC64ED">
      <w:pPr>
        <w:pStyle w:val="enumlev1"/>
        <w:keepLines/>
      </w:pPr>
      <w:r w:rsidRPr="00236418">
        <w:tab/>
        <w:t>L'UIT perçoit les contributions des États Membres et les contributions au titre du budget ordinaire en CHF, et les contributions extrabudgétaires dans des devises autres que le CHF. L'UIT n'a pas recours à des contrats de change à terme, des opérations à terme, des swaps ou des options de change pour couvrir les gains ou pertes de change réalisés ou non réalisés. Lorsque cela est possible, l'UIT pratique la couverture naturelle, en allouant directement les devises nécessaires sur les comptes bancaires appropriés.</w:t>
      </w:r>
    </w:p>
    <w:p w14:paraId="4D191D4D" w14:textId="77777777" w:rsidR="00DF6159" w:rsidRPr="00236418" w:rsidRDefault="00DF6159" w:rsidP="009B3D24">
      <w:pPr>
        <w:pStyle w:val="enumlev1"/>
      </w:pPr>
      <w:r w:rsidRPr="00236418">
        <w:tab/>
        <w:t>Il y a lieu de noter que le nouveau régime d'assurance maladie est géré en francs suisses, ce qui réduit considérablement l'exposition aux variations des taux de change. L'Union est toujours exposée à des gains ou à des pertes de change résultant du versement des cotisations en dollars EU à la CCPPNU. Toutefois, étant donné que les cotisations des fonctionnaires de la catégorie professionnelle sont libellées en dollars EU alors que celles des fonctionnaires de la catégorie des services généraux sont libellées en francs suisses, et que le nombre de fonctionnaires dans ces deux catégories est équitablement réparti, les fluctuations du taux de change ont tendance à s'équilibrer.</w:t>
      </w:r>
    </w:p>
    <w:p w14:paraId="5785FB46" w14:textId="0850DE98" w:rsidR="00DF6159" w:rsidRPr="00236418" w:rsidRDefault="00DF6159" w:rsidP="009B3D24">
      <w:pPr>
        <w:pStyle w:val="enumlev1"/>
      </w:pPr>
      <w:r w:rsidRPr="00236418">
        <w:tab/>
        <w:t>Les contributions extrabudgétaires sont gérées dans la devise de la contribution et converties en CHF à des fins de présentation.</w:t>
      </w:r>
    </w:p>
    <w:p w14:paraId="21782112" w14:textId="08D01A22" w:rsidR="00E72BD9" w:rsidRPr="00236418" w:rsidRDefault="00A1438E" w:rsidP="009B3D24">
      <w:pPr>
        <w:pStyle w:val="enumlev1"/>
      </w:pPr>
      <w:r w:rsidRPr="00236418">
        <w:tab/>
      </w:r>
      <w:r w:rsidR="00E72BD9" w:rsidRPr="00236418">
        <w:t>Le 1er janvier 2020, l'UIT a intégré l'Assurance mutuelle contre la maladie et les accidents du personnel des Nations Unies (UNSMIS)</w:t>
      </w:r>
      <w:r w:rsidRPr="00236418">
        <w:t xml:space="preserve">. Bien que les cotisations mensuelles soient versées en francs suisses, ce qui protège l'UIT contre les risques de change, l'Union doit contribuer au fonds de garantie, ainsi qu'aux coûts administratifs (voir la note 17). Cette participation, répartie en un premier versement </w:t>
      </w:r>
      <w:r w:rsidR="00D54D37" w:rsidRPr="00236418">
        <w:t xml:space="preserve">2020 </w:t>
      </w:r>
      <w:r w:rsidRPr="00236418">
        <w:t xml:space="preserve">et 13 versements jusqu'en 2032, ainsi que les coûts administratifs sont définis par contrat en dollars EU et, par conséquent, l'Union est exposée </w:t>
      </w:r>
      <w:r w:rsidR="00843C41" w:rsidRPr="00236418">
        <w:t xml:space="preserve">à des gains ou à des pertes de change liés au versement annuel en dollars EU. </w:t>
      </w:r>
      <w:r w:rsidR="00C44C28" w:rsidRPr="00236418">
        <w:t>Il est à noter que certain</w:t>
      </w:r>
      <w:r w:rsidR="00D54D37" w:rsidRPr="00236418">
        <w:t>e</w:t>
      </w:r>
      <w:r w:rsidR="00C44C28" w:rsidRPr="00236418">
        <w:t>s contributions des membres de l'Union sont reçues en dollars EU, ce qui permet d'atténuer le risque de change, en particulier pour les charges en dollars EU.</w:t>
      </w:r>
    </w:p>
    <w:p w14:paraId="4A058046" w14:textId="77777777" w:rsidR="00DF6159" w:rsidRPr="00236418" w:rsidRDefault="00DF6159" w:rsidP="009B3D24">
      <w:pPr>
        <w:pStyle w:val="enumlev1"/>
      </w:pPr>
      <w:r w:rsidRPr="00236418">
        <w:t>f)</w:t>
      </w:r>
      <w:r w:rsidRPr="00236418">
        <w:tab/>
        <w:t>Risque de marché</w:t>
      </w:r>
    </w:p>
    <w:p w14:paraId="5016E115" w14:textId="77777777" w:rsidR="00DF6159" w:rsidRPr="00236418" w:rsidRDefault="00DF6159" w:rsidP="009B3D24">
      <w:pPr>
        <w:pStyle w:val="enumlev1"/>
      </w:pPr>
      <w:r w:rsidRPr="00236418">
        <w:tab/>
        <w:t>Le risque de marché est le risque afférent aux variations des prix de marché, notamment en ce qui concerne les taux de change et les taux d'intérêt, variations qui peuvent avoir des répercussions sur les recettes de l'UIT ou sur la valeur de ses instruments financiers. La gestion du risque de marché a pour objet de gérer l'exposition au risque de marché et de la maintenir dans des limites acceptables, tout en optimisant la rentabilité du risque.</w:t>
      </w:r>
    </w:p>
    <w:p w14:paraId="18C5D2CD" w14:textId="74F41359" w:rsidR="00DF6159" w:rsidRPr="00236418" w:rsidRDefault="00DF6159" w:rsidP="009B3D24">
      <w:pPr>
        <w:spacing w:after="240"/>
      </w:pPr>
      <w:r w:rsidRPr="00236418">
        <w:t>La structure des échéances des instruments financiers au 31 décembre 201</w:t>
      </w:r>
      <w:r w:rsidR="008129B1" w:rsidRPr="00236418">
        <w:t>9</w:t>
      </w:r>
      <w:r w:rsidRPr="00236418">
        <w:t xml:space="preserve"> est la suivante:</w:t>
      </w:r>
    </w:p>
    <w:tbl>
      <w:tblPr>
        <w:tblStyle w:val="TableGrid"/>
        <w:tblW w:w="0" w:type="auto"/>
        <w:jc w:val="center"/>
        <w:tblLook w:val="04A0" w:firstRow="1" w:lastRow="0" w:firstColumn="1" w:lastColumn="0" w:noHBand="0" w:noVBand="1"/>
        <w:tblCaption w:val="E"/>
      </w:tblPr>
      <w:tblGrid>
        <w:gridCol w:w="3397"/>
        <w:gridCol w:w="1560"/>
        <w:gridCol w:w="1275"/>
        <w:gridCol w:w="1134"/>
        <w:gridCol w:w="993"/>
        <w:gridCol w:w="1270"/>
      </w:tblGrid>
      <w:tr w:rsidR="00DF6159" w:rsidRPr="00236418" w14:paraId="4231CDB4" w14:textId="77777777" w:rsidTr="00596807">
        <w:trPr>
          <w:jc w:val="center"/>
        </w:trPr>
        <w:tc>
          <w:tcPr>
            <w:tcW w:w="3397" w:type="dxa"/>
          </w:tcPr>
          <w:p w14:paraId="7834B2B9" w14:textId="77777777" w:rsidR="00DF6159" w:rsidRPr="00236418" w:rsidRDefault="00DF6159" w:rsidP="009B3D24">
            <w:pPr>
              <w:pStyle w:val="Tablehead"/>
              <w:spacing w:before="40" w:after="40"/>
              <w:rPr>
                <w:sz w:val="20"/>
              </w:rPr>
            </w:pPr>
            <w:r w:rsidRPr="00236418">
              <w:rPr>
                <w:sz w:val="20"/>
              </w:rPr>
              <w:t>En milliers de CHF</w:t>
            </w:r>
          </w:p>
        </w:tc>
        <w:tc>
          <w:tcPr>
            <w:tcW w:w="1560" w:type="dxa"/>
          </w:tcPr>
          <w:p w14:paraId="18B96283" w14:textId="77777777" w:rsidR="00DF6159" w:rsidRPr="00236418" w:rsidRDefault="00DF6159" w:rsidP="009B3D24">
            <w:pPr>
              <w:pStyle w:val="Tablehead"/>
              <w:spacing w:before="40" w:after="40"/>
              <w:rPr>
                <w:sz w:val="20"/>
              </w:rPr>
            </w:pPr>
            <w:r w:rsidRPr="00236418">
              <w:rPr>
                <w:sz w:val="20"/>
              </w:rPr>
              <w:t>Taux d'intérêt moyen pondéré</w:t>
            </w:r>
          </w:p>
        </w:tc>
        <w:tc>
          <w:tcPr>
            <w:tcW w:w="1275" w:type="dxa"/>
          </w:tcPr>
          <w:p w14:paraId="1B050672" w14:textId="77777777" w:rsidR="00DF6159" w:rsidRPr="00236418" w:rsidRDefault="00DF6159" w:rsidP="009B3D24">
            <w:pPr>
              <w:pStyle w:val="Tablehead"/>
              <w:spacing w:before="40" w:after="40"/>
              <w:rPr>
                <w:sz w:val="20"/>
              </w:rPr>
            </w:pPr>
            <w:r w:rsidRPr="00236418">
              <w:rPr>
                <w:sz w:val="20"/>
              </w:rPr>
              <w:t>1 année ou moins</w:t>
            </w:r>
          </w:p>
        </w:tc>
        <w:tc>
          <w:tcPr>
            <w:tcW w:w="1134" w:type="dxa"/>
          </w:tcPr>
          <w:p w14:paraId="2AD50880" w14:textId="77777777" w:rsidR="00DF6159" w:rsidRPr="00236418" w:rsidRDefault="00DF6159" w:rsidP="009B3D24">
            <w:pPr>
              <w:pStyle w:val="Tablehead"/>
              <w:spacing w:before="40" w:after="40"/>
              <w:rPr>
                <w:sz w:val="20"/>
              </w:rPr>
            </w:pPr>
            <w:r w:rsidRPr="00236418">
              <w:rPr>
                <w:sz w:val="20"/>
              </w:rPr>
              <w:t>&lt; 10 ans</w:t>
            </w:r>
          </w:p>
        </w:tc>
        <w:tc>
          <w:tcPr>
            <w:tcW w:w="993" w:type="dxa"/>
          </w:tcPr>
          <w:p w14:paraId="49B3DC1C" w14:textId="77777777" w:rsidR="00DF6159" w:rsidRPr="00236418" w:rsidRDefault="00DF6159" w:rsidP="009B3D24">
            <w:pPr>
              <w:pStyle w:val="Tablehead"/>
              <w:spacing w:before="40" w:after="40"/>
              <w:rPr>
                <w:sz w:val="20"/>
              </w:rPr>
            </w:pPr>
            <w:r w:rsidRPr="00236418">
              <w:rPr>
                <w:sz w:val="20"/>
              </w:rPr>
              <w:t>&gt; 10 ans</w:t>
            </w:r>
          </w:p>
        </w:tc>
        <w:tc>
          <w:tcPr>
            <w:tcW w:w="1270" w:type="dxa"/>
          </w:tcPr>
          <w:p w14:paraId="140FEE33" w14:textId="77777777" w:rsidR="00DF6159" w:rsidRPr="00236418" w:rsidRDefault="00DF6159" w:rsidP="009B3D24">
            <w:pPr>
              <w:pStyle w:val="Tablehead"/>
              <w:spacing w:before="40" w:after="40"/>
              <w:rPr>
                <w:sz w:val="20"/>
              </w:rPr>
            </w:pPr>
            <w:r w:rsidRPr="00236418">
              <w:rPr>
                <w:sz w:val="20"/>
              </w:rPr>
              <w:t>Total</w:t>
            </w:r>
          </w:p>
        </w:tc>
      </w:tr>
      <w:tr w:rsidR="00DF6159" w:rsidRPr="00236418" w14:paraId="23DF6E8A" w14:textId="77777777" w:rsidTr="00596807">
        <w:trPr>
          <w:jc w:val="center"/>
        </w:trPr>
        <w:tc>
          <w:tcPr>
            <w:tcW w:w="3397" w:type="dxa"/>
          </w:tcPr>
          <w:p w14:paraId="0BAD4E8E" w14:textId="77777777" w:rsidR="00DF6159" w:rsidRPr="00236418" w:rsidRDefault="00DF6159" w:rsidP="009B3D24">
            <w:pPr>
              <w:pStyle w:val="Tablehead"/>
              <w:spacing w:before="40" w:after="40"/>
              <w:jc w:val="left"/>
              <w:rPr>
                <w:sz w:val="20"/>
              </w:rPr>
            </w:pPr>
            <w:r w:rsidRPr="00236418">
              <w:rPr>
                <w:sz w:val="20"/>
              </w:rPr>
              <w:t>Actifs financiers</w:t>
            </w:r>
          </w:p>
        </w:tc>
        <w:tc>
          <w:tcPr>
            <w:tcW w:w="1560" w:type="dxa"/>
          </w:tcPr>
          <w:p w14:paraId="12AB6119" w14:textId="77777777" w:rsidR="00DF6159" w:rsidRPr="00236418" w:rsidRDefault="00DF6159" w:rsidP="009B3D24">
            <w:pPr>
              <w:pStyle w:val="Tablehead"/>
              <w:spacing w:before="40" w:after="40"/>
              <w:rPr>
                <w:sz w:val="20"/>
              </w:rPr>
            </w:pPr>
          </w:p>
        </w:tc>
        <w:tc>
          <w:tcPr>
            <w:tcW w:w="1275" w:type="dxa"/>
          </w:tcPr>
          <w:p w14:paraId="53B8C8CF" w14:textId="77777777" w:rsidR="00DF6159" w:rsidRPr="00236418" w:rsidRDefault="00DF6159" w:rsidP="009B3D24">
            <w:pPr>
              <w:pStyle w:val="Tablehead"/>
              <w:spacing w:before="40" w:after="40"/>
              <w:rPr>
                <w:sz w:val="20"/>
              </w:rPr>
            </w:pPr>
          </w:p>
        </w:tc>
        <w:tc>
          <w:tcPr>
            <w:tcW w:w="1134" w:type="dxa"/>
          </w:tcPr>
          <w:p w14:paraId="72FC8709" w14:textId="77777777" w:rsidR="00DF6159" w:rsidRPr="00236418" w:rsidRDefault="00DF6159" w:rsidP="009B3D24">
            <w:pPr>
              <w:pStyle w:val="Tablehead"/>
              <w:spacing w:before="40" w:after="40"/>
              <w:rPr>
                <w:sz w:val="20"/>
              </w:rPr>
            </w:pPr>
          </w:p>
        </w:tc>
        <w:tc>
          <w:tcPr>
            <w:tcW w:w="993" w:type="dxa"/>
          </w:tcPr>
          <w:p w14:paraId="5CD55C4E" w14:textId="77777777" w:rsidR="00DF6159" w:rsidRPr="00236418" w:rsidRDefault="00DF6159" w:rsidP="009B3D24">
            <w:pPr>
              <w:pStyle w:val="Tablehead"/>
              <w:spacing w:before="40" w:after="40"/>
              <w:rPr>
                <w:sz w:val="20"/>
              </w:rPr>
            </w:pPr>
          </w:p>
        </w:tc>
        <w:tc>
          <w:tcPr>
            <w:tcW w:w="1270" w:type="dxa"/>
          </w:tcPr>
          <w:p w14:paraId="0042F5E1" w14:textId="77777777" w:rsidR="00DF6159" w:rsidRPr="00236418" w:rsidRDefault="00DF6159" w:rsidP="009B3D24">
            <w:pPr>
              <w:pStyle w:val="Tablehead"/>
              <w:spacing w:before="40" w:after="40"/>
              <w:rPr>
                <w:sz w:val="20"/>
              </w:rPr>
            </w:pPr>
          </w:p>
        </w:tc>
      </w:tr>
      <w:tr w:rsidR="008129B1" w:rsidRPr="00236418" w14:paraId="0BC12593" w14:textId="77777777" w:rsidTr="00596807">
        <w:trPr>
          <w:jc w:val="center"/>
        </w:trPr>
        <w:tc>
          <w:tcPr>
            <w:tcW w:w="3397" w:type="dxa"/>
          </w:tcPr>
          <w:p w14:paraId="4DA067A5" w14:textId="77777777" w:rsidR="008129B1" w:rsidRPr="00236418" w:rsidRDefault="008129B1" w:rsidP="009B3D24">
            <w:pPr>
              <w:pStyle w:val="Tabletext"/>
              <w:spacing w:before="40" w:after="40"/>
              <w:rPr>
                <w:sz w:val="20"/>
              </w:rPr>
            </w:pPr>
            <w:r w:rsidRPr="00236418">
              <w:rPr>
                <w:sz w:val="20"/>
              </w:rPr>
              <w:t>Placements</w:t>
            </w:r>
          </w:p>
        </w:tc>
        <w:tc>
          <w:tcPr>
            <w:tcW w:w="1560" w:type="dxa"/>
          </w:tcPr>
          <w:p w14:paraId="1DB5000E" w14:textId="77777777" w:rsidR="008129B1" w:rsidRPr="00236418" w:rsidRDefault="008129B1" w:rsidP="009B3D24">
            <w:pPr>
              <w:jc w:val="right"/>
              <w:rPr>
                <w:sz w:val="20"/>
                <w:szCs w:val="20"/>
              </w:rPr>
            </w:pPr>
          </w:p>
        </w:tc>
        <w:tc>
          <w:tcPr>
            <w:tcW w:w="1275" w:type="dxa"/>
          </w:tcPr>
          <w:p w14:paraId="43CFEE21" w14:textId="2D244729" w:rsidR="008129B1" w:rsidRPr="00236418" w:rsidRDefault="008129B1" w:rsidP="009B3D24">
            <w:pPr>
              <w:jc w:val="right"/>
              <w:rPr>
                <w:sz w:val="20"/>
                <w:szCs w:val="20"/>
              </w:rPr>
            </w:pPr>
            <w:r w:rsidRPr="00236418">
              <w:rPr>
                <w:sz w:val="20"/>
                <w:szCs w:val="20"/>
              </w:rPr>
              <w:t>33 329</w:t>
            </w:r>
          </w:p>
        </w:tc>
        <w:tc>
          <w:tcPr>
            <w:tcW w:w="1134" w:type="dxa"/>
          </w:tcPr>
          <w:p w14:paraId="1AEF480D" w14:textId="77777777" w:rsidR="008129B1" w:rsidRPr="00236418" w:rsidRDefault="008129B1" w:rsidP="009B3D24">
            <w:pPr>
              <w:jc w:val="right"/>
              <w:rPr>
                <w:sz w:val="20"/>
                <w:szCs w:val="20"/>
              </w:rPr>
            </w:pPr>
          </w:p>
        </w:tc>
        <w:tc>
          <w:tcPr>
            <w:tcW w:w="993" w:type="dxa"/>
          </w:tcPr>
          <w:p w14:paraId="68ABC8F4" w14:textId="77777777" w:rsidR="008129B1" w:rsidRPr="00236418" w:rsidRDefault="008129B1" w:rsidP="009B3D24">
            <w:pPr>
              <w:jc w:val="right"/>
              <w:rPr>
                <w:sz w:val="20"/>
                <w:szCs w:val="20"/>
              </w:rPr>
            </w:pPr>
          </w:p>
        </w:tc>
        <w:tc>
          <w:tcPr>
            <w:tcW w:w="1270" w:type="dxa"/>
          </w:tcPr>
          <w:p w14:paraId="21491541" w14:textId="79677BEE" w:rsidR="008129B1" w:rsidRPr="00236418" w:rsidRDefault="008129B1" w:rsidP="009B3D24">
            <w:pPr>
              <w:jc w:val="right"/>
              <w:rPr>
                <w:sz w:val="20"/>
                <w:szCs w:val="20"/>
              </w:rPr>
            </w:pPr>
            <w:r w:rsidRPr="00236418">
              <w:rPr>
                <w:sz w:val="20"/>
                <w:szCs w:val="20"/>
              </w:rPr>
              <w:t>33 329</w:t>
            </w:r>
          </w:p>
        </w:tc>
      </w:tr>
      <w:tr w:rsidR="008129B1" w:rsidRPr="00236418" w14:paraId="5BC7624C" w14:textId="77777777" w:rsidTr="00596807">
        <w:trPr>
          <w:jc w:val="center"/>
        </w:trPr>
        <w:tc>
          <w:tcPr>
            <w:tcW w:w="3397" w:type="dxa"/>
          </w:tcPr>
          <w:p w14:paraId="0BCB2C68" w14:textId="77777777" w:rsidR="008129B1" w:rsidRPr="00236418" w:rsidRDefault="008129B1" w:rsidP="009B3D24">
            <w:pPr>
              <w:pStyle w:val="Tabletext"/>
              <w:spacing w:before="40" w:after="40"/>
              <w:rPr>
                <w:sz w:val="20"/>
              </w:rPr>
            </w:pPr>
            <w:r w:rsidRPr="00236418">
              <w:rPr>
                <w:sz w:val="20"/>
              </w:rPr>
              <w:t>Trésorerie et équivalents de trésorerie</w:t>
            </w:r>
          </w:p>
        </w:tc>
        <w:tc>
          <w:tcPr>
            <w:tcW w:w="1560" w:type="dxa"/>
          </w:tcPr>
          <w:p w14:paraId="0C734782" w14:textId="77777777" w:rsidR="008129B1" w:rsidRPr="00236418" w:rsidRDefault="008129B1" w:rsidP="009B3D24">
            <w:pPr>
              <w:jc w:val="right"/>
              <w:rPr>
                <w:sz w:val="20"/>
                <w:szCs w:val="20"/>
                <w:highlight w:val="yellow"/>
              </w:rPr>
            </w:pPr>
          </w:p>
        </w:tc>
        <w:tc>
          <w:tcPr>
            <w:tcW w:w="1275" w:type="dxa"/>
          </w:tcPr>
          <w:p w14:paraId="3D8B02C5" w14:textId="63CABAF9" w:rsidR="008129B1" w:rsidRPr="00236418" w:rsidRDefault="008129B1" w:rsidP="009B3D24">
            <w:pPr>
              <w:jc w:val="right"/>
              <w:rPr>
                <w:sz w:val="20"/>
                <w:szCs w:val="20"/>
              </w:rPr>
            </w:pPr>
            <w:r w:rsidRPr="00236418">
              <w:rPr>
                <w:sz w:val="20"/>
                <w:szCs w:val="20"/>
              </w:rPr>
              <w:t>178 852</w:t>
            </w:r>
          </w:p>
        </w:tc>
        <w:tc>
          <w:tcPr>
            <w:tcW w:w="1134" w:type="dxa"/>
          </w:tcPr>
          <w:p w14:paraId="18F6106B" w14:textId="77777777" w:rsidR="008129B1" w:rsidRPr="00236418" w:rsidRDefault="008129B1" w:rsidP="009B3D24">
            <w:pPr>
              <w:jc w:val="right"/>
              <w:rPr>
                <w:sz w:val="20"/>
                <w:szCs w:val="20"/>
              </w:rPr>
            </w:pPr>
            <w:r w:rsidRPr="00236418">
              <w:rPr>
                <w:sz w:val="20"/>
                <w:szCs w:val="20"/>
              </w:rPr>
              <w:t>0</w:t>
            </w:r>
          </w:p>
        </w:tc>
        <w:tc>
          <w:tcPr>
            <w:tcW w:w="993" w:type="dxa"/>
          </w:tcPr>
          <w:p w14:paraId="32E08BF9" w14:textId="77777777" w:rsidR="008129B1" w:rsidRPr="00236418" w:rsidRDefault="008129B1" w:rsidP="009B3D24">
            <w:pPr>
              <w:jc w:val="right"/>
              <w:rPr>
                <w:sz w:val="20"/>
                <w:szCs w:val="20"/>
              </w:rPr>
            </w:pPr>
            <w:r w:rsidRPr="00236418">
              <w:rPr>
                <w:sz w:val="20"/>
                <w:szCs w:val="20"/>
              </w:rPr>
              <w:t>0</w:t>
            </w:r>
          </w:p>
        </w:tc>
        <w:tc>
          <w:tcPr>
            <w:tcW w:w="1270" w:type="dxa"/>
          </w:tcPr>
          <w:p w14:paraId="6B66A4A6" w14:textId="32359F79" w:rsidR="008129B1" w:rsidRPr="00236418" w:rsidRDefault="008129B1" w:rsidP="009B3D24">
            <w:pPr>
              <w:jc w:val="right"/>
              <w:rPr>
                <w:sz w:val="20"/>
                <w:szCs w:val="20"/>
              </w:rPr>
            </w:pPr>
            <w:r w:rsidRPr="00236418">
              <w:rPr>
                <w:sz w:val="20"/>
                <w:szCs w:val="20"/>
              </w:rPr>
              <w:t>178 852</w:t>
            </w:r>
          </w:p>
        </w:tc>
      </w:tr>
      <w:tr w:rsidR="008129B1" w:rsidRPr="00236418" w14:paraId="32F26FDA" w14:textId="77777777" w:rsidTr="00596807">
        <w:trPr>
          <w:jc w:val="center"/>
        </w:trPr>
        <w:tc>
          <w:tcPr>
            <w:tcW w:w="3397" w:type="dxa"/>
          </w:tcPr>
          <w:p w14:paraId="0B12F054" w14:textId="77777777" w:rsidR="008129B1" w:rsidRPr="00236418" w:rsidRDefault="008129B1" w:rsidP="009B3D24">
            <w:pPr>
              <w:pStyle w:val="Tabletext"/>
              <w:spacing w:before="40" w:after="40"/>
              <w:rPr>
                <w:b/>
                <w:bCs/>
                <w:sz w:val="20"/>
              </w:rPr>
            </w:pPr>
            <w:r w:rsidRPr="00236418">
              <w:rPr>
                <w:b/>
                <w:bCs/>
                <w:sz w:val="20"/>
              </w:rPr>
              <w:t>Total des actifs financiers</w:t>
            </w:r>
          </w:p>
        </w:tc>
        <w:tc>
          <w:tcPr>
            <w:tcW w:w="1560" w:type="dxa"/>
          </w:tcPr>
          <w:p w14:paraId="709A7D83" w14:textId="77777777" w:rsidR="008129B1" w:rsidRPr="00236418" w:rsidRDefault="008129B1" w:rsidP="009B3D24">
            <w:pPr>
              <w:jc w:val="right"/>
              <w:rPr>
                <w:sz w:val="20"/>
                <w:szCs w:val="20"/>
                <w:highlight w:val="yellow"/>
              </w:rPr>
            </w:pPr>
          </w:p>
        </w:tc>
        <w:tc>
          <w:tcPr>
            <w:tcW w:w="1275" w:type="dxa"/>
          </w:tcPr>
          <w:p w14:paraId="71CDF0DD" w14:textId="7373BC71" w:rsidR="008129B1" w:rsidRPr="00236418" w:rsidRDefault="008129B1" w:rsidP="009B3D24">
            <w:pPr>
              <w:jc w:val="right"/>
              <w:rPr>
                <w:sz w:val="20"/>
                <w:szCs w:val="20"/>
              </w:rPr>
            </w:pPr>
            <w:r w:rsidRPr="00236418">
              <w:rPr>
                <w:sz w:val="20"/>
                <w:szCs w:val="20"/>
              </w:rPr>
              <w:t>212 181</w:t>
            </w:r>
          </w:p>
        </w:tc>
        <w:tc>
          <w:tcPr>
            <w:tcW w:w="1134" w:type="dxa"/>
          </w:tcPr>
          <w:p w14:paraId="049E4C3E" w14:textId="77777777" w:rsidR="008129B1" w:rsidRPr="00236418" w:rsidRDefault="008129B1" w:rsidP="009B3D24">
            <w:pPr>
              <w:jc w:val="right"/>
              <w:rPr>
                <w:sz w:val="20"/>
                <w:szCs w:val="20"/>
              </w:rPr>
            </w:pPr>
            <w:r w:rsidRPr="00236418">
              <w:rPr>
                <w:sz w:val="20"/>
                <w:szCs w:val="20"/>
              </w:rPr>
              <w:t>0</w:t>
            </w:r>
          </w:p>
        </w:tc>
        <w:tc>
          <w:tcPr>
            <w:tcW w:w="993" w:type="dxa"/>
          </w:tcPr>
          <w:p w14:paraId="47DFA709" w14:textId="77777777" w:rsidR="008129B1" w:rsidRPr="00236418" w:rsidRDefault="008129B1" w:rsidP="009B3D24">
            <w:pPr>
              <w:jc w:val="right"/>
              <w:rPr>
                <w:sz w:val="20"/>
                <w:szCs w:val="20"/>
              </w:rPr>
            </w:pPr>
            <w:r w:rsidRPr="00236418">
              <w:rPr>
                <w:sz w:val="20"/>
                <w:szCs w:val="20"/>
              </w:rPr>
              <w:t>0</w:t>
            </w:r>
          </w:p>
        </w:tc>
        <w:tc>
          <w:tcPr>
            <w:tcW w:w="1270" w:type="dxa"/>
          </w:tcPr>
          <w:p w14:paraId="6A17ED2B" w14:textId="2E34B76F" w:rsidR="008129B1" w:rsidRPr="00236418" w:rsidRDefault="008129B1" w:rsidP="009B3D24">
            <w:pPr>
              <w:jc w:val="right"/>
              <w:rPr>
                <w:sz w:val="20"/>
                <w:szCs w:val="20"/>
              </w:rPr>
            </w:pPr>
            <w:r w:rsidRPr="00236418">
              <w:rPr>
                <w:sz w:val="20"/>
                <w:szCs w:val="20"/>
              </w:rPr>
              <w:t>212 181</w:t>
            </w:r>
          </w:p>
        </w:tc>
      </w:tr>
      <w:tr w:rsidR="008129B1" w:rsidRPr="00236418" w14:paraId="7567EB49" w14:textId="77777777" w:rsidTr="00596807">
        <w:trPr>
          <w:jc w:val="center"/>
        </w:trPr>
        <w:tc>
          <w:tcPr>
            <w:tcW w:w="3397" w:type="dxa"/>
          </w:tcPr>
          <w:p w14:paraId="19B9C0E2" w14:textId="77777777" w:rsidR="008129B1" w:rsidRPr="00236418" w:rsidRDefault="008129B1" w:rsidP="009B3D24">
            <w:pPr>
              <w:pStyle w:val="Tabletext"/>
              <w:spacing w:before="40" w:after="40"/>
              <w:rPr>
                <w:b/>
                <w:bCs/>
                <w:sz w:val="20"/>
              </w:rPr>
            </w:pPr>
            <w:r w:rsidRPr="00236418">
              <w:rPr>
                <w:b/>
                <w:bCs/>
                <w:sz w:val="20"/>
              </w:rPr>
              <w:t>Passifs financiers</w:t>
            </w:r>
          </w:p>
        </w:tc>
        <w:tc>
          <w:tcPr>
            <w:tcW w:w="1560" w:type="dxa"/>
          </w:tcPr>
          <w:p w14:paraId="06296AE8" w14:textId="77777777" w:rsidR="008129B1" w:rsidRPr="00236418" w:rsidRDefault="008129B1" w:rsidP="009B3D24">
            <w:pPr>
              <w:jc w:val="right"/>
              <w:rPr>
                <w:sz w:val="20"/>
                <w:szCs w:val="20"/>
                <w:highlight w:val="yellow"/>
              </w:rPr>
            </w:pPr>
          </w:p>
        </w:tc>
        <w:tc>
          <w:tcPr>
            <w:tcW w:w="1275" w:type="dxa"/>
          </w:tcPr>
          <w:p w14:paraId="7DF700B9" w14:textId="606B2DC5" w:rsidR="008129B1" w:rsidRPr="00236418" w:rsidRDefault="008129B1" w:rsidP="009B3D24">
            <w:pPr>
              <w:jc w:val="right"/>
              <w:rPr>
                <w:sz w:val="20"/>
                <w:szCs w:val="20"/>
              </w:rPr>
            </w:pPr>
          </w:p>
        </w:tc>
        <w:tc>
          <w:tcPr>
            <w:tcW w:w="1134" w:type="dxa"/>
          </w:tcPr>
          <w:p w14:paraId="07E3AD20" w14:textId="77777777" w:rsidR="008129B1" w:rsidRPr="00236418" w:rsidRDefault="008129B1" w:rsidP="009B3D24">
            <w:pPr>
              <w:jc w:val="right"/>
              <w:rPr>
                <w:sz w:val="20"/>
                <w:szCs w:val="20"/>
              </w:rPr>
            </w:pPr>
            <w:r w:rsidRPr="00236418">
              <w:rPr>
                <w:sz w:val="20"/>
                <w:szCs w:val="20"/>
              </w:rPr>
              <w:t>0</w:t>
            </w:r>
          </w:p>
        </w:tc>
        <w:tc>
          <w:tcPr>
            <w:tcW w:w="993" w:type="dxa"/>
          </w:tcPr>
          <w:p w14:paraId="4475581A" w14:textId="77777777" w:rsidR="008129B1" w:rsidRPr="00236418" w:rsidRDefault="008129B1" w:rsidP="009B3D24">
            <w:pPr>
              <w:jc w:val="right"/>
              <w:rPr>
                <w:sz w:val="20"/>
                <w:szCs w:val="20"/>
              </w:rPr>
            </w:pPr>
            <w:r w:rsidRPr="00236418">
              <w:rPr>
                <w:sz w:val="20"/>
                <w:szCs w:val="20"/>
              </w:rPr>
              <w:t>0</w:t>
            </w:r>
          </w:p>
        </w:tc>
        <w:tc>
          <w:tcPr>
            <w:tcW w:w="1270" w:type="dxa"/>
          </w:tcPr>
          <w:p w14:paraId="64C1AF1D" w14:textId="42A7F5BC" w:rsidR="008129B1" w:rsidRPr="00236418" w:rsidRDefault="008129B1" w:rsidP="009B3D24">
            <w:pPr>
              <w:jc w:val="right"/>
              <w:rPr>
                <w:sz w:val="20"/>
                <w:szCs w:val="20"/>
              </w:rPr>
            </w:pPr>
          </w:p>
        </w:tc>
      </w:tr>
      <w:tr w:rsidR="008129B1" w:rsidRPr="00236418" w14:paraId="6E57C95E" w14:textId="77777777" w:rsidTr="00596807">
        <w:trPr>
          <w:jc w:val="center"/>
        </w:trPr>
        <w:tc>
          <w:tcPr>
            <w:tcW w:w="3397" w:type="dxa"/>
          </w:tcPr>
          <w:p w14:paraId="2EBA441C" w14:textId="77777777" w:rsidR="008129B1" w:rsidRPr="00236418" w:rsidRDefault="008129B1" w:rsidP="009B3D24">
            <w:pPr>
              <w:pStyle w:val="Tabletext"/>
              <w:spacing w:before="40" w:after="40"/>
              <w:rPr>
                <w:sz w:val="20"/>
              </w:rPr>
            </w:pPr>
            <w:r w:rsidRPr="00236418">
              <w:rPr>
                <w:sz w:val="20"/>
              </w:rPr>
              <w:t>Emprunts</w:t>
            </w:r>
          </w:p>
        </w:tc>
        <w:tc>
          <w:tcPr>
            <w:tcW w:w="1560" w:type="dxa"/>
          </w:tcPr>
          <w:p w14:paraId="3AD3B1ED" w14:textId="16851526" w:rsidR="008129B1" w:rsidRPr="00236418" w:rsidRDefault="0011471D" w:rsidP="009B3D24">
            <w:pPr>
              <w:jc w:val="right"/>
              <w:rPr>
                <w:sz w:val="20"/>
                <w:szCs w:val="20"/>
                <w:highlight w:val="yellow"/>
              </w:rPr>
            </w:pPr>
            <w:r w:rsidRPr="00236418">
              <w:rPr>
                <w:sz w:val="20"/>
                <w:szCs w:val="20"/>
              </w:rPr>
              <w:t>0%</w:t>
            </w:r>
          </w:p>
        </w:tc>
        <w:tc>
          <w:tcPr>
            <w:tcW w:w="1275" w:type="dxa"/>
          </w:tcPr>
          <w:p w14:paraId="665D9D13" w14:textId="048E78E9" w:rsidR="008129B1" w:rsidRPr="00236418" w:rsidRDefault="008129B1" w:rsidP="009B3D24">
            <w:pPr>
              <w:jc w:val="right"/>
              <w:rPr>
                <w:sz w:val="20"/>
                <w:szCs w:val="20"/>
              </w:rPr>
            </w:pPr>
            <w:r w:rsidRPr="00236418">
              <w:rPr>
                <w:sz w:val="20"/>
                <w:szCs w:val="20"/>
              </w:rPr>
              <w:t>1 493</w:t>
            </w:r>
          </w:p>
        </w:tc>
        <w:tc>
          <w:tcPr>
            <w:tcW w:w="1134" w:type="dxa"/>
          </w:tcPr>
          <w:p w14:paraId="305FC2C9" w14:textId="6088FF45" w:rsidR="008129B1" w:rsidRPr="00236418" w:rsidRDefault="008129B1" w:rsidP="009B3D24">
            <w:pPr>
              <w:jc w:val="right"/>
              <w:rPr>
                <w:sz w:val="20"/>
                <w:szCs w:val="20"/>
              </w:rPr>
            </w:pPr>
            <w:r w:rsidRPr="00236418">
              <w:rPr>
                <w:sz w:val="20"/>
                <w:szCs w:val="20"/>
              </w:rPr>
              <w:t>14 015</w:t>
            </w:r>
          </w:p>
        </w:tc>
        <w:tc>
          <w:tcPr>
            <w:tcW w:w="993" w:type="dxa"/>
          </w:tcPr>
          <w:p w14:paraId="64C06D89" w14:textId="2F95F7D0" w:rsidR="008129B1" w:rsidRPr="00236418" w:rsidRDefault="008129B1" w:rsidP="009B3D24">
            <w:pPr>
              <w:jc w:val="right"/>
              <w:rPr>
                <w:sz w:val="20"/>
                <w:szCs w:val="20"/>
              </w:rPr>
            </w:pPr>
            <w:r w:rsidRPr="00236418">
              <w:rPr>
                <w:sz w:val="20"/>
                <w:szCs w:val="20"/>
              </w:rPr>
              <w:t>29 441</w:t>
            </w:r>
          </w:p>
        </w:tc>
        <w:tc>
          <w:tcPr>
            <w:tcW w:w="1270" w:type="dxa"/>
          </w:tcPr>
          <w:p w14:paraId="45371CC7" w14:textId="1028BE03" w:rsidR="008129B1" w:rsidRPr="00236418" w:rsidRDefault="008129B1" w:rsidP="009B3D24">
            <w:pPr>
              <w:jc w:val="right"/>
              <w:rPr>
                <w:sz w:val="20"/>
                <w:szCs w:val="20"/>
              </w:rPr>
            </w:pPr>
            <w:r w:rsidRPr="00236418">
              <w:rPr>
                <w:sz w:val="20"/>
                <w:szCs w:val="20"/>
              </w:rPr>
              <w:t>44 949</w:t>
            </w:r>
          </w:p>
        </w:tc>
      </w:tr>
      <w:tr w:rsidR="008129B1" w:rsidRPr="00236418" w14:paraId="0B2D9741" w14:textId="77777777" w:rsidTr="00596807">
        <w:trPr>
          <w:jc w:val="center"/>
        </w:trPr>
        <w:tc>
          <w:tcPr>
            <w:tcW w:w="3397" w:type="dxa"/>
          </w:tcPr>
          <w:p w14:paraId="38D51B80" w14:textId="77777777" w:rsidR="008129B1" w:rsidRPr="00236418" w:rsidRDefault="008129B1" w:rsidP="009B3D24">
            <w:pPr>
              <w:pStyle w:val="Tabletext"/>
              <w:spacing w:before="40" w:after="40"/>
              <w:rPr>
                <w:b/>
                <w:bCs/>
                <w:sz w:val="20"/>
              </w:rPr>
            </w:pPr>
            <w:r w:rsidRPr="00236418">
              <w:rPr>
                <w:b/>
                <w:bCs/>
                <w:sz w:val="20"/>
              </w:rPr>
              <w:t>Total des passifs financiers</w:t>
            </w:r>
          </w:p>
        </w:tc>
        <w:tc>
          <w:tcPr>
            <w:tcW w:w="1560" w:type="dxa"/>
          </w:tcPr>
          <w:p w14:paraId="628CDD2F" w14:textId="08C206A1" w:rsidR="008129B1" w:rsidRPr="00236418" w:rsidRDefault="008129B1" w:rsidP="009B3D24">
            <w:pPr>
              <w:jc w:val="right"/>
              <w:rPr>
                <w:sz w:val="20"/>
                <w:szCs w:val="20"/>
              </w:rPr>
            </w:pPr>
          </w:p>
        </w:tc>
        <w:tc>
          <w:tcPr>
            <w:tcW w:w="1275" w:type="dxa"/>
          </w:tcPr>
          <w:p w14:paraId="510E2C30" w14:textId="77777777" w:rsidR="008129B1" w:rsidRPr="00236418" w:rsidRDefault="008129B1" w:rsidP="009B3D24">
            <w:pPr>
              <w:jc w:val="right"/>
              <w:rPr>
                <w:sz w:val="20"/>
                <w:szCs w:val="20"/>
              </w:rPr>
            </w:pPr>
            <w:r w:rsidRPr="00236418">
              <w:rPr>
                <w:sz w:val="20"/>
                <w:szCs w:val="20"/>
              </w:rPr>
              <w:t>1 493</w:t>
            </w:r>
          </w:p>
        </w:tc>
        <w:tc>
          <w:tcPr>
            <w:tcW w:w="1134" w:type="dxa"/>
          </w:tcPr>
          <w:p w14:paraId="27C21EA8" w14:textId="15C5AEFD" w:rsidR="008129B1" w:rsidRPr="00236418" w:rsidRDefault="008129B1" w:rsidP="009B3D24">
            <w:pPr>
              <w:jc w:val="right"/>
              <w:rPr>
                <w:sz w:val="20"/>
                <w:szCs w:val="20"/>
              </w:rPr>
            </w:pPr>
            <w:r w:rsidRPr="00236418">
              <w:rPr>
                <w:sz w:val="20"/>
                <w:szCs w:val="20"/>
              </w:rPr>
              <w:t>14 015</w:t>
            </w:r>
          </w:p>
        </w:tc>
        <w:tc>
          <w:tcPr>
            <w:tcW w:w="993" w:type="dxa"/>
          </w:tcPr>
          <w:p w14:paraId="5D1ED81D" w14:textId="5C9967A1" w:rsidR="008129B1" w:rsidRPr="00236418" w:rsidRDefault="008129B1" w:rsidP="009B3D24">
            <w:pPr>
              <w:jc w:val="right"/>
              <w:rPr>
                <w:sz w:val="20"/>
                <w:szCs w:val="20"/>
              </w:rPr>
            </w:pPr>
            <w:r w:rsidRPr="00236418">
              <w:rPr>
                <w:sz w:val="20"/>
                <w:szCs w:val="20"/>
              </w:rPr>
              <w:t>29 441</w:t>
            </w:r>
          </w:p>
        </w:tc>
        <w:tc>
          <w:tcPr>
            <w:tcW w:w="1270" w:type="dxa"/>
          </w:tcPr>
          <w:p w14:paraId="0355BC83" w14:textId="690725E3" w:rsidR="008129B1" w:rsidRPr="00236418" w:rsidRDefault="008129B1" w:rsidP="009B3D24">
            <w:pPr>
              <w:jc w:val="right"/>
              <w:rPr>
                <w:sz w:val="20"/>
                <w:szCs w:val="20"/>
              </w:rPr>
            </w:pPr>
            <w:r w:rsidRPr="00236418">
              <w:rPr>
                <w:sz w:val="20"/>
                <w:szCs w:val="20"/>
              </w:rPr>
              <w:t>44 949</w:t>
            </w:r>
          </w:p>
        </w:tc>
      </w:tr>
    </w:tbl>
    <w:p w14:paraId="6F104BC9" w14:textId="77777777" w:rsidR="00DF6159" w:rsidRPr="00236418" w:rsidRDefault="00DF6159" w:rsidP="00081C96">
      <w:pPr>
        <w:pStyle w:val="Heading1"/>
        <w:rPr>
          <w:sz w:val="24"/>
          <w:szCs w:val="24"/>
        </w:rPr>
      </w:pPr>
      <w:bookmarkStart w:id="1365" w:name="_Toc329178778"/>
      <w:bookmarkStart w:id="1366" w:name="_Toc329181751"/>
      <w:bookmarkStart w:id="1367" w:name="_Toc329202572"/>
      <w:bookmarkStart w:id="1368" w:name="_Toc329205004"/>
      <w:bookmarkStart w:id="1369" w:name="_Toc329206841"/>
      <w:bookmarkStart w:id="1370" w:name="_Toc358379927"/>
      <w:bookmarkStart w:id="1371" w:name="_Toc358380467"/>
      <w:bookmarkStart w:id="1372" w:name="_Toc452139836"/>
      <w:bookmarkStart w:id="1373" w:name="_Toc452140709"/>
      <w:bookmarkStart w:id="1374" w:name="_Toc482801499"/>
      <w:bookmarkStart w:id="1375" w:name="_Toc511649471"/>
      <w:bookmarkStart w:id="1376" w:name="_Toc511649841"/>
      <w:bookmarkStart w:id="1377" w:name="_Toc511649957"/>
      <w:bookmarkStart w:id="1378" w:name="_Toc511651214"/>
      <w:bookmarkStart w:id="1379" w:name="_Toc511724079"/>
      <w:bookmarkStart w:id="1380" w:name="_Toc511739068"/>
      <w:bookmarkStart w:id="1381" w:name="_Toc511741237"/>
      <w:bookmarkStart w:id="1382" w:name="_Toc10450743"/>
      <w:bookmarkStart w:id="1383" w:name="_Toc41566343"/>
      <w:bookmarkStart w:id="1384" w:name="_Toc41567351"/>
      <w:bookmarkStart w:id="1385" w:name="_Toc41567854"/>
      <w:bookmarkStart w:id="1386" w:name="_Toc41814949"/>
      <w:bookmarkStart w:id="1387" w:name="_Toc268007536"/>
      <w:r w:rsidRPr="00236418">
        <w:rPr>
          <w:sz w:val="24"/>
          <w:szCs w:val="24"/>
        </w:rPr>
        <w:lastRenderedPageBreak/>
        <w:t>Note 5</w:t>
      </w:r>
      <w:r w:rsidRPr="00236418">
        <w:rPr>
          <w:sz w:val="24"/>
          <w:szCs w:val="24"/>
        </w:rPr>
        <w:tab/>
        <w:t>Jugement et estimations comptables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5F38608B" w14:textId="3BF0F4DB" w:rsidR="00DF6159" w:rsidRPr="00236418" w:rsidRDefault="00DF6159" w:rsidP="009B3D24">
      <w:r w:rsidRPr="00236418">
        <w:t>La préparation des États financiers selon les normes IPSAS implique le recours à des estimations et/ou à des hypothèses ayant une influence, d'une part, sur les montants des actifs et des passifs présentés, sur la présentation des actifs et engagements conditionnels à la date du bilan et, d'autre part, sur le montant des produits et des charges de la période comptable. Bien que les estimations soient fondées sur l'expérience passée ainsi que sur divers autres facteurs jugés raisonnables au regard des circonstances, les résultats effectivement obtenus peuvent différer de ceux prévus lorsque ces estimations ont été établies.</w:t>
      </w:r>
    </w:p>
    <w:p w14:paraId="10DC9E86" w14:textId="77777777" w:rsidR="00DF6159" w:rsidRPr="00236418" w:rsidRDefault="00DF6159" w:rsidP="009B3D24">
      <w:r w:rsidRPr="00236418">
        <w:t>Les domaines impliquant un haut degré de jugement et de complexité ou ceux dont les hypothèses et estimations ont un impact significatif sur l'établissement des États financiers sont:</w:t>
      </w:r>
    </w:p>
    <w:p w14:paraId="7ABA2EFA" w14:textId="77777777" w:rsidR="00DF6159" w:rsidRPr="00236418" w:rsidRDefault="00DF6159" w:rsidP="009B3D24">
      <w:pPr>
        <w:pStyle w:val="enumlev1"/>
      </w:pPr>
      <w:r w:rsidRPr="00236418">
        <w:t>•</w:t>
      </w:r>
      <w:r w:rsidRPr="00236418">
        <w:tab/>
        <w:t>Les avantages postérieurs à l'emploi, notamment concernant le plan ASHI.</w:t>
      </w:r>
    </w:p>
    <w:p w14:paraId="53A924C8" w14:textId="77777777" w:rsidR="00DF6159" w:rsidRPr="00236418" w:rsidRDefault="00DF6159" w:rsidP="009B3D24">
      <w:pPr>
        <w:pStyle w:val="enumlev1"/>
      </w:pPr>
      <w:r w:rsidRPr="00236418">
        <w:t>•</w:t>
      </w:r>
      <w:r w:rsidRPr="00236418">
        <w:tab/>
        <w:t>Les durées d'utilité des immobilisations et leur perte éventuelle de valeur.</w:t>
      </w:r>
    </w:p>
    <w:p w14:paraId="1AF4DF28" w14:textId="77777777" w:rsidR="00DF6159" w:rsidRPr="00236418" w:rsidRDefault="00DF6159" w:rsidP="009B3D24">
      <w:pPr>
        <w:pStyle w:val="enumlev1"/>
      </w:pPr>
      <w:r w:rsidRPr="00236418">
        <w:t>•</w:t>
      </w:r>
      <w:r w:rsidRPr="00236418">
        <w:tab/>
        <w:t>Les provisions sur les créances.</w:t>
      </w:r>
    </w:p>
    <w:p w14:paraId="3F21B47C" w14:textId="77777777" w:rsidR="00DF6159" w:rsidRPr="00236418" w:rsidRDefault="00DF6159" w:rsidP="009B3D24">
      <w:pPr>
        <w:pStyle w:val="enumlev1"/>
      </w:pPr>
      <w:r w:rsidRPr="00236418">
        <w:t>•</w:t>
      </w:r>
      <w:r w:rsidRPr="00236418">
        <w:tab/>
        <w:t>Les probabilités de vente des publications en stock.</w:t>
      </w:r>
    </w:p>
    <w:p w14:paraId="0B15C04F" w14:textId="77777777" w:rsidR="00DF6159" w:rsidRPr="00236418" w:rsidRDefault="00DF6159" w:rsidP="009B3D24">
      <w:pPr>
        <w:pStyle w:val="enumlev1"/>
      </w:pPr>
      <w:r w:rsidRPr="00236418">
        <w:t>•</w:t>
      </w:r>
      <w:r w:rsidRPr="00236418">
        <w:tab/>
        <w:t>Les produits différés des fiches de notifications des réseaux à satellite.</w:t>
      </w:r>
    </w:p>
    <w:p w14:paraId="5C7F4035" w14:textId="77777777" w:rsidR="00DF6159" w:rsidRPr="00236418" w:rsidRDefault="00DF6159" w:rsidP="00081C96">
      <w:pPr>
        <w:pStyle w:val="Heading1"/>
        <w:rPr>
          <w:sz w:val="24"/>
          <w:szCs w:val="24"/>
        </w:rPr>
      </w:pPr>
      <w:bookmarkStart w:id="1388" w:name="_Toc269839081"/>
      <w:bookmarkStart w:id="1389" w:name="_Toc268007537"/>
      <w:bookmarkStart w:id="1390" w:name="_Toc329178779"/>
      <w:bookmarkStart w:id="1391" w:name="_Toc329181752"/>
      <w:bookmarkStart w:id="1392" w:name="_Toc329202573"/>
      <w:bookmarkStart w:id="1393" w:name="_Toc329205005"/>
      <w:bookmarkStart w:id="1394" w:name="_Toc329206842"/>
      <w:bookmarkStart w:id="1395" w:name="_Toc358379928"/>
      <w:bookmarkStart w:id="1396" w:name="_Toc358380468"/>
      <w:bookmarkStart w:id="1397" w:name="_Toc387166649"/>
      <w:bookmarkStart w:id="1398" w:name="_Toc395260934"/>
      <w:bookmarkStart w:id="1399" w:name="_Toc395511713"/>
      <w:bookmarkStart w:id="1400" w:name="_Toc452138623"/>
      <w:bookmarkStart w:id="1401" w:name="_Toc452139072"/>
      <w:bookmarkStart w:id="1402" w:name="_Toc452139436"/>
      <w:bookmarkStart w:id="1403" w:name="_Toc452139837"/>
      <w:bookmarkStart w:id="1404" w:name="_Toc452140710"/>
      <w:bookmarkStart w:id="1405" w:name="_Toc482801500"/>
      <w:bookmarkStart w:id="1406" w:name="_Toc511649472"/>
      <w:bookmarkStart w:id="1407" w:name="_Toc511649842"/>
      <w:bookmarkStart w:id="1408" w:name="_Toc511649958"/>
      <w:bookmarkStart w:id="1409" w:name="_Toc511651215"/>
      <w:bookmarkStart w:id="1410" w:name="_Toc511724080"/>
      <w:bookmarkStart w:id="1411" w:name="_Toc511739069"/>
      <w:bookmarkStart w:id="1412" w:name="_Toc511741238"/>
      <w:bookmarkStart w:id="1413" w:name="_Toc10450744"/>
      <w:bookmarkStart w:id="1414" w:name="_Toc41566344"/>
      <w:bookmarkStart w:id="1415" w:name="_Toc41567352"/>
      <w:bookmarkStart w:id="1416" w:name="_Toc41567855"/>
      <w:bookmarkStart w:id="1417" w:name="_Toc41814950"/>
      <w:bookmarkEnd w:id="1387"/>
      <w:r w:rsidRPr="00236418">
        <w:rPr>
          <w:sz w:val="24"/>
          <w:szCs w:val="24"/>
        </w:rPr>
        <w:t>Note 6</w:t>
      </w:r>
      <w:r w:rsidRPr="00236418">
        <w:rPr>
          <w:sz w:val="24"/>
          <w:szCs w:val="24"/>
        </w:rPr>
        <w:tab/>
        <w:t>Trésorerie et équivalents de trésorerie</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tbl>
      <w:tblPr>
        <w:tblW w:w="9426" w:type="dxa"/>
        <w:jc w:val="center"/>
        <w:tblLayout w:type="fixed"/>
        <w:tblLook w:val="04A0" w:firstRow="1" w:lastRow="0" w:firstColumn="1" w:lastColumn="0" w:noHBand="0" w:noVBand="1"/>
        <w:tblCaption w:val="E"/>
      </w:tblPr>
      <w:tblGrid>
        <w:gridCol w:w="5458"/>
        <w:gridCol w:w="1984"/>
        <w:gridCol w:w="1984"/>
      </w:tblGrid>
      <w:tr w:rsidR="00DF6159" w:rsidRPr="00236418" w14:paraId="7DA8145B" w14:textId="77777777" w:rsidTr="006538EB">
        <w:trPr>
          <w:trHeight w:val="285"/>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hideMark/>
          </w:tcPr>
          <w:p w14:paraId="18CF2339" w14:textId="77777777" w:rsidR="00DF6159" w:rsidRPr="00236418" w:rsidRDefault="00DF6159" w:rsidP="009B3D24">
            <w:pPr>
              <w:pStyle w:val="Tablehead"/>
              <w:spacing w:before="40" w:after="40"/>
              <w:jc w:val="left"/>
              <w:rPr>
                <w:sz w:val="20"/>
                <w:lang w:eastAsia="zh-CN"/>
              </w:rPr>
            </w:pPr>
            <w:r w:rsidRPr="00236418">
              <w:rPr>
                <w:sz w:val="20"/>
                <w:lang w:eastAsia="zh-CN"/>
              </w:rPr>
              <w:t>En milliers de CHF</w:t>
            </w:r>
          </w:p>
        </w:tc>
        <w:tc>
          <w:tcPr>
            <w:tcW w:w="1984" w:type="dxa"/>
            <w:tcBorders>
              <w:top w:val="single" w:sz="4" w:space="0" w:color="auto"/>
              <w:left w:val="nil"/>
              <w:bottom w:val="single" w:sz="4" w:space="0" w:color="auto"/>
              <w:right w:val="single" w:sz="4" w:space="0" w:color="auto"/>
            </w:tcBorders>
          </w:tcPr>
          <w:p w14:paraId="5D86FFBF" w14:textId="510D64F6" w:rsidR="00DF6159" w:rsidRPr="00236418" w:rsidRDefault="00DF6159" w:rsidP="009B3D24">
            <w:pPr>
              <w:pStyle w:val="Tablehead"/>
              <w:spacing w:before="40" w:after="40"/>
              <w:rPr>
                <w:bCs/>
                <w:sz w:val="20"/>
                <w:lang w:eastAsia="zh-CN"/>
              </w:rPr>
            </w:pPr>
            <w:r w:rsidRPr="00236418">
              <w:rPr>
                <w:bCs/>
                <w:sz w:val="20"/>
                <w:lang w:eastAsia="zh-CN"/>
              </w:rPr>
              <w:t>31.12.201</w:t>
            </w:r>
            <w:r w:rsidR="008129B1" w:rsidRPr="00236418">
              <w:rPr>
                <w:bCs/>
                <w:sz w:val="20"/>
                <w:lang w:eastAsia="zh-CN"/>
              </w:rPr>
              <w:t>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F0E2B83" w14:textId="0306FB01" w:rsidR="00DF6159" w:rsidRPr="00236418" w:rsidRDefault="00DF6159" w:rsidP="009B3D24">
            <w:pPr>
              <w:pStyle w:val="Tablehead"/>
              <w:spacing w:before="40" w:after="40"/>
              <w:rPr>
                <w:bCs/>
                <w:sz w:val="20"/>
                <w:lang w:eastAsia="zh-CN"/>
              </w:rPr>
            </w:pPr>
            <w:r w:rsidRPr="00236418">
              <w:rPr>
                <w:bCs/>
                <w:sz w:val="20"/>
                <w:lang w:eastAsia="zh-CN"/>
              </w:rPr>
              <w:t>31.12.201</w:t>
            </w:r>
            <w:r w:rsidR="008129B1" w:rsidRPr="00236418">
              <w:rPr>
                <w:bCs/>
                <w:sz w:val="20"/>
                <w:lang w:eastAsia="zh-CN"/>
              </w:rPr>
              <w:t>8</w:t>
            </w:r>
          </w:p>
        </w:tc>
      </w:tr>
      <w:tr w:rsidR="00DF6159" w:rsidRPr="00236418" w14:paraId="03566982"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3421EA1C" w14:textId="77777777" w:rsidR="00DF6159" w:rsidRPr="00236418" w:rsidRDefault="00DF6159" w:rsidP="009B3D24">
            <w:pPr>
              <w:pStyle w:val="Tabletext"/>
              <w:spacing w:before="40" w:after="40"/>
              <w:rPr>
                <w:sz w:val="20"/>
                <w:lang w:eastAsia="zh-CN"/>
              </w:rPr>
            </w:pPr>
          </w:p>
        </w:tc>
        <w:tc>
          <w:tcPr>
            <w:tcW w:w="1984" w:type="dxa"/>
            <w:tcBorders>
              <w:top w:val="nil"/>
              <w:left w:val="nil"/>
              <w:bottom w:val="nil"/>
              <w:right w:val="single" w:sz="4" w:space="0" w:color="auto"/>
            </w:tcBorders>
            <w:vAlign w:val="bottom"/>
          </w:tcPr>
          <w:p w14:paraId="141F022D" w14:textId="77777777" w:rsidR="00DF6159" w:rsidRPr="00236418" w:rsidRDefault="00DF6159" w:rsidP="009B3D24">
            <w:pPr>
              <w:pStyle w:val="Tabletext"/>
              <w:spacing w:before="40" w:after="40"/>
              <w:jc w:val="right"/>
              <w:rPr>
                <w:sz w:val="20"/>
                <w:lang w:eastAsia="zh-CN"/>
              </w:rPr>
            </w:pPr>
          </w:p>
        </w:tc>
        <w:tc>
          <w:tcPr>
            <w:tcW w:w="1984" w:type="dxa"/>
            <w:tcBorders>
              <w:top w:val="nil"/>
              <w:left w:val="single" w:sz="4" w:space="0" w:color="auto"/>
              <w:bottom w:val="nil"/>
              <w:right w:val="single" w:sz="4" w:space="0" w:color="auto"/>
            </w:tcBorders>
            <w:shd w:val="clear" w:color="auto" w:fill="auto"/>
            <w:noWrap/>
            <w:vAlign w:val="bottom"/>
          </w:tcPr>
          <w:p w14:paraId="04A32F33" w14:textId="77777777" w:rsidR="00DF6159" w:rsidRPr="00236418" w:rsidRDefault="00DF6159" w:rsidP="009B3D24">
            <w:pPr>
              <w:pStyle w:val="Tabletext"/>
              <w:spacing w:before="40" w:after="40"/>
              <w:jc w:val="right"/>
              <w:rPr>
                <w:sz w:val="20"/>
                <w:lang w:eastAsia="zh-CN"/>
              </w:rPr>
            </w:pPr>
          </w:p>
        </w:tc>
      </w:tr>
      <w:tr w:rsidR="008129B1" w:rsidRPr="00236418" w14:paraId="12FE3E23"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251A59A0" w14:textId="77777777" w:rsidR="008129B1" w:rsidRPr="00236418" w:rsidRDefault="008129B1" w:rsidP="009B3D24">
            <w:pPr>
              <w:pStyle w:val="Tabletext"/>
              <w:spacing w:before="40" w:after="40"/>
              <w:rPr>
                <w:sz w:val="20"/>
                <w:lang w:eastAsia="zh-CN"/>
              </w:rPr>
            </w:pPr>
            <w:r w:rsidRPr="00236418">
              <w:rPr>
                <w:sz w:val="20"/>
                <w:lang w:eastAsia="zh-CN"/>
              </w:rPr>
              <w:t>Caisses en CHF</w:t>
            </w:r>
          </w:p>
        </w:tc>
        <w:tc>
          <w:tcPr>
            <w:tcW w:w="1984" w:type="dxa"/>
            <w:tcBorders>
              <w:top w:val="nil"/>
              <w:left w:val="nil"/>
              <w:bottom w:val="nil"/>
              <w:right w:val="single" w:sz="4" w:space="0" w:color="auto"/>
            </w:tcBorders>
            <w:vAlign w:val="bottom"/>
          </w:tcPr>
          <w:p w14:paraId="7EED07D8" w14:textId="203799C6" w:rsidR="008129B1" w:rsidRPr="00236418" w:rsidRDefault="008129B1" w:rsidP="009B3D24">
            <w:pPr>
              <w:pStyle w:val="Tabletext"/>
              <w:spacing w:before="40" w:after="40"/>
              <w:jc w:val="right"/>
              <w:rPr>
                <w:sz w:val="20"/>
                <w:lang w:eastAsia="zh-CN"/>
              </w:rPr>
            </w:pPr>
            <w:r w:rsidRPr="00236418">
              <w:rPr>
                <w:rFonts w:asciiTheme="minorHAnsi" w:hAnsiTheme="minorHAnsi" w:cs="Arial"/>
                <w:color w:val="000000"/>
                <w:sz w:val="20"/>
                <w:lang w:eastAsia="zh-CN"/>
              </w:rPr>
              <w:t>14</w:t>
            </w:r>
          </w:p>
        </w:tc>
        <w:tc>
          <w:tcPr>
            <w:tcW w:w="1984" w:type="dxa"/>
            <w:tcBorders>
              <w:top w:val="nil"/>
              <w:left w:val="single" w:sz="4" w:space="0" w:color="auto"/>
              <w:bottom w:val="nil"/>
              <w:right w:val="single" w:sz="4" w:space="0" w:color="auto"/>
            </w:tcBorders>
            <w:shd w:val="clear" w:color="auto" w:fill="auto"/>
            <w:noWrap/>
            <w:vAlign w:val="bottom"/>
          </w:tcPr>
          <w:p w14:paraId="6652D690" w14:textId="1F7D3400" w:rsidR="008129B1" w:rsidRPr="00236418" w:rsidRDefault="008129B1" w:rsidP="009B3D24">
            <w:pPr>
              <w:pStyle w:val="Tabletext"/>
              <w:spacing w:before="40" w:after="40"/>
              <w:jc w:val="right"/>
              <w:rPr>
                <w:sz w:val="20"/>
                <w:lang w:eastAsia="zh-CN"/>
              </w:rPr>
            </w:pPr>
            <w:r w:rsidRPr="00236418">
              <w:rPr>
                <w:sz w:val="20"/>
                <w:lang w:eastAsia="zh-CN"/>
              </w:rPr>
              <w:t>17</w:t>
            </w:r>
          </w:p>
        </w:tc>
      </w:tr>
      <w:tr w:rsidR="008129B1" w:rsidRPr="00236418" w14:paraId="5CC3F418"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3EA286CD" w14:textId="77777777" w:rsidR="008129B1" w:rsidRPr="00236418" w:rsidRDefault="008129B1" w:rsidP="009B3D24">
            <w:pPr>
              <w:pStyle w:val="Tabletext"/>
              <w:spacing w:before="40" w:after="40"/>
              <w:rPr>
                <w:sz w:val="20"/>
                <w:lang w:eastAsia="zh-CN"/>
              </w:rPr>
            </w:pPr>
            <w:r w:rsidRPr="00236418">
              <w:rPr>
                <w:sz w:val="20"/>
                <w:lang w:eastAsia="zh-CN"/>
              </w:rPr>
              <w:t>Caisses en devises étrangères</w:t>
            </w:r>
          </w:p>
        </w:tc>
        <w:tc>
          <w:tcPr>
            <w:tcW w:w="1984" w:type="dxa"/>
            <w:tcBorders>
              <w:top w:val="nil"/>
              <w:left w:val="nil"/>
              <w:bottom w:val="nil"/>
              <w:right w:val="single" w:sz="4" w:space="0" w:color="auto"/>
            </w:tcBorders>
            <w:vAlign w:val="bottom"/>
          </w:tcPr>
          <w:p w14:paraId="7C1A4840" w14:textId="10130737" w:rsidR="008129B1" w:rsidRPr="00236418" w:rsidRDefault="008129B1" w:rsidP="009B3D24">
            <w:pPr>
              <w:pStyle w:val="Tabletext"/>
              <w:spacing w:before="40" w:after="40"/>
              <w:jc w:val="right"/>
              <w:rPr>
                <w:sz w:val="20"/>
                <w:lang w:eastAsia="zh-CN"/>
              </w:rPr>
            </w:pPr>
            <w:r w:rsidRPr="00236418">
              <w:rPr>
                <w:rFonts w:asciiTheme="minorHAnsi" w:hAnsiTheme="minorHAnsi" w:cs="Arial"/>
                <w:color w:val="000000"/>
                <w:sz w:val="20"/>
                <w:lang w:eastAsia="zh-CN"/>
              </w:rPr>
              <w:t>107</w:t>
            </w:r>
          </w:p>
        </w:tc>
        <w:tc>
          <w:tcPr>
            <w:tcW w:w="1984" w:type="dxa"/>
            <w:tcBorders>
              <w:top w:val="nil"/>
              <w:left w:val="single" w:sz="4" w:space="0" w:color="auto"/>
              <w:bottom w:val="nil"/>
              <w:right w:val="single" w:sz="4" w:space="0" w:color="auto"/>
            </w:tcBorders>
            <w:shd w:val="clear" w:color="auto" w:fill="auto"/>
            <w:noWrap/>
            <w:vAlign w:val="bottom"/>
          </w:tcPr>
          <w:p w14:paraId="1752C107" w14:textId="2140A650" w:rsidR="008129B1" w:rsidRPr="00236418" w:rsidRDefault="008129B1" w:rsidP="009B3D24">
            <w:pPr>
              <w:pStyle w:val="Tabletext"/>
              <w:spacing w:before="40" w:after="40"/>
              <w:jc w:val="right"/>
              <w:rPr>
                <w:sz w:val="20"/>
                <w:lang w:eastAsia="zh-CN"/>
              </w:rPr>
            </w:pPr>
            <w:r w:rsidRPr="00236418">
              <w:rPr>
                <w:sz w:val="20"/>
                <w:lang w:eastAsia="zh-CN"/>
              </w:rPr>
              <w:t>72</w:t>
            </w:r>
          </w:p>
        </w:tc>
      </w:tr>
      <w:tr w:rsidR="008129B1" w:rsidRPr="00236418" w14:paraId="3ECBE06E"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647832A7" w14:textId="77777777" w:rsidR="008129B1" w:rsidRPr="00236418" w:rsidRDefault="008129B1" w:rsidP="009B3D24">
            <w:pPr>
              <w:pStyle w:val="Tabletext"/>
              <w:spacing w:before="40" w:after="40"/>
              <w:rPr>
                <w:sz w:val="20"/>
                <w:lang w:eastAsia="zh-CN"/>
              </w:rPr>
            </w:pPr>
            <w:r w:rsidRPr="00236418">
              <w:rPr>
                <w:sz w:val="20"/>
                <w:lang w:eastAsia="zh-CN"/>
              </w:rPr>
              <w:t xml:space="preserve">Comptes postaux en CHF </w:t>
            </w:r>
          </w:p>
        </w:tc>
        <w:tc>
          <w:tcPr>
            <w:tcW w:w="1984" w:type="dxa"/>
            <w:tcBorders>
              <w:top w:val="nil"/>
              <w:left w:val="nil"/>
              <w:bottom w:val="nil"/>
              <w:right w:val="single" w:sz="4" w:space="0" w:color="auto"/>
            </w:tcBorders>
            <w:vAlign w:val="bottom"/>
          </w:tcPr>
          <w:p w14:paraId="723C2D1F" w14:textId="73C90D15" w:rsidR="008129B1" w:rsidRPr="00236418" w:rsidRDefault="008129B1" w:rsidP="009B3D24">
            <w:pPr>
              <w:pStyle w:val="Tabletext"/>
              <w:spacing w:before="40" w:after="40"/>
              <w:jc w:val="right"/>
              <w:rPr>
                <w:sz w:val="20"/>
                <w:lang w:eastAsia="zh-CN"/>
              </w:rPr>
            </w:pPr>
            <w:r w:rsidRPr="00236418">
              <w:rPr>
                <w:rFonts w:asciiTheme="minorHAnsi" w:hAnsiTheme="minorHAnsi" w:cs="Arial"/>
                <w:color w:val="000000"/>
                <w:sz w:val="20"/>
                <w:lang w:eastAsia="zh-CN"/>
              </w:rPr>
              <w:t>842</w:t>
            </w:r>
          </w:p>
        </w:tc>
        <w:tc>
          <w:tcPr>
            <w:tcW w:w="1984" w:type="dxa"/>
            <w:tcBorders>
              <w:top w:val="nil"/>
              <w:left w:val="single" w:sz="4" w:space="0" w:color="auto"/>
              <w:bottom w:val="nil"/>
              <w:right w:val="single" w:sz="4" w:space="0" w:color="auto"/>
            </w:tcBorders>
            <w:shd w:val="clear" w:color="auto" w:fill="auto"/>
            <w:noWrap/>
            <w:vAlign w:val="bottom"/>
          </w:tcPr>
          <w:p w14:paraId="099BF327" w14:textId="48391B63" w:rsidR="008129B1" w:rsidRPr="00236418" w:rsidRDefault="008129B1" w:rsidP="009B3D24">
            <w:pPr>
              <w:pStyle w:val="Tabletext"/>
              <w:spacing w:before="40" w:after="40"/>
              <w:jc w:val="right"/>
              <w:rPr>
                <w:sz w:val="20"/>
                <w:lang w:eastAsia="zh-CN"/>
              </w:rPr>
            </w:pPr>
            <w:r w:rsidRPr="00236418">
              <w:rPr>
                <w:sz w:val="20"/>
                <w:lang w:eastAsia="zh-CN"/>
              </w:rPr>
              <w:t>843</w:t>
            </w:r>
          </w:p>
        </w:tc>
      </w:tr>
      <w:tr w:rsidR="008129B1" w:rsidRPr="00236418" w14:paraId="4936764D"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2E6DBDD2" w14:textId="77777777" w:rsidR="008129B1" w:rsidRPr="00236418" w:rsidRDefault="008129B1" w:rsidP="009B3D24">
            <w:pPr>
              <w:pStyle w:val="Tabletext"/>
              <w:spacing w:before="40" w:after="40"/>
              <w:rPr>
                <w:sz w:val="20"/>
                <w:lang w:eastAsia="zh-CN"/>
              </w:rPr>
            </w:pPr>
            <w:r w:rsidRPr="00236418">
              <w:rPr>
                <w:sz w:val="20"/>
                <w:lang w:eastAsia="zh-CN"/>
              </w:rPr>
              <w:t>Comptes courants bancaires en CHF</w:t>
            </w:r>
          </w:p>
        </w:tc>
        <w:tc>
          <w:tcPr>
            <w:tcW w:w="1984" w:type="dxa"/>
            <w:tcBorders>
              <w:top w:val="nil"/>
              <w:left w:val="nil"/>
              <w:bottom w:val="nil"/>
              <w:right w:val="single" w:sz="4" w:space="0" w:color="auto"/>
            </w:tcBorders>
            <w:vAlign w:val="bottom"/>
          </w:tcPr>
          <w:p w14:paraId="4317DD4F" w14:textId="185FEAAF" w:rsidR="008129B1" w:rsidRPr="00236418" w:rsidRDefault="008129B1" w:rsidP="009B3D24">
            <w:pPr>
              <w:pStyle w:val="Tabletext"/>
              <w:spacing w:before="40" w:after="40"/>
              <w:jc w:val="right"/>
              <w:rPr>
                <w:sz w:val="20"/>
                <w:lang w:eastAsia="zh-CN"/>
              </w:rPr>
            </w:pPr>
            <w:r w:rsidRPr="00236418">
              <w:rPr>
                <w:rFonts w:asciiTheme="minorHAnsi" w:hAnsiTheme="minorHAnsi" w:cs="Arial"/>
                <w:color w:val="000000"/>
                <w:sz w:val="20"/>
                <w:lang w:eastAsia="zh-CN"/>
              </w:rPr>
              <w:t>27 607</w:t>
            </w:r>
          </w:p>
        </w:tc>
        <w:tc>
          <w:tcPr>
            <w:tcW w:w="1984" w:type="dxa"/>
            <w:tcBorders>
              <w:top w:val="nil"/>
              <w:left w:val="single" w:sz="4" w:space="0" w:color="auto"/>
              <w:bottom w:val="nil"/>
              <w:right w:val="single" w:sz="4" w:space="0" w:color="auto"/>
            </w:tcBorders>
            <w:shd w:val="clear" w:color="auto" w:fill="auto"/>
            <w:noWrap/>
            <w:vAlign w:val="bottom"/>
          </w:tcPr>
          <w:p w14:paraId="0591E623" w14:textId="51DC7403" w:rsidR="008129B1" w:rsidRPr="00236418" w:rsidRDefault="008129B1" w:rsidP="009B3D24">
            <w:pPr>
              <w:pStyle w:val="Tabletext"/>
              <w:spacing w:before="40" w:after="40"/>
              <w:jc w:val="right"/>
              <w:rPr>
                <w:sz w:val="20"/>
                <w:lang w:eastAsia="zh-CN"/>
              </w:rPr>
            </w:pPr>
            <w:r w:rsidRPr="00236418">
              <w:rPr>
                <w:sz w:val="20"/>
                <w:lang w:eastAsia="zh-CN"/>
              </w:rPr>
              <w:t>25 695</w:t>
            </w:r>
          </w:p>
        </w:tc>
      </w:tr>
      <w:tr w:rsidR="008129B1" w:rsidRPr="00236418" w14:paraId="1F17A0FF"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49653A8B" w14:textId="77777777" w:rsidR="008129B1" w:rsidRPr="00236418" w:rsidRDefault="008129B1" w:rsidP="009B3D24">
            <w:pPr>
              <w:pStyle w:val="Tabletext"/>
              <w:spacing w:before="40" w:after="40"/>
              <w:rPr>
                <w:sz w:val="20"/>
                <w:lang w:eastAsia="zh-CN"/>
              </w:rPr>
            </w:pPr>
            <w:r w:rsidRPr="00236418">
              <w:rPr>
                <w:sz w:val="20"/>
                <w:lang w:eastAsia="zh-CN"/>
              </w:rPr>
              <w:t>Comptes courants bancaires en devises</w:t>
            </w:r>
          </w:p>
        </w:tc>
        <w:tc>
          <w:tcPr>
            <w:tcW w:w="1984" w:type="dxa"/>
            <w:tcBorders>
              <w:top w:val="nil"/>
              <w:left w:val="nil"/>
              <w:bottom w:val="nil"/>
              <w:right w:val="single" w:sz="4" w:space="0" w:color="auto"/>
            </w:tcBorders>
            <w:vAlign w:val="bottom"/>
          </w:tcPr>
          <w:p w14:paraId="4B83C6C7" w14:textId="48017C70" w:rsidR="008129B1" w:rsidRPr="00236418" w:rsidRDefault="008129B1" w:rsidP="009B3D24">
            <w:pPr>
              <w:pStyle w:val="Tabletext"/>
              <w:spacing w:before="40" w:after="40"/>
              <w:jc w:val="right"/>
              <w:rPr>
                <w:sz w:val="20"/>
                <w:lang w:eastAsia="zh-CN"/>
              </w:rPr>
            </w:pPr>
            <w:r w:rsidRPr="00236418">
              <w:rPr>
                <w:rFonts w:asciiTheme="minorHAnsi" w:hAnsiTheme="minorHAnsi" w:cs="Arial"/>
                <w:color w:val="000000"/>
                <w:sz w:val="20"/>
                <w:lang w:eastAsia="zh-CN"/>
              </w:rPr>
              <w:t>23 211</w:t>
            </w:r>
          </w:p>
        </w:tc>
        <w:tc>
          <w:tcPr>
            <w:tcW w:w="1984" w:type="dxa"/>
            <w:tcBorders>
              <w:top w:val="nil"/>
              <w:left w:val="single" w:sz="4" w:space="0" w:color="auto"/>
              <w:bottom w:val="nil"/>
              <w:right w:val="single" w:sz="4" w:space="0" w:color="auto"/>
            </w:tcBorders>
            <w:shd w:val="clear" w:color="auto" w:fill="auto"/>
            <w:noWrap/>
            <w:vAlign w:val="bottom"/>
          </w:tcPr>
          <w:p w14:paraId="196DA9CB" w14:textId="115B8922" w:rsidR="008129B1" w:rsidRPr="00236418" w:rsidRDefault="008129B1" w:rsidP="009B3D24">
            <w:pPr>
              <w:pStyle w:val="Tabletext"/>
              <w:spacing w:before="40" w:after="40"/>
              <w:jc w:val="right"/>
              <w:rPr>
                <w:sz w:val="20"/>
                <w:lang w:eastAsia="zh-CN"/>
              </w:rPr>
            </w:pPr>
            <w:r w:rsidRPr="00236418">
              <w:rPr>
                <w:sz w:val="20"/>
                <w:lang w:eastAsia="zh-CN"/>
              </w:rPr>
              <w:t>25 444</w:t>
            </w:r>
          </w:p>
        </w:tc>
      </w:tr>
      <w:tr w:rsidR="008129B1" w:rsidRPr="00236418" w14:paraId="659D3DED"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68881EB7" w14:textId="77777777" w:rsidR="008129B1" w:rsidRPr="00236418" w:rsidRDefault="008129B1" w:rsidP="009B3D24">
            <w:pPr>
              <w:pStyle w:val="Tabletext"/>
              <w:spacing w:before="40" w:after="40"/>
              <w:rPr>
                <w:sz w:val="20"/>
                <w:lang w:eastAsia="zh-CN"/>
              </w:rPr>
            </w:pPr>
            <w:r w:rsidRPr="00236418">
              <w:rPr>
                <w:sz w:val="20"/>
                <w:lang w:eastAsia="zh-CN"/>
              </w:rPr>
              <w:t>Comptes à vue en CHF</w:t>
            </w:r>
          </w:p>
        </w:tc>
        <w:tc>
          <w:tcPr>
            <w:tcW w:w="1984" w:type="dxa"/>
            <w:tcBorders>
              <w:top w:val="nil"/>
              <w:left w:val="nil"/>
              <w:bottom w:val="nil"/>
              <w:right w:val="single" w:sz="4" w:space="0" w:color="auto"/>
            </w:tcBorders>
            <w:vAlign w:val="bottom"/>
          </w:tcPr>
          <w:p w14:paraId="490F48A4" w14:textId="01ACD6F3" w:rsidR="008129B1" w:rsidRPr="00236418" w:rsidRDefault="008129B1" w:rsidP="009B3D24">
            <w:pPr>
              <w:pStyle w:val="Tabletext"/>
              <w:spacing w:before="40" w:after="40"/>
              <w:jc w:val="right"/>
              <w:rPr>
                <w:sz w:val="20"/>
                <w:lang w:eastAsia="zh-CN"/>
              </w:rPr>
            </w:pPr>
            <w:r w:rsidRPr="00236418">
              <w:rPr>
                <w:rFonts w:asciiTheme="minorHAnsi" w:hAnsiTheme="minorHAnsi" w:cs="Arial"/>
                <w:color w:val="000000"/>
                <w:sz w:val="20"/>
                <w:lang w:eastAsia="zh-CN"/>
              </w:rPr>
              <w:t>127 070</w:t>
            </w:r>
          </w:p>
        </w:tc>
        <w:tc>
          <w:tcPr>
            <w:tcW w:w="1984" w:type="dxa"/>
            <w:tcBorders>
              <w:top w:val="nil"/>
              <w:left w:val="single" w:sz="4" w:space="0" w:color="auto"/>
              <w:bottom w:val="nil"/>
              <w:right w:val="single" w:sz="4" w:space="0" w:color="auto"/>
            </w:tcBorders>
            <w:shd w:val="clear" w:color="auto" w:fill="auto"/>
            <w:noWrap/>
            <w:vAlign w:val="bottom"/>
          </w:tcPr>
          <w:p w14:paraId="6A62A693" w14:textId="7FA8A25B" w:rsidR="008129B1" w:rsidRPr="00236418" w:rsidRDefault="008129B1" w:rsidP="009B3D24">
            <w:pPr>
              <w:pStyle w:val="Tabletext"/>
              <w:spacing w:before="40" w:after="40"/>
              <w:jc w:val="right"/>
              <w:rPr>
                <w:sz w:val="20"/>
                <w:lang w:eastAsia="zh-CN"/>
              </w:rPr>
            </w:pPr>
            <w:r w:rsidRPr="00236418">
              <w:rPr>
                <w:sz w:val="20"/>
                <w:lang w:eastAsia="zh-CN"/>
              </w:rPr>
              <w:t>109 754</w:t>
            </w:r>
          </w:p>
        </w:tc>
      </w:tr>
      <w:tr w:rsidR="008129B1" w:rsidRPr="00236418" w14:paraId="3D8EB6A3"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5C5D95D9" w14:textId="77777777" w:rsidR="008129B1" w:rsidRPr="00236418" w:rsidRDefault="008129B1" w:rsidP="009B3D24">
            <w:pPr>
              <w:pStyle w:val="Tabletext"/>
              <w:spacing w:before="40" w:after="40"/>
              <w:rPr>
                <w:sz w:val="20"/>
                <w:lang w:eastAsia="zh-CN"/>
              </w:rPr>
            </w:pPr>
          </w:p>
        </w:tc>
        <w:tc>
          <w:tcPr>
            <w:tcW w:w="1984" w:type="dxa"/>
            <w:tcBorders>
              <w:top w:val="nil"/>
              <w:left w:val="nil"/>
              <w:bottom w:val="nil"/>
              <w:right w:val="single" w:sz="4" w:space="0" w:color="auto"/>
            </w:tcBorders>
            <w:vAlign w:val="bottom"/>
          </w:tcPr>
          <w:p w14:paraId="0D4A7D20" w14:textId="26F7CBED" w:rsidR="008129B1" w:rsidRPr="00236418" w:rsidRDefault="008129B1" w:rsidP="009B3D24">
            <w:pPr>
              <w:pStyle w:val="Tabletext"/>
              <w:spacing w:before="40" w:after="40"/>
              <w:jc w:val="right"/>
              <w:rPr>
                <w:sz w:val="20"/>
                <w:lang w:eastAsia="zh-CN"/>
              </w:rPr>
            </w:pPr>
            <w:r w:rsidRPr="00236418">
              <w:rPr>
                <w:rFonts w:asciiTheme="minorHAnsi" w:hAnsiTheme="minorHAnsi" w:cs="Arial"/>
                <w:color w:val="000000"/>
                <w:sz w:val="20"/>
                <w:lang w:eastAsia="zh-CN"/>
              </w:rPr>
              <w:t> </w:t>
            </w:r>
          </w:p>
        </w:tc>
        <w:tc>
          <w:tcPr>
            <w:tcW w:w="1984" w:type="dxa"/>
            <w:tcBorders>
              <w:top w:val="nil"/>
              <w:left w:val="single" w:sz="4" w:space="0" w:color="auto"/>
              <w:bottom w:val="nil"/>
              <w:right w:val="single" w:sz="4" w:space="0" w:color="auto"/>
            </w:tcBorders>
            <w:shd w:val="clear" w:color="auto" w:fill="auto"/>
            <w:noWrap/>
            <w:vAlign w:val="bottom"/>
          </w:tcPr>
          <w:p w14:paraId="7DAEFF8D" w14:textId="77777777" w:rsidR="008129B1" w:rsidRPr="00236418" w:rsidRDefault="008129B1" w:rsidP="009B3D24">
            <w:pPr>
              <w:pStyle w:val="Tabletext"/>
              <w:spacing w:before="40" w:after="40"/>
              <w:jc w:val="right"/>
              <w:rPr>
                <w:sz w:val="20"/>
                <w:lang w:eastAsia="zh-CN"/>
              </w:rPr>
            </w:pPr>
          </w:p>
        </w:tc>
      </w:tr>
      <w:tr w:rsidR="008129B1" w:rsidRPr="00236418" w14:paraId="0EBC0B12" w14:textId="77777777" w:rsidTr="006538EB">
        <w:trPr>
          <w:trHeight w:val="499"/>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7324" w14:textId="77777777" w:rsidR="008129B1" w:rsidRPr="00236418" w:rsidRDefault="008129B1" w:rsidP="009B3D24">
            <w:pPr>
              <w:pStyle w:val="Tablehead"/>
              <w:spacing w:before="40" w:after="40"/>
              <w:jc w:val="left"/>
              <w:rPr>
                <w:sz w:val="20"/>
              </w:rPr>
            </w:pPr>
            <w:r w:rsidRPr="00236418">
              <w:rPr>
                <w:sz w:val="20"/>
                <w:lang w:eastAsia="zh-CN"/>
              </w:rPr>
              <w:t>Trésorerie et équivalents de trésorerie</w:t>
            </w:r>
          </w:p>
        </w:tc>
        <w:tc>
          <w:tcPr>
            <w:tcW w:w="1984" w:type="dxa"/>
            <w:tcBorders>
              <w:top w:val="single" w:sz="4" w:space="0" w:color="auto"/>
              <w:left w:val="nil"/>
              <w:bottom w:val="single" w:sz="4" w:space="0" w:color="auto"/>
              <w:right w:val="single" w:sz="4" w:space="0" w:color="auto"/>
            </w:tcBorders>
            <w:vAlign w:val="center"/>
          </w:tcPr>
          <w:p w14:paraId="7DAB0371" w14:textId="5C3D7E8F" w:rsidR="008129B1" w:rsidRPr="00236418" w:rsidRDefault="008129B1" w:rsidP="009B3D24">
            <w:pPr>
              <w:pStyle w:val="Tablehead"/>
              <w:spacing w:before="40" w:after="40"/>
              <w:jc w:val="right"/>
              <w:rPr>
                <w:sz w:val="20"/>
                <w:lang w:eastAsia="zh-CN"/>
              </w:rPr>
            </w:pPr>
            <w:r w:rsidRPr="00236418">
              <w:rPr>
                <w:rFonts w:asciiTheme="minorHAnsi" w:hAnsiTheme="minorHAnsi" w:cs="Arial"/>
                <w:color w:val="000000"/>
                <w:sz w:val="20"/>
                <w:lang w:eastAsia="zh-CN"/>
              </w:rPr>
              <w:t>178 852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FFE50" w14:textId="0369886E" w:rsidR="008129B1" w:rsidRPr="00236418" w:rsidRDefault="008129B1" w:rsidP="009B3D24">
            <w:pPr>
              <w:pStyle w:val="Tablehead"/>
              <w:spacing w:before="40" w:after="40"/>
              <w:jc w:val="right"/>
              <w:rPr>
                <w:sz w:val="20"/>
                <w:lang w:eastAsia="zh-CN"/>
              </w:rPr>
            </w:pPr>
            <w:r w:rsidRPr="00236418">
              <w:rPr>
                <w:sz w:val="20"/>
                <w:lang w:eastAsia="zh-CN"/>
              </w:rPr>
              <w:t>161 826</w:t>
            </w:r>
          </w:p>
        </w:tc>
      </w:tr>
    </w:tbl>
    <w:p w14:paraId="5F017A5E" w14:textId="77777777" w:rsidR="00DF6159" w:rsidRPr="00236418" w:rsidRDefault="00DF6159" w:rsidP="009B3D24">
      <w:bookmarkStart w:id="1418" w:name="_MON_1401623178"/>
      <w:bookmarkEnd w:id="1418"/>
      <w:r w:rsidRPr="00236418">
        <w:t>Les liquidités sont déposées sur des comptes bancaires et postaux rémunérés aux taux du marché. La juste valeur de ces dépôts est équivalente à leur valeur comptable.</w:t>
      </w:r>
    </w:p>
    <w:p w14:paraId="56C05744" w14:textId="4F57E6E2" w:rsidR="00DF6159" w:rsidRPr="00236418" w:rsidRDefault="00DF6159" w:rsidP="009B3D24">
      <w:pPr>
        <w:keepNext/>
        <w:keepLines/>
      </w:pPr>
      <w:r w:rsidRPr="00236418">
        <w:t>Au 31 décembre 201</w:t>
      </w:r>
      <w:r w:rsidR="00541717" w:rsidRPr="00236418">
        <w:t>9</w:t>
      </w:r>
      <w:r w:rsidRPr="00236418">
        <w:t>, l'UIT ne disposait pas de ligne de crédit. Les liquidités disponibles sont soumises aux restrictions suivantes:</w:t>
      </w:r>
    </w:p>
    <w:p w14:paraId="2BE0B3DB" w14:textId="62212A63" w:rsidR="00DF6159" w:rsidRPr="00236418" w:rsidRDefault="00DF6159" w:rsidP="007733F6">
      <w:pPr>
        <w:pStyle w:val="enumlev1"/>
        <w:keepLines/>
      </w:pPr>
      <w:r w:rsidRPr="00236418">
        <w:t>–</w:t>
      </w:r>
      <w:r w:rsidRPr="00236418">
        <w:tab/>
        <w:t>Les comptes à vue en faveur des pensionnés des fonds de l'UIT qui fonctionnent en caisses fermées depuis l'affiliation à la Caisse commune des pensions du personnel des Nations Unies (CCPPNU) et à la Caisse d'assurance pour la protection de la santé du personnel (CAPS), à hauteur de 6,</w:t>
      </w:r>
      <w:r w:rsidR="00D17547" w:rsidRPr="00236418">
        <w:t>4</w:t>
      </w:r>
      <w:r w:rsidRPr="00236418">
        <w:t xml:space="preserve"> millions CHF. Le solde des comptes à vue s'élève à </w:t>
      </w:r>
      <w:r w:rsidR="00541717" w:rsidRPr="00236418">
        <w:t>120</w:t>
      </w:r>
      <w:r w:rsidRPr="00236418">
        <w:t>,6 millions CHF. Compte tenu de l'application de taux d'intérêts négatifs sur les marchés financiers, ces montants ne peuvent être investis dans des dépôts à court terme. Ils sont donc déposés sur des comptes courants chez des partenaires avec lesquels l'UIT a pu négocier des plafonds d'exonération</w:t>
      </w:r>
      <w:r w:rsidRPr="00236418">
        <w:rPr>
          <w:rFonts w:cs="Courier New"/>
          <w:szCs w:val="24"/>
        </w:rPr>
        <w:t>.</w:t>
      </w:r>
    </w:p>
    <w:p w14:paraId="66609E77" w14:textId="77777777" w:rsidR="00DF6159" w:rsidRPr="00236418" w:rsidRDefault="00DF6159" w:rsidP="007733F6">
      <w:pPr>
        <w:pStyle w:val="Heading1"/>
        <w:rPr>
          <w:sz w:val="24"/>
          <w:szCs w:val="24"/>
        </w:rPr>
      </w:pPr>
      <w:bookmarkStart w:id="1419" w:name="_Toc268007538"/>
      <w:bookmarkStart w:id="1420" w:name="_Toc269839082"/>
      <w:bookmarkStart w:id="1421" w:name="_Toc329178781"/>
      <w:bookmarkStart w:id="1422" w:name="_Toc329181754"/>
      <w:bookmarkStart w:id="1423" w:name="_Toc329202574"/>
      <w:bookmarkStart w:id="1424" w:name="_Toc329205006"/>
      <w:bookmarkStart w:id="1425" w:name="_Toc329206843"/>
      <w:bookmarkStart w:id="1426" w:name="_Toc358379929"/>
      <w:bookmarkStart w:id="1427" w:name="_Toc358380469"/>
      <w:bookmarkStart w:id="1428" w:name="_Toc452140711"/>
      <w:bookmarkStart w:id="1429" w:name="_Toc482801501"/>
      <w:bookmarkStart w:id="1430" w:name="_Toc511649473"/>
      <w:bookmarkStart w:id="1431" w:name="_Toc511649843"/>
      <w:bookmarkStart w:id="1432" w:name="_Toc511649959"/>
      <w:bookmarkStart w:id="1433" w:name="_Toc511651216"/>
      <w:bookmarkStart w:id="1434" w:name="_Toc511724081"/>
      <w:bookmarkStart w:id="1435" w:name="_Toc511739070"/>
      <w:bookmarkStart w:id="1436" w:name="_Toc511741239"/>
      <w:bookmarkStart w:id="1437" w:name="_Toc10450745"/>
      <w:bookmarkStart w:id="1438" w:name="_Toc41566345"/>
      <w:bookmarkStart w:id="1439" w:name="_Toc41567353"/>
      <w:bookmarkStart w:id="1440" w:name="_Toc41567856"/>
      <w:bookmarkStart w:id="1441" w:name="_Toc41814951"/>
      <w:r w:rsidRPr="00236418">
        <w:rPr>
          <w:sz w:val="24"/>
          <w:szCs w:val="24"/>
        </w:rPr>
        <w:lastRenderedPageBreak/>
        <w:t>Note 7</w:t>
      </w:r>
      <w:r w:rsidRPr="00236418">
        <w:rPr>
          <w:sz w:val="24"/>
          <w:szCs w:val="24"/>
        </w:rPr>
        <w:tab/>
        <w:t>Placement</w:t>
      </w:r>
      <w:bookmarkEnd w:id="1419"/>
      <w:r w:rsidRPr="00236418">
        <w:rPr>
          <w:sz w:val="24"/>
          <w:szCs w:val="24"/>
        </w:rPr>
        <w:t>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23AC2721" w14:textId="77777777" w:rsidR="00DF6159" w:rsidRPr="00236418" w:rsidRDefault="00DF6159" w:rsidP="007733F6">
      <w:pPr>
        <w:keepNext/>
        <w:keepLines/>
        <w:spacing w:after="240"/>
      </w:pPr>
      <w:r w:rsidRPr="00236418">
        <w:t>Les placements à terme sont rémunérés aux taux du marché et rangés dans la catégorie des i</w:t>
      </w:r>
      <w:r w:rsidRPr="00236418">
        <w:rPr>
          <w:szCs w:val="22"/>
        </w:rPr>
        <w:t>nstruments financiers à la juste valeur par résultat</w:t>
      </w:r>
      <w:r w:rsidRPr="00236418">
        <w:t>. La juste valeur des dépôts en espèces est équivalente à leur valeur comptable.</w:t>
      </w:r>
    </w:p>
    <w:tbl>
      <w:tblPr>
        <w:tblW w:w="8500" w:type="dxa"/>
        <w:jc w:val="center"/>
        <w:tblLook w:val="04A0" w:firstRow="1" w:lastRow="0" w:firstColumn="1" w:lastColumn="0" w:noHBand="0" w:noVBand="1"/>
        <w:tblCaption w:val="E"/>
      </w:tblPr>
      <w:tblGrid>
        <w:gridCol w:w="4531"/>
        <w:gridCol w:w="1990"/>
        <w:gridCol w:w="1979"/>
      </w:tblGrid>
      <w:tr w:rsidR="00DF6159" w:rsidRPr="00236418" w14:paraId="14F68053" w14:textId="77777777" w:rsidTr="006538EB">
        <w:trPr>
          <w:trHeight w:val="4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E60C" w14:textId="77777777" w:rsidR="00DF6159" w:rsidRPr="00236418" w:rsidRDefault="00DF6159" w:rsidP="007733F6">
            <w:pPr>
              <w:pStyle w:val="Tablehead"/>
              <w:keepLines/>
              <w:spacing w:before="40" w:after="40"/>
              <w:jc w:val="left"/>
              <w:rPr>
                <w:szCs w:val="22"/>
                <w:lang w:eastAsia="zh-CN"/>
              </w:rPr>
            </w:pPr>
            <w:r w:rsidRPr="00236418">
              <w:rPr>
                <w:szCs w:val="22"/>
                <w:lang w:eastAsia="zh-CN"/>
              </w:rPr>
              <w:t>En milliers de CHF</w:t>
            </w:r>
          </w:p>
        </w:tc>
        <w:tc>
          <w:tcPr>
            <w:tcW w:w="1990" w:type="dxa"/>
            <w:tcBorders>
              <w:top w:val="single" w:sz="4" w:space="0" w:color="auto"/>
              <w:left w:val="nil"/>
              <w:bottom w:val="single" w:sz="4" w:space="0" w:color="auto"/>
              <w:right w:val="single" w:sz="4" w:space="0" w:color="auto"/>
            </w:tcBorders>
            <w:vAlign w:val="center"/>
          </w:tcPr>
          <w:p w14:paraId="463711A8" w14:textId="71ADE28D" w:rsidR="00DF6159" w:rsidRPr="00236418" w:rsidRDefault="00DF6159" w:rsidP="007733F6">
            <w:pPr>
              <w:pStyle w:val="Tablehead"/>
              <w:keepLines/>
              <w:spacing w:before="40" w:after="40"/>
              <w:rPr>
                <w:szCs w:val="22"/>
                <w:lang w:eastAsia="zh-CN"/>
              </w:rPr>
            </w:pPr>
            <w:r w:rsidRPr="00236418">
              <w:rPr>
                <w:szCs w:val="22"/>
                <w:lang w:eastAsia="zh-CN"/>
              </w:rPr>
              <w:t>31.12.201</w:t>
            </w:r>
            <w:r w:rsidR="00541717" w:rsidRPr="00236418">
              <w:rPr>
                <w:szCs w:val="22"/>
                <w:lang w:eastAsia="zh-CN"/>
              </w:rPr>
              <w:t>9</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D35D1" w14:textId="430F4148" w:rsidR="00DF6159" w:rsidRPr="00236418" w:rsidRDefault="00DF6159" w:rsidP="007733F6">
            <w:pPr>
              <w:pStyle w:val="Tablehead"/>
              <w:keepLines/>
              <w:spacing w:before="40" w:after="40"/>
              <w:rPr>
                <w:szCs w:val="22"/>
                <w:lang w:eastAsia="zh-CN"/>
              </w:rPr>
            </w:pPr>
            <w:r w:rsidRPr="00236418">
              <w:rPr>
                <w:szCs w:val="22"/>
                <w:lang w:eastAsia="zh-CN"/>
              </w:rPr>
              <w:t>31.12.201</w:t>
            </w:r>
            <w:r w:rsidR="00541717" w:rsidRPr="00236418">
              <w:rPr>
                <w:szCs w:val="22"/>
                <w:lang w:eastAsia="zh-CN"/>
              </w:rPr>
              <w:t>8</w:t>
            </w:r>
          </w:p>
        </w:tc>
      </w:tr>
      <w:tr w:rsidR="00541717" w:rsidRPr="00236418" w14:paraId="7FC18A05" w14:textId="77777777" w:rsidTr="006538EB">
        <w:trPr>
          <w:trHeight w:val="255"/>
          <w:jc w:val="center"/>
        </w:trPr>
        <w:tc>
          <w:tcPr>
            <w:tcW w:w="4531" w:type="dxa"/>
            <w:tcBorders>
              <w:top w:val="single" w:sz="4" w:space="0" w:color="auto"/>
              <w:left w:val="single" w:sz="4" w:space="0" w:color="auto"/>
              <w:right w:val="single" w:sz="4" w:space="0" w:color="auto"/>
            </w:tcBorders>
            <w:shd w:val="clear" w:color="auto" w:fill="auto"/>
            <w:noWrap/>
            <w:vAlign w:val="bottom"/>
          </w:tcPr>
          <w:p w14:paraId="4FA5AB1F" w14:textId="77777777" w:rsidR="00541717" w:rsidRPr="00236418" w:rsidRDefault="00541717" w:rsidP="009B3D24">
            <w:pPr>
              <w:pStyle w:val="Tabletext"/>
              <w:spacing w:before="40" w:after="40"/>
              <w:rPr>
                <w:szCs w:val="22"/>
                <w:lang w:eastAsia="zh-CN"/>
              </w:rPr>
            </w:pPr>
            <w:r w:rsidRPr="00236418">
              <w:rPr>
                <w:szCs w:val="22"/>
                <w:lang w:eastAsia="zh-CN"/>
              </w:rPr>
              <w:t>Placements à terme</w:t>
            </w:r>
          </w:p>
        </w:tc>
        <w:tc>
          <w:tcPr>
            <w:tcW w:w="1990" w:type="dxa"/>
            <w:tcBorders>
              <w:top w:val="single" w:sz="4" w:space="0" w:color="auto"/>
              <w:left w:val="nil"/>
              <w:right w:val="single" w:sz="4" w:space="0" w:color="auto"/>
            </w:tcBorders>
            <w:vAlign w:val="bottom"/>
          </w:tcPr>
          <w:p w14:paraId="21A29C3B" w14:textId="66ADAB87" w:rsidR="00541717" w:rsidRPr="00236418" w:rsidRDefault="00541717" w:rsidP="009B3D24">
            <w:pPr>
              <w:pStyle w:val="Tabletext"/>
              <w:spacing w:before="40" w:after="40"/>
              <w:jc w:val="right"/>
              <w:rPr>
                <w:szCs w:val="22"/>
                <w:lang w:eastAsia="zh-CN"/>
              </w:rPr>
            </w:pPr>
            <w:r w:rsidRPr="00236418">
              <w:rPr>
                <w:rFonts w:asciiTheme="minorHAnsi" w:hAnsiTheme="minorHAnsi" w:cs="Arial"/>
                <w:color w:val="000000"/>
                <w:szCs w:val="22"/>
                <w:lang w:eastAsia="zh-CN"/>
              </w:rPr>
              <w:t>33 329</w:t>
            </w:r>
          </w:p>
        </w:tc>
        <w:tc>
          <w:tcPr>
            <w:tcW w:w="1979" w:type="dxa"/>
            <w:tcBorders>
              <w:top w:val="single" w:sz="4" w:space="0" w:color="auto"/>
              <w:left w:val="single" w:sz="4" w:space="0" w:color="auto"/>
              <w:right w:val="single" w:sz="4" w:space="0" w:color="auto"/>
            </w:tcBorders>
            <w:shd w:val="clear" w:color="auto" w:fill="auto"/>
            <w:noWrap/>
            <w:vAlign w:val="bottom"/>
          </w:tcPr>
          <w:p w14:paraId="76504059" w14:textId="62941CBE" w:rsidR="00541717" w:rsidRPr="00236418" w:rsidRDefault="00541717" w:rsidP="009B3D24">
            <w:pPr>
              <w:pStyle w:val="Tabletext"/>
              <w:spacing w:before="40" w:after="40"/>
              <w:jc w:val="right"/>
              <w:rPr>
                <w:szCs w:val="22"/>
                <w:lang w:eastAsia="zh-CN"/>
              </w:rPr>
            </w:pPr>
            <w:r w:rsidRPr="00236418">
              <w:rPr>
                <w:szCs w:val="22"/>
                <w:lang w:eastAsia="zh-CN"/>
              </w:rPr>
              <w:t>48 996</w:t>
            </w:r>
          </w:p>
        </w:tc>
      </w:tr>
      <w:tr w:rsidR="00541717" w:rsidRPr="00236418" w14:paraId="59EB3ED0" w14:textId="77777777" w:rsidTr="006538EB">
        <w:trPr>
          <w:trHeight w:val="20"/>
          <w:jc w:val="center"/>
        </w:trPr>
        <w:tc>
          <w:tcPr>
            <w:tcW w:w="4531" w:type="dxa"/>
            <w:tcBorders>
              <w:left w:val="single" w:sz="4" w:space="0" w:color="auto"/>
              <w:bottom w:val="single" w:sz="4" w:space="0" w:color="auto"/>
              <w:right w:val="single" w:sz="4" w:space="0" w:color="auto"/>
            </w:tcBorders>
            <w:shd w:val="clear" w:color="auto" w:fill="auto"/>
            <w:noWrap/>
            <w:vAlign w:val="center"/>
          </w:tcPr>
          <w:p w14:paraId="3ED8CD0A" w14:textId="77777777" w:rsidR="00541717" w:rsidRPr="00236418" w:rsidRDefault="00541717" w:rsidP="009B3D24">
            <w:pPr>
              <w:pStyle w:val="Tabletext"/>
              <w:spacing w:before="40" w:after="40"/>
              <w:rPr>
                <w:b/>
                <w:bCs/>
                <w:szCs w:val="22"/>
                <w:lang w:eastAsia="zh-CN"/>
              </w:rPr>
            </w:pPr>
            <w:r w:rsidRPr="00236418">
              <w:rPr>
                <w:b/>
                <w:bCs/>
                <w:szCs w:val="22"/>
                <w:lang w:eastAsia="zh-CN"/>
              </w:rPr>
              <w:t>Placements</w:t>
            </w:r>
          </w:p>
        </w:tc>
        <w:tc>
          <w:tcPr>
            <w:tcW w:w="1990" w:type="dxa"/>
            <w:tcBorders>
              <w:left w:val="nil"/>
              <w:bottom w:val="single" w:sz="4" w:space="0" w:color="auto"/>
              <w:right w:val="single" w:sz="4" w:space="0" w:color="auto"/>
            </w:tcBorders>
            <w:vAlign w:val="center"/>
          </w:tcPr>
          <w:p w14:paraId="1E3ECFC7" w14:textId="4102B283" w:rsidR="00541717" w:rsidRPr="00236418" w:rsidRDefault="00541717" w:rsidP="009B3D24">
            <w:pPr>
              <w:pStyle w:val="Tabletext"/>
              <w:spacing w:before="40" w:after="40"/>
              <w:jc w:val="right"/>
              <w:rPr>
                <w:b/>
                <w:bCs/>
                <w:szCs w:val="22"/>
                <w:lang w:eastAsia="zh-CN"/>
              </w:rPr>
            </w:pPr>
            <w:r w:rsidRPr="00236418">
              <w:rPr>
                <w:b/>
                <w:bCs/>
                <w:szCs w:val="22"/>
                <w:lang w:eastAsia="zh-CN"/>
              </w:rPr>
              <w:t>33 329</w:t>
            </w:r>
          </w:p>
        </w:tc>
        <w:tc>
          <w:tcPr>
            <w:tcW w:w="1979" w:type="dxa"/>
            <w:tcBorders>
              <w:left w:val="single" w:sz="4" w:space="0" w:color="auto"/>
              <w:bottom w:val="single" w:sz="4" w:space="0" w:color="auto"/>
              <w:right w:val="single" w:sz="4" w:space="0" w:color="auto"/>
            </w:tcBorders>
            <w:shd w:val="clear" w:color="auto" w:fill="auto"/>
            <w:noWrap/>
            <w:vAlign w:val="center"/>
          </w:tcPr>
          <w:p w14:paraId="6AB5C248" w14:textId="671F8262" w:rsidR="00541717" w:rsidRPr="00236418" w:rsidRDefault="00541717" w:rsidP="009B3D24">
            <w:pPr>
              <w:pStyle w:val="Tabletext"/>
              <w:spacing w:before="40" w:after="40"/>
              <w:jc w:val="right"/>
              <w:rPr>
                <w:b/>
                <w:bCs/>
                <w:szCs w:val="22"/>
                <w:lang w:eastAsia="zh-CN"/>
              </w:rPr>
            </w:pPr>
            <w:r w:rsidRPr="00236418">
              <w:rPr>
                <w:b/>
                <w:bCs/>
                <w:szCs w:val="22"/>
                <w:lang w:eastAsia="zh-CN"/>
              </w:rPr>
              <w:t>48 996</w:t>
            </w:r>
          </w:p>
        </w:tc>
      </w:tr>
    </w:tbl>
    <w:p w14:paraId="30D598AA" w14:textId="77777777" w:rsidR="00DF6159" w:rsidRPr="00236418" w:rsidRDefault="00DF6159" w:rsidP="009B3D24">
      <w:pPr>
        <w:keepNext/>
        <w:keepLines/>
        <w:spacing w:after="120"/>
      </w:pPr>
      <w:bookmarkStart w:id="1442" w:name="_MON_1388229814"/>
      <w:bookmarkStart w:id="1443" w:name="_MON_1388239922"/>
      <w:bookmarkEnd w:id="1442"/>
      <w:bookmarkEnd w:id="1443"/>
      <w:r w:rsidRPr="00236418">
        <w:t>Le détail des placements à terme par échéance (échéance restante), ainsi que par devise, est donné ci-après:</w:t>
      </w:r>
    </w:p>
    <w:tbl>
      <w:tblPr>
        <w:tblW w:w="0" w:type="auto"/>
        <w:jc w:val="center"/>
        <w:tblLayout w:type="fixed"/>
        <w:tblCellMar>
          <w:left w:w="30" w:type="dxa"/>
          <w:right w:w="30" w:type="dxa"/>
        </w:tblCellMar>
        <w:tblLook w:val="0000" w:firstRow="0" w:lastRow="0" w:firstColumn="0" w:lastColumn="0" w:noHBand="0" w:noVBand="0"/>
        <w:tblCaption w:val="E"/>
      </w:tblPr>
      <w:tblGrid>
        <w:gridCol w:w="2791"/>
        <w:gridCol w:w="1073"/>
        <w:gridCol w:w="1072"/>
        <w:gridCol w:w="1073"/>
        <w:gridCol w:w="1073"/>
        <w:gridCol w:w="1073"/>
        <w:gridCol w:w="1073"/>
      </w:tblGrid>
      <w:tr w:rsidR="00DF6159" w:rsidRPr="00236418" w14:paraId="4756771A" w14:textId="77777777" w:rsidTr="006538EB">
        <w:trPr>
          <w:trHeight w:val="312"/>
          <w:jc w:val="center"/>
        </w:trPr>
        <w:tc>
          <w:tcPr>
            <w:tcW w:w="2791" w:type="dxa"/>
            <w:tcBorders>
              <w:top w:val="single" w:sz="6" w:space="0" w:color="auto"/>
              <w:left w:val="single" w:sz="6" w:space="0" w:color="auto"/>
              <w:bottom w:val="single" w:sz="6" w:space="0" w:color="auto"/>
              <w:right w:val="single" w:sz="6" w:space="0" w:color="auto"/>
            </w:tcBorders>
          </w:tcPr>
          <w:p w14:paraId="0D4E8934" w14:textId="77777777" w:rsidR="00DF6159" w:rsidRPr="00236418" w:rsidRDefault="00DF6159" w:rsidP="009B3D24">
            <w:pPr>
              <w:pStyle w:val="Tablehead"/>
              <w:keepNext/>
              <w:keepLines/>
              <w:spacing w:before="40" w:after="40"/>
              <w:rPr>
                <w:szCs w:val="22"/>
                <w:lang w:eastAsia="zh-CN"/>
              </w:rPr>
            </w:pPr>
            <w:r w:rsidRPr="00236418">
              <w:rPr>
                <w:szCs w:val="22"/>
                <w:lang w:eastAsia="zh-CN"/>
              </w:rPr>
              <w:t>En milliers selon la devise</w:t>
            </w:r>
          </w:p>
        </w:tc>
        <w:tc>
          <w:tcPr>
            <w:tcW w:w="3218" w:type="dxa"/>
            <w:gridSpan w:val="3"/>
            <w:tcBorders>
              <w:top w:val="single" w:sz="6" w:space="0" w:color="auto"/>
              <w:left w:val="single" w:sz="6" w:space="0" w:color="auto"/>
              <w:bottom w:val="single" w:sz="6" w:space="0" w:color="auto"/>
              <w:right w:val="single" w:sz="6" w:space="0" w:color="auto"/>
            </w:tcBorders>
          </w:tcPr>
          <w:p w14:paraId="18F24265" w14:textId="1F8B54F0" w:rsidR="00DF6159" w:rsidRPr="00236418" w:rsidRDefault="00DF6159" w:rsidP="009B3D24">
            <w:pPr>
              <w:pStyle w:val="Tablehead"/>
              <w:keepNext/>
              <w:keepLines/>
              <w:spacing w:before="40" w:after="40"/>
              <w:rPr>
                <w:szCs w:val="22"/>
                <w:lang w:eastAsia="zh-CN"/>
              </w:rPr>
            </w:pPr>
            <w:r w:rsidRPr="00236418">
              <w:rPr>
                <w:szCs w:val="22"/>
                <w:lang w:eastAsia="zh-CN"/>
              </w:rPr>
              <w:t>31.12.201</w:t>
            </w:r>
            <w:r w:rsidR="00541717" w:rsidRPr="00236418">
              <w:rPr>
                <w:szCs w:val="22"/>
                <w:lang w:eastAsia="zh-CN"/>
              </w:rPr>
              <w:t>9</w:t>
            </w:r>
          </w:p>
        </w:tc>
        <w:tc>
          <w:tcPr>
            <w:tcW w:w="3219" w:type="dxa"/>
            <w:gridSpan w:val="3"/>
            <w:tcBorders>
              <w:top w:val="single" w:sz="6" w:space="0" w:color="auto"/>
              <w:left w:val="nil"/>
              <w:bottom w:val="single" w:sz="6" w:space="0" w:color="auto"/>
              <w:right w:val="single" w:sz="6" w:space="0" w:color="auto"/>
            </w:tcBorders>
          </w:tcPr>
          <w:p w14:paraId="20E9E081" w14:textId="021465F6" w:rsidR="00DF6159" w:rsidRPr="00236418" w:rsidRDefault="00DF6159" w:rsidP="009B3D24">
            <w:pPr>
              <w:pStyle w:val="Tablehead"/>
              <w:keepNext/>
              <w:keepLines/>
              <w:spacing w:before="40" w:after="40"/>
              <w:rPr>
                <w:szCs w:val="22"/>
                <w:lang w:eastAsia="zh-CN"/>
              </w:rPr>
            </w:pPr>
            <w:r w:rsidRPr="00236418">
              <w:rPr>
                <w:szCs w:val="22"/>
                <w:lang w:eastAsia="zh-CN"/>
              </w:rPr>
              <w:t>31.12.201</w:t>
            </w:r>
            <w:r w:rsidR="00541717" w:rsidRPr="00236418">
              <w:rPr>
                <w:szCs w:val="22"/>
                <w:lang w:eastAsia="zh-CN"/>
              </w:rPr>
              <w:t>8</w:t>
            </w:r>
          </w:p>
        </w:tc>
      </w:tr>
      <w:tr w:rsidR="00DF6159" w:rsidRPr="00236418" w14:paraId="4227A150" w14:textId="77777777" w:rsidTr="006538EB">
        <w:trPr>
          <w:trHeight w:val="247"/>
          <w:jc w:val="center"/>
        </w:trPr>
        <w:tc>
          <w:tcPr>
            <w:tcW w:w="2791" w:type="dxa"/>
            <w:tcBorders>
              <w:top w:val="nil"/>
              <w:left w:val="single" w:sz="6" w:space="0" w:color="auto"/>
              <w:bottom w:val="nil"/>
              <w:right w:val="nil"/>
            </w:tcBorders>
          </w:tcPr>
          <w:p w14:paraId="5B23E9CC" w14:textId="77777777" w:rsidR="00DF6159" w:rsidRPr="00236418" w:rsidRDefault="00DF6159" w:rsidP="009B3D24">
            <w:pPr>
              <w:pStyle w:val="Tabletext"/>
              <w:keepNext/>
              <w:keepLines/>
              <w:spacing w:before="40" w:after="40"/>
              <w:rPr>
                <w:szCs w:val="22"/>
                <w:lang w:eastAsia="zh-CN"/>
              </w:rPr>
            </w:pPr>
          </w:p>
        </w:tc>
        <w:tc>
          <w:tcPr>
            <w:tcW w:w="1073" w:type="dxa"/>
            <w:tcBorders>
              <w:top w:val="single" w:sz="6" w:space="0" w:color="auto"/>
              <w:left w:val="single" w:sz="6" w:space="0" w:color="auto"/>
              <w:bottom w:val="nil"/>
              <w:right w:val="nil"/>
            </w:tcBorders>
          </w:tcPr>
          <w:p w14:paraId="0BCD30A6" w14:textId="77777777" w:rsidR="00DF6159" w:rsidRPr="00236418" w:rsidRDefault="00DF6159" w:rsidP="009B3D24">
            <w:pPr>
              <w:pStyle w:val="Tabletext"/>
              <w:keepNext/>
              <w:keepLines/>
              <w:spacing w:before="40" w:after="40"/>
              <w:jc w:val="center"/>
              <w:rPr>
                <w:szCs w:val="22"/>
                <w:lang w:eastAsia="zh-CN"/>
              </w:rPr>
            </w:pPr>
            <w:r w:rsidRPr="00236418">
              <w:rPr>
                <w:szCs w:val="22"/>
                <w:lang w:eastAsia="zh-CN"/>
              </w:rPr>
              <w:t>CHF</w:t>
            </w:r>
          </w:p>
        </w:tc>
        <w:tc>
          <w:tcPr>
            <w:tcW w:w="1072" w:type="dxa"/>
            <w:tcBorders>
              <w:top w:val="single" w:sz="6" w:space="0" w:color="auto"/>
              <w:left w:val="single" w:sz="6" w:space="0" w:color="auto"/>
              <w:bottom w:val="nil"/>
              <w:right w:val="nil"/>
            </w:tcBorders>
          </w:tcPr>
          <w:p w14:paraId="59CFF53E" w14:textId="77777777" w:rsidR="00DF6159" w:rsidRPr="00236418" w:rsidRDefault="00DF6159" w:rsidP="009B3D24">
            <w:pPr>
              <w:pStyle w:val="Tabletext"/>
              <w:keepNext/>
              <w:keepLines/>
              <w:spacing w:before="40" w:after="40"/>
              <w:jc w:val="center"/>
              <w:rPr>
                <w:szCs w:val="22"/>
                <w:lang w:eastAsia="zh-CN"/>
              </w:rPr>
            </w:pPr>
            <w:r w:rsidRPr="00236418">
              <w:rPr>
                <w:szCs w:val="22"/>
                <w:lang w:eastAsia="zh-CN"/>
              </w:rPr>
              <w:t>USD</w:t>
            </w:r>
          </w:p>
        </w:tc>
        <w:tc>
          <w:tcPr>
            <w:tcW w:w="1073" w:type="dxa"/>
            <w:tcBorders>
              <w:top w:val="single" w:sz="6" w:space="0" w:color="auto"/>
              <w:left w:val="single" w:sz="6" w:space="0" w:color="auto"/>
              <w:bottom w:val="nil"/>
              <w:right w:val="nil"/>
            </w:tcBorders>
          </w:tcPr>
          <w:p w14:paraId="1A003A6C" w14:textId="77777777" w:rsidR="00DF6159" w:rsidRPr="00236418" w:rsidRDefault="00DF6159" w:rsidP="009B3D24">
            <w:pPr>
              <w:pStyle w:val="Tabletext"/>
              <w:keepNext/>
              <w:keepLines/>
              <w:spacing w:before="40" w:after="40"/>
              <w:jc w:val="center"/>
              <w:rPr>
                <w:szCs w:val="22"/>
                <w:lang w:eastAsia="zh-CN"/>
              </w:rPr>
            </w:pPr>
            <w:r w:rsidRPr="00236418">
              <w:rPr>
                <w:szCs w:val="22"/>
                <w:lang w:eastAsia="zh-CN"/>
              </w:rPr>
              <w:t>EUR</w:t>
            </w:r>
          </w:p>
        </w:tc>
        <w:tc>
          <w:tcPr>
            <w:tcW w:w="1073" w:type="dxa"/>
            <w:tcBorders>
              <w:top w:val="single" w:sz="6" w:space="0" w:color="auto"/>
              <w:left w:val="single" w:sz="6" w:space="0" w:color="auto"/>
              <w:bottom w:val="nil"/>
              <w:right w:val="single" w:sz="6" w:space="0" w:color="auto"/>
            </w:tcBorders>
          </w:tcPr>
          <w:p w14:paraId="15CDEE1F" w14:textId="77777777" w:rsidR="00DF6159" w:rsidRPr="00236418" w:rsidRDefault="00DF6159" w:rsidP="009B3D24">
            <w:pPr>
              <w:pStyle w:val="Tabletext"/>
              <w:keepNext/>
              <w:keepLines/>
              <w:spacing w:before="40" w:after="40"/>
              <w:jc w:val="center"/>
              <w:rPr>
                <w:szCs w:val="22"/>
                <w:lang w:eastAsia="zh-CN"/>
              </w:rPr>
            </w:pPr>
            <w:r w:rsidRPr="00236418">
              <w:rPr>
                <w:szCs w:val="22"/>
                <w:lang w:eastAsia="zh-CN"/>
              </w:rPr>
              <w:t>CHF</w:t>
            </w:r>
          </w:p>
        </w:tc>
        <w:tc>
          <w:tcPr>
            <w:tcW w:w="1073" w:type="dxa"/>
            <w:tcBorders>
              <w:top w:val="single" w:sz="6" w:space="0" w:color="auto"/>
              <w:left w:val="single" w:sz="6" w:space="0" w:color="auto"/>
              <w:bottom w:val="nil"/>
              <w:right w:val="single" w:sz="6" w:space="0" w:color="auto"/>
            </w:tcBorders>
          </w:tcPr>
          <w:p w14:paraId="1834C72C" w14:textId="77777777" w:rsidR="00DF6159" w:rsidRPr="00236418" w:rsidRDefault="00DF6159" w:rsidP="009B3D24">
            <w:pPr>
              <w:pStyle w:val="Tabletext"/>
              <w:keepNext/>
              <w:keepLines/>
              <w:spacing w:before="40" w:after="40"/>
              <w:jc w:val="center"/>
              <w:rPr>
                <w:szCs w:val="22"/>
                <w:lang w:eastAsia="zh-CN"/>
              </w:rPr>
            </w:pPr>
            <w:r w:rsidRPr="00236418">
              <w:rPr>
                <w:szCs w:val="22"/>
                <w:lang w:eastAsia="zh-CN"/>
              </w:rPr>
              <w:t>USD</w:t>
            </w:r>
          </w:p>
        </w:tc>
        <w:tc>
          <w:tcPr>
            <w:tcW w:w="1073" w:type="dxa"/>
            <w:tcBorders>
              <w:top w:val="nil"/>
              <w:left w:val="nil"/>
              <w:bottom w:val="nil"/>
              <w:right w:val="single" w:sz="6" w:space="0" w:color="auto"/>
            </w:tcBorders>
          </w:tcPr>
          <w:p w14:paraId="3BC9A765" w14:textId="77777777" w:rsidR="00DF6159" w:rsidRPr="00236418" w:rsidRDefault="00DF6159" w:rsidP="009B3D24">
            <w:pPr>
              <w:pStyle w:val="Tabletext"/>
              <w:keepNext/>
              <w:keepLines/>
              <w:spacing w:before="40" w:after="40"/>
              <w:jc w:val="center"/>
              <w:rPr>
                <w:szCs w:val="22"/>
                <w:lang w:eastAsia="zh-CN"/>
              </w:rPr>
            </w:pPr>
            <w:r w:rsidRPr="00236418">
              <w:rPr>
                <w:szCs w:val="22"/>
                <w:lang w:eastAsia="zh-CN"/>
              </w:rPr>
              <w:t>EUR</w:t>
            </w:r>
          </w:p>
        </w:tc>
      </w:tr>
      <w:tr w:rsidR="00DF6159" w:rsidRPr="00236418" w14:paraId="586C874E" w14:textId="77777777" w:rsidTr="006538EB">
        <w:trPr>
          <w:trHeight w:val="247"/>
          <w:jc w:val="center"/>
        </w:trPr>
        <w:tc>
          <w:tcPr>
            <w:tcW w:w="2791" w:type="dxa"/>
            <w:tcBorders>
              <w:top w:val="nil"/>
              <w:left w:val="single" w:sz="6" w:space="0" w:color="auto"/>
              <w:bottom w:val="nil"/>
              <w:right w:val="nil"/>
            </w:tcBorders>
          </w:tcPr>
          <w:p w14:paraId="056448D1" w14:textId="77777777" w:rsidR="00DF6159" w:rsidRPr="00236418" w:rsidRDefault="00DF6159" w:rsidP="009B3D24">
            <w:pPr>
              <w:pStyle w:val="Tabletext"/>
              <w:keepNext/>
              <w:keepLines/>
              <w:spacing w:before="40" w:after="40"/>
              <w:rPr>
                <w:szCs w:val="22"/>
                <w:lang w:eastAsia="zh-CN"/>
              </w:rPr>
            </w:pPr>
            <w:r w:rsidRPr="00236418">
              <w:rPr>
                <w:szCs w:val="22"/>
                <w:lang w:eastAsia="zh-CN"/>
              </w:rPr>
              <w:t>Échéance</w:t>
            </w:r>
          </w:p>
        </w:tc>
        <w:tc>
          <w:tcPr>
            <w:tcW w:w="1073" w:type="dxa"/>
            <w:tcBorders>
              <w:top w:val="nil"/>
              <w:left w:val="single" w:sz="6" w:space="0" w:color="auto"/>
              <w:bottom w:val="nil"/>
              <w:right w:val="nil"/>
            </w:tcBorders>
            <w:vAlign w:val="bottom"/>
          </w:tcPr>
          <w:p w14:paraId="734A29BA"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7F2FC06C"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nil"/>
            </w:tcBorders>
            <w:vAlign w:val="bottom"/>
          </w:tcPr>
          <w:p w14:paraId="65F5F92D"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single" w:sz="6" w:space="0" w:color="auto"/>
            </w:tcBorders>
            <w:vAlign w:val="bottom"/>
          </w:tcPr>
          <w:p w14:paraId="28651CA0"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single" w:sz="6" w:space="0" w:color="auto"/>
            </w:tcBorders>
            <w:vAlign w:val="bottom"/>
          </w:tcPr>
          <w:p w14:paraId="4A07E178"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nil"/>
              <w:right w:val="single" w:sz="6" w:space="0" w:color="auto"/>
            </w:tcBorders>
            <w:vAlign w:val="bottom"/>
          </w:tcPr>
          <w:p w14:paraId="2B618D0A"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 </w:t>
            </w:r>
          </w:p>
        </w:tc>
      </w:tr>
      <w:tr w:rsidR="00DF6159" w:rsidRPr="00236418" w14:paraId="0AE83AA6" w14:textId="77777777" w:rsidTr="006538EB">
        <w:trPr>
          <w:trHeight w:val="247"/>
          <w:jc w:val="center"/>
        </w:trPr>
        <w:tc>
          <w:tcPr>
            <w:tcW w:w="2791" w:type="dxa"/>
            <w:tcBorders>
              <w:top w:val="nil"/>
              <w:left w:val="single" w:sz="6" w:space="0" w:color="auto"/>
              <w:bottom w:val="nil"/>
              <w:right w:val="nil"/>
            </w:tcBorders>
          </w:tcPr>
          <w:p w14:paraId="568FB0E6" w14:textId="77777777" w:rsidR="00DF6159" w:rsidRPr="00236418" w:rsidRDefault="00DF6159" w:rsidP="009B3D24">
            <w:pPr>
              <w:pStyle w:val="Tabletext"/>
              <w:keepNext/>
              <w:keepLines/>
              <w:spacing w:before="40" w:after="40"/>
              <w:rPr>
                <w:szCs w:val="22"/>
                <w:lang w:eastAsia="zh-CN"/>
              </w:rPr>
            </w:pPr>
            <w:r w:rsidRPr="00236418">
              <w:rPr>
                <w:szCs w:val="22"/>
                <w:lang w:eastAsia="zh-CN"/>
              </w:rPr>
              <w:t xml:space="preserve">0-3 mois </w:t>
            </w:r>
          </w:p>
        </w:tc>
        <w:tc>
          <w:tcPr>
            <w:tcW w:w="1073" w:type="dxa"/>
            <w:tcBorders>
              <w:top w:val="nil"/>
              <w:left w:val="single" w:sz="6" w:space="0" w:color="auto"/>
              <w:bottom w:val="nil"/>
              <w:right w:val="nil"/>
            </w:tcBorders>
            <w:vAlign w:val="bottom"/>
          </w:tcPr>
          <w:p w14:paraId="6182412B"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10 000</w:t>
            </w:r>
          </w:p>
        </w:tc>
        <w:tc>
          <w:tcPr>
            <w:tcW w:w="1072" w:type="dxa"/>
            <w:tcBorders>
              <w:top w:val="nil"/>
              <w:left w:val="single" w:sz="6" w:space="0" w:color="auto"/>
              <w:bottom w:val="nil"/>
              <w:right w:val="nil"/>
            </w:tcBorders>
            <w:vAlign w:val="bottom"/>
          </w:tcPr>
          <w:p w14:paraId="5D0AF1C0" w14:textId="7A9D52F5" w:rsidR="00DF6159" w:rsidRPr="00236418" w:rsidRDefault="00DF6159" w:rsidP="009B3D24">
            <w:pPr>
              <w:pStyle w:val="Tabletext"/>
              <w:keepNext/>
              <w:keepLines/>
              <w:spacing w:before="40" w:after="40"/>
              <w:jc w:val="right"/>
              <w:rPr>
                <w:szCs w:val="22"/>
                <w:lang w:eastAsia="zh-CN"/>
              </w:rPr>
            </w:pPr>
            <w:r w:rsidRPr="00236418">
              <w:rPr>
                <w:szCs w:val="22"/>
                <w:lang w:eastAsia="zh-CN"/>
              </w:rPr>
              <w:t>1</w:t>
            </w:r>
            <w:r w:rsidR="00541717" w:rsidRPr="00236418">
              <w:rPr>
                <w:szCs w:val="22"/>
                <w:lang w:eastAsia="zh-CN"/>
              </w:rPr>
              <w:t>9</w:t>
            </w:r>
            <w:r w:rsidRPr="00236418">
              <w:rPr>
                <w:szCs w:val="22"/>
                <w:lang w:eastAsia="zh-CN"/>
              </w:rPr>
              <w:t xml:space="preserve"> </w:t>
            </w:r>
            <w:r w:rsidR="00541717" w:rsidRPr="00236418">
              <w:rPr>
                <w:szCs w:val="22"/>
                <w:lang w:eastAsia="zh-CN"/>
              </w:rPr>
              <w:t>0</w:t>
            </w:r>
            <w:r w:rsidRPr="00236418">
              <w:rPr>
                <w:szCs w:val="22"/>
                <w:lang w:eastAsia="zh-CN"/>
              </w:rPr>
              <w:t>12</w:t>
            </w:r>
          </w:p>
        </w:tc>
        <w:tc>
          <w:tcPr>
            <w:tcW w:w="1073" w:type="dxa"/>
            <w:tcBorders>
              <w:top w:val="nil"/>
              <w:left w:val="single" w:sz="6" w:space="0" w:color="auto"/>
              <w:bottom w:val="nil"/>
              <w:right w:val="nil"/>
            </w:tcBorders>
            <w:vAlign w:val="bottom"/>
          </w:tcPr>
          <w:p w14:paraId="07E93882" w14:textId="315F11BA" w:rsidR="00DF6159" w:rsidRPr="00236418" w:rsidRDefault="00541717" w:rsidP="009B3D24">
            <w:pPr>
              <w:pStyle w:val="Tabletext"/>
              <w:keepNext/>
              <w:keepLines/>
              <w:spacing w:before="40" w:after="40"/>
              <w:jc w:val="right"/>
              <w:rPr>
                <w:szCs w:val="22"/>
                <w:lang w:eastAsia="zh-CN"/>
              </w:rPr>
            </w:pPr>
            <w:r w:rsidRPr="00236418">
              <w:rPr>
                <w:szCs w:val="22"/>
                <w:lang w:eastAsia="zh-CN"/>
              </w:rPr>
              <w:t>–</w:t>
            </w:r>
          </w:p>
        </w:tc>
        <w:tc>
          <w:tcPr>
            <w:tcW w:w="1073" w:type="dxa"/>
            <w:tcBorders>
              <w:top w:val="nil"/>
              <w:left w:val="single" w:sz="6" w:space="0" w:color="auto"/>
              <w:bottom w:val="nil"/>
              <w:right w:val="nil"/>
            </w:tcBorders>
            <w:vAlign w:val="bottom"/>
          </w:tcPr>
          <w:p w14:paraId="192979F8" w14:textId="24549082" w:rsidR="00DF6159" w:rsidRPr="00236418" w:rsidRDefault="00DF6159" w:rsidP="009B3D24">
            <w:pPr>
              <w:pStyle w:val="Tabletext"/>
              <w:keepNext/>
              <w:keepLines/>
              <w:spacing w:before="40" w:after="40"/>
              <w:jc w:val="right"/>
              <w:rPr>
                <w:szCs w:val="22"/>
                <w:lang w:eastAsia="zh-CN"/>
              </w:rPr>
            </w:pPr>
            <w:r w:rsidRPr="00236418">
              <w:rPr>
                <w:szCs w:val="22"/>
                <w:lang w:eastAsia="zh-CN"/>
              </w:rPr>
              <w:t>1</w:t>
            </w:r>
            <w:r w:rsidR="00541717" w:rsidRPr="00236418">
              <w:rPr>
                <w:szCs w:val="22"/>
                <w:lang w:eastAsia="zh-CN"/>
              </w:rPr>
              <w:t>0 000</w:t>
            </w:r>
          </w:p>
        </w:tc>
        <w:tc>
          <w:tcPr>
            <w:tcW w:w="1073" w:type="dxa"/>
            <w:tcBorders>
              <w:top w:val="nil"/>
              <w:left w:val="single" w:sz="6" w:space="0" w:color="auto"/>
              <w:bottom w:val="nil"/>
              <w:right w:val="nil"/>
            </w:tcBorders>
            <w:vAlign w:val="bottom"/>
          </w:tcPr>
          <w:p w14:paraId="6738CF0C" w14:textId="3070CD92" w:rsidR="00DF6159" w:rsidRPr="00236418" w:rsidRDefault="00541717" w:rsidP="009B3D24">
            <w:pPr>
              <w:pStyle w:val="Tabletext"/>
              <w:keepNext/>
              <w:keepLines/>
              <w:spacing w:before="40" w:after="40"/>
              <w:jc w:val="right"/>
              <w:rPr>
                <w:szCs w:val="22"/>
                <w:lang w:eastAsia="zh-CN"/>
              </w:rPr>
            </w:pPr>
            <w:r w:rsidRPr="00236418">
              <w:rPr>
                <w:szCs w:val="22"/>
                <w:lang w:eastAsia="zh-CN"/>
              </w:rPr>
              <w:t>12</w:t>
            </w:r>
            <w:r w:rsidR="00DF6159" w:rsidRPr="00236418">
              <w:rPr>
                <w:szCs w:val="22"/>
                <w:lang w:eastAsia="zh-CN"/>
              </w:rPr>
              <w:t xml:space="preserve"> </w:t>
            </w:r>
            <w:r w:rsidRPr="00236418">
              <w:rPr>
                <w:szCs w:val="22"/>
                <w:lang w:eastAsia="zh-CN"/>
              </w:rPr>
              <w:t>3</w:t>
            </w:r>
            <w:r w:rsidR="00DF6159" w:rsidRPr="00236418">
              <w:rPr>
                <w:szCs w:val="22"/>
                <w:lang w:eastAsia="zh-CN"/>
              </w:rPr>
              <w:t>12</w:t>
            </w:r>
          </w:p>
        </w:tc>
        <w:tc>
          <w:tcPr>
            <w:tcW w:w="1073" w:type="dxa"/>
            <w:tcBorders>
              <w:top w:val="nil"/>
              <w:left w:val="single" w:sz="6" w:space="0" w:color="auto"/>
              <w:right w:val="single" w:sz="4" w:space="0" w:color="auto"/>
            </w:tcBorders>
            <w:vAlign w:val="bottom"/>
          </w:tcPr>
          <w:p w14:paraId="096BE2CB" w14:textId="2D484A88" w:rsidR="00DF6159" w:rsidRPr="00236418" w:rsidRDefault="00541717" w:rsidP="009B3D24">
            <w:pPr>
              <w:pStyle w:val="Tabletext"/>
              <w:keepNext/>
              <w:keepLines/>
              <w:spacing w:before="40" w:after="40"/>
              <w:jc w:val="right"/>
              <w:rPr>
                <w:szCs w:val="22"/>
                <w:lang w:eastAsia="zh-CN"/>
              </w:rPr>
            </w:pPr>
            <w:r w:rsidRPr="00236418">
              <w:rPr>
                <w:szCs w:val="22"/>
                <w:lang w:eastAsia="zh-CN"/>
              </w:rPr>
              <w:t>–</w:t>
            </w:r>
          </w:p>
        </w:tc>
      </w:tr>
      <w:tr w:rsidR="00DF6159" w:rsidRPr="00236418" w14:paraId="5514E76E" w14:textId="77777777" w:rsidTr="006538EB">
        <w:trPr>
          <w:trHeight w:val="247"/>
          <w:jc w:val="center"/>
        </w:trPr>
        <w:tc>
          <w:tcPr>
            <w:tcW w:w="2791" w:type="dxa"/>
            <w:tcBorders>
              <w:top w:val="nil"/>
              <w:left w:val="single" w:sz="6" w:space="0" w:color="auto"/>
              <w:bottom w:val="nil"/>
              <w:right w:val="nil"/>
            </w:tcBorders>
          </w:tcPr>
          <w:p w14:paraId="0A1EAEED" w14:textId="77777777" w:rsidR="00DF6159" w:rsidRPr="00236418" w:rsidRDefault="00DF6159" w:rsidP="009B3D24">
            <w:pPr>
              <w:pStyle w:val="Tabletext"/>
              <w:keepNext/>
              <w:keepLines/>
              <w:spacing w:before="40" w:after="40"/>
              <w:rPr>
                <w:szCs w:val="22"/>
                <w:lang w:eastAsia="zh-CN"/>
              </w:rPr>
            </w:pPr>
            <w:r w:rsidRPr="00236418">
              <w:rPr>
                <w:szCs w:val="22"/>
                <w:lang w:eastAsia="zh-CN"/>
              </w:rPr>
              <w:t xml:space="preserve">4-6 mois </w:t>
            </w:r>
          </w:p>
        </w:tc>
        <w:tc>
          <w:tcPr>
            <w:tcW w:w="1073" w:type="dxa"/>
            <w:tcBorders>
              <w:top w:val="nil"/>
              <w:left w:val="single" w:sz="6" w:space="0" w:color="auto"/>
              <w:bottom w:val="nil"/>
              <w:right w:val="nil"/>
            </w:tcBorders>
            <w:vAlign w:val="bottom"/>
          </w:tcPr>
          <w:p w14:paraId="56296B8D" w14:textId="4F549CB3"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0E0FD592" w14:textId="77AC90C7" w:rsidR="00DF6159" w:rsidRPr="00236418" w:rsidRDefault="00541717" w:rsidP="009B3D24">
            <w:pPr>
              <w:pStyle w:val="Tabletext"/>
              <w:keepNext/>
              <w:keepLines/>
              <w:spacing w:before="40" w:after="40"/>
              <w:jc w:val="right"/>
              <w:rPr>
                <w:szCs w:val="22"/>
                <w:lang w:eastAsia="zh-CN"/>
              </w:rPr>
            </w:pPr>
            <w:r w:rsidRPr="00236418">
              <w:rPr>
                <w:szCs w:val="22"/>
                <w:lang w:eastAsia="zh-CN"/>
              </w:rPr>
              <w:t>4 0</w:t>
            </w:r>
            <w:r w:rsidR="00DF6159" w:rsidRPr="00236418">
              <w:rPr>
                <w:szCs w:val="22"/>
                <w:lang w:eastAsia="zh-CN"/>
              </w:rPr>
              <w:t>00</w:t>
            </w:r>
          </w:p>
        </w:tc>
        <w:tc>
          <w:tcPr>
            <w:tcW w:w="1073" w:type="dxa"/>
            <w:tcBorders>
              <w:top w:val="nil"/>
              <w:left w:val="single" w:sz="6" w:space="0" w:color="auto"/>
              <w:bottom w:val="nil"/>
              <w:right w:val="nil"/>
            </w:tcBorders>
            <w:vAlign w:val="bottom"/>
          </w:tcPr>
          <w:p w14:paraId="1080F13F" w14:textId="72497D0C"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nil"/>
            </w:tcBorders>
            <w:vAlign w:val="bottom"/>
          </w:tcPr>
          <w:p w14:paraId="3DB3C1FF" w14:textId="77777777" w:rsidR="00DF6159" w:rsidRPr="00236418" w:rsidRDefault="00DF6159" w:rsidP="009B3D24">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342631BF" w14:textId="59413A71" w:rsidR="00DF6159" w:rsidRPr="00236418" w:rsidRDefault="00DF6159" w:rsidP="009B3D24">
            <w:pPr>
              <w:pStyle w:val="Tabletext"/>
              <w:keepNext/>
              <w:keepLines/>
              <w:spacing w:before="40" w:after="40"/>
              <w:jc w:val="right"/>
              <w:rPr>
                <w:szCs w:val="22"/>
                <w:lang w:eastAsia="zh-CN"/>
              </w:rPr>
            </w:pPr>
            <w:r w:rsidRPr="00236418">
              <w:rPr>
                <w:szCs w:val="22"/>
                <w:lang w:eastAsia="zh-CN"/>
              </w:rPr>
              <w:t>1</w:t>
            </w:r>
            <w:r w:rsidR="00541717" w:rsidRPr="00236418">
              <w:rPr>
                <w:szCs w:val="22"/>
                <w:lang w:eastAsia="zh-CN"/>
              </w:rPr>
              <w:t>8 5</w:t>
            </w:r>
            <w:r w:rsidRPr="00236418">
              <w:rPr>
                <w:szCs w:val="22"/>
                <w:lang w:eastAsia="zh-CN"/>
              </w:rPr>
              <w:t>00</w:t>
            </w:r>
          </w:p>
        </w:tc>
        <w:tc>
          <w:tcPr>
            <w:tcW w:w="1073" w:type="dxa"/>
            <w:tcBorders>
              <w:top w:val="nil"/>
              <w:left w:val="single" w:sz="6" w:space="0" w:color="auto"/>
              <w:bottom w:val="nil"/>
              <w:right w:val="single" w:sz="4" w:space="0" w:color="auto"/>
            </w:tcBorders>
            <w:vAlign w:val="bottom"/>
          </w:tcPr>
          <w:p w14:paraId="384F4B9F" w14:textId="084F1CB0"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r>
      <w:tr w:rsidR="00DF6159" w:rsidRPr="00236418" w14:paraId="6E55914C" w14:textId="77777777" w:rsidTr="006538EB">
        <w:trPr>
          <w:trHeight w:val="247"/>
          <w:jc w:val="center"/>
        </w:trPr>
        <w:tc>
          <w:tcPr>
            <w:tcW w:w="2791" w:type="dxa"/>
            <w:tcBorders>
              <w:top w:val="nil"/>
              <w:left w:val="single" w:sz="6" w:space="0" w:color="auto"/>
              <w:bottom w:val="nil"/>
              <w:right w:val="nil"/>
            </w:tcBorders>
          </w:tcPr>
          <w:p w14:paraId="1DFF4A8B" w14:textId="77777777" w:rsidR="00DF6159" w:rsidRPr="00236418" w:rsidRDefault="00DF6159" w:rsidP="009B3D24">
            <w:pPr>
              <w:pStyle w:val="Tabletext"/>
              <w:keepNext/>
              <w:keepLines/>
              <w:spacing w:before="40" w:after="40"/>
              <w:rPr>
                <w:szCs w:val="22"/>
                <w:lang w:eastAsia="zh-CN"/>
              </w:rPr>
            </w:pPr>
            <w:r w:rsidRPr="00236418">
              <w:rPr>
                <w:szCs w:val="22"/>
                <w:lang w:eastAsia="zh-CN"/>
              </w:rPr>
              <w:t xml:space="preserve">7-9 mois </w:t>
            </w:r>
          </w:p>
        </w:tc>
        <w:tc>
          <w:tcPr>
            <w:tcW w:w="1073" w:type="dxa"/>
            <w:tcBorders>
              <w:top w:val="nil"/>
              <w:left w:val="single" w:sz="6" w:space="0" w:color="auto"/>
              <w:bottom w:val="nil"/>
              <w:right w:val="nil"/>
            </w:tcBorders>
            <w:vAlign w:val="bottom"/>
          </w:tcPr>
          <w:p w14:paraId="65DB7955" w14:textId="7C0C6899"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nil"/>
            </w:tcBorders>
            <w:vAlign w:val="bottom"/>
          </w:tcPr>
          <w:p w14:paraId="2FCA8C9E" w14:textId="323B0A72" w:rsidR="00DF6159" w:rsidRPr="00236418" w:rsidRDefault="00DF6159" w:rsidP="009B3D24">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088161F8" w14:textId="28DAF082"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nil"/>
            </w:tcBorders>
            <w:vAlign w:val="bottom"/>
          </w:tcPr>
          <w:p w14:paraId="66980F07" w14:textId="77777777" w:rsidR="00DF6159" w:rsidRPr="00236418" w:rsidRDefault="00DF6159" w:rsidP="009B3D24">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728578A0" w14:textId="77777777" w:rsidR="00DF6159" w:rsidRPr="00236418" w:rsidRDefault="00DF6159" w:rsidP="009B3D24">
            <w:pPr>
              <w:pStyle w:val="Tabletext"/>
              <w:keepNext/>
              <w:keepLines/>
              <w:spacing w:before="40" w:after="40"/>
              <w:jc w:val="right"/>
              <w:rPr>
                <w:szCs w:val="22"/>
                <w:lang w:eastAsia="zh-CN"/>
              </w:rPr>
            </w:pPr>
            <w:r w:rsidRPr="00236418">
              <w:rPr>
                <w:szCs w:val="22"/>
                <w:lang w:eastAsia="zh-CN"/>
              </w:rPr>
              <w:t>8 000</w:t>
            </w:r>
          </w:p>
        </w:tc>
        <w:tc>
          <w:tcPr>
            <w:tcW w:w="1073" w:type="dxa"/>
            <w:tcBorders>
              <w:top w:val="nil"/>
              <w:left w:val="single" w:sz="6" w:space="0" w:color="auto"/>
              <w:bottom w:val="nil"/>
              <w:right w:val="single" w:sz="6" w:space="0" w:color="auto"/>
            </w:tcBorders>
            <w:vAlign w:val="bottom"/>
          </w:tcPr>
          <w:p w14:paraId="05718059" w14:textId="5E0C51FE"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r>
      <w:tr w:rsidR="00DF6159" w:rsidRPr="00236418" w14:paraId="72875BB2" w14:textId="77777777" w:rsidTr="006538EB">
        <w:trPr>
          <w:trHeight w:val="247"/>
          <w:jc w:val="center"/>
        </w:trPr>
        <w:tc>
          <w:tcPr>
            <w:tcW w:w="2791" w:type="dxa"/>
            <w:tcBorders>
              <w:top w:val="nil"/>
              <w:left w:val="single" w:sz="6" w:space="0" w:color="auto"/>
              <w:bottom w:val="nil"/>
              <w:right w:val="nil"/>
            </w:tcBorders>
          </w:tcPr>
          <w:p w14:paraId="63B40EF0" w14:textId="77777777" w:rsidR="00DF6159" w:rsidRPr="00236418" w:rsidRDefault="00DF6159" w:rsidP="009B3D24">
            <w:pPr>
              <w:pStyle w:val="Tabletext"/>
              <w:keepNext/>
              <w:keepLines/>
              <w:spacing w:before="40" w:after="40"/>
              <w:rPr>
                <w:szCs w:val="22"/>
                <w:lang w:eastAsia="zh-CN"/>
              </w:rPr>
            </w:pPr>
            <w:r w:rsidRPr="00236418">
              <w:rPr>
                <w:szCs w:val="22"/>
                <w:lang w:eastAsia="zh-CN"/>
              </w:rPr>
              <w:t>au-delà de 9 mois</w:t>
            </w:r>
          </w:p>
        </w:tc>
        <w:tc>
          <w:tcPr>
            <w:tcW w:w="1073" w:type="dxa"/>
            <w:tcBorders>
              <w:top w:val="nil"/>
              <w:left w:val="single" w:sz="6" w:space="0" w:color="auto"/>
              <w:bottom w:val="nil"/>
              <w:right w:val="single" w:sz="6" w:space="0" w:color="auto"/>
            </w:tcBorders>
            <w:vAlign w:val="bottom"/>
          </w:tcPr>
          <w:p w14:paraId="0DADF09F" w14:textId="0315B32A"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c>
          <w:tcPr>
            <w:tcW w:w="1072" w:type="dxa"/>
            <w:tcBorders>
              <w:top w:val="nil"/>
              <w:left w:val="single" w:sz="6" w:space="0" w:color="auto"/>
              <w:bottom w:val="nil"/>
              <w:right w:val="single" w:sz="6" w:space="0" w:color="auto"/>
            </w:tcBorders>
            <w:vAlign w:val="bottom"/>
          </w:tcPr>
          <w:p w14:paraId="64F4B8A9" w14:textId="72871637"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nil"/>
              <w:bottom w:val="nil"/>
              <w:right w:val="single" w:sz="6" w:space="0" w:color="auto"/>
            </w:tcBorders>
            <w:vAlign w:val="bottom"/>
          </w:tcPr>
          <w:p w14:paraId="1B5D0E61" w14:textId="436C3285" w:rsidR="00DF6159" w:rsidRPr="00236418" w:rsidRDefault="00FF1955" w:rsidP="009B3D24">
            <w:pPr>
              <w:pStyle w:val="Tabletext"/>
              <w:keepNext/>
              <w:keepLines/>
              <w:spacing w:before="40" w:after="40"/>
              <w:jc w:val="right"/>
              <w:rPr>
                <w:szCs w:val="22"/>
                <w:lang w:eastAsia="zh-CN"/>
              </w:rPr>
            </w:pPr>
            <w:r w:rsidRPr="00236418">
              <w:rPr>
                <w:szCs w:val="22"/>
                <w:lang w:eastAsia="zh-CN"/>
              </w:rPr>
              <w:t> </w:t>
            </w:r>
          </w:p>
        </w:tc>
        <w:tc>
          <w:tcPr>
            <w:tcW w:w="1073" w:type="dxa"/>
            <w:tcBorders>
              <w:top w:val="nil"/>
              <w:left w:val="single" w:sz="6" w:space="0" w:color="auto"/>
              <w:bottom w:val="nil"/>
              <w:right w:val="nil"/>
            </w:tcBorders>
            <w:vAlign w:val="bottom"/>
          </w:tcPr>
          <w:p w14:paraId="5BFD50B1" w14:textId="7C5C22A5" w:rsidR="00DF6159" w:rsidRPr="00236418" w:rsidRDefault="00541717" w:rsidP="009B3D24">
            <w:pPr>
              <w:pStyle w:val="Tabletext"/>
              <w:keepNext/>
              <w:keepLines/>
              <w:spacing w:before="40" w:after="40"/>
              <w:jc w:val="right"/>
              <w:rPr>
                <w:szCs w:val="22"/>
                <w:lang w:eastAsia="zh-CN"/>
              </w:rPr>
            </w:pPr>
            <w:r w:rsidRPr="00236418">
              <w:rPr>
                <w:szCs w:val="22"/>
                <w:lang w:eastAsia="zh-CN"/>
              </w:rPr>
              <w:t>10 000</w:t>
            </w:r>
          </w:p>
        </w:tc>
        <w:tc>
          <w:tcPr>
            <w:tcW w:w="1073" w:type="dxa"/>
            <w:tcBorders>
              <w:top w:val="nil"/>
              <w:left w:val="single" w:sz="6" w:space="0" w:color="auto"/>
              <w:bottom w:val="nil"/>
              <w:right w:val="nil"/>
            </w:tcBorders>
            <w:vAlign w:val="bottom"/>
          </w:tcPr>
          <w:p w14:paraId="200D6BA5" w14:textId="62E0C3BC" w:rsidR="00DF6159" w:rsidRPr="00236418" w:rsidRDefault="00541717" w:rsidP="009B3D24">
            <w:pPr>
              <w:pStyle w:val="Tabletext"/>
              <w:keepNext/>
              <w:keepLines/>
              <w:spacing w:before="40" w:after="40"/>
              <w:jc w:val="right"/>
              <w:rPr>
                <w:szCs w:val="22"/>
                <w:lang w:eastAsia="zh-CN"/>
              </w:rPr>
            </w:pPr>
            <w:r w:rsidRPr="00236418">
              <w:rPr>
                <w:szCs w:val="22"/>
                <w:lang w:eastAsia="zh-CN"/>
              </w:rPr>
              <w:t>12 312</w:t>
            </w:r>
          </w:p>
        </w:tc>
        <w:tc>
          <w:tcPr>
            <w:tcW w:w="1073" w:type="dxa"/>
            <w:tcBorders>
              <w:top w:val="nil"/>
              <w:left w:val="single" w:sz="6" w:space="0" w:color="auto"/>
              <w:bottom w:val="nil"/>
              <w:right w:val="single" w:sz="6" w:space="0" w:color="auto"/>
            </w:tcBorders>
            <w:vAlign w:val="bottom"/>
          </w:tcPr>
          <w:p w14:paraId="3DE76E83" w14:textId="6E902DFB" w:rsidR="00DF6159" w:rsidRPr="00236418" w:rsidRDefault="00DF6159" w:rsidP="009B3D24">
            <w:pPr>
              <w:pStyle w:val="Tabletext"/>
              <w:keepNext/>
              <w:keepLines/>
              <w:spacing w:before="40" w:after="40"/>
              <w:jc w:val="right"/>
              <w:rPr>
                <w:szCs w:val="22"/>
                <w:lang w:eastAsia="zh-CN"/>
              </w:rPr>
            </w:pPr>
          </w:p>
        </w:tc>
      </w:tr>
      <w:tr w:rsidR="00DF6159" w:rsidRPr="00236418" w14:paraId="64EF993B" w14:textId="77777777" w:rsidTr="006538EB">
        <w:trPr>
          <w:trHeight w:val="135"/>
          <w:jc w:val="center"/>
        </w:trPr>
        <w:tc>
          <w:tcPr>
            <w:tcW w:w="2791" w:type="dxa"/>
            <w:tcBorders>
              <w:top w:val="single" w:sz="6" w:space="0" w:color="auto"/>
              <w:left w:val="single" w:sz="6" w:space="0" w:color="auto"/>
              <w:bottom w:val="single" w:sz="6" w:space="0" w:color="auto"/>
              <w:right w:val="nil"/>
            </w:tcBorders>
          </w:tcPr>
          <w:p w14:paraId="4DD5C023" w14:textId="77777777" w:rsidR="00DF6159" w:rsidRPr="00236418" w:rsidRDefault="00DF6159" w:rsidP="009B3D24">
            <w:pPr>
              <w:pStyle w:val="Tablehead"/>
              <w:keepNext/>
              <w:keepLines/>
              <w:spacing w:before="40" w:after="40"/>
              <w:jc w:val="left"/>
              <w:rPr>
                <w:szCs w:val="22"/>
                <w:lang w:eastAsia="zh-CN"/>
              </w:rPr>
            </w:pPr>
            <w:r w:rsidRPr="00236418">
              <w:rPr>
                <w:szCs w:val="22"/>
                <w:lang w:eastAsia="zh-CN"/>
              </w:rPr>
              <w:t xml:space="preserve">Placements </w:t>
            </w:r>
          </w:p>
        </w:tc>
        <w:tc>
          <w:tcPr>
            <w:tcW w:w="1073" w:type="dxa"/>
            <w:tcBorders>
              <w:top w:val="single" w:sz="6" w:space="0" w:color="auto"/>
              <w:left w:val="single" w:sz="6" w:space="0" w:color="auto"/>
              <w:bottom w:val="single" w:sz="6" w:space="0" w:color="auto"/>
              <w:right w:val="nil"/>
            </w:tcBorders>
            <w:vAlign w:val="center"/>
          </w:tcPr>
          <w:p w14:paraId="1C38DDF4" w14:textId="77777777" w:rsidR="00DF6159" w:rsidRPr="00236418" w:rsidRDefault="00DF6159" w:rsidP="009B3D24">
            <w:pPr>
              <w:pStyle w:val="Tablehead"/>
              <w:keepNext/>
              <w:keepLines/>
              <w:spacing w:before="40" w:after="40"/>
              <w:jc w:val="right"/>
              <w:rPr>
                <w:szCs w:val="22"/>
                <w:lang w:eastAsia="zh-CN"/>
              </w:rPr>
            </w:pPr>
            <w:r w:rsidRPr="00236418">
              <w:rPr>
                <w:szCs w:val="22"/>
                <w:lang w:eastAsia="zh-CN"/>
              </w:rPr>
              <w:t>10 000</w:t>
            </w:r>
          </w:p>
        </w:tc>
        <w:tc>
          <w:tcPr>
            <w:tcW w:w="1072" w:type="dxa"/>
            <w:tcBorders>
              <w:top w:val="single" w:sz="6" w:space="0" w:color="auto"/>
              <w:left w:val="single" w:sz="6" w:space="0" w:color="auto"/>
              <w:bottom w:val="single" w:sz="6" w:space="0" w:color="auto"/>
              <w:right w:val="nil"/>
            </w:tcBorders>
            <w:vAlign w:val="center"/>
          </w:tcPr>
          <w:p w14:paraId="4CA787F2" w14:textId="7B632AE0" w:rsidR="00DF6159" w:rsidRPr="00236418" w:rsidRDefault="00541717" w:rsidP="009B3D24">
            <w:pPr>
              <w:pStyle w:val="Tablehead"/>
              <w:keepNext/>
              <w:keepLines/>
              <w:spacing w:before="40" w:after="40"/>
              <w:jc w:val="right"/>
              <w:rPr>
                <w:szCs w:val="22"/>
                <w:lang w:eastAsia="zh-CN"/>
              </w:rPr>
            </w:pPr>
            <w:r w:rsidRPr="00236418">
              <w:rPr>
                <w:szCs w:val="22"/>
                <w:lang w:eastAsia="zh-CN"/>
              </w:rPr>
              <w:t>23</w:t>
            </w:r>
            <w:r w:rsidR="00DF6159" w:rsidRPr="00236418">
              <w:rPr>
                <w:szCs w:val="22"/>
                <w:lang w:eastAsia="zh-CN"/>
              </w:rPr>
              <w:t xml:space="preserve"> </w:t>
            </w:r>
            <w:r w:rsidRPr="00236418">
              <w:rPr>
                <w:szCs w:val="22"/>
                <w:lang w:eastAsia="zh-CN"/>
              </w:rPr>
              <w:t>0</w:t>
            </w:r>
            <w:r w:rsidR="00DF6159" w:rsidRPr="00236418">
              <w:rPr>
                <w:szCs w:val="22"/>
                <w:lang w:eastAsia="zh-CN"/>
              </w:rPr>
              <w:t>12</w:t>
            </w:r>
          </w:p>
        </w:tc>
        <w:tc>
          <w:tcPr>
            <w:tcW w:w="1073" w:type="dxa"/>
            <w:tcBorders>
              <w:top w:val="single" w:sz="6" w:space="0" w:color="auto"/>
              <w:left w:val="single" w:sz="6" w:space="0" w:color="auto"/>
              <w:bottom w:val="single" w:sz="6" w:space="0" w:color="auto"/>
              <w:right w:val="nil"/>
            </w:tcBorders>
            <w:vAlign w:val="center"/>
          </w:tcPr>
          <w:p w14:paraId="5217327E" w14:textId="6B47824F" w:rsidR="00DF6159" w:rsidRPr="00236418" w:rsidRDefault="00541717" w:rsidP="009B3D24">
            <w:pPr>
              <w:pStyle w:val="Tablehead"/>
              <w:keepNext/>
              <w:keepLines/>
              <w:spacing w:before="40" w:after="40"/>
              <w:jc w:val="right"/>
              <w:rPr>
                <w:szCs w:val="22"/>
                <w:lang w:eastAsia="zh-CN"/>
              </w:rPr>
            </w:pPr>
            <w:r w:rsidRPr="00236418">
              <w:rPr>
                <w:szCs w:val="22"/>
                <w:lang w:eastAsia="zh-CN"/>
              </w:rPr>
              <w:t>–</w:t>
            </w:r>
          </w:p>
        </w:tc>
        <w:tc>
          <w:tcPr>
            <w:tcW w:w="1073" w:type="dxa"/>
            <w:tcBorders>
              <w:top w:val="single" w:sz="6" w:space="0" w:color="auto"/>
              <w:left w:val="single" w:sz="6" w:space="0" w:color="auto"/>
              <w:bottom w:val="single" w:sz="6" w:space="0" w:color="auto"/>
              <w:right w:val="single" w:sz="6" w:space="0" w:color="auto"/>
            </w:tcBorders>
            <w:vAlign w:val="center"/>
          </w:tcPr>
          <w:p w14:paraId="5EF8F4F9" w14:textId="3495A0D3" w:rsidR="00DF6159" w:rsidRPr="00236418" w:rsidRDefault="00DF6159" w:rsidP="009B3D24">
            <w:pPr>
              <w:pStyle w:val="Tablehead"/>
              <w:keepNext/>
              <w:keepLines/>
              <w:spacing w:before="40" w:after="40"/>
              <w:jc w:val="right"/>
              <w:rPr>
                <w:szCs w:val="22"/>
                <w:lang w:eastAsia="zh-CN"/>
              </w:rPr>
            </w:pPr>
            <w:r w:rsidRPr="00236418">
              <w:rPr>
                <w:szCs w:val="22"/>
                <w:lang w:eastAsia="zh-CN"/>
              </w:rPr>
              <w:t>1</w:t>
            </w:r>
            <w:r w:rsidR="00541717" w:rsidRPr="00236418">
              <w:rPr>
                <w:szCs w:val="22"/>
                <w:lang w:eastAsia="zh-CN"/>
              </w:rPr>
              <w:t>0 000</w:t>
            </w:r>
          </w:p>
        </w:tc>
        <w:tc>
          <w:tcPr>
            <w:tcW w:w="1073" w:type="dxa"/>
            <w:tcBorders>
              <w:top w:val="single" w:sz="6" w:space="0" w:color="auto"/>
              <w:left w:val="single" w:sz="6" w:space="0" w:color="auto"/>
              <w:bottom w:val="single" w:sz="6" w:space="0" w:color="auto"/>
              <w:right w:val="single" w:sz="6" w:space="0" w:color="auto"/>
            </w:tcBorders>
            <w:vAlign w:val="center"/>
          </w:tcPr>
          <w:p w14:paraId="0FDACF33" w14:textId="71E31930" w:rsidR="00DF6159" w:rsidRPr="00236418" w:rsidRDefault="00DF6159" w:rsidP="009B3D24">
            <w:pPr>
              <w:pStyle w:val="Tablehead"/>
              <w:keepNext/>
              <w:keepLines/>
              <w:spacing w:before="40" w:after="40"/>
              <w:jc w:val="right"/>
              <w:rPr>
                <w:szCs w:val="22"/>
                <w:lang w:eastAsia="zh-CN"/>
              </w:rPr>
            </w:pPr>
            <w:r w:rsidRPr="00236418">
              <w:rPr>
                <w:szCs w:val="22"/>
                <w:lang w:eastAsia="zh-CN"/>
              </w:rPr>
              <w:t>3</w:t>
            </w:r>
            <w:r w:rsidR="00541717" w:rsidRPr="00236418">
              <w:rPr>
                <w:szCs w:val="22"/>
                <w:lang w:eastAsia="zh-CN"/>
              </w:rPr>
              <w:t>8</w:t>
            </w:r>
            <w:r w:rsidRPr="00236418">
              <w:rPr>
                <w:szCs w:val="22"/>
                <w:lang w:eastAsia="zh-CN"/>
              </w:rPr>
              <w:t xml:space="preserve"> </w:t>
            </w:r>
            <w:r w:rsidR="00541717" w:rsidRPr="00236418">
              <w:rPr>
                <w:szCs w:val="22"/>
                <w:lang w:eastAsia="zh-CN"/>
              </w:rPr>
              <w:t>8</w:t>
            </w:r>
            <w:r w:rsidRPr="00236418">
              <w:rPr>
                <w:szCs w:val="22"/>
                <w:lang w:eastAsia="zh-CN"/>
              </w:rPr>
              <w:t>12</w:t>
            </w:r>
          </w:p>
        </w:tc>
        <w:tc>
          <w:tcPr>
            <w:tcW w:w="1073" w:type="dxa"/>
            <w:tcBorders>
              <w:top w:val="single" w:sz="6" w:space="0" w:color="auto"/>
              <w:left w:val="nil"/>
              <w:bottom w:val="single" w:sz="6" w:space="0" w:color="auto"/>
              <w:right w:val="single" w:sz="6" w:space="0" w:color="auto"/>
            </w:tcBorders>
            <w:vAlign w:val="center"/>
          </w:tcPr>
          <w:p w14:paraId="584B89BA" w14:textId="0688747C" w:rsidR="00DF6159" w:rsidRPr="00236418" w:rsidRDefault="00541717" w:rsidP="009B3D24">
            <w:pPr>
              <w:pStyle w:val="Tablehead"/>
              <w:keepNext/>
              <w:keepLines/>
              <w:spacing w:before="40" w:after="40"/>
              <w:jc w:val="right"/>
              <w:rPr>
                <w:szCs w:val="22"/>
                <w:lang w:eastAsia="zh-CN"/>
              </w:rPr>
            </w:pPr>
            <w:r w:rsidRPr="00236418">
              <w:rPr>
                <w:szCs w:val="22"/>
                <w:lang w:eastAsia="zh-CN"/>
              </w:rPr>
              <w:t>–</w:t>
            </w:r>
          </w:p>
        </w:tc>
      </w:tr>
    </w:tbl>
    <w:p w14:paraId="56D66584" w14:textId="473E701A" w:rsidR="00DF6159" w:rsidRPr="00236418" w:rsidRDefault="00DF6159" w:rsidP="009B3D24">
      <w:pPr>
        <w:rPr>
          <w:lang w:eastAsia="fr-FR"/>
        </w:rPr>
      </w:pPr>
      <w:bookmarkStart w:id="1444" w:name="_MON_1397396454"/>
      <w:bookmarkStart w:id="1445" w:name="_MON_1395746156"/>
      <w:bookmarkStart w:id="1446" w:name="_Toc268007539"/>
      <w:bookmarkStart w:id="1447" w:name="_Toc329178782"/>
      <w:bookmarkStart w:id="1448" w:name="_Toc329181755"/>
      <w:bookmarkStart w:id="1449" w:name="_Toc329202575"/>
      <w:bookmarkStart w:id="1450" w:name="_Toc329205007"/>
      <w:bookmarkStart w:id="1451" w:name="_Toc329206844"/>
      <w:bookmarkEnd w:id="1444"/>
      <w:bookmarkEnd w:id="1445"/>
      <w:r w:rsidRPr="00236418">
        <w:rPr>
          <w:lang w:eastAsia="fr-FR"/>
        </w:rPr>
        <w:t>Il a été possible d'effectuer un dépôt en francs suisses auprès de la Banque nationale suisse, qui accorde aux organisations internationales une exonération d'intérêts négatifs sur un montant minimum de 10 millions CHF.</w:t>
      </w:r>
    </w:p>
    <w:p w14:paraId="7A01672B" w14:textId="77777777" w:rsidR="00DF6159" w:rsidRPr="00236418" w:rsidRDefault="00DF6159" w:rsidP="00081C96">
      <w:pPr>
        <w:pStyle w:val="Heading1"/>
        <w:rPr>
          <w:sz w:val="24"/>
          <w:szCs w:val="24"/>
        </w:rPr>
      </w:pPr>
      <w:bookmarkStart w:id="1452" w:name="_Toc358379930"/>
      <w:bookmarkStart w:id="1453" w:name="_Toc358380470"/>
      <w:bookmarkStart w:id="1454" w:name="_Toc387166650"/>
      <w:bookmarkStart w:id="1455" w:name="_Toc395260935"/>
      <w:bookmarkStart w:id="1456" w:name="_Toc395511714"/>
      <w:bookmarkStart w:id="1457" w:name="_Toc452138624"/>
      <w:bookmarkStart w:id="1458" w:name="_Toc452139073"/>
      <w:bookmarkStart w:id="1459" w:name="_Toc452139437"/>
      <w:bookmarkStart w:id="1460" w:name="_Toc452139838"/>
      <w:bookmarkStart w:id="1461" w:name="_Toc452140712"/>
      <w:bookmarkStart w:id="1462" w:name="_Toc482801502"/>
      <w:bookmarkStart w:id="1463" w:name="_Toc511649474"/>
      <w:bookmarkStart w:id="1464" w:name="_Toc511649844"/>
      <w:bookmarkStart w:id="1465" w:name="_Toc511649960"/>
      <w:bookmarkStart w:id="1466" w:name="_Toc511651217"/>
      <w:bookmarkStart w:id="1467" w:name="_Toc511724082"/>
      <w:bookmarkStart w:id="1468" w:name="_Toc511739071"/>
      <w:bookmarkStart w:id="1469" w:name="_Toc511741240"/>
      <w:bookmarkStart w:id="1470" w:name="_Toc10450746"/>
      <w:bookmarkStart w:id="1471" w:name="_Toc41566346"/>
      <w:bookmarkStart w:id="1472" w:name="_Toc41567354"/>
      <w:bookmarkStart w:id="1473" w:name="_Toc41567857"/>
      <w:bookmarkStart w:id="1474" w:name="_Toc41814952"/>
      <w:r w:rsidRPr="00236418">
        <w:rPr>
          <w:sz w:val="24"/>
          <w:szCs w:val="24"/>
        </w:rPr>
        <w:t>Note 8</w:t>
      </w:r>
      <w:r w:rsidRPr="00236418">
        <w:rPr>
          <w:sz w:val="24"/>
          <w:szCs w:val="24"/>
        </w:rPr>
        <w:tab/>
        <w:t>C</w:t>
      </w:r>
      <w:bookmarkEnd w:id="1446"/>
      <w:r w:rsidRPr="00236418">
        <w:rPr>
          <w:sz w:val="24"/>
          <w:szCs w:val="24"/>
        </w:rPr>
        <w:t>réances</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22DFE43E" w14:textId="77777777" w:rsidR="00DF6159" w:rsidRPr="00236418" w:rsidRDefault="00DF6159" w:rsidP="009B3D24">
      <w:r w:rsidRPr="00236418">
        <w:t xml:space="preserve">Les créances représentent les produits non encore encaissés que les États Membres, les Membres des Secteurs et les Associés se sont engagés à verser à l'UIT au titre des contributions annuelles, de l'acquisition de publications et des notifications de réseaux à satellite ou de factures diverses. Les sommes </w:t>
      </w:r>
      <w:r w:rsidRPr="00236418">
        <w:rPr>
          <w:color w:val="000000" w:themeColor="text1"/>
        </w:rPr>
        <w:t xml:space="preserve">dues sur les contributions </w:t>
      </w:r>
      <w:r w:rsidRPr="00236418">
        <w:t xml:space="preserve">portent intérêt à partir du début du quatrième mois de chaque année financière de l'UIT. Cet intérêt est fixé au taux de 3% par an pendant les trois mois qui suivent et au taux de 6% par an à partir du début du septième mois. </w:t>
      </w:r>
    </w:p>
    <w:p w14:paraId="0243EFAD" w14:textId="77777777" w:rsidR="00DF6159" w:rsidRPr="00236418" w:rsidRDefault="00DF6159" w:rsidP="009B3D24">
      <w:r w:rsidRPr="00236418">
        <w:t>Les créances non courantes sans contrepartie directe représentent des créances liées aux plans d'amortissement de la dette de certains membres qui se sont engagés à rembourser cette dette dans le cadre d'un accord couvrant plusieurs exercices.</w:t>
      </w:r>
    </w:p>
    <w:p w14:paraId="034E6876" w14:textId="77777777" w:rsidR="00DF6159" w:rsidRPr="00236418" w:rsidRDefault="00DF6159" w:rsidP="009B3D24">
      <w:r w:rsidRPr="00236418">
        <w:t>Les autres créances représentent les produits non encaissés pour les services liés à ITU TELECOM et les contributions volontaires.</w:t>
      </w:r>
      <w:bookmarkStart w:id="1475" w:name="_Toc268007540"/>
    </w:p>
    <w:p w14:paraId="1E28006F" w14:textId="77777777" w:rsidR="005A5186" w:rsidRPr="00236418" w:rsidRDefault="00DF6159" w:rsidP="009B3D24">
      <w:pPr>
        <w:spacing w:after="120"/>
      </w:pPr>
      <w:r w:rsidRPr="00236418">
        <w:t>Il convient de souligner que depuis la mise en place des normes IPSAS, une provision de 100% a été comptabilisée pour l'ensemble des arriérés, comptes spéciaux d'arriérés et comptes spéciaux d'arriérés supprimés.</w:t>
      </w:r>
    </w:p>
    <w:p w14:paraId="7820E421" w14:textId="77777777" w:rsidR="007733F6" w:rsidRPr="00236418" w:rsidRDefault="007733F6" w:rsidP="009B3D24">
      <w:pPr>
        <w:spacing w:after="120"/>
      </w:pPr>
      <w:r w:rsidRPr="00236418">
        <w:br w:type="page"/>
      </w:r>
    </w:p>
    <w:p w14:paraId="04639073" w14:textId="0860797A" w:rsidR="005A5186" w:rsidRPr="00236418" w:rsidRDefault="005A5186" w:rsidP="009B3D24">
      <w:pPr>
        <w:spacing w:after="120"/>
      </w:pPr>
      <w:r w:rsidRPr="00236418">
        <w:lastRenderedPageBreak/>
        <w:t>Après le paiement de créances pour un montant de 3,2 millions CHF pour lesquelles une provision avait été constituée ces dernières années, la provision pour créances douteuses a été réduite en conséquence. En fin d'exercice, un ajustement a été comptabilisé, d'un montant de 2,7 millions CHF pour le budget ordinaire et d'un montant de 61 600 CHF pour Telecom World 2019 en ce qui concerne les créances douteuses.</w:t>
      </w:r>
    </w:p>
    <w:p w14:paraId="243836E4" w14:textId="53E85DBF" w:rsidR="002F1ECB" w:rsidRPr="00236418" w:rsidRDefault="00DF6159" w:rsidP="009B3D24">
      <w:pPr>
        <w:spacing w:after="120"/>
      </w:pPr>
      <w:r w:rsidRPr="00236418">
        <w:t>Les principaux indicateurs démontrent que la situation financière immédiate de l'Union est saine, malgré un niveau de créances à recouvrer pour des retards de paiement de 12 mois ou plus (arriérés, comptes spéciaux d'arriérés et comptes spéciaux d'arriérés supprimés) s'élevant à 39,</w:t>
      </w:r>
      <w:r w:rsidR="005A5186" w:rsidRPr="00236418">
        <w:t>8</w:t>
      </w:r>
      <w:r w:rsidR="00FF1955" w:rsidRPr="00236418">
        <w:t> </w:t>
      </w:r>
      <w:r w:rsidRPr="00236418">
        <w:t xml:space="preserve">millions CHF au 31 décembre </w:t>
      </w:r>
      <w:r w:rsidR="005A5186" w:rsidRPr="00236418">
        <w:t xml:space="preserve">2019 </w:t>
      </w:r>
      <w:r w:rsidRPr="00236418">
        <w:t xml:space="preserve">(contre </w:t>
      </w:r>
      <w:r w:rsidR="005A5186" w:rsidRPr="00236418">
        <w:t>39</w:t>
      </w:r>
      <w:r w:rsidRPr="00236418">
        <w:t>,</w:t>
      </w:r>
      <w:r w:rsidR="005A5186" w:rsidRPr="00236418">
        <w:t>7</w:t>
      </w:r>
      <w:r w:rsidRPr="00236418">
        <w:t> millions CHF au 31 décembre 201</w:t>
      </w:r>
      <w:r w:rsidR="005A5186" w:rsidRPr="00236418">
        <w:t>8</w:t>
      </w:r>
      <w:r w:rsidRPr="00236418">
        <w:t>).</w:t>
      </w:r>
      <w:bookmarkStart w:id="1476" w:name="_Toc329202576"/>
      <w:bookmarkStart w:id="1477" w:name="_Toc329205008"/>
      <w:bookmarkStart w:id="1478" w:name="_Toc329206845"/>
      <w:bookmarkStart w:id="1479" w:name="_Toc358379931"/>
      <w:bookmarkStart w:id="1480" w:name="_Toc358380471"/>
    </w:p>
    <w:p w14:paraId="720A3B93" w14:textId="6A458EAC" w:rsidR="00DF6159" w:rsidRPr="00236418" w:rsidRDefault="00DF6159" w:rsidP="009B3D24">
      <w:pPr>
        <w:spacing w:after="120"/>
      </w:pPr>
      <w:r w:rsidRPr="00236418">
        <w:t>La situation des arriérés dans le budget ordinaire de l'Union au 31 décembre 201</w:t>
      </w:r>
      <w:r w:rsidR="002F1ECB" w:rsidRPr="00236418">
        <w:t>9</w:t>
      </w:r>
      <w:r w:rsidRPr="00236418">
        <w:t xml:space="preserve"> est donnée dans l'Annexe C du présent document.</w:t>
      </w:r>
    </w:p>
    <w:tbl>
      <w:tblPr>
        <w:tblW w:w="9546" w:type="dxa"/>
        <w:jc w:val="center"/>
        <w:tblLayout w:type="fixed"/>
        <w:tblLook w:val="04A0" w:firstRow="1" w:lastRow="0" w:firstColumn="1" w:lastColumn="0" w:noHBand="0" w:noVBand="1"/>
        <w:tblCaption w:val="E"/>
      </w:tblPr>
      <w:tblGrid>
        <w:gridCol w:w="6516"/>
        <w:gridCol w:w="1515"/>
        <w:gridCol w:w="1515"/>
      </w:tblGrid>
      <w:tr w:rsidR="00DF6159" w:rsidRPr="00236418" w14:paraId="631466AE" w14:textId="77777777" w:rsidTr="006538EB">
        <w:trPr>
          <w:trHeight w:val="20"/>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C7CE6" w14:textId="77777777" w:rsidR="00DF6159" w:rsidRPr="00236418" w:rsidRDefault="00DF6159" w:rsidP="009B3D24">
            <w:pPr>
              <w:pStyle w:val="Tablehead"/>
              <w:keepNext/>
              <w:keepLines/>
              <w:spacing w:before="40" w:after="40"/>
              <w:jc w:val="left"/>
              <w:rPr>
                <w:sz w:val="20"/>
                <w:lang w:eastAsia="zh-CN"/>
              </w:rPr>
            </w:pPr>
            <w:r w:rsidRPr="00236418">
              <w:rPr>
                <w:sz w:val="20"/>
                <w:lang w:eastAsia="zh-CN"/>
              </w:rPr>
              <w:t>En milliers de CHF</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47703130" w14:textId="712E55FE" w:rsidR="00DF6159" w:rsidRPr="00236418" w:rsidRDefault="00DF6159" w:rsidP="009B3D24">
            <w:pPr>
              <w:pStyle w:val="Tablehead"/>
              <w:keepNext/>
              <w:keepLines/>
              <w:spacing w:before="40" w:after="40"/>
              <w:rPr>
                <w:sz w:val="20"/>
                <w:lang w:eastAsia="zh-CN"/>
              </w:rPr>
            </w:pPr>
            <w:r w:rsidRPr="00236418">
              <w:rPr>
                <w:sz w:val="20"/>
                <w:lang w:eastAsia="zh-CN"/>
              </w:rPr>
              <w:t>31.12.201</w:t>
            </w:r>
            <w:r w:rsidR="002F1ECB" w:rsidRPr="00236418">
              <w:rPr>
                <w:sz w:val="20"/>
                <w:lang w:eastAsia="zh-CN"/>
              </w:rPr>
              <w:t>9</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61BC9AB" w14:textId="0D2AF2B6" w:rsidR="00DF6159" w:rsidRPr="00236418" w:rsidRDefault="00DF6159" w:rsidP="009B3D24">
            <w:pPr>
              <w:pStyle w:val="Tablehead"/>
              <w:keepNext/>
              <w:keepLines/>
              <w:spacing w:before="40" w:after="40"/>
              <w:rPr>
                <w:sz w:val="20"/>
                <w:lang w:eastAsia="zh-CN"/>
              </w:rPr>
            </w:pPr>
            <w:r w:rsidRPr="00236418">
              <w:rPr>
                <w:sz w:val="20"/>
                <w:lang w:eastAsia="zh-CN"/>
              </w:rPr>
              <w:t>31.12.201</w:t>
            </w:r>
            <w:r w:rsidR="002F1ECB" w:rsidRPr="00236418">
              <w:rPr>
                <w:sz w:val="20"/>
                <w:lang w:eastAsia="zh-CN"/>
              </w:rPr>
              <w:t>8</w:t>
            </w:r>
          </w:p>
        </w:tc>
      </w:tr>
      <w:tr w:rsidR="002F1ECB" w:rsidRPr="00236418" w14:paraId="49545BFB" w14:textId="77777777" w:rsidTr="006538EB">
        <w:trPr>
          <w:jc w:val="center"/>
        </w:trPr>
        <w:tc>
          <w:tcPr>
            <w:tcW w:w="6516" w:type="dxa"/>
            <w:tcBorders>
              <w:top w:val="nil"/>
              <w:left w:val="single" w:sz="4" w:space="0" w:color="auto"/>
              <w:bottom w:val="nil"/>
              <w:right w:val="single" w:sz="4" w:space="0" w:color="auto"/>
            </w:tcBorders>
            <w:shd w:val="clear" w:color="auto" w:fill="auto"/>
            <w:noWrap/>
            <w:vAlign w:val="bottom"/>
          </w:tcPr>
          <w:p w14:paraId="20B41EF1" w14:textId="77777777" w:rsidR="002F1ECB" w:rsidRPr="00236418" w:rsidRDefault="002F1ECB" w:rsidP="009B3D24">
            <w:pPr>
              <w:pStyle w:val="Tabletext"/>
              <w:keepNext/>
              <w:keepLines/>
              <w:spacing w:before="40" w:after="40"/>
              <w:rPr>
                <w:sz w:val="20"/>
                <w:lang w:eastAsia="zh-CN"/>
              </w:rPr>
            </w:pPr>
            <w:r w:rsidRPr="00236418">
              <w:rPr>
                <w:sz w:val="20"/>
                <w:lang w:eastAsia="zh-CN"/>
              </w:rPr>
              <w:t>Créances courantes avec contrepartie</w:t>
            </w:r>
          </w:p>
        </w:tc>
        <w:tc>
          <w:tcPr>
            <w:tcW w:w="1515" w:type="dxa"/>
            <w:tcBorders>
              <w:top w:val="nil"/>
              <w:left w:val="nil"/>
              <w:bottom w:val="nil"/>
              <w:right w:val="single" w:sz="4" w:space="0" w:color="auto"/>
            </w:tcBorders>
            <w:shd w:val="clear" w:color="auto" w:fill="auto"/>
            <w:noWrap/>
            <w:vAlign w:val="bottom"/>
          </w:tcPr>
          <w:p w14:paraId="3913D573" w14:textId="1011E0A4" w:rsidR="002F1ECB" w:rsidRPr="00236418" w:rsidRDefault="002F1ECB" w:rsidP="009B3D24">
            <w:pPr>
              <w:pStyle w:val="Tabletext"/>
              <w:keepNext/>
              <w:keepLines/>
              <w:spacing w:before="40" w:after="40"/>
              <w:jc w:val="right"/>
              <w:rPr>
                <w:sz w:val="20"/>
                <w:lang w:eastAsia="zh-CN"/>
              </w:rPr>
            </w:pPr>
            <w:r w:rsidRPr="00236418">
              <w:rPr>
                <w:rFonts w:asciiTheme="minorHAnsi" w:hAnsiTheme="minorHAnsi" w:cs="Arial"/>
                <w:color w:val="000000"/>
                <w:sz w:val="20"/>
                <w:lang w:eastAsia="zh-CN"/>
              </w:rPr>
              <w:t>7 518</w:t>
            </w:r>
          </w:p>
        </w:tc>
        <w:tc>
          <w:tcPr>
            <w:tcW w:w="1515" w:type="dxa"/>
            <w:tcBorders>
              <w:top w:val="nil"/>
              <w:left w:val="nil"/>
              <w:bottom w:val="nil"/>
              <w:right w:val="single" w:sz="4" w:space="0" w:color="auto"/>
            </w:tcBorders>
            <w:shd w:val="clear" w:color="auto" w:fill="auto"/>
            <w:noWrap/>
            <w:vAlign w:val="bottom"/>
          </w:tcPr>
          <w:p w14:paraId="48F064B5" w14:textId="46E78296" w:rsidR="002F1ECB" w:rsidRPr="00236418" w:rsidRDefault="002F1ECB" w:rsidP="009B3D24">
            <w:pPr>
              <w:pStyle w:val="Tabletext"/>
              <w:keepNext/>
              <w:keepLines/>
              <w:spacing w:before="40" w:after="40"/>
              <w:jc w:val="right"/>
              <w:rPr>
                <w:sz w:val="20"/>
                <w:lang w:eastAsia="zh-CN"/>
              </w:rPr>
            </w:pPr>
            <w:r w:rsidRPr="00236418">
              <w:rPr>
                <w:sz w:val="20"/>
                <w:lang w:eastAsia="zh-CN"/>
              </w:rPr>
              <w:t>7 288</w:t>
            </w:r>
          </w:p>
        </w:tc>
      </w:tr>
      <w:tr w:rsidR="002F1ECB" w:rsidRPr="00236418" w14:paraId="210156A4" w14:textId="77777777" w:rsidTr="006538EB">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4459790F" w14:textId="77777777" w:rsidR="002F1ECB" w:rsidRPr="00236418" w:rsidRDefault="002F1ECB" w:rsidP="009B3D24">
            <w:pPr>
              <w:pStyle w:val="Tabletext"/>
              <w:keepNext/>
              <w:keepLines/>
              <w:spacing w:before="40" w:after="40"/>
              <w:rPr>
                <w:sz w:val="20"/>
                <w:lang w:eastAsia="zh-CN"/>
              </w:rPr>
            </w:pPr>
            <w:r w:rsidRPr="00236418">
              <w:rPr>
                <w:sz w:val="20"/>
                <w:lang w:eastAsia="zh-CN"/>
              </w:rPr>
              <w:t>Provision pour pertes sur créances courantes avec contrepartie</w:t>
            </w:r>
          </w:p>
        </w:tc>
        <w:tc>
          <w:tcPr>
            <w:tcW w:w="1515" w:type="dxa"/>
            <w:tcBorders>
              <w:top w:val="nil"/>
              <w:left w:val="nil"/>
              <w:bottom w:val="single" w:sz="4" w:space="0" w:color="auto"/>
              <w:right w:val="single" w:sz="4" w:space="0" w:color="auto"/>
            </w:tcBorders>
            <w:shd w:val="clear" w:color="auto" w:fill="auto"/>
            <w:noWrap/>
            <w:vAlign w:val="bottom"/>
          </w:tcPr>
          <w:p w14:paraId="37861C3A" w14:textId="71E2A65E" w:rsidR="002F1ECB" w:rsidRPr="00236418" w:rsidRDefault="002F1ECB" w:rsidP="009B3D24">
            <w:pPr>
              <w:pStyle w:val="Tabletext"/>
              <w:keepNext/>
              <w:keepLines/>
              <w:spacing w:before="40" w:after="40"/>
              <w:jc w:val="right"/>
              <w:rPr>
                <w:sz w:val="20"/>
                <w:lang w:eastAsia="zh-CN"/>
              </w:rPr>
            </w:pPr>
            <w:r w:rsidRPr="00236418">
              <w:rPr>
                <w:rFonts w:asciiTheme="minorHAnsi" w:hAnsiTheme="minorHAnsi" w:cs="Arial"/>
                <w:color w:val="000000"/>
                <w:sz w:val="20"/>
                <w:lang w:eastAsia="zh-CN"/>
              </w:rPr>
              <w:t>–1 046</w:t>
            </w:r>
          </w:p>
        </w:tc>
        <w:tc>
          <w:tcPr>
            <w:tcW w:w="1515" w:type="dxa"/>
            <w:tcBorders>
              <w:top w:val="nil"/>
              <w:left w:val="nil"/>
              <w:bottom w:val="single" w:sz="4" w:space="0" w:color="auto"/>
              <w:right w:val="single" w:sz="4" w:space="0" w:color="auto"/>
            </w:tcBorders>
            <w:shd w:val="clear" w:color="auto" w:fill="auto"/>
            <w:noWrap/>
            <w:vAlign w:val="bottom"/>
          </w:tcPr>
          <w:p w14:paraId="2EF5A680" w14:textId="74B77FE6" w:rsidR="002F1ECB" w:rsidRPr="00236418" w:rsidRDefault="00FF1955" w:rsidP="009B3D24">
            <w:pPr>
              <w:pStyle w:val="Tabletext"/>
              <w:keepNext/>
              <w:keepLines/>
              <w:spacing w:before="40" w:after="40"/>
              <w:jc w:val="right"/>
              <w:rPr>
                <w:sz w:val="20"/>
                <w:lang w:eastAsia="zh-CN"/>
              </w:rPr>
            </w:pPr>
            <w:r w:rsidRPr="00236418">
              <w:rPr>
                <w:sz w:val="20"/>
                <w:lang w:eastAsia="zh-CN"/>
              </w:rPr>
              <w:t>–</w:t>
            </w:r>
            <w:r w:rsidR="002F1ECB" w:rsidRPr="00236418">
              <w:rPr>
                <w:sz w:val="20"/>
                <w:lang w:eastAsia="zh-CN"/>
              </w:rPr>
              <w:t>1 881</w:t>
            </w:r>
          </w:p>
        </w:tc>
      </w:tr>
      <w:tr w:rsidR="002F1ECB" w:rsidRPr="00236418" w14:paraId="550C2A33" w14:textId="77777777" w:rsidTr="0091355E">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598C2" w14:textId="77777777" w:rsidR="002F1ECB" w:rsidRPr="00236418" w:rsidRDefault="002F1ECB" w:rsidP="009B3D24">
            <w:pPr>
              <w:pStyle w:val="Tablehead"/>
              <w:keepNext/>
              <w:keepLines/>
              <w:spacing w:before="40" w:after="40"/>
              <w:jc w:val="left"/>
              <w:rPr>
                <w:sz w:val="20"/>
                <w:lang w:eastAsia="zh-CN"/>
              </w:rPr>
            </w:pPr>
            <w:r w:rsidRPr="00236418">
              <w:rPr>
                <w:sz w:val="20"/>
                <w:lang w:eastAsia="zh-CN"/>
              </w:rPr>
              <w:t>Créances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13A239C0" w14:textId="5C3FB10E" w:rsidR="002F1ECB" w:rsidRPr="00236418" w:rsidRDefault="002F1ECB" w:rsidP="009B3D24">
            <w:pPr>
              <w:pStyle w:val="Tablehead"/>
              <w:keepNext/>
              <w:keepLines/>
              <w:spacing w:before="40" w:after="40"/>
              <w:jc w:val="right"/>
              <w:rPr>
                <w:sz w:val="20"/>
                <w:lang w:eastAsia="zh-CN"/>
              </w:rPr>
            </w:pPr>
            <w:r w:rsidRPr="00236418">
              <w:rPr>
                <w:rFonts w:asciiTheme="minorHAnsi" w:hAnsiTheme="minorHAnsi" w:cs="Arial"/>
                <w:color w:val="000000"/>
                <w:sz w:val="20"/>
                <w:lang w:eastAsia="zh-CN"/>
              </w:rPr>
              <w:t>6 471</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518E241C" w14:textId="485A393E" w:rsidR="002F1ECB" w:rsidRPr="00236418" w:rsidRDefault="002F1ECB" w:rsidP="009B3D24">
            <w:pPr>
              <w:pStyle w:val="Tablehead"/>
              <w:keepNext/>
              <w:keepLines/>
              <w:spacing w:before="40" w:after="40"/>
              <w:jc w:val="right"/>
              <w:rPr>
                <w:sz w:val="20"/>
                <w:lang w:eastAsia="zh-CN"/>
              </w:rPr>
            </w:pPr>
            <w:r w:rsidRPr="00236418">
              <w:rPr>
                <w:sz w:val="20"/>
                <w:lang w:eastAsia="zh-CN"/>
              </w:rPr>
              <w:t>5 407</w:t>
            </w:r>
          </w:p>
        </w:tc>
      </w:tr>
      <w:tr w:rsidR="002F1ECB" w:rsidRPr="00236418" w14:paraId="3F6E1055" w14:textId="77777777" w:rsidTr="0091355E">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4EBBD32C" w14:textId="77777777" w:rsidR="002F1ECB" w:rsidRPr="00236418" w:rsidRDefault="002F1ECB" w:rsidP="009B3D24">
            <w:pPr>
              <w:pStyle w:val="Tabletext"/>
              <w:keepNext/>
              <w:keepLines/>
              <w:spacing w:before="40" w:after="40"/>
              <w:rPr>
                <w:sz w:val="20"/>
                <w:lang w:eastAsia="zh-CN"/>
              </w:rPr>
            </w:pPr>
            <w:r w:rsidRPr="00236418">
              <w:rPr>
                <w:sz w:val="20"/>
                <w:lang w:eastAsia="zh-CN"/>
              </w:rPr>
              <w:t>Créances courantes sans contrepartie</w:t>
            </w:r>
          </w:p>
        </w:tc>
        <w:tc>
          <w:tcPr>
            <w:tcW w:w="1515" w:type="dxa"/>
            <w:tcBorders>
              <w:top w:val="single" w:sz="4" w:space="0" w:color="auto"/>
              <w:left w:val="nil"/>
              <w:bottom w:val="nil"/>
              <w:right w:val="single" w:sz="4" w:space="0" w:color="auto"/>
            </w:tcBorders>
            <w:shd w:val="clear" w:color="auto" w:fill="auto"/>
            <w:noWrap/>
            <w:vAlign w:val="bottom"/>
          </w:tcPr>
          <w:p w14:paraId="16A1275D" w14:textId="0878872A" w:rsidR="002F1ECB" w:rsidRPr="00236418" w:rsidRDefault="002F1ECB" w:rsidP="009B3D24">
            <w:pPr>
              <w:pStyle w:val="Tabletext"/>
              <w:keepNext/>
              <w:keepLines/>
              <w:spacing w:before="40" w:after="40"/>
              <w:jc w:val="right"/>
              <w:rPr>
                <w:sz w:val="20"/>
                <w:lang w:eastAsia="zh-CN"/>
              </w:rPr>
            </w:pPr>
            <w:r w:rsidRPr="00236418">
              <w:rPr>
                <w:rFonts w:asciiTheme="minorHAnsi" w:hAnsiTheme="minorHAnsi" w:cs="Arial"/>
                <w:color w:val="000000"/>
                <w:sz w:val="20"/>
                <w:lang w:eastAsia="zh-CN"/>
              </w:rPr>
              <w:t>125 881</w:t>
            </w:r>
          </w:p>
        </w:tc>
        <w:tc>
          <w:tcPr>
            <w:tcW w:w="1515" w:type="dxa"/>
            <w:tcBorders>
              <w:top w:val="single" w:sz="4" w:space="0" w:color="auto"/>
              <w:left w:val="nil"/>
              <w:bottom w:val="nil"/>
              <w:right w:val="single" w:sz="4" w:space="0" w:color="auto"/>
            </w:tcBorders>
            <w:shd w:val="clear" w:color="auto" w:fill="auto"/>
            <w:noWrap/>
            <w:vAlign w:val="bottom"/>
          </w:tcPr>
          <w:p w14:paraId="3F6FCF3C" w14:textId="4852E01B" w:rsidR="002F1ECB" w:rsidRPr="00236418" w:rsidRDefault="002F1ECB" w:rsidP="009B3D24">
            <w:pPr>
              <w:pStyle w:val="Tabletext"/>
              <w:keepNext/>
              <w:keepLines/>
              <w:spacing w:before="40" w:after="40"/>
              <w:jc w:val="right"/>
              <w:rPr>
                <w:sz w:val="20"/>
                <w:lang w:eastAsia="zh-CN"/>
              </w:rPr>
            </w:pPr>
            <w:r w:rsidRPr="00236418">
              <w:rPr>
                <w:sz w:val="20"/>
                <w:lang w:eastAsia="zh-CN"/>
              </w:rPr>
              <w:t>109 812</w:t>
            </w:r>
          </w:p>
        </w:tc>
      </w:tr>
      <w:tr w:rsidR="002F1ECB" w:rsidRPr="00236418" w14:paraId="151562B0" w14:textId="77777777" w:rsidTr="006538EB">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7C75570E" w14:textId="77777777" w:rsidR="002F1ECB" w:rsidRPr="00236418" w:rsidRDefault="002F1ECB" w:rsidP="009B3D24">
            <w:pPr>
              <w:pStyle w:val="Tabletext"/>
              <w:keepNext/>
              <w:keepLines/>
              <w:spacing w:before="40" w:after="40"/>
              <w:rPr>
                <w:sz w:val="20"/>
                <w:lang w:eastAsia="zh-CN"/>
              </w:rPr>
            </w:pPr>
            <w:r w:rsidRPr="00236418">
              <w:rPr>
                <w:sz w:val="20"/>
                <w:lang w:eastAsia="zh-CN"/>
              </w:rPr>
              <w:t>Provision pour pertes sur créances courantes sans contrepartie</w:t>
            </w:r>
          </w:p>
        </w:tc>
        <w:tc>
          <w:tcPr>
            <w:tcW w:w="1515" w:type="dxa"/>
            <w:tcBorders>
              <w:top w:val="nil"/>
              <w:left w:val="nil"/>
              <w:bottom w:val="single" w:sz="4" w:space="0" w:color="auto"/>
              <w:right w:val="single" w:sz="4" w:space="0" w:color="auto"/>
            </w:tcBorders>
            <w:shd w:val="clear" w:color="auto" w:fill="auto"/>
            <w:noWrap/>
            <w:vAlign w:val="bottom"/>
          </w:tcPr>
          <w:p w14:paraId="3C99AD8C" w14:textId="12122145" w:rsidR="002F1ECB" w:rsidRPr="00236418" w:rsidRDefault="002F1ECB" w:rsidP="009B3D24">
            <w:pPr>
              <w:pStyle w:val="Tabletext"/>
              <w:keepNext/>
              <w:keepLines/>
              <w:spacing w:before="40" w:after="40"/>
              <w:jc w:val="right"/>
              <w:rPr>
                <w:sz w:val="20"/>
                <w:lang w:eastAsia="zh-CN"/>
              </w:rPr>
            </w:pPr>
            <w:r w:rsidRPr="00236418">
              <w:rPr>
                <w:rFonts w:asciiTheme="minorHAnsi" w:hAnsiTheme="minorHAnsi" w:cs="Arial"/>
                <w:color w:val="000000"/>
                <w:sz w:val="20"/>
                <w:lang w:eastAsia="zh-CN"/>
              </w:rPr>
              <w:t>–37 566</w:t>
            </w:r>
          </w:p>
        </w:tc>
        <w:tc>
          <w:tcPr>
            <w:tcW w:w="1515" w:type="dxa"/>
            <w:tcBorders>
              <w:top w:val="nil"/>
              <w:left w:val="nil"/>
              <w:bottom w:val="single" w:sz="4" w:space="0" w:color="auto"/>
              <w:right w:val="single" w:sz="4" w:space="0" w:color="auto"/>
            </w:tcBorders>
            <w:shd w:val="clear" w:color="auto" w:fill="auto"/>
            <w:noWrap/>
            <w:vAlign w:val="bottom"/>
          </w:tcPr>
          <w:p w14:paraId="6EA39844" w14:textId="3EB29C08" w:rsidR="002F1ECB" w:rsidRPr="00236418" w:rsidRDefault="00FF1955" w:rsidP="009B3D24">
            <w:pPr>
              <w:pStyle w:val="Tabletext"/>
              <w:keepNext/>
              <w:keepLines/>
              <w:spacing w:before="40" w:after="40"/>
              <w:jc w:val="right"/>
              <w:rPr>
                <w:sz w:val="20"/>
                <w:lang w:eastAsia="zh-CN"/>
              </w:rPr>
            </w:pPr>
            <w:r w:rsidRPr="00236418">
              <w:rPr>
                <w:sz w:val="20"/>
                <w:lang w:eastAsia="zh-CN"/>
              </w:rPr>
              <w:t>–</w:t>
            </w:r>
            <w:r w:rsidR="002F1ECB" w:rsidRPr="00236418">
              <w:rPr>
                <w:sz w:val="20"/>
                <w:lang w:eastAsia="zh-CN"/>
              </w:rPr>
              <w:t>24 456</w:t>
            </w:r>
          </w:p>
        </w:tc>
      </w:tr>
      <w:tr w:rsidR="002F1ECB" w:rsidRPr="00236418" w14:paraId="1EE43839" w14:textId="77777777" w:rsidTr="006538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7C8AF" w14:textId="77777777" w:rsidR="002F1ECB" w:rsidRPr="00236418" w:rsidRDefault="002F1ECB" w:rsidP="009B3D24">
            <w:pPr>
              <w:pStyle w:val="Tablehead"/>
              <w:keepNext/>
              <w:keepLines/>
              <w:spacing w:before="40" w:after="40"/>
              <w:jc w:val="left"/>
              <w:rPr>
                <w:sz w:val="20"/>
                <w:lang w:eastAsia="zh-CN"/>
              </w:rPr>
            </w:pPr>
            <w:r w:rsidRPr="00236418">
              <w:rPr>
                <w:sz w:val="20"/>
                <w:lang w:eastAsia="zh-CN"/>
              </w:rPr>
              <w:t>Créances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3E5ADE1B" w14:textId="6EBA3C8A" w:rsidR="002F1ECB" w:rsidRPr="00236418" w:rsidRDefault="002F1ECB" w:rsidP="009B3D24">
            <w:pPr>
              <w:pStyle w:val="Tablehead"/>
              <w:keepNext/>
              <w:keepLines/>
              <w:spacing w:before="40" w:after="40"/>
              <w:jc w:val="right"/>
              <w:rPr>
                <w:sz w:val="20"/>
                <w:lang w:eastAsia="zh-CN"/>
              </w:rPr>
            </w:pPr>
            <w:r w:rsidRPr="00236418">
              <w:rPr>
                <w:rFonts w:asciiTheme="minorHAnsi" w:hAnsiTheme="minorHAnsi" w:cs="Arial"/>
                <w:color w:val="000000"/>
                <w:sz w:val="20"/>
                <w:lang w:eastAsia="zh-CN"/>
              </w:rPr>
              <w:t>88 315</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3F078774" w14:textId="0B7F1A0E" w:rsidR="002F1ECB" w:rsidRPr="00236418" w:rsidRDefault="002F1ECB" w:rsidP="009B3D24">
            <w:pPr>
              <w:pStyle w:val="Tablehead"/>
              <w:keepNext/>
              <w:keepLines/>
              <w:spacing w:before="40" w:after="40"/>
              <w:jc w:val="right"/>
              <w:rPr>
                <w:sz w:val="20"/>
                <w:lang w:eastAsia="zh-CN"/>
              </w:rPr>
            </w:pPr>
            <w:r w:rsidRPr="00236418">
              <w:rPr>
                <w:sz w:val="20"/>
                <w:lang w:eastAsia="zh-CN"/>
              </w:rPr>
              <w:t>85 356</w:t>
            </w:r>
          </w:p>
        </w:tc>
      </w:tr>
      <w:tr w:rsidR="002F1ECB" w:rsidRPr="00236418" w14:paraId="7C5B82EC" w14:textId="77777777" w:rsidTr="006538EB">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344D9655" w14:textId="77777777" w:rsidR="002F1ECB" w:rsidRPr="00236418" w:rsidRDefault="002F1ECB" w:rsidP="009B3D24">
            <w:pPr>
              <w:pStyle w:val="Tabletext"/>
              <w:keepNext/>
              <w:keepLines/>
              <w:spacing w:before="40" w:after="40"/>
              <w:rPr>
                <w:sz w:val="20"/>
                <w:lang w:eastAsia="zh-CN"/>
              </w:rPr>
            </w:pPr>
            <w:r w:rsidRPr="00236418">
              <w:rPr>
                <w:sz w:val="20"/>
                <w:lang w:eastAsia="zh-CN"/>
              </w:rPr>
              <w:t>Créances non courantes avec contrepartie</w:t>
            </w:r>
          </w:p>
        </w:tc>
        <w:tc>
          <w:tcPr>
            <w:tcW w:w="1515" w:type="dxa"/>
            <w:tcBorders>
              <w:top w:val="single" w:sz="4" w:space="0" w:color="auto"/>
              <w:left w:val="nil"/>
              <w:bottom w:val="nil"/>
              <w:right w:val="single" w:sz="4" w:space="0" w:color="auto"/>
            </w:tcBorders>
            <w:shd w:val="clear" w:color="auto" w:fill="auto"/>
            <w:noWrap/>
            <w:vAlign w:val="bottom"/>
          </w:tcPr>
          <w:p w14:paraId="1F8D1A7D" w14:textId="25538D96" w:rsidR="002F1ECB" w:rsidRPr="00236418" w:rsidRDefault="002F1ECB" w:rsidP="009B3D24">
            <w:pPr>
              <w:pStyle w:val="Tabletext"/>
              <w:keepNext/>
              <w:keepLines/>
              <w:spacing w:before="40" w:after="40"/>
              <w:jc w:val="right"/>
              <w:rPr>
                <w:sz w:val="20"/>
                <w:lang w:eastAsia="zh-CN"/>
              </w:rPr>
            </w:pPr>
            <w:r w:rsidRPr="00236418">
              <w:rPr>
                <w:sz w:val="20"/>
                <w:lang w:eastAsia="zh-CN"/>
              </w:rPr>
              <w:t>–</w:t>
            </w:r>
          </w:p>
        </w:tc>
        <w:tc>
          <w:tcPr>
            <w:tcW w:w="1515" w:type="dxa"/>
            <w:tcBorders>
              <w:top w:val="single" w:sz="4" w:space="0" w:color="auto"/>
              <w:left w:val="nil"/>
              <w:bottom w:val="nil"/>
              <w:right w:val="single" w:sz="4" w:space="0" w:color="auto"/>
            </w:tcBorders>
            <w:shd w:val="clear" w:color="auto" w:fill="auto"/>
            <w:noWrap/>
            <w:vAlign w:val="bottom"/>
          </w:tcPr>
          <w:p w14:paraId="033DFE90" w14:textId="261754AB" w:rsidR="002F1ECB" w:rsidRPr="00236418" w:rsidRDefault="002F1ECB" w:rsidP="009B3D24">
            <w:pPr>
              <w:pStyle w:val="Tabletext"/>
              <w:keepNext/>
              <w:keepLines/>
              <w:spacing w:before="40" w:after="40"/>
              <w:jc w:val="right"/>
              <w:rPr>
                <w:sz w:val="20"/>
                <w:lang w:eastAsia="zh-CN"/>
              </w:rPr>
            </w:pPr>
            <w:r w:rsidRPr="00236418">
              <w:rPr>
                <w:sz w:val="20"/>
                <w:lang w:eastAsia="zh-CN"/>
              </w:rPr>
              <w:t>–</w:t>
            </w:r>
          </w:p>
        </w:tc>
      </w:tr>
      <w:tr w:rsidR="002F1ECB" w:rsidRPr="00236418" w14:paraId="08B6568B" w14:textId="77777777" w:rsidTr="0091355E">
        <w:trPr>
          <w:jc w:val="center"/>
        </w:trPr>
        <w:tc>
          <w:tcPr>
            <w:tcW w:w="6516" w:type="dxa"/>
            <w:tcBorders>
              <w:left w:val="single" w:sz="4" w:space="0" w:color="auto"/>
              <w:right w:val="single" w:sz="4" w:space="0" w:color="auto"/>
            </w:tcBorders>
            <w:shd w:val="clear" w:color="auto" w:fill="auto"/>
            <w:noWrap/>
            <w:vAlign w:val="center"/>
          </w:tcPr>
          <w:p w14:paraId="5DBA82CF" w14:textId="77777777" w:rsidR="002F1ECB" w:rsidRPr="00236418" w:rsidRDefault="002F1ECB" w:rsidP="009B3D24">
            <w:pPr>
              <w:pStyle w:val="Tabletext"/>
              <w:keepNext/>
              <w:keepLines/>
              <w:spacing w:before="40" w:after="40"/>
              <w:rPr>
                <w:sz w:val="20"/>
                <w:lang w:eastAsia="zh-CN"/>
              </w:rPr>
            </w:pPr>
            <w:r w:rsidRPr="00236418">
              <w:rPr>
                <w:sz w:val="20"/>
                <w:lang w:eastAsia="zh-CN"/>
              </w:rPr>
              <w:t>Provision pour pertes sur créances non courantes avec contrepartie</w:t>
            </w:r>
          </w:p>
        </w:tc>
        <w:tc>
          <w:tcPr>
            <w:tcW w:w="1515" w:type="dxa"/>
            <w:tcBorders>
              <w:left w:val="nil"/>
              <w:right w:val="single" w:sz="4" w:space="0" w:color="auto"/>
            </w:tcBorders>
            <w:shd w:val="clear" w:color="auto" w:fill="auto"/>
            <w:noWrap/>
            <w:vAlign w:val="center"/>
          </w:tcPr>
          <w:p w14:paraId="57391F55" w14:textId="116B6B2B" w:rsidR="002F1ECB" w:rsidRPr="00236418" w:rsidRDefault="002F1ECB" w:rsidP="009B3D24">
            <w:pPr>
              <w:jc w:val="right"/>
              <w:rPr>
                <w:sz w:val="20"/>
              </w:rPr>
            </w:pPr>
            <w:r w:rsidRPr="00236418">
              <w:rPr>
                <w:sz w:val="20"/>
              </w:rPr>
              <w:t>–</w:t>
            </w:r>
          </w:p>
        </w:tc>
        <w:tc>
          <w:tcPr>
            <w:tcW w:w="1515" w:type="dxa"/>
            <w:tcBorders>
              <w:left w:val="nil"/>
              <w:right w:val="single" w:sz="4" w:space="0" w:color="auto"/>
            </w:tcBorders>
            <w:shd w:val="clear" w:color="auto" w:fill="auto"/>
            <w:noWrap/>
          </w:tcPr>
          <w:p w14:paraId="4573DB71" w14:textId="6817E5D5" w:rsidR="002F1ECB" w:rsidRPr="00236418" w:rsidRDefault="002F1ECB" w:rsidP="009B3D24">
            <w:pPr>
              <w:jc w:val="right"/>
            </w:pPr>
            <w:r w:rsidRPr="00236418">
              <w:rPr>
                <w:sz w:val="20"/>
                <w:lang w:eastAsia="zh-CN"/>
              </w:rPr>
              <w:t>–</w:t>
            </w:r>
          </w:p>
        </w:tc>
      </w:tr>
      <w:tr w:rsidR="002F1ECB" w:rsidRPr="00236418" w14:paraId="71BFA732" w14:textId="77777777" w:rsidTr="0091355E">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2D9D4" w14:textId="77777777" w:rsidR="002F1ECB" w:rsidRPr="00236418" w:rsidRDefault="002F1ECB" w:rsidP="009B3D24">
            <w:pPr>
              <w:pStyle w:val="Tablehead"/>
              <w:keepNext/>
              <w:keepLines/>
              <w:spacing w:before="40" w:after="40"/>
              <w:jc w:val="left"/>
              <w:rPr>
                <w:sz w:val="20"/>
                <w:lang w:eastAsia="zh-CN"/>
              </w:rPr>
            </w:pPr>
            <w:r w:rsidRPr="00236418">
              <w:rPr>
                <w:sz w:val="20"/>
                <w:lang w:eastAsia="zh-CN"/>
              </w:rPr>
              <w:t>Créances non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120B70DC" w14:textId="4CD189CC" w:rsidR="002F1ECB" w:rsidRPr="00236418" w:rsidRDefault="002F1ECB" w:rsidP="009B3D24">
            <w:pPr>
              <w:jc w:val="right"/>
              <w:rPr>
                <w:b/>
                <w:bCs/>
                <w:sz w:val="20"/>
              </w:rPr>
            </w:pPr>
            <w:r w:rsidRPr="00236418">
              <w:rPr>
                <w:b/>
                <w:bCs/>
                <w:sz w:val="20"/>
              </w:rPr>
              <w:t>–</w:t>
            </w:r>
          </w:p>
        </w:tc>
        <w:tc>
          <w:tcPr>
            <w:tcW w:w="1515" w:type="dxa"/>
            <w:tcBorders>
              <w:top w:val="single" w:sz="4" w:space="0" w:color="auto"/>
              <w:left w:val="nil"/>
              <w:bottom w:val="single" w:sz="4" w:space="0" w:color="auto"/>
              <w:right w:val="single" w:sz="4" w:space="0" w:color="auto"/>
            </w:tcBorders>
            <w:shd w:val="clear" w:color="auto" w:fill="auto"/>
            <w:noWrap/>
          </w:tcPr>
          <w:p w14:paraId="5BF56F67" w14:textId="77D901AE" w:rsidR="002F1ECB" w:rsidRPr="00236418" w:rsidRDefault="002F1ECB" w:rsidP="009B3D24">
            <w:pPr>
              <w:jc w:val="right"/>
              <w:rPr>
                <w:b/>
                <w:bCs/>
              </w:rPr>
            </w:pPr>
            <w:r w:rsidRPr="00236418">
              <w:rPr>
                <w:b/>
                <w:bCs/>
                <w:sz w:val="20"/>
                <w:lang w:eastAsia="zh-CN"/>
              </w:rPr>
              <w:t>–</w:t>
            </w:r>
          </w:p>
        </w:tc>
      </w:tr>
      <w:tr w:rsidR="002F1ECB" w:rsidRPr="00236418" w14:paraId="369C4274" w14:textId="77777777" w:rsidTr="006538EB">
        <w:trPr>
          <w:jc w:val="center"/>
        </w:trPr>
        <w:tc>
          <w:tcPr>
            <w:tcW w:w="6516" w:type="dxa"/>
            <w:tcBorders>
              <w:top w:val="single" w:sz="4" w:space="0" w:color="auto"/>
              <w:left w:val="single" w:sz="4" w:space="0" w:color="auto"/>
              <w:right w:val="single" w:sz="4" w:space="0" w:color="auto"/>
            </w:tcBorders>
            <w:shd w:val="clear" w:color="auto" w:fill="auto"/>
            <w:noWrap/>
            <w:vAlign w:val="center"/>
          </w:tcPr>
          <w:p w14:paraId="607E0EC4" w14:textId="77777777" w:rsidR="002F1ECB" w:rsidRPr="00236418" w:rsidRDefault="002F1ECB" w:rsidP="009B3D24">
            <w:pPr>
              <w:pStyle w:val="Tabletext"/>
              <w:keepNext/>
              <w:keepLines/>
              <w:spacing w:before="40" w:after="40"/>
              <w:rPr>
                <w:sz w:val="20"/>
                <w:lang w:eastAsia="zh-CN"/>
              </w:rPr>
            </w:pPr>
            <w:r w:rsidRPr="00236418">
              <w:rPr>
                <w:sz w:val="20"/>
                <w:lang w:eastAsia="zh-CN"/>
              </w:rPr>
              <w:t>Créances non courantes sans contrepartie</w:t>
            </w:r>
          </w:p>
        </w:tc>
        <w:tc>
          <w:tcPr>
            <w:tcW w:w="1515" w:type="dxa"/>
            <w:tcBorders>
              <w:top w:val="single" w:sz="4" w:space="0" w:color="auto"/>
              <w:left w:val="nil"/>
              <w:right w:val="single" w:sz="4" w:space="0" w:color="auto"/>
            </w:tcBorders>
            <w:shd w:val="clear" w:color="auto" w:fill="auto"/>
            <w:noWrap/>
            <w:vAlign w:val="bottom"/>
          </w:tcPr>
          <w:p w14:paraId="5F095ABB" w14:textId="356763B2" w:rsidR="002F1ECB" w:rsidRPr="00236418" w:rsidRDefault="002F1ECB" w:rsidP="009B3D24">
            <w:pPr>
              <w:pStyle w:val="Tabletext"/>
              <w:keepNext/>
              <w:keepLines/>
              <w:spacing w:before="40" w:after="40"/>
              <w:jc w:val="right"/>
              <w:rPr>
                <w:sz w:val="20"/>
                <w:lang w:eastAsia="zh-CN"/>
              </w:rPr>
            </w:pPr>
            <w:r w:rsidRPr="00236418">
              <w:rPr>
                <w:rFonts w:asciiTheme="minorHAnsi" w:hAnsiTheme="minorHAnsi" w:cs="Arial"/>
                <w:color w:val="000000"/>
                <w:sz w:val="20"/>
                <w:lang w:eastAsia="zh-CN"/>
              </w:rPr>
              <w:t>4 325</w:t>
            </w:r>
          </w:p>
        </w:tc>
        <w:tc>
          <w:tcPr>
            <w:tcW w:w="1515" w:type="dxa"/>
            <w:tcBorders>
              <w:top w:val="single" w:sz="4" w:space="0" w:color="auto"/>
              <w:left w:val="nil"/>
              <w:right w:val="single" w:sz="4" w:space="0" w:color="auto"/>
            </w:tcBorders>
            <w:shd w:val="clear" w:color="auto" w:fill="auto"/>
            <w:noWrap/>
            <w:vAlign w:val="bottom"/>
          </w:tcPr>
          <w:p w14:paraId="04EA967F" w14:textId="5B22603A" w:rsidR="002F1ECB" w:rsidRPr="00236418" w:rsidRDefault="002F1ECB" w:rsidP="009B3D24">
            <w:pPr>
              <w:pStyle w:val="Tabletext"/>
              <w:keepNext/>
              <w:keepLines/>
              <w:spacing w:before="40" w:after="40"/>
              <w:jc w:val="right"/>
              <w:rPr>
                <w:sz w:val="20"/>
                <w:lang w:eastAsia="zh-CN"/>
              </w:rPr>
            </w:pPr>
            <w:r w:rsidRPr="00236418">
              <w:rPr>
                <w:sz w:val="20"/>
                <w:lang w:eastAsia="zh-CN"/>
              </w:rPr>
              <w:t>16 606</w:t>
            </w:r>
          </w:p>
        </w:tc>
      </w:tr>
      <w:tr w:rsidR="002F1ECB" w:rsidRPr="00236418" w14:paraId="5950C890" w14:textId="77777777" w:rsidTr="006538EB">
        <w:trPr>
          <w:jc w:val="center"/>
        </w:trPr>
        <w:tc>
          <w:tcPr>
            <w:tcW w:w="6516" w:type="dxa"/>
            <w:tcBorders>
              <w:left w:val="single" w:sz="4" w:space="0" w:color="auto"/>
              <w:bottom w:val="single" w:sz="4" w:space="0" w:color="auto"/>
              <w:right w:val="single" w:sz="4" w:space="0" w:color="auto"/>
            </w:tcBorders>
            <w:shd w:val="clear" w:color="auto" w:fill="auto"/>
            <w:noWrap/>
            <w:vAlign w:val="center"/>
          </w:tcPr>
          <w:p w14:paraId="23AE3E73" w14:textId="77777777" w:rsidR="002F1ECB" w:rsidRPr="00236418" w:rsidRDefault="002F1ECB" w:rsidP="009B3D24">
            <w:pPr>
              <w:pStyle w:val="Tabletext"/>
              <w:keepNext/>
              <w:keepLines/>
              <w:spacing w:before="40" w:after="40"/>
              <w:rPr>
                <w:sz w:val="20"/>
                <w:lang w:eastAsia="zh-CN"/>
              </w:rPr>
            </w:pPr>
            <w:r w:rsidRPr="00236418">
              <w:rPr>
                <w:sz w:val="20"/>
                <w:lang w:eastAsia="zh-CN"/>
              </w:rPr>
              <w:t>Provision pour pertes sur créances non courantes sans contrepartie</w:t>
            </w:r>
          </w:p>
        </w:tc>
        <w:tc>
          <w:tcPr>
            <w:tcW w:w="1515" w:type="dxa"/>
            <w:tcBorders>
              <w:left w:val="nil"/>
              <w:bottom w:val="single" w:sz="4" w:space="0" w:color="auto"/>
              <w:right w:val="single" w:sz="4" w:space="0" w:color="auto"/>
            </w:tcBorders>
            <w:shd w:val="clear" w:color="auto" w:fill="auto"/>
            <w:noWrap/>
            <w:vAlign w:val="bottom"/>
          </w:tcPr>
          <w:p w14:paraId="6E9E813D" w14:textId="5A6876FC" w:rsidR="002F1ECB" w:rsidRPr="00236418" w:rsidRDefault="002F1ECB" w:rsidP="009B3D24">
            <w:pPr>
              <w:pStyle w:val="Tabletext"/>
              <w:keepNext/>
              <w:keepLines/>
              <w:spacing w:before="40" w:after="40"/>
              <w:jc w:val="right"/>
              <w:rPr>
                <w:sz w:val="20"/>
                <w:lang w:eastAsia="zh-CN"/>
              </w:rPr>
            </w:pPr>
            <w:r w:rsidRPr="00236418">
              <w:rPr>
                <w:rFonts w:asciiTheme="minorHAnsi" w:hAnsiTheme="minorHAnsi" w:cs="Arial"/>
                <w:color w:val="000000"/>
                <w:sz w:val="20"/>
                <w:lang w:eastAsia="zh-CN"/>
              </w:rPr>
              <w:t>–4 325</w:t>
            </w:r>
          </w:p>
        </w:tc>
        <w:tc>
          <w:tcPr>
            <w:tcW w:w="1515" w:type="dxa"/>
            <w:tcBorders>
              <w:left w:val="nil"/>
              <w:bottom w:val="single" w:sz="4" w:space="0" w:color="auto"/>
              <w:right w:val="single" w:sz="4" w:space="0" w:color="auto"/>
            </w:tcBorders>
            <w:shd w:val="clear" w:color="auto" w:fill="auto"/>
            <w:noWrap/>
            <w:vAlign w:val="bottom"/>
          </w:tcPr>
          <w:p w14:paraId="51D0FB98" w14:textId="146152F0" w:rsidR="002F1ECB" w:rsidRPr="00236418" w:rsidRDefault="00FF1955" w:rsidP="009B3D24">
            <w:pPr>
              <w:pStyle w:val="Tabletext"/>
              <w:keepNext/>
              <w:keepLines/>
              <w:spacing w:before="40" w:after="40"/>
              <w:jc w:val="right"/>
              <w:rPr>
                <w:sz w:val="20"/>
                <w:lang w:eastAsia="zh-CN"/>
              </w:rPr>
            </w:pPr>
            <w:r w:rsidRPr="00236418">
              <w:rPr>
                <w:sz w:val="20"/>
                <w:lang w:eastAsia="zh-CN"/>
              </w:rPr>
              <w:t>–</w:t>
            </w:r>
            <w:r w:rsidR="002F1ECB" w:rsidRPr="00236418">
              <w:rPr>
                <w:sz w:val="20"/>
                <w:lang w:eastAsia="zh-CN"/>
              </w:rPr>
              <w:t>16 606</w:t>
            </w:r>
          </w:p>
        </w:tc>
      </w:tr>
      <w:tr w:rsidR="002F1ECB" w:rsidRPr="00236418" w14:paraId="6990130B" w14:textId="77777777" w:rsidTr="0091355E">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2E0F" w14:textId="77777777" w:rsidR="002F1ECB" w:rsidRPr="00236418" w:rsidRDefault="002F1ECB" w:rsidP="009B3D24">
            <w:pPr>
              <w:pStyle w:val="Tablehead"/>
              <w:keepNext/>
              <w:keepLines/>
              <w:spacing w:before="40" w:after="40"/>
              <w:jc w:val="left"/>
              <w:rPr>
                <w:sz w:val="20"/>
                <w:lang w:eastAsia="zh-CN"/>
              </w:rPr>
            </w:pPr>
            <w:r w:rsidRPr="00236418">
              <w:rPr>
                <w:sz w:val="20"/>
                <w:lang w:eastAsia="zh-CN"/>
              </w:rPr>
              <w:t>Créances non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12929E97" w14:textId="0766AE21" w:rsidR="002F1ECB" w:rsidRPr="00236418" w:rsidRDefault="002F1ECB" w:rsidP="009B3D24">
            <w:pPr>
              <w:jc w:val="right"/>
              <w:rPr>
                <w:b/>
                <w:bCs/>
                <w:sz w:val="20"/>
              </w:rPr>
            </w:pPr>
            <w:r w:rsidRPr="00236418">
              <w:rPr>
                <w:b/>
                <w:bCs/>
                <w:sz w:val="20"/>
              </w:rPr>
              <w:t>–</w:t>
            </w:r>
          </w:p>
        </w:tc>
        <w:tc>
          <w:tcPr>
            <w:tcW w:w="1515" w:type="dxa"/>
            <w:tcBorders>
              <w:top w:val="single" w:sz="4" w:space="0" w:color="auto"/>
              <w:left w:val="nil"/>
              <w:bottom w:val="single" w:sz="4" w:space="0" w:color="auto"/>
              <w:right w:val="single" w:sz="4" w:space="0" w:color="auto"/>
            </w:tcBorders>
            <w:shd w:val="clear" w:color="auto" w:fill="auto"/>
            <w:noWrap/>
          </w:tcPr>
          <w:p w14:paraId="1DDAAF9E" w14:textId="77777777" w:rsidR="002F1ECB" w:rsidRPr="00236418" w:rsidRDefault="002F1ECB" w:rsidP="009B3D24">
            <w:pPr>
              <w:jc w:val="right"/>
              <w:rPr>
                <w:b/>
                <w:bCs/>
              </w:rPr>
            </w:pPr>
            <w:r w:rsidRPr="00236418">
              <w:rPr>
                <w:b/>
                <w:bCs/>
                <w:sz w:val="20"/>
                <w:lang w:eastAsia="zh-CN"/>
              </w:rPr>
              <w:t>–</w:t>
            </w:r>
          </w:p>
        </w:tc>
      </w:tr>
    </w:tbl>
    <w:p w14:paraId="5737743F" w14:textId="77777777" w:rsidR="00DF6159" w:rsidRPr="00236418" w:rsidRDefault="00DF6159" w:rsidP="005A01EC">
      <w:pPr>
        <w:pStyle w:val="Heading1"/>
        <w:spacing w:before="240"/>
        <w:rPr>
          <w:sz w:val="24"/>
          <w:szCs w:val="24"/>
        </w:rPr>
      </w:pPr>
      <w:bookmarkStart w:id="1481" w:name="_Toc387166651"/>
      <w:bookmarkStart w:id="1482" w:name="_Toc395260936"/>
      <w:bookmarkStart w:id="1483" w:name="_Toc395511715"/>
      <w:bookmarkStart w:id="1484" w:name="_Toc452138625"/>
      <w:bookmarkStart w:id="1485" w:name="_Toc452139074"/>
      <w:bookmarkStart w:id="1486" w:name="_Toc452139438"/>
      <w:bookmarkStart w:id="1487" w:name="_Toc452139839"/>
      <w:bookmarkStart w:id="1488" w:name="_Toc452140713"/>
      <w:bookmarkStart w:id="1489" w:name="_Toc482801503"/>
      <w:bookmarkStart w:id="1490" w:name="_Toc511649475"/>
      <w:bookmarkStart w:id="1491" w:name="_Toc511649845"/>
      <w:bookmarkStart w:id="1492" w:name="_Toc511649961"/>
      <w:bookmarkStart w:id="1493" w:name="_Toc511651218"/>
      <w:bookmarkStart w:id="1494" w:name="_Toc511724083"/>
      <w:bookmarkStart w:id="1495" w:name="_Toc511739072"/>
      <w:bookmarkStart w:id="1496" w:name="_Toc511741241"/>
      <w:bookmarkStart w:id="1497" w:name="_Toc10450747"/>
      <w:bookmarkStart w:id="1498" w:name="_Toc41566347"/>
      <w:bookmarkStart w:id="1499" w:name="_Toc41567355"/>
      <w:bookmarkStart w:id="1500" w:name="_Toc41567858"/>
      <w:bookmarkStart w:id="1501" w:name="_Toc41814953"/>
      <w:r w:rsidRPr="00236418">
        <w:rPr>
          <w:sz w:val="24"/>
          <w:szCs w:val="24"/>
        </w:rPr>
        <w:t>Note 9</w:t>
      </w:r>
      <w:r w:rsidRPr="00236418">
        <w:rPr>
          <w:sz w:val="24"/>
          <w:szCs w:val="24"/>
        </w:rPr>
        <w:tab/>
        <w:t>Stocks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05737A45" w14:textId="77777777" w:rsidR="00DF6159" w:rsidRPr="00236418" w:rsidRDefault="00DF6159" w:rsidP="009B3D24">
      <w:pPr>
        <w:spacing w:after="120"/>
      </w:pPr>
      <w:r w:rsidRPr="00236418">
        <w:t>Les publications incluent les publications destinées à la vente et les publications diffusées gratuitement. Les fournitures comprennent le papier destiné à l'impression des publications et des documents de l'UIT, l'économat ainsi que divers consommables.</w:t>
      </w:r>
    </w:p>
    <w:tbl>
      <w:tblPr>
        <w:tblW w:w="9545" w:type="dxa"/>
        <w:jc w:val="center"/>
        <w:tblLayout w:type="fixed"/>
        <w:tblLook w:val="04A0" w:firstRow="1" w:lastRow="0" w:firstColumn="1" w:lastColumn="0" w:noHBand="0" w:noVBand="1"/>
        <w:tblCaption w:val="E"/>
      </w:tblPr>
      <w:tblGrid>
        <w:gridCol w:w="6517"/>
        <w:gridCol w:w="1514"/>
        <w:gridCol w:w="1514"/>
      </w:tblGrid>
      <w:tr w:rsidR="00DF6159" w:rsidRPr="00236418" w14:paraId="26201987" w14:textId="77777777" w:rsidTr="006538EB">
        <w:trPr>
          <w:trHeight w:val="499"/>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5354" w14:textId="77777777" w:rsidR="00DF6159" w:rsidRPr="00236418" w:rsidRDefault="00DF6159" w:rsidP="009B3D24">
            <w:pPr>
              <w:pStyle w:val="Tablehead"/>
              <w:spacing w:before="40" w:after="40"/>
              <w:jc w:val="left"/>
              <w:rPr>
                <w:sz w:val="20"/>
                <w:lang w:eastAsia="zh-CN"/>
              </w:rPr>
            </w:pPr>
            <w:r w:rsidRPr="00236418">
              <w:rPr>
                <w:sz w:val="20"/>
                <w:lang w:eastAsia="zh-CN"/>
              </w:rPr>
              <w:t>En milliers de CHF</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6B578213" w14:textId="4E7AE9EC" w:rsidR="00DF6159" w:rsidRPr="00236418" w:rsidRDefault="00DF6159" w:rsidP="009B3D24">
            <w:pPr>
              <w:pStyle w:val="Tablehead"/>
              <w:spacing w:before="40" w:after="40"/>
              <w:rPr>
                <w:sz w:val="20"/>
                <w:lang w:eastAsia="zh-CN"/>
              </w:rPr>
            </w:pPr>
            <w:r w:rsidRPr="00236418">
              <w:rPr>
                <w:sz w:val="20"/>
                <w:lang w:eastAsia="zh-CN"/>
              </w:rPr>
              <w:t>31.12.201</w:t>
            </w:r>
            <w:r w:rsidR="00E47974" w:rsidRPr="00236418">
              <w:rPr>
                <w:sz w:val="20"/>
                <w:lang w:eastAsia="zh-CN"/>
              </w:rPr>
              <w:t>9</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1725F476" w14:textId="5A3F4394" w:rsidR="00DF6159" w:rsidRPr="00236418" w:rsidRDefault="00DF6159" w:rsidP="009B3D24">
            <w:pPr>
              <w:pStyle w:val="Tablehead"/>
              <w:spacing w:before="40" w:after="40"/>
              <w:rPr>
                <w:sz w:val="20"/>
                <w:lang w:eastAsia="zh-CN"/>
              </w:rPr>
            </w:pPr>
            <w:r w:rsidRPr="00236418">
              <w:rPr>
                <w:sz w:val="20"/>
                <w:lang w:eastAsia="zh-CN"/>
              </w:rPr>
              <w:t>31.12.201</w:t>
            </w:r>
            <w:r w:rsidR="00E47974" w:rsidRPr="00236418">
              <w:rPr>
                <w:sz w:val="20"/>
                <w:lang w:eastAsia="zh-CN"/>
              </w:rPr>
              <w:t>8</w:t>
            </w:r>
          </w:p>
        </w:tc>
      </w:tr>
      <w:tr w:rsidR="00E47974" w:rsidRPr="00236418" w14:paraId="7ADE4300" w14:textId="77777777" w:rsidTr="006538EB">
        <w:trPr>
          <w:jc w:val="center"/>
        </w:trPr>
        <w:tc>
          <w:tcPr>
            <w:tcW w:w="6517" w:type="dxa"/>
            <w:tcBorders>
              <w:top w:val="single" w:sz="4" w:space="0" w:color="auto"/>
              <w:left w:val="single" w:sz="4" w:space="0" w:color="auto"/>
              <w:right w:val="single" w:sz="4" w:space="0" w:color="auto"/>
            </w:tcBorders>
            <w:shd w:val="clear" w:color="auto" w:fill="auto"/>
            <w:noWrap/>
            <w:vAlign w:val="bottom"/>
          </w:tcPr>
          <w:p w14:paraId="38800E89" w14:textId="77777777" w:rsidR="00E47974" w:rsidRPr="00236418" w:rsidRDefault="00E47974" w:rsidP="009B3D24">
            <w:pPr>
              <w:pStyle w:val="Tabletext"/>
              <w:spacing w:before="40" w:after="40"/>
              <w:rPr>
                <w:sz w:val="20"/>
                <w:lang w:eastAsia="zh-CN"/>
              </w:rPr>
            </w:pPr>
            <w:r w:rsidRPr="00236418">
              <w:rPr>
                <w:sz w:val="20"/>
                <w:lang w:eastAsia="zh-CN"/>
              </w:rPr>
              <w:t>Publications – valeur brute</w:t>
            </w:r>
          </w:p>
        </w:tc>
        <w:tc>
          <w:tcPr>
            <w:tcW w:w="1514" w:type="dxa"/>
            <w:tcBorders>
              <w:top w:val="single" w:sz="4" w:space="0" w:color="auto"/>
              <w:left w:val="nil"/>
              <w:right w:val="single" w:sz="4" w:space="0" w:color="auto"/>
            </w:tcBorders>
            <w:shd w:val="clear" w:color="auto" w:fill="auto"/>
            <w:noWrap/>
            <w:vAlign w:val="bottom"/>
          </w:tcPr>
          <w:p w14:paraId="23BA63FB" w14:textId="72853D0F" w:rsidR="00E47974" w:rsidRPr="00236418" w:rsidRDefault="00E47974" w:rsidP="009B3D24">
            <w:pPr>
              <w:jc w:val="right"/>
              <w:rPr>
                <w:sz w:val="20"/>
                <w:lang w:eastAsia="zh-CN"/>
              </w:rPr>
            </w:pPr>
            <w:r w:rsidRPr="00236418">
              <w:rPr>
                <w:sz w:val="20"/>
                <w:lang w:eastAsia="zh-CN"/>
              </w:rPr>
              <w:t>355</w:t>
            </w:r>
          </w:p>
        </w:tc>
        <w:tc>
          <w:tcPr>
            <w:tcW w:w="1514" w:type="dxa"/>
            <w:tcBorders>
              <w:top w:val="single" w:sz="4" w:space="0" w:color="auto"/>
              <w:left w:val="nil"/>
              <w:right w:val="single" w:sz="4" w:space="0" w:color="auto"/>
            </w:tcBorders>
            <w:shd w:val="clear" w:color="auto" w:fill="auto"/>
            <w:noWrap/>
            <w:vAlign w:val="bottom"/>
          </w:tcPr>
          <w:p w14:paraId="409A4F3A" w14:textId="25C80E06"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334</w:t>
            </w:r>
          </w:p>
        </w:tc>
      </w:tr>
      <w:tr w:rsidR="00E47974" w:rsidRPr="00236418" w14:paraId="0393A1CC" w14:textId="77777777" w:rsidTr="006538EB">
        <w:trPr>
          <w:jc w:val="center"/>
        </w:trPr>
        <w:tc>
          <w:tcPr>
            <w:tcW w:w="6517" w:type="dxa"/>
            <w:tcBorders>
              <w:left w:val="single" w:sz="4" w:space="0" w:color="auto"/>
              <w:bottom w:val="single" w:sz="4" w:space="0" w:color="auto"/>
              <w:right w:val="single" w:sz="4" w:space="0" w:color="auto"/>
            </w:tcBorders>
            <w:shd w:val="clear" w:color="auto" w:fill="auto"/>
            <w:noWrap/>
            <w:vAlign w:val="bottom"/>
          </w:tcPr>
          <w:p w14:paraId="3BBD5C86" w14:textId="77777777" w:rsidR="00E47974" w:rsidRPr="00236418" w:rsidRDefault="00E47974" w:rsidP="009B3D24">
            <w:pPr>
              <w:pStyle w:val="Tabletext"/>
              <w:spacing w:before="40" w:after="40"/>
              <w:rPr>
                <w:sz w:val="20"/>
                <w:lang w:eastAsia="zh-CN"/>
              </w:rPr>
            </w:pPr>
            <w:r w:rsidRPr="00236418">
              <w:rPr>
                <w:sz w:val="20"/>
                <w:lang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6A934E87" w14:textId="3A5C5C31" w:rsidR="00E47974" w:rsidRPr="00236418" w:rsidRDefault="00E47974" w:rsidP="009B3D24">
            <w:pPr>
              <w:jc w:val="right"/>
              <w:rPr>
                <w:sz w:val="20"/>
                <w:lang w:eastAsia="zh-CN"/>
              </w:rPr>
            </w:pPr>
            <w:r w:rsidRPr="00236418">
              <w:rPr>
                <w:sz w:val="20"/>
                <w:lang w:eastAsia="zh-CN"/>
              </w:rPr>
              <w:t>–237</w:t>
            </w:r>
          </w:p>
        </w:tc>
        <w:tc>
          <w:tcPr>
            <w:tcW w:w="1514" w:type="dxa"/>
            <w:tcBorders>
              <w:left w:val="nil"/>
              <w:bottom w:val="single" w:sz="4" w:space="0" w:color="auto"/>
              <w:right w:val="single" w:sz="4" w:space="0" w:color="auto"/>
            </w:tcBorders>
            <w:shd w:val="clear" w:color="auto" w:fill="auto"/>
            <w:noWrap/>
            <w:vAlign w:val="bottom"/>
          </w:tcPr>
          <w:p w14:paraId="303886AF" w14:textId="06CEC05E"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sz w:val="20"/>
                <w:lang w:eastAsia="zh-CN"/>
              </w:rPr>
              <w:t>–</w:t>
            </w:r>
            <w:r w:rsidRPr="00236418">
              <w:rPr>
                <w:rFonts w:asciiTheme="minorHAnsi" w:hAnsiTheme="minorHAnsi" w:cs="Arial"/>
                <w:color w:val="000000"/>
                <w:sz w:val="20"/>
                <w:lang w:eastAsia="zh-CN"/>
              </w:rPr>
              <w:t>203</w:t>
            </w:r>
          </w:p>
        </w:tc>
      </w:tr>
      <w:tr w:rsidR="00E47974" w:rsidRPr="00236418" w14:paraId="63E3D685"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2C7C1" w14:textId="77777777" w:rsidR="00E47974" w:rsidRPr="00236418" w:rsidRDefault="00E47974" w:rsidP="009B3D24">
            <w:pPr>
              <w:pStyle w:val="Tabletext"/>
              <w:spacing w:before="40" w:after="40"/>
              <w:rPr>
                <w:b/>
                <w:bCs/>
                <w:sz w:val="20"/>
                <w:lang w:eastAsia="zh-CN"/>
              </w:rPr>
            </w:pPr>
            <w:r w:rsidRPr="00236418">
              <w:rPr>
                <w:b/>
                <w:bCs/>
                <w:sz w:val="20"/>
                <w:lang w:eastAsia="zh-CN"/>
              </w:rPr>
              <w:t>Publications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52A61D3D" w14:textId="7E426553" w:rsidR="00E47974" w:rsidRPr="00236418" w:rsidRDefault="00E47974" w:rsidP="009B3D24">
            <w:pPr>
              <w:jc w:val="right"/>
              <w:rPr>
                <w:sz w:val="20"/>
                <w:lang w:eastAsia="zh-CN"/>
              </w:rPr>
            </w:pPr>
            <w:r w:rsidRPr="00236418">
              <w:rPr>
                <w:sz w:val="20"/>
                <w:lang w:eastAsia="zh-CN"/>
              </w:rPr>
              <w:t>117</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49BC9D1A" w14:textId="44B694DD"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131</w:t>
            </w:r>
          </w:p>
        </w:tc>
      </w:tr>
      <w:tr w:rsidR="00E47974" w:rsidRPr="00236418" w14:paraId="43E00968" w14:textId="77777777" w:rsidTr="006538EB">
        <w:trPr>
          <w:jc w:val="center"/>
        </w:trPr>
        <w:tc>
          <w:tcPr>
            <w:tcW w:w="6517" w:type="dxa"/>
            <w:tcBorders>
              <w:top w:val="single" w:sz="4" w:space="0" w:color="auto"/>
              <w:left w:val="single" w:sz="4" w:space="0" w:color="auto"/>
              <w:right w:val="single" w:sz="4" w:space="0" w:color="auto"/>
            </w:tcBorders>
            <w:shd w:val="clear" w:color="auto" w:fill="auto"/>
            <w:noWrap/>
            <w:vAlign w:val="center"/>
          </w:tcPr>
          <w:p w14:paraId="36A9919F" w14:textId="77777777" w:rsidR="00E47974" w:rsidRPr="00236418" w:rsidRDefault="00E47974" w:rsidP="009B3D24">
            <w:pPr>
              <w:pStyle w:val="Tabletext"/>
              <w:spacing w:before="40" w:after="40"/>
              <w:rPr>
                <w:sz w:val="20"/>
                <w:lang w:eastAsia="zh-CN"/>
              </w:rPr>
            </w:pPr>
            <w:r w:rsidRPr="00236418">
              <w:rPr>
                <w:sz w:val="20"/>
                <w:lang w:eastAsia="zh-CN"/>
              </w:rPr>
              <w:t>Souvenirs – valeur brute</w:t>
            </w:r>
          </w:p>
        </w:tc>
        <w:tc>
          <w:tcPr>
            <w:tcW w:w="1514" w:type="dxa"/>
            <w:tcBorders>
              <w:top w:val="single" w:sz="4" w:space="0" w:color="auto"/>
              <w:left w:val="nil"/>
              <w:right w:val="single" w:sz="4" w:space="0" w:color="auto"/>
            </w:tcBorders>
            <w:shd w:val="clear" w:color="auto" w:fill="auto"/>
            <w:noWrap/>
            <w:vAlign w:val="bottom"/>
          </w:tcPr>
          <w:p w14:paraId="22444A6B" w14:textId="54362B18" w:rsidR="00E47974" w:rsidRPr="00236418" w:rsidRDefault="00E47974" w:rsidP="009B3D24">
            <w:pPr>
              <w:jc w:val="right"/>
              <w:rPr>
                <w:sz w:val="20"/>
                <w:lang w:eastAsia="zh-CN"/>
              </w:rPr>
            </w:pPr>
            <w:r w:rsidRPr="00236418">
              <w:rPr>
                <w:sz w:val="20"/>
                <w:lang w:eastAsia="zh-CN"/>
              </w:rPr>
              <w:t>133</w:t>
            </w:r>
          </w:p>
        </w:tc>
        <w:tc>
          <w:tcPr>
            <w:tcW w:w="1514" w:type="dxa"/>
            <w:tcBorders>
              <w:top w:val="single" w:sz="4" w:space="0" w:color="auto"/>
              <w:left w:val="nil"/>
              <w:right w:val="single" w:sz="4" w:space="0" w:color="auto"/>
            </w:tcBorders>
            <w:shd w:val="clear" w:color="auto" w:fill="auto"/>
            <w:noWrap/>
            <w:vAlign w:val="bottom"/>
          </w:tcPr>
          <w:p w14:paraId="30E7B38E" w14:textId="2B79BD66"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139</w:t>
            </w:r>
          </w:p>
        </w:tc>
      </w:tr>
      <w:tr w:rsidR="00E47974" w:rsidRPr="00236418" w14:paraId="7E9CDFEB" w14:textId="77777777" w:rsidTr="006538EB">
        <w:trPr>
          <w:jc w:val="center"/>
        </w:trPr>
        <w:tc>
          <w:tcPr>
            <w:tcW w:w="6517" w:type="dxa"/>
            <w:tcBorders>
              <w:left w:val="single" w:sz="4" w:space="0" w:color="auto"/>
              <w:bottom w:val="single" w:sz="4" w:space="0" w:color="auto"/>
              <w:right w:val="single" w:sz="4" w:space="0" w:color="auto"/>
            </w:tcBorders>
            <w:shd w:val="clear" w:color="auto" w:fill="auto"/>
            <w:noWrap/>
            <w:vAlign w:val="center"/>
          </w:tcPr>
          <w:p w14:paraId="04D5A4D0" w14:textId="77777777" w:rsidR="00E47974" w:rsidRPr="00236418" w:rsidRDefault="00E47974" w:rsidP="009B3D24">
            <w:pPr>
              <w:pStyle w:val="Tabletext"/>
              <w:spacing w:before="40" w:after="40"/>
              <w:rPr>
                <w:sz w:val="20"/>
                <w:lang w:eastAsia="zh-CN"/>
              </w:rPr>
            </w:pPr>
            <w:r w:rsidRPr="00236418">
              <w:rPr>
                <w:sz w:val="20"/>
                <w:lang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132084B9" w14:textId="136E7994" w:rsidR="00E47974" w:rsidRPr="00236418" w:rsidRDefault="00E47974" w:rsidP="009B3D24">
            <w:pPr>
              <w:jc w:val="right"/>
              <w:rPr>
                <w:sz w:val="20"/>
                <w:lang w:eastAsia="zh-CN"/>
              </w:rPr>
            </w:pPr>
            <w:r w:rsidRPr="00236418">
              <w:rPr>
                <w:sz w:val="20"/>
                <w:lang w:eastAsia="zh-CN"/>
              </w:rPr>
              <w:t>–85</w:t>
            </w:r>
          </w:p>
        </w:tc>
        <w:tc>
          <w:tcPr>
            <w:tcW w:w="1514" w:type="dxa"/>
            <w:tcBorders>
              <w:left w:val="nil"/>
              <w:bottom w:val="single" w:sz="4" w:space="0" w:color="auto"/>
              <w:right w:val="single" w:sz="4" w:space="0" w:color="auto"/>
            </w:tcBorders>
            <w:shd w:val="clear" w:color="auto" w:fill="auto"/>
            <w:noWrap/>
            <w:vAlign w:val="bottom"/>
          </w:tcPr>
          <w:p w14:paraId="619079C8" w14:textId="7863C718"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sz w:val="20"/>
                <w:lang w:eastAsia="zh-CN"/>
              </w:rPr>
              <w:t>–</w:t>
            </w:r>
            <w:r w:rsidRPr="00236418">
              <w:rPr>
                <w:rFonts w:asciiTheme="minorHAnsi" w:hAnsiTheme="minorHAnsi" w:cs="Arial"/>
                <w:color w:val="000000"/>
                <w:sz w:val="20"/>
                <w:lang w:eastAsia="zh-CN"/>
              </w:rPr>
              <w:t>88</w:t>
            </w:r>
          </w:p>
        </w:tc>
      </w:tr>
      <w:tr w:rsidR="00E47974" w:rsidRPr="00236418" w14:paraId="1AC988AD"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73AA6" w14:textId="77777777" w:rsidR="00E47974" w:rsidRPr="00236418" w:rsidRDefault="00E47974" w:rsidP="009B3D24">
            <w:pPr>
              <w:pStyle w:val="Tabletext"/>
              <w:spacing w:before="40" w:after="40"/>
              <w:rPr>
                <w:b/>
                <w:bCs/>
                <w:sz w:val="20"/>
                <w:lang w:eastAsia="zh-CN"/>
              </w:rPr>
            </w:pPr>
            <w:r w:rsidRPr="00236418">
              <w:rPr>
                <w:b/>
                <w:bCs/>
                <w:sz w:val="20"/>
                <w:lang w:eastAsia="zh-CN"/>
              </w:rPr>
              <w:t>Souvenirs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3EA1CAF2" w14:textId="149E91FC" w:rsidR="00E47974" w:rsidRPr="00236418" w:rsidRDefault="00E47974" w:rsidP="009B3D24">
            <w:pPr>
              <w:jc w:val="right"/>
              <w:rPr>
                <w:sz w:val="20"/>
                <w:lang w:eastAsia="zh-CN"/>
              </w:rPr>
            </w:pPr>
            <w:r w:rsidRPr="00236418">
              <w:rPr>
                <w:sz w:val="20"/>
                <w:lang w:eastAsia="zh-CN"/>
              </w:rPr>
              <w:t>48</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5FF37B2E" w14:textId="26D9EA24"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51</w:t>
            </w:r>
          </w:p>
        </w:tc>
      </w:tr>
      <w:tr w:rsidR="00E47974" w:rsidRPr="00236418" w14:paraId="196B0564" w14:textId="77777777" w:rsidTr="006538EB">
        <w:trPr>
          <w:jc w:val="center"/>
        </w:trPr>
        <w:tc>
          <w:tcPr>
            <w:tcW w:w="6517" w:type="dxa"/>
            <w:tcBorders>
              <w:top w:val="single" w:sz="4" w:space="0" w:color="auto"/>
              <w:left w:val="single" w:sz="4" w:space="0" w:color="auto"/>
              <w:right w:val="single" w:sz="4" w:space="0" w:color="auto"/>
            </w:tcBorders>
            <w:shd w:val="clear" w:color="auto" w:fill="auto"/>
            <w:noWrap/>
            <w:vAlign w:val="center"/>
          </w:tcPr>
          <w:p w14:paraId="408D1D14" w14:textId="77777777" w:rsidR="00E47974" w:rsidRPr="00236418" w:rsidRDefault="00E47974" w:rsidP="009B3D24">
            <w:pPr>
              <w:pStyle w:val="Tabletext"/>
              <w:spacing w:before="40" w:after="40"/>
              <w:rPr>
                <w:sz w:val="20"/>
                <w:lang w:eastAsia="zh-CN"/>
              </w:rPr>
            </w:pPr>
            <w:r w:rsidRPr="00236418">
              <w:rPr>
                <w:sz w:val="20"/>
                <w:lang w:eastAsia="zh-CN"/>
              </w:rPr>
              <w:t>Fournitures – valeur brute</w:t>
            </w:r>
          </w:p>
        </w:tc>
        <w:tc>
          <w:tcPr>
            <w:tcW w:w="1514" w:type="dxa"/>
            <w:tcBorders>
              <w:top w:val="single" w:sz="4" w:space="0" w:color="auto"/>
              <w:left w:val="nil"/>
              <w:right w:val="single" w:sz="4" w:space="0" w:color="auto"/>
            </w:tcBorders>
            <w:shd w:val="clear" w:color="auto" w:fill="auto"/>
            <w:noWrap/>
            <w:vAlign w:val="bottom"/>
          </w:tcPr>
          <w:p w14:paraId="00A16601" w14:textId="22531EA1" w:rsidR="00E47974" w:rsidRPr="00236418" w:rsidRDefault="00E47974" w:rsidP="009B3D24">
            <w:pPr>
              <w:jc w:val="right"/>
              <w:rPr>
                <w:sz w:val="20"/>
                <w:lang w:eastAsia="zh-CN"/>
              </w:rPr>
            </w:pPr>
            <w:r w:rsidRPr="00236418">
              <w:rPr>
                <w:sz w:val="20"/>
                <w:lang w:eastAsia="zh-CN"/>
              </w:rPr>
              <w:t>373</w:t>
            </w:r>
          </w:p>
        </w:tc>
        <w:tc>
          <w:tcPr>
            <w:tcW w:w="1514" w:type="dxa"/>
            <w:tcBorders>
              <w:top w:val="single" w:sz="4" w:space="0" w:color="auto"/>
              <w:left w:val="nil"/>
              <w:right w:val="single" w:sz="4" w:space="0" w:color="auto"/>
            </w:tcBorders>
            <w:shd w:val="clear" w:color="auto" w:fill="auto"/>
            <w:noWrap/>
            <w:vAlign w:val="bottom"/>
          </w:tcPr>
          <w:p w14:paraId="4AD2F0C1" w14:textId="10F83BD3"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353</w:t>
            </w:r>
          </w:p>
        </w:tc>
      </w:tr>
      <w:tr w:rsidR="00E47974" w:rsidRPr="00236418" w14:paraId="502583F0" w14:textId="77777777" w:rsidTr="006538EB">
        <w:trPr>
          <w:jc w:val="center"/>
        </w:trPr>
        <w:tc>
          <w:tcPr>
            <w:tcW w:w="6517" w:type="dxa"/>
            <w:tcBorders>
              <w:left w:val="single" w:sz="4" w:space="0" w:color="auto"/>
              <w:bottom w:val="single" w:sz="4" w:space="0" w:color="auto"/>
              <w:right w:val="single" w:sz="4" w:space="0" w:color="auto"/>
            </w:tcBorders>
            <w:shd w:val="clear" w:color="auto" w:fill="auto"/>
            <w:noWrap/>
            <w:vAlign w:val="center"/>
          </w:tcPr>
          <w:p w14:paraId="39BA9423" w14:textId="77777777" w:rsidR="00E47974" w:rsidRPr="00236418" w:rsidRDefault="00E47974" w:rsidP="009B3D24">
            <w:pPr>
              <w:pStyle w:val="Tabletext"/>
              <w:spacing w:before="40" w:after="40"/>
              <w:rPr>
                <w:sz w:val="20"/>
                <w:lang w:eastAsia="zh-CN"/>
              </w:rPr>
            </w:pPr>
            <w:r w:rsidRPr="00236418">
              <w:rPr>
                <w:sz w:val="20"/>
                <w:lang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45D1CF24" w14:textId="69CAD529" w:rsidR="00E47974" w:rsidRPr="00236418" w:rsidRDefault="00E47974" w:rsidP="009B3D24">
            <w:pPr>
              <w:jc w:val="right"/>
              <w:rPr>
                <w:sz w:val="20"/>
                <w:lang w:eastAsia="zh-CN"/>
              </w:rPr>
            </w:pPr>
            <w:r w:rsidRPr="00236418">
              <w:rPr>
                <w:sz w:val="20"/>
                <w:lang w:eastAsia="zh-CN"/>
              </w:rPr>
              <w:t>0</w:t>
            </w:r>
          </w:p>
        </w:tc>
        <w:tc>
          <w:tcPr>
            <w:tcW w:w="1514" w:type="dxa"/>
            <w:tcBorders>
              <w:left w:val="nil"/>
              <w:bottom w:val="single" w:sz="4" w:space="0" w:color="auto"/>
              <w:right w:val="single" w:sz="4" w:space="0" w:color="auto"/>
            </w:tcBorders>
            <w:shd w:val="clear" w:color="auto" w:fill="auto"/>
            <w:noWrap/>
            <w:vAlign w:val="bottom"/>
          </w:tcPr>
          <w:p w14:paraId="1D047C69" w14:textId="1E1BD1D7"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0</w:t>
            </w:r>
          </w:p>
        </w:tc>
      </w:tr>
      <w:tr w:rsidR="00E47974" w:rsidRPr="00236418" w14:paraId="2EC89677"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36614" w14:textId="77777777" w:rsidR="00E47974" w:rsidRPr="00236418" w:rsidRDefault="00E47974" w:rsidP="009B3D24">
            <w:pPr>
              <w:pStyle w:val="Tabletext"/>
              <w:spacing w:before="40" w:after="40"/>
              <w:rPr>
                <w:sz w:val="20"/>
                <w:lang w:eastAsia="zh-CN"/>
              </w:rPr>
            </w:pPr>
            <w:r w:rsidRPr="00236418">
              <w:rPr>
                <w:b/>
                <w:bCs/>
                <w:sz w:val="20"/>
                <w:lang w:eastAsia="zh-CN"/>
              </w:rPr>
              <w:t>Fournitures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16AFE995" w14:textId="25607B75" w:rsidR="00E47974" w:rsidRPr="00236418" w:rsidRDefault="00E47974" w:rsidP="009B3D24">
            <w:pPr>
              <w:jc w:val="right"/>
              <w:rPr>
                <w:sz w:val="20"/>
                <w:lang w:eastAsia="zh-CN"/>
              </w:rPr>
            </w:pPr>
            <w:r w:rsidRPr="00236418">
              <w:rPr>
                <w:sz w:val="20"/>
                <w:lang w:eastAsia="zh-CN"/>
              </w:rPr>
              <w:t>373</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75A0A436" w14:textId="2C4DE3D2"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353</w:t>
            </w:r>
          </w:p>
        </w:tc>
      </w:tr>
      <w:tr w:rsidR="00E47974" w:rsidRPr="00236418" w14:paraId="4812EF62"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2DF8" w14:textId="77777777" w:rsidR="00E47974" w:rsidRPr="00236418" w:rsidRDefault="00E47974" w:rsidP="009B3D24">
            <w:pPr>
              <w:pStyle w:val="Tablehead"/>
              <w:spacing w:before="40" w:after="40"/>
              <w:jc w:val="left"/>
              <w:rPr>
                <w:sz w:val="20"/>
                <w:lang w:eastAsia="zh-CN"/>
              </w:rPr>
            </w:pPr>
            <w:r w:rsidRPr="00236418">
              <w:rPr>
                <w:sz w:val="20"/>
                <w:lang w:eastAsia="zh-CN"/>
              </w:rPr>
              <w:t>Stocks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3F8D5BA9" w14:textId="016D111F" w:rsidR="00E47974" w:rsidRPr="00236418" w:rsidRDefault="00E47974" w:rsidP="009B3D24">
            <w:pPr>
              <w:jc w:val="right"/>
              <w:rPr>
                <w:b/>
                <w:bCs/>
                <w:sz w:val="20"/>
                <w:lang w:eastAsia="zh-CN"/>
              </w:rPr>
            </w:pPr>
            <w:r w:rsidRPr="00236418">
              <w:rPr>
                <w:b/>
                <w:bCs/>
                <w:sz w:val="20"/>
                <w:lang w:eastAsia="zh-CN"/>
              </w:rPr>
              <w:t>539</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2D0230B2" w14:textId="4329CA67" w:rsidR="00E47974" w:rsidRPr="00236418"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535</w:t>
            </w:r>
          </w:p>
        </w:tc>
      </w:tr>
    </w:tbl>
    <w:p w14:paraId="197670D3" w14:textId="77777777" w:rsidR="00DF6159" w:rsidRPr="00236418" w:rsidRDefault="00DF6159" w:rsidP="00081C96">
      <w:pPr>
        <w:pStyle w:val="Heading1"/>
        <w:spacing w:after="120"/>
        <w:rPr>
          <w:sz w:val="24"/>
          <w:szCs w:val="24"/>
        </w:rPr>
      </w:pPr>
      <w:bookmarkStart w:id="1502" w:name="_Toc268007541"/>
      <w:bookmarkStart w:id="1503" w:name="_Toc329178783"/>
      <w:bookmarkStart w:id="1504" w:name="_Toc329181756"/>
      <w:bookmarkStart w:id="1505" w:name="_Toc329202577"/>
      <w:bookmarkStart w:id="1506" w:name="_Toc329205009"/>
      <w:bookmarkStart w:id="1507" w:name="_Toc329206846"/>
      <w:bookmarkStart w:id="1508" w:name="_Toc358379932"/>
      <w:bookmarkStart w:id="1509" w:name="_Toc358380472"/>
      <w:bookmarkStart w:id="1510" w:name="_Toc387166652"/>
      <w:bookmarkStart w:id="1511" w:name="_Toc395260937"/>
      <w:bookmarkStart w:id="1512" w:name="_Toc395511716"/>
      <w:bookmarkStart w:id="1513" w:name="_Toc452138626"/>
      <w:bookmarkStart w:id="1514" w:name="_Toc452139075"/>
      <w:bookmarkStart w:id="1515" w:name="_Toc452139439"/>
      <w:bookmarkStart w:id="1516" w:name="_Toc452139840"/>
      <w:bookmarkStart w:id="1517" w:name="_Toc452140714"/>
      <w:bookmarkStart w:id="1518" w:name="_Toc482801504"/>
      <w:bookmarkStart w:id="1519" w:name="_Toc511649476"/>
      <w:bookmarkStart w:id="1520" w:name="_Toc511649846"/>
      <w:bookmarkStart w:id="1521" w:name="_Toc511649962"/>
      <w:bookmarkStart w:id="1522" w:name="_Toc511651219"/>
      <w:bookmarkStart w:id="1523" w:name="_Toc511724084"/>
      <w:bookmarkStart w:id="1524" w:name="_Toc511739073"/>
      <w:bookmarkStart w:id="1525" w:name="_Toc511741242"/>
      <w:bookmarkStart w:id="1526" w:name="_Toc10450748"/>
      <w:bookmarkStart w:id="1527" w:name="_Toc41566348"/>
      <w:bookmarkStart w:id="1528" w:name="_Toc41567356"/>
      <w:bookmarkStart w:id="1529" w:name="_Toc41567859"/>
      <w:bookmarkStart w:id="1530" w:name="_Toc41814954"/>
      <w:r w:rsidRPr="00236418">
        <w:rPr>
          <w:sz w:val="24"/>
          <w:szCs w:val="24"/>
        </w:rPr>
        <w:lastRenderedPageBreak/>
        <w:t>Note 10</w:t>
      </w:r>
      <w:r w:rsidRPr="00236418">
        <w:rPr>
          <w:sz w:val="24"/>
          <w:szCs w:val="24"/>
        </w:rPr>
        <w:tab/>
        <w:t>Autres c</w:t>
      </w:r>
      <w:bookmarkEnd w:id="1502"/>
      <w:r w:rsidRPr="00236418">
        <w:rPr>
          <w:sz w:val="24"/>
          <w:szCs w:val="24"/>
        </w:rPr>
        <w:t>réances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tbl>
      <w:tblPr>
        <w:tblW w:w="7933" w:type="dxa"/>
        <w:jc w:val="center"/>
        <w:tblLook w:val="04A0" w:firstRow="1" w:lastRow="0" w:firstColumn="1" w:lastColumn="0" w:noHBand="0" w:noVBand="1"/>
        <w:tblCaption w:val="E"/>
      </w:tblPr>
      <w:tblGrid>
        <w:gridCol w:w="3116"/>
        <w:gridCol w:w="2408"/>
        <w:gridCol w:w="2409"/>
      </w:tblGrid>
      <w:tr w:rsidR="00DF6159" w:rsidRPr="00236418" w14:paraId="72AEF230" w14:textId="77777777" w:rsidTr="005A01EC">
        <w:trPr>
          <w:trHeight w:val="340"/>
          <w:tblHeader/>
          <w:jc w:val="center"/>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098B" w14:textId="77777777" w:rsidR="00DF6159" w:rsidRPr="00236418" w:rsidRDefault="00DF6159" w:rsidP="009B3D24">
            <w:pPr>
              <w:pStyle w:val="Tablehead"/>
              <w:spacing w:before="40" w:after="40"/>
              <w:jc w:val="left"/>
              <w:rPr>
                <w:sz w:val="20"/>
                <w:lang w:eastAsia="zh-CN"/>
              </w:rPr>
            </w:pPr>
            <w:r w:rsidRPr="00236418">
              <w:rPr>
                <w:sz w:val="20"/>
                <w:lang w:eastAsia="zh-CN"/>
              </w:rPr>
              <w:t>En milliers de CHF</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0E2210DC" w14:textId="7F308374" w:rsidR="00DF6159" w:rsidRPr="00236418" w:rsidRDefault="00DF6159" w:rsidP="009B3D24">
            <w:pPr>
              <w:pStyle w:val="Tablehead"/>
              <w:spacing w:before="40" w:after="40"/>
              <w:rPr>
                <w:sz w:val="20"/>
                <w:lang w:eastAsia="zh-CN"/>
              </w:rPr>
            </w:pPr>
            <w:r w:rsidRPr="00236418">
              <w:rPr>
                <w:sz w:val="20"/>
                <w:lang w:eastAsia="zh-CN"/>
              </w:rPr>
              <w:t>31.12.201</w:t>
            </w:r>
            <w:r w:rsidR="00CF5869" w:rsidRPr="00236418">
              <w:rPr>
                <w:sz w:val="20"/>
                <w:lang w:eastAsia="zh-CN"/>
              </w:rPr>
              <w:t>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BED8909" w14:textId="637A6B55" w:rsidR="00DF6159" w:rsidRPr="00236418" w:rsidRDefault="00DF6159" w:rsidP="009B3D24">
            <w:pPr>
              <w:pStyle w:val="Tablehead"/>
              <w:spacing w:before="40" w:after="40"/>
              <w:rPr>
                <w:sz w:val="20"/>
                <w:lang w:eastAsia="zh-CN"/>
              </w:rPr>
            </w:pPr>
            <w:r w:rsidRPr="00236418">
              <w:rPr>
                <w:sz w:val="20"/>
                <w:lang w:eastAsia="zh-CN"/>
              </w:rPr>
              <w:t>31.12.201</w:t>
            </w:r>
            <w:r w:rsidR="00CF5869" w:rsidRPr="00236418">
              <w:rPr>
                <w:sz w:val="20"/>
                <w:lang w:eastAsia="zh-CN"/>
              </w:rPr>
              <w:t>8</w:t>
            </w:r>
          </w:p>
        </w:tc>
      </w:tr>
      <w:tr w:rsidR="00CF5869" w:rsidRPr="00236418" w14:paraId="3B24154C" w14:textId="77777777" w:rsidTr="005A01EC">
        <w:trPr>
          <w:trHeight w:val="255"/>
          <w:jc w:val="center"/>
        </w:trPr>
        <w:tc>
          <w:tcPr>
            <w:tcW w:w="3116" w:type="dxa"/>
            <w:tcBorders>
              <w:left w:val="single" w:sz="4" w:space="0" w:color="auto"/>
              <w:bottom w:val="nil"/>
              <w:right w:val="single" w:sz="4" w:space="0" w:color="auto"/>
            </w:tcBorders>
            <w:shd w:val="clear" w:color="auto" w:fill="auto"/>
            <w:noWrap/>
            <w:vAlign w:val="bottom"/>
          </w:tcPr>
          <w:p w14:paraId="3C8E0610" w14:textId="77777777" w:rsidR="00CF5869" w:rsidRPr="00236418" w:rsidRDefault="00CF5869" w:rsidP="009B3D24">
            <w:pPr>
              <w:pStyle w:val="Tabletext"/>
              <w:spacing w:before="30" w:after="30"/>
              <w:rPr>
                <w:sz w:val="20"/>
                <w:lang w:eastAsia="zh-CN"/>
              </w:rPr>
            </w:pPr>
            <w:r w:rsidRPr="00236418">
              <w:rPr>
                <w:sz w:val="20"/>
                <w:lang w:eastAsia="zh-CN"/>
              </w:rPr>
              <w:t>Avances au personnel</w:t>
            </w:r>
          </w:p>
        </w:tc>
        <w:tc>
          <w:tcPr>
            <w:tcW w:w="2408" w:type="dxa"/>
            <w:tcBorders>
              <w:left w:val="nil"/>
              <w:bottom w:val="nil"/>
              <w:right w:val="single" w:sz="4" w:space="0" w:color="auto"/>
            </w:tcBorders>
            <w:shd w:val="clear" w:color="auto" w:fill="auto"/>
            <w:noWrap/>
            <w:vAlign w:val="bottom"/>
          </w:tcPr>
          <w:p w14:paraId="2F8B5992" w14:textId="6E561A0A"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1 784</w:t>
            </w:r>
          </w:p>
        </w:tc>
        <w:tc>
          <w:tcPr>
            <w:tcW w:w="2409" w:type="dxa"/>
            <w:tcBorders>
              <w:left w:val="nil"/>
              <w:bottom w:val="nil"/>
              <w:right w:val="single" w:sz="4" w:space="0" w:color="auto"/>
            </w:tcBorders>
            <w:shd w:val="clear" w:color="auto" w:fill="auto"/>
            <w:noWrap/>
            <w:vAlign w:val="bottom"/>
          </w:tcPr>
          <w:p w14:paraId="0FF81401" w14:textId="7A298CCB" w:rsidR="00CF5869" w:rsidRPr="00236418" w:rsidRDefault="00CF5869" w:rsidP="009B3D24">
            <w:pPr>
              <w:pStyle w:val="Tabletext"/>
              <w:spacing w:before="30" w:after="30"/>
              <w:jc w:val="right"/>
              <w:rPr>
                <w:sz w:val="20"/>
                <w:lang w:eastAsia="zh-CN"/>
              </w:rPr>
            </w:pPr>
            <w:r w:rsidRPr="00236418">
              <w:rPr>
                <w:sz w:val="20"/>
                <w:lang w:eastAsia="zh-CN"/>
              </w:rPr>
              <w:t>1 762</w:t>
            </w:r>
          </w:p>
        </w:tc>
      </w:tr>
      <w:tr w:rsidR="00CF5869" w:rsidRPr="00236418" w14:paraId="4B952408"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7251E185" w14:textId="77777777" w:rsidR="00CF5869" w:rsidRPr="00236418" w:rsidRDefault="00CF5869" w:rsidP="009B3D24">
            <w:pPr>
              <w:pStyle w:val="Tabletext"/>
              <w:spacing w:before="30" w:after="30"/>
              <w:rPr>
                <w:sz w:val="20"/>
                <w:lang w:eastAsia="zh-CN"/>
              </w:rPr>
            </w:pPr>
            <w:r w:rsidRPr="00236418">
              <w:rPr>
                <w:sz w:val="20"/>
                <w:lang w:eastAsia="zh-CN"/>
              </w:rPr>
              <w:t>Compte courant PNUD</w:t>
            </w:r>
          </w:p>
        </w:tc>
        <w:tc>
          <w:tcPr>
            <w:tcW w:w="2408" w:type="dxa"/>
            <w:tcBorders>
              <w:left w:val="nil"/>
              <w:right w:val="single" w:sz="4" w:space="0" w:color="auto"/>
            </w:tcBorders>
            <w:shd w:val="clear" w:color="auto" w:fill="auto"/>
            <w:noWrap/>
            <w:vAlign w:val="bottom"/>
          </w:tcPr>
          <w:p w14:paraId="4A458E26" w14:textId="2B65D20B"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486</w:t>
            </w:r>
          </w:p>
        </w:tc>
        <w:tc>
          <w:tcPr>
            <w:tcW w:w="2409" w:type="dxa"/>
            <w:tcBorders>
              <w:left w:val="nil"/>
              <w:right w:val="single" w:sz="4" w:space="0" w:color="auto"/>
            </w:tcBorders>
            <w:shd w:val="clear" w:color="auto" w:fill="auto"/>
            <w:noWrap/>
            <w:vAlign w:val="bottom"/>
          </w:tcPr>
          <w:p w14:paraId="696B11C2" w14:textId="270B4747" w:rsidR="00CF5869" w:rsidRPr="00236418" w:rsidRDefault="00CF5869" w:rsidP="009B3D24">
            <w:pPr>
              <w:pStyle w:val="Tabletext"/>
              <w:spacing w:before="30" w:after="30"/>
              <w:jc w:val="right"/>
              <w:rPr>
                <w:sz w:val="20"/>
                <w:lang w:eastAsia="zh-CN"/>
              </w:rPr>
            </w:pPr>
            <w:r w:rsidRPr="00236418">
              <w:rPr>
                <w:sz w:val="20"/>
                <w:lang w:eastAsia="zh-CN"/>
              </w:rPr>
              <w:t>428</w:t>
            </w:r>
          </w:p>
        </w:tc>
      </w:tr>
      <w:tr w:rsidR="00CF5869" w:rsidRPr="00236418" w14:paraId="70B5DE97"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3394179B" w14:textId="77777777" w:rsidR="00CF5869" w:rsidRPr="00236418" w:rsidRDefault="00CF5869" w:rsidP="009B3D24">
            <w:pPr>
              <w:pStyle w:val="Tabletext"/>
              <w:spacing w:before="30" w:after="30"/>
              <w:rPr>
                <w:sz w:val="20"/>
                <w:lang w:eastAsia="zh-CN"/>
              </w:rPr>
            </w:pPr>
            <w:r w:rsidRPr="00236418">
              <w:rPr>
                <w:sz w:val="20"/>
                <w:lang w:eastAsia="zh-CN"/>
              </w:rPr>
              <w:t>Yougoslavie</w:t>
            </w:r>
          </w:p>
        </w:tc>
        <w:tc>
          <w:tcPr>
            <w:tcW w:w="2408" w:type="dxa"/>
            <w:tcBorders>
              <w:left w:val="nil"/>
              <w:right w:val="single" w:sz="4" w:space="0" w:color="auto"/>
            </w:tcBorders>
            <w:shd w:val="clear" w:color="auto" w:fill="auto"/>
            <w:noWrap/>
            <w:vAlign w:val="bottom"/>
          </w:tcPr>
          <w:p w14:paraId="535A60D6" w14:textId="780971D4"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1 189</w:t>
            </w:r>
          </w:p>
        </w:tc>
        <w:tc>
          <w:tcPr>
            <w:tcW w:w="2409" w:type="dxa"/>
            <w:tcBorders>
              <w:left w:val="nil"/>
              <w:right w:val="single" w:sz="4" w:space="0" w:color="auto"/>
            </w:tcBorders>
            <w:shd w:val="clear" w:color="auto" w:fill="auto"/>
            <w:noWrap/>
            <w:vAlign w:val="bottom"/>
          </w:tcPr>
          <w:p w14:paraId="4D41CF2D" w14:textId="76BA2843" w:rsidR="00CF5869" w:rsidRPr="00236418" w:rsidRDefault="00CF5869" w:rsidP="009B3D24">
            <w:pPr>
              <w:pStyle w:val="Tabletext"/>
              <w:spacing w:before="30" w:after="30"/>
              <w:jc w:val="right"/>
              <w:rPr>
                <w:sz w:val="20"/>
                <w:lang w:eastAsia="zh-CN"/>
              </w:rPr>
            </w:pPr>
            <w:r w:rsidRPr="00236418">
              <w:rPr>
                <w:sz w:val="20"/>
                <w:lang w:eastAsia="zh-CN"/>
              </w:rPr>
              <w:t>1 189</w:t>
            </w:r>
          </w:p>
        </w:tc>
      </w:tr>
      <w:tr w:rsidR="00CF5869" w:rsidRPr="00236418" w14:paraId="6A7FCF58"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0C29409E" w14:textId="77777777" w:rsidR="00CF5869" w:rsidRPr="00236418" w:rsidRDefault="00CF5869" w:rsidP="009B3D24">
            <w:pPr>
              <w:pStyle w:val="Tabletext"/>
              <w:spacing w:before="30" w:after="30"/>
              <w:rPr>
                <w:sz w:val="20"/>
                <w:lang w:eastAsia="zh-CN"/>
              </w:rPr>
            </w:pPr>
            <w:r w:rsidRPr="00236418">
              <w:rPr>
                <w:sz w:val="20"/>
                <w:lang w:eastAsia="zh-CN"/>
              </w:rPr>
              <w:t>Provision sur créance Yougoslavie</w:t>
            </w:r>
          </w:p>
        </w:tc>
        <w:tc>
          <w:tcPr>
            <w:tcW w:w="2408" w:type="dxa"/>
            <w:tcBorders>
              <w:left w:val="nil"/>
              <w:right w:val="single" w:sz="4" w:space="0" w:color="auto"/>
            </w:tcBorders>
            <w:shd w:val="clear" w:color="auto" w:fill="auto"/>
            <w:noWrap/>
            <w:vAlign w:val="bottom"/>
          </w:tcPr>
          <w:p w14:paraId="25A0A752" w14:textId="50E28D4B"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–1 189</w:t>
            </w:r>
          </w:p>
        </w:tc>
        <w:tc>
          <w:tcPr>
            <w:tcW w:w="2409" w:type="dxa"/>
            <w:tcBorders>
              <w:left w:val="nil"/>
              <w:right w:val="single" w:sz="4" w:space="0" w:color="auto"/>
            </w:tcBorders>
            <w:shd w:val="clear" w:color="auto" w:fill="auto"/>
            <w:noWrap/>
            <w:vAlign w:val="bottom"/>
          </w:tcPr>
          <w:p w14:paraId="1F3FB7ED" w14:textId="6518B3F3" w:rsidR="00CF5869" w:rsidRPr="00236418" w:rsidRDefault="00FF1955" w:rsidP="009B3D24">
            <w:pPr>
              <w:pStyle w:val="Tabletext"/>
              <w:spacing w:before="30" w:after="30"/>
              <w:jc w:val="right"/>
              <w:rPr>
                <w:sz w:val="20"/>
                <w:lang w:eastAsia="zh-CN"/>
              </w:rPr>
            </w:pPr>
            <w:r w:rsidRPr="00236418">
              <w:rPr>
                <w:sz w:val="20"/>
                <w:lang w:eastAsia="zh-CN"/>
              </w:rPr>
              <w:t>–</w:t>
            </w:r>
            <w:r w:rsidR="00CF5869" w:rsidRPr="00236418">
              <w:rPr>
                <w:sz w:val="20"/>
                <w:lang w:eastAsia="zh-CN"/>
              </w:rPr>
              <w:t>1 189</w:t>
            </w:r>
          </w:p>
        </w:tc>
      </w:tr>
      <w:tr w:rsidR="00CF5869" w:rsidRPr="00236418" w14:paraId="48914B67"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4442516A" w14:textId="77777777" w:rsidR="00CF5869" w:rsidRPr="00236418" w:rsidRDefault="00CF5869" w:rsidP="009B3D24">
            <w:pPr>
              <w:pStyle w:val="Tabletext"/>
              <w:spacing w:before="30" w:after="30"/>
              <w:rPr>
                <w:sz w:val="20"/>
                <w:lang w:eastAsia="zh-CN"/>
              </w:rPr>
            </w:pPr>
            <w:r w:rsidRPr="00236418">
              <w:rPr>
                <w:sz w:val="20"/>
                <w:lang w:eastAsia="zh-CN"/>
              </w:rPr>
              <w:t>Retenue à la source</w:t>
            </w:r>
          </w:p>
        </w:tc>
        <w:tc>
          <w:tcPr>
            <w:tcW w:w="2408" w:type="dxa"/>
            <w:tcBorders>
              <w:left w:val="nil"/>
              <w:right w:val="single" w:sz="4" w:space="0" w:color="auto"/>
            </w:tcBorders>
            <w:shd w:val="clear" w:color="auto" w:fill="auto"/>
            <w:noWrap/>
            <w:vAlign w:val="bottom"/>
          </w:tcPr>
          <w:p w14:paraId="3F3A1F4F" w14:textId="19315D49"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2 152</w:t>
            </w:r>
          </w:p>
        </w:tc>
        <w:tc>
          <w:tcPr>
            <w:tcW w:w="2409" w:type="dxa"/>
            <w:tcBorders>
              <w:left w:val="nil"/>
              <w:right w:val="single" w:sz="4" w:space="0" w:color="auto"/>
            </w:tcBorders>
            <w:shd w:val="clear" w:color="auto" w:fill="auto"/>
            <w:noWrap/>
            <w:vAlign w:val="bottom"/>
          </w:tcPr>
          <w:p w14:paraId="33CFDE56" w14:textId="59C27D74" w:rsidR="00CF5869" w:rsidRPr="00236418" w:rsidRDefault="00CF5869" w:rsidP="009B3D24">
            <w:pPr>
              <w:pStyle w:val="Tabletext"/>
              <w:spacing w:before="30" w:after="30"/>
              <w:jc w:val="right"/>
              <w:rPr>
                <w:sz w:val="20"/>
                <w:lang w:eastAsia="zh-CN"/>
              </w:rPr>
            </w:pPr>
            <w:r w:rsidRPr="00236418">
              <w:rPr>
                <w:sz w:val="20"/>
                <w:lang w:eastAsia="zh-CN"/>
              </w:rPr>
              <w:t>1 872</w:t>
            </w:r>
          </w:p>
        </w:tc>
      </w:tr>
      <w:tr w:rsidR="00CF5869" w:rsidRPr="00236418" w14:paraId="1479CD3E"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0906972C" w14:textId="77777777" w:rsidR="00CF5869" w:rsidRPr="00236418" w:rsidRDefault="00CF5869" w:rsidP="009B3D24">
            <w:pPr>
              <w:pStyle w:val="Tabletext"/>
              <w:spacing w:before="30" w:after="30"/>
              <w:rPr>
                <w:sz w:val="20"/>
                <w:lang w:eastAsia="zh-CN"/>
              </w:rPr>
            </w:pPr>
            <w:r w:rsidRPr="00236418">
              <w:rPr>
                <w:sz w:val="20"/>
                <w:lang w:eastAsia="zh-CN"/>
              </w:rPr>
              <w:t>Pensions</w:t>
            </w:r>
          </w:p>
        </w:tc>
        <w:tc>
          <w:tcPr>
            <w:tcW w:w="2408" w:type="dxa"/>
            <w:tcBorders>
              <w:left w:val="nil"/>
              <w:right w:val="single" w:sz="4" w:space="0" w:color="auto"/>
            </w:tcBorders>
            <w:shd w:val="clear" w:color="auto" w:fill="auto"/>
            <w:noWrap/>
            <w:vAlign w:val="bottom"/>
          </w:tcPr>
          <w:p w14:paraId="5CE223E9" w14:textId="15CFF17D"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220</w:t>
            </w:r>
          </w:p>
        </w:tc>
        <w:tc>
          <w:tcPr>
            <w:tcW w:w="2409" w:type="dxa"/>
            <w:tcBorders>
              <w:left w:val="nil"/>
              <w:right w:val="single" w:sz="4" w:space="0" w:color="auto"/>
            </w:tcBorders>
            <w:shd w:val="clear" w:color="auto" w:fill="auto"/>
            <w:noWrap/>
            <w:vAlign w:val="bottom"/>
          </w:tcPr>
          <w:p w14:paraId="6A8892EF" w14:textId="15539EEA" w:rsidR="00CF5869" w:rsidRPr="00236418" w:rsidRDefault="00CF5869" w:rsidP="009B3D24">
            <w:pPr>
              <w:pStyle w:val="Tabletext"/>
              <w:spacing w:before="30" w:after="30"/>
              <w:jc w:val="right"/>
              <w:rPr>
                <w:sz w:val="20"/>
                <w:lang w:eastAsia="zh-CN"/>
              </w:rPr>
            </w:pPr>
            <w:r w:rsidRPr="00236418">
              <w:rPr>
                <w:sz w:val="20"/>
                <w:lang w:eastAsia="zh-CN"/>
              </w:rPr>
              <w:t>236</w:t>
            </w:r>
          </w:p>
        </w:tc>
      </w:tr>
      <w:tr w:rsidR="00CF5869" w:rsidRPr="00236418" w14:paraId="27B52485"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1FC38503" w14:textId="77777777" w:rsidR="00CF5869" w:rsidRPr="00236418" w:rsidRDefault="00CF5869" w:rsidP="009B3D24">
            <w:pPr>
              <w:pStyle w:val="Tabletext"/>
              <w:spacing w:before="30" w:after="30"/>
              <w:rPr>
                <w:sz w:val="20"/>
                <w:lang w:eastAsia="zh-CN"/>
              </w:rPr>
            </w:pPr>
            <w:r w:rsidRPr="00236418">
              <w:rPr>
                <w:sz w:val="20"/>
                <w:lang w:eastAsia="zh-CN"/>
              </w:rPr>
              <w:t>Intérêts courus</w:t>
            </w:r>
          </w:p>
        </w:tc>
        <w:tc>
          <w:tcPr>
            <w:tcW w:w="2408" w:type="dxa"/>
            <w:tcBorders>
              <w:left w:val="nil"/>
              <w:right w:val="single" w:sz="4" w:space="0" w:color="auto"/>
            </w:tcBorders>
            <w:shd w:val="clear" w:color="auto" w:fill="auto"/>
            <w:noWrap/>
            <w:vAlign w:val="bottom"/>
          </w:tcPr>
          <w:p w14:paraId="2AD2947D" w14:textId="0C5ED750"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1 894</w:t>
            </w:r>
          </w:p>
        </w:tc>
        <w:tc>
          <w:tcPr>
            <w:tcW w:w="2409" w:type="dxa"/>
            <w:tcBorders>
              <w:left w:val="nil"/>
              <w:right w:val="single" w:sz="4" w:space="0" w:color="auto"/>
            </w:tcBorders>
            <w:shd w:val="clear" w:color="auto" w:fill="auto"/>
            <w:noWrap/>
            <w:vAlign w:val="bottom"/>
          </w:tcPr>
          <w:p w14:paraId="6B97556D" w14:textId="44042D55" w:rsidR="00CF5869" w:rsidRPr="00236418" w:rsidRDefault="00CF5869" w:rsidP="009B3D24">
            <w:pPr>
              <w:pStyle w:val="Tabletext"/>
              <w:spacing w:before="30" w:after="30"/>
              <w:jc w:val="right"/>
              <w:rPr>
                <w:sz w:val="20"/>
                <w:lang w:eastAsia="zh-CN"/>
              </w:rPr>
            </w:pPr>
            <w:r w:rsidRPr="00236418">
              <w:rPr>
                <w:sz w:val="20"/>
                <w:lang w:eastAsia="zh-CN"/>
              </w:rPr>
              <w:t>356</w:t>
            </w:r>
          </w:p>
        </w:tc>
      </w:tr>
      <w:tr w:rsidR="00CF5869" w:rsidRPr="00236418" w14:paraId="1E7750F9"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6B46C7C6" w14:textId="77777777" w:rsidR="00CF5869" w:rsidRPr="00236418" w:rsidRDefault="00CF5869" w:rsidP="009B3D24">
            <w:pPr>
              <w:pStyle w:val="Tabletext"/>
              <w:spacing w:before="30" w:after="30"/>
              <w:rPr>
                <w:sz w:val="20"/>
                <w:lang w:eastAsia="zh-CN"/>
              </w:rPr>
            </w:pPr>
            <w:r w:rsidRPr="00236418">
              <w:rPr>
                <w:sz w:val="20"/>
                <w:lang w:eastAsia="zh-CN"/>
              </w:rPr>
              <w:t>Actifs transitoires</w:t>
            </w:r>
          </w:p>
        </w:tc>
        <w:tc>
          <w:tcPr>
            <w:tcW w:w="2408" w:type="dxa"/>
            <w:tcBorders>
              <w:left w:val="nil"/>
              <w:right w:val="single" w:sz="4" w:space="0" w:color="auto"/>
            </w:tcBorders>
            <w:shd w:val="clear" w:color="auto" w:fill="auto"/>
            <w:noWrap/>
            <w:vAlign w:val="bottom"/>
          </w:tcPr>
          <w:p w14:paraId="156ADF62" w14:textId="3930DC06" w:rsidR="00CF5869" w:rsidRPr="00236418" w:rsidRDefault="00CF5869" w:rsidP="009B3D24">
            <w:pPr>
              <w:pStyle w:val="Tabletext"/>
              <w:spacing w:before="30" w:after="30"/>
              <w:jc w:val="right"/>
              <w:rPr>
                <w:sz w:val="20"/>
                <w:lang w:eastAsia="zh-CN"/>
              </w:rPr>
            </w:pPr>
            <w:r w:rsidRPr="00236418">
              <w:rPr>
                <w:rFonts w:asciiTheme="minorHAnsi" w:hAnsiTheme="minorHAnsi" w:cs="Arial"/>
                <w:color w:val="000000"/>
                <w:szCs w:val="22"/>
                <w:lang w:eastAsia="zh-CN"/>
              </w:rPr>
              <w:t>1 678</w:t>
            </w:r>
          </w:p>
        </w:tc>
        <w:tc>
          <w:tcPr>
            <w:tcW w:w="2409" w:type="dxa"/>
            <w:tcBorders>
              <w:left w:val="nil"/>
              <w:right w:val="single" w:sz="4" w:space="0" w:color="auto"/>
            </w:tcBorders>
            <w:shd w:val="clear" w:color="auto" w:fill="auto"/>
            <w:noWrap/>
            <w:vAlign w:val="bottom"/>
          </w:tcPr>
          <w:p w14:paraId="40086E2B" w14:textId="6F4BE3CD" w:rsidR="00CF5869" w:rsidRPr="00236418" w:rsidRDefault="00CF5869" w:rsidP="009B3D24">
            <w:pPr>
              <w:pStyle w:val="Tabletext"/>
              <w:spacing w:before="30" w:after="30"/>
              <w:jc w:val="right"/>
              <w:rPr>
                <w:sz w:val="20"/>
                <w:lang w:eastAsia="zh-CN"/>
              </w:rPr>
            </w:pPr>
            <w:r w:rsidRPr="00236418">
              <w:rPr>
                <w:sz w:val="20"/>
                <w:lang w:eastAsia="zh-CN"/>
              </w:rPr>
              <w:t>3 900</w:t>
            </w:r>
          </w:p>
        </w:tc>
      </w:tr>
      <w:tr w:rsidR="00CF5869" w:rsidRPr="00236418" w14:paraId="50D55F6A" w14:textId="77777777" w:rsidTr="005A01EC">
        <w:trPr>
          <w:trHeight w:val="20"/>
          <w:jc w:val="center"/>
        </w:trPr>
        <w:tc>
          <w:tcPr>
            <w:tcW w:w="3116" w:type="dxa"/>
            <w:tcBorders>
              <w:left w:val="single" w:sz="4" w:space="0" w:color="auto"/>
              <w:bottom w:val="single" w:sz="4" w:space="0" w:color="auto"/>
              <w:right w:val="single" w:sz="4" w:space="0" w:color="auto"/>
            </w:tcBorders>
            <w:shd w:val="clear" w:color="auto" w:fill="auto"/>
            <w:noWrap/>
            <w:vAlign w:val="center"/>
          </w:tcPr>
          <w:p w14:paraId="626A22C4" w14:textId="77777777" w:rsidR="00CF5869" w:rsidRPr="00236418" w:rsidRDefault="00CF5869" w:rsidP="009B3D24">
            <w:pPr>
              <w:pStyle w:val="Tabletext"/>
              <w:spacing w:before="40" w:after="40"/>
              <w:rPr>
                <w:sz w:val="20"/>
                <w:lang w:eastAsia="zh-CN"/>
              </w:rPr>
            </w:pPr>
          </w:p>
        </w:tc>
        <w:tc>
          <w:tcPr>
            <w:tcW w:w="2408" w:type="dxa"/>
            <w:tcBorders>
              <w:left w:val="nil"/>
              <w:bottom w:val="single" w:sz="4" w:space="0" w:color="auto"/>
              <w:right w:val="single" w:sz="4" w:space="0" w:color="auto"/>
            </w:tcBorders>
            <w:shd w:val="clear" w:color="auto" w:fill="auto"/>
            <w:noWrap/>
            <w:vAlign w:val="bottom"/>
          </w:tcPr>
          <w:p w14:paraId="1CC4AFE4" w14:textId="5804AD5D" w:rsidR="00CF5869" w:rsidRPr="00236418" w:rsidRDefault="00CF5869"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eastAsia="zh-CN"/>
              </w:rPr>
            </w:pPr>
            <w:r w:rsidRPr="00236418">
              <w:rPr>
                <w:rFonts w:asciiTheme="minorHAnsi" w:hAnsiTheme="minorHAnsi" w:cs="Arial"/>
                <w:color w:val="000000"/>
                <w:sz w:val="22"/>
                <w:szCs w:val="22"/>
                <w:lang w:eastAsia="zh-CN"/>
              </w:rPr>
              <w:t> </w:t>
            </w:r>
          </w:p>
        </w:tc>
        <w:tc>
          <w:tcPr>
            <w:tcW w:w="2409" w:type="dxa"/>
            <w:tcBorders>
              <w:left w:val="nil"/>
              <w:bottom w:val="single" w:sz="4" w:space="0" w:color="auto"/>
              <w:right w:val="single" w:sz="4" w:space="0" w:color="auto"/>
            </w:tcBorders>
            <w:shd w:val="clear" w:color="auto" w:fill="auto"/>
            <w:noWrap/>
            <w:vAlign w:val="center"/>
          </w:tcPr>
          <w:p w14:paraId="409C8CE1" w14:textId="77777777" w:rsidR="00CF5869" w:rsidRPr="00236418" w:rsidRDefault="00CF5869"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eastAsia="zh-CN"/>
              </w:rPr>
            </w:pPr>
          </w:p>
        </w:tc>
      </w:tr>
      <w:tr w:rsidR="00CF5869" w:rsidRPr="00236418" w14:paraId="756A4FC8" w14:textId="77777777" w:rsidTr="005A01EC">
        <w:trPr>
          <w:trHeight w:val="20"/>
          <w:jc w:val="center"/>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50E2" w14:textId="77777777" w:rsidR="00CF5869" w:rsidRPr="00236418" w:rsidRDefault="00CF5869" w:rsidP="009B3D24">
            <w:pPr>
              <w:pStyle w:val="Tablehead"/>
              <w:spacing w:before="30" w:after="30"/>
              <w:jc w:val="left"/>
              <w:rPr>
                <w:sz w:val="20"/>
                <w:lang w:eastAsia="zh-CN"/>
              </w:rPr>
            </w:pPr>
            <w:r w:rsidRPr="00236418">
              <w:rPr>
                <w:sz w:val="20"/>
                <w:lang w:eastAsia="zh-CN"/>
              </w:rPr>
              <w:t>Autres créances</w:t>
            </w:r>
          </w:p>
        </w:tc>
        <w:tc>
          <w:tcPr>
            <w:tcW w:w="2408" w:type="dxa"/>
            <w:tcBorders>
              <w:top w:val="single" w:sz="4" w:space="0" w:color="auto"/>
              <w:left w:val="nil"/>
              <w:bottom w:val="single" w:sz="4" w:space="0" w:color="auto"/>
              <w:right w:val="single" w:sz="4" w:space="0" w:color="auto"/>
            </w:tcBorders>
            <w:shd w:val="clear" w:color="auto" w:fill="auto"/>
            <w:noWrap/>
            <w:vAlign w:val="bottom"/>
          </w:tcPr>
          <w:p w14:paraId="1ABDACBF" w14:textId="04D02C9D" w:rsidR="00CF5869" w:rsidRPr="00236418" w:rsidRDefault="00CF5869" w:rsidP="009B3D24">
            <w:pPr>
              <w:pStyle w:val="Tablehead"/>
              <w:spacing w:before="40" w:after="40"/>
              <w:jc w:val="right"/>
              <w:rPr>
                <w:sz w:val="20"/>
                <w:lang w:eastAsia="zh-CN"/>
              </w:rPr>
            </w:pPr>
            <w:r w:rsidRPr="00236418">
              <w:rPr>
                <w:rFonts w:asciiTheme="minorHAnsi" w:hAnsiTheme="minorHAnsi" w:cs="Arial"/>
                <w:color w:val="000000"/>
                <w:szCs w:val="22"/>
                <w:lang w:eastAsia="zh-CN"/>
              </w:rPr>
              <w:t>8 213</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998C92A" w14:textId="4D6F2C14" w:rsidR="00CF5869" w:rsidRPr="00236418" w:rsidRDefault="00CF5869" w:rsidP="009B3D24">
            <w:pPr>
              <w:pStyle w:val="Tablehead"/>
              <w:spacing w:before="40" w:after="40"/>
              <w:jc w:val="right"/>
              <w:rPr>
                <w:sz w:val="20"/>
                <w:lang w:eastAsia="zh-CN"/>
              </w:rPr>
            </w:pPr>
            <w:r w:rsidRPr="00236418">
              <w:rPr>
                <w:sz w:val="20"/>
                <w:lang w:eastAsia="zh-CN"/>
              </w:rPr>
              <w:t>8 534</w:t>
            </w:r>
          </w:p>
        </w:tc>
      </w:tr>
    </w:tbl>
    <w:p w14:paraId="0A83B1DB" w14:textId="77777777" w:rsidR="00DF6159" w:rsidRPr="00236418" w:rsidRDefault="00DF6159" w:rsidP="009B3D24">
      <w:r w:rsidRPr="00236418">
        <w:t>Le compte Avances au personnel comprenait principalement le versement de 97% des frais d'étude des enfants de fonctionnaires.</w:t>
      </w:r>
    </w:p>
    <w:p w14:paraId="794ADE52" w14:textId="05F3163A" w:rsidR="00DF6159" w:rsidRPr="00236418" w:rsidRDefault="00DF6159" w:rsidP="009B3D24">
      <w:r w:rsidRPr="00236418">
        <w:t xml:space="preserve">Les impôts à la source comprennent les impôts anticipés remboursables par l'Administration fédérale des contributions de la Confédération suisse ainsi que les impôts sur revenus à récupérer auprès du gouvernement des États-Unis d'Amérique. Le solde à récupérer auprès de cette administration atteint </w:t>
      </w:r>
      <w:r w:rsidR="00CF5869" w:rsidRPr="00236418">
        <w:t>2</w:t>
      </w:r>
      <w:r w:rsidRPr="00236418">
        <w:t>,</w:t>
      </w:r>
      <w:r w:rsidR="00CF5869" w:rsidRPr="00236418">
        <w:t>15</w:t>
      </w:r>
      <w:r w:rsidRPr="00236418">
        <w:t xml:space="preserve"> million</w:t>
      </w:r>
      <w:r w:rsidR="00DE3195" w:rsidRPr="00236418">
        <w:t>s</w:t>
      </w:r>
      <w:r w:rsidRPr="00236418">
        <w:t xml:space="preserve"> CHF à la fin de l'exercice 201</w:t>
      </w:r>
      <w:r w:rsidR="00CF5869" w:rsidRPr="00236418">
        <w:t>9</w:t>
      </w:r>
      <w:r w:rsidRPr="00236418">
        <w:t>.</w:t>
      </w:r>
    </w:p>
    <w:p w14:paraId="483FDFBB" w14:textId="77777777" w:rsidR="00DF6159" w:rsidRPr="00236418" w:rsidRDefault="00DF6159" w:rsidP="009B3D24">
      <w:r w:rsidRPr="00236418">
        <w:t>La dette de l'ex-République fédérale de Yougoslavie a été provisionnée à 100%. Les montants dus n'ont pas été régularisés à ce jour. L'Union est en attente d'une décision de l'Assemblée Générale des Nations Unies concernant le traitement de cette dette.</w:t>
      </w:r>
    </w:p>
    <w:p w14:paraId="5576F128" w14:textId="0E3FA9B1" w:rsidR="00DF6159" w:rsidRPr="00236418" w:rsidRDefault="00DF6159" w:rsidP="009B3D24">
      <w:r w:rsidRPr="00236418">
        <w:t>Les actifs transitoires représentaient principalement les charges payées à l'avance concernant le budget 201</w:t>
      </w:r>
      <w:r w:rsidR="00CF5869" w:rsidRPr="00236418">
        <w:t>9</w:t>
      </w:r>
      <w:r w:rsidRPr="00236418">
        <w:t>.</w:t>
      </w:r>
    </w:p>
    <w:p w14:paraId="4F0E7EC5" w14:textId="77777777" w:rsidR="00DF6159" w:rsidRPr="00236418" w:rsidRDefault="00DF6159" w:rsidP="00081C96">
      <w:pPr>
        <w:pStyle w:val="Heading1"/>
        <w:spacing w:before="360"/>
        <w:rPr>
          <w:sz w:val="24"/>
          <w:szCs w:val="24"/>
        </w:rPr>
      </w:pPr>
      <w:bookmarkStart w:id="1531" w:name="_Toc268007545"/>
      <w:bookmarkStart w:id="1532" w:name="_Toc329178784"/>
      <w:bookmarkStart w:id="1533" w:name="_Toc329181757"/>
      <w:bookmarkStart w:id="1534" w:name="_Toc329202578"/>
      <w:bookmarkStart w:id="1535" w:name="_Toc329205010"/>
      <w:bookmarkStart w:id="1536" w:name="_Toc329206847"/>
      <w:bookmarkStart w:id="1537" w:name="_Toc358379933"/>
      <w:bookmarkStart w:id="1538" w:name="_Toc358380473"/>
      <w:bookmarkStart w:id="1539" w:name="_Toc387166653"/>
      <w:bookmarkStart w:id="1540" w:name="_Toc395260938"/>
      <w:bookmarkStart w:id="1541" w:name="_Toc395511717"/>
      <w:bookmarkStart w:id="1542" w:name="_Toc452138627"/>
      <w:bookmarkStart w:id="1543" w:name="_Toc452139076"/>
      <w:bookmarkStart w:id="1544" w:name="_Toc452139440"/>
      <w:bookmarkStart w:id="1545" w:name="_Toc452139841"/>
      <w:bookmarkStart w:id="1546" w:name="_Toc452140715"/>
      <w:bookmarkStart w:id="1547" w:name="_Toc482801505"/>
      <w:bookmarkStart w:id="1548" w:name="_Toc511649477"/>
      <w:bookmarkStart w:id="1549" w:name="_Toc511649847"/>
      <w:bookmarkStart w:id="1550" w:name="_Toc511649963"/>
      <w:bookmarkStart w:id="1551" w:name="_Toc511651220"/>
      <w:bookmarkStart w:id="1552" w:name="_Toc511724085"/>
      <w:bookmarkStart w:id="1553" w:name="_Toc511739074"/>
      <w:bookmarkStart w:id="1554" w:name="_Toc511741243"/>
      <w:bookmarkStart w:id="1555" w:name="_Toc10450749"/>
      <w:bookmarkStart w:id="1556" w:name="_Toc41566349"/>
      <w:bookmarkStart w:id="1557" w:name="_Toc41567357"/>
      <w:bookmarkStart w:id="1558" w:name="_Toc41567860"/>
      <w:bookmarkStart w:id="1559" w:name="_Toc41814955"/>
      <w:r w:rsidRPr="00236418">
        <w:rPr>
          <w:sz w:val="24"/>
          <w:szCs w:val="24"/>
        </w:rPr>
        <w:t>Note 11</w:t>
      </w:r>
      <w:r w:rsidRPr="00236418">
        <w:rPr>
          <w:sz w:val="24"/>
          <w:szCs w:val="24"/>
        </w:rPr>
        <w:tab/>
        <w:t>Immobilisations corporelles</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7A223357" w14:textId="77777777" w:rsidR="00DF6159" w:rsidRPr="00236418" w:rsidRDefault="00DF6159" w:rsidP="009B3D24">
      <w:pPr>
        <w:keepNext/>
        <w:keepLines/>
      </w:pPr>
      <w:r w:rsidRPr="00236418">
        <w:t>Les bâtiments de l'UIT se composent:</w:t>
      </w:r>
    </w:p>
    <w:p w14:paraId="0D188067" w14:textId="77777777" w:rsidR="00DF6159" w:rsidRPr="00236418" w:rsidRDefault="00DF6159" w:rsidP="009B3D24">
      <w:pPr>
        <w:pStyle w:val="enumlev1"/>
        <w:keepNext/>
        <w:keepLines/>
      </w:pPr>
      <w:r w:rsidRPr="00236418">
        <w:t>–</w:t>
      </w:r>
      <w:r w:rsidRPr="00236418">
        <w:tab/>
        <w:t>de la Tour, rue de Varembé à Genève;</w:t>
      </w:r>
    </w:p>
    <w:p w14:paraId="0002A333" w14:textId="77777777" w:rsidR="00DF6159" w:rsidRPr="00236418" w:rsidRDefault="00DF6159" w:rsidP="009B3D24">
      <w:pPr>
        <w:pStyle w:val="enumlev1"/>
        <w:keepNext/>
        <w:keepLines/>
      </w:pPr>
      <w:r w:rsidRPr="00236418">
        <w:t>–</w:t>
      </w:r>
      <w:r w:rsidRPr="00236418">
        <w:tab/>
        <w:t>du Bâtiment Varembé, rue de Varembé à Genève;</w:t>
      </w:r>
    </w:p>
    <w:p w14:paraId="003B7C5A" w14:textId="77777777" w:rsidR="00DF6159" w:rsidRPr="00236418" w:rsidRDefault="00DF6159" w:rsidP="009B3D24">
      <w:pPr>
        <w:pStyle w:val="enumlev1"/>
      </w:pPr>
      <w:r w:rsidRPr="00236418">
        <w:t>–</w:t>
      </w:r>
      <w:r w:rsidRPr="00236418">
        <w:tab/>
        <w:t>de l'Extension C et de la Cafétéria, rue de Varembé à Genève;</w:t>
      </w:r>
    </w:p>
    <w:p w14:paraId="051E2B3E" w14:textId="77777777" w:rsidR="00DF6159" w:rsidRPr="00236418" w:rsidRDefault="00DF6159" w:rsidP="009B3D24">
      <w:pPr>
        <w:pStyle w:val="enumlev1"/>
      </w:pPr>
      <w:r w:rsidRPr="00236418">
        <w:t>–</w:t>
      </w:r>
      <w:r w:rsidRPr="00236418">
        <w:tab/>
        <w:t>du Bâtiment Montbrillant, rue de Varembé à Genève.</w:t>
      </w:r>
    </w:p>
    <w:p w14:paraId="716DA0B7" w14:textId="77777777" w:rsidR="00DF6159" w:rsidRPr="00236418" w:rsidRDefault="00DF6159" w:rsidP="009B3D24">
      <w:r w:rsidRPr="00236418">
        <w:t>La valeur de ces bâtiments a fait l'objet d'une estimation indépendante, réalisée par un cabinet externe dans le cadre de la préparation des premiers états financiers établis selon les normes IPSAS, en 2010. Elle correspond à la valeur estimée des bâtiments au moment de leur achèvement à laquelle s'ajoute la valeur estimée des travaux de rénovation et de réfection effectués depuis que les bâtiments sont occupés, déduction faite du montant cumulé des amortissements.</w:t>
      </w:r>
    </w:p>
    <w:p w14:paraId="15BB8EA1" w14:textId="1339379B" w:rsidR="00DF6159" w:rsidRPr="00236418" w:rsidRDefault="00DF6159" w:rsidP="009B3D24">
      <w:r w:rsidRPr="00236418">
        <w:t>Les variations de la valeur nette comptable des immobilisations corporelles, y compris les actifs de faible valeur, durant l'exercice 201</w:t>
      </w:r>
      <w:r w:rsidR="00CF5869" w:rsidRPr="00236418">
        <w:t>9</w:t>
      </w:r>
      <w:r w:rsidRPr="00236418">
        <w:t xml:space="preserve"> sont expliquées ci-dessous.</w:t>
      </w:r>
    </w:p>
    <w:p w14:paraId="575B75F4" w14:textId="265CBCEE" w:rsidR="00DF6159" w:rsidRPr="00236418" w:rsidRDefault="00DF6159" w:rsidP="009B3D24">
      <w:pPr>
        <w:snapToGrid w:val="0"/>
        <w:jc w:val="both"/>
        <w:rPr>
          <w:color w:val="000000"/>
        </w:rPr>
      </w:pPr>
      <w:r w:rsidRPr="00236418">
        <w:rPr>
          <w:color w:val="000000"/>
        </w:rPr>
        <w:t>Au 31 décembre 201</w:t>
      </w:r>
      <w:r w:rsidR="00CF5869" w:rsidRPr="00236418">
        <w:rPr>
          <w:color w:val="000000"/>
        </w:rPr>
        <w:t>9</w:t>
      </w:r>
      <w:r w:rsidRPr="00236418">
        <w:rPr>
          <w:color w:val="000000"/>
        </w:rPr>
        <w:t>, aucune immobilisation corporelle n'a été donnée en garantie de dette.</w:t>
      </w:r>
    </w:p>
    <w:p w14:paraId="3F8D4B8C" w14:textId="0ED1C2C2" w:rsidR="00D631AB" w:rsidRPr="00236418" w:rsidRDefault="00D631AB" w:rsidP="009B3D24">
      <w:pPr>
        <w:snapToGrid w:val="0"/>
        <w:jc w:val="both"/>
      </w:pPr>
      <w:r w:rsidRPr="00236418">
        <w:lastRenderedPageBreak/>
        <w:t xml:space="preserve">Il convient de noter que, petit à petit, de plus en plus d'équipements sont de type mobile et qu'il est fréquent que les fonctionnaires travaillent à distance. </w:t>
      </w:r>
      <w:r w:rsidR="003945D5" w:rsidRPr="00236418">
        <w:t>Le suivi de ces équipements nécessite des ressources humaines et du temps et n'a donc pas pu être effectué dans le délai imparti.</w:t>
      </w:r>
    </w:p>
    <w:p w14:paraId="38214950" w14:textId="476FF31D" w:rsidR="00DF6159" w:rsidRPr="00236418" w:rsidRDefault="00DF6159" w:rsidP="005A01EC">
      <w:pPr>
        <w:snapToGrid w:val="0"/>
        <w:spacing w:before="0"/>
        <w:jc w:val="both"/>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C"/>
      </w:tblPr>
      <w:tblGrid>
        <w:gridCol w:w="2977"/>
        <w:gridCol w:w="998"/>
        <w:gridCol w:w="845"/>
        <w:gridCol w:w="992"/>
        <w:gridCol w:w="851"/>
        <w:gridCol w:w="992"/>
        <w:gridCol w:w="992"/>
        <w:gridCol w:w="993"/>
      </w:tblGrid>
      <w:tr w:rsidR="00DF6159" w:rsidRPr="00236418" w14:paraId="6C84C19C" w14:textId="77777777" w:rsidTr="006538EB">
        <w:trPr>
          <w:tblHeader/>
          <w:jc w:val="center"/>
        </w:trPr>
        <w:tc>
          <w:tcPr>
            <w:tcW w:w="2977" w:type="dxa"/>
            <w:tcBorders>
              <w:bottom w:val="single" w:sz="4" w:space="0" w:color="auto"/>
            </w:tcBorders>
            <w:tcMar>
              <w:left w:w="57" w:type="dxa"/>
              <w:right w:w="57" w:type="dxa"/>
            </w:tcMar>
          </w:tcPr>
          <w:p w14:paraId="700665F0"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Catégories d'actifs</w:t>
            </w:r>
          </w:p>
        </w:tc>
        <w:tc>
          <w:tcPr>
            <w:tcW w:w="998" w:type="dxa"/>
            <w:tcBorders>
              <w:bottom w:val="single" w:sz="4" w:space="0" w:color="auto"/>
            </w:tcBorders>
            <w:tcMar>
              <w:left w:w="57" w:type="dxa"/>
              <w:right w:w="57" w:type="dxa"/>
            </w:tcMar>
          </w:tcPr>
          <w:p w14:paraId="4081AD43"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Bâtiments</w:t>
            </w:r>
          </w:p>
        </w:tc>
        <w:tc>
          <w:tcPr>
            <w:tcW w:w="845" w:type="dxa"/>
            <w:tcBorders>
              <w:bottom w:val="single" w:sz="4" w:space="0" w:color="auto"/>
            </w:tcBorders>
            <w:tcMar>
              <w:left w:w="57" w:type="dxa"/>
              <w:right w:w="57" w:type="dxa"/>
            </w:tcMar>
          </w:tcPr>
          <w:p w14:paraId="49E0AD98"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Mach.</w:t>
            </w:r>
            <w:r w:rsidRPr="00236418">
              <w:rPr>
                <w:rFonts w:asciiTheme="minorHAnsi" w:hAnsiTheme="minorHAnsi"/>
                <w:sz w:val="20"/>
              </w:rPr>
              <w:br/>
              <w:t>&amp;</w:t>
            </w:r>
            <w:r w:rsidRPr="00236418">
              <w:rPr>
                <w:rFonts w:asciiTheme="minorHAnsi" w:hAnsiTheme="minorHAnsi"/>
                <w:sz w:val="20"/>
              </w:rPr>
              <w:br/>
            </w:r>
            <w:proofErr w:type="spellStart"/>
            <w:r w:rsidRPr="00236418">
              <w:rPr>
                <w:rFonts w:asciiTheme="minorHAnsi" w:hAnsiTheme="minorHAnsi"/>
                <w:sz w:val="20"/>
              </w:rPr>
              <w:t>équip</w:t>
            </w:r>
            <w:proofErr w:type="spellEnd"/>
            <w:r w:rsidRPr="00236418">
              <w:rPr>
                <w:rFonts w:asciiTheme="minorHAnsi" w:hAnsiTheme="minorHAnsi"/>
                <w:sz w:val="20"/>
              </w:rPr>
              <w:t>.</w:t>
            </w:r>
          </w:p>
        </w:tc>
        <w:tc>
          <w:tcPr>
            <w:tcW w:w="992" w:type="dxa"/>
            <w:tcBorders>
              <w:bottom w:val="single" w:sz="4" w:space="0" w:color="auto"/>
            </w:tcBorders>
            <w:tcMar>
              <w:left w:w="57" w:type="dxa"/>
              <w:right w:w="57" w:type="dxa"/>
            </w:tcMar>
          </w:tcPr>
          <w:p w14:paraId="4B707A48"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Mobilier</w:t>
            </w:r>
            <w:r w:rsidRPr="00236418">
              <w:rPr>
                <w:rFonts w:asciiTheme="minorHAnsi" w:hAnsiTheme="minorHAnsi"/>
                <w:sz w:val="20"/>
              </w:rPr>
              <w:br/>
              <w:t>&amp;</w:t>
            </w:r>
            <w:r w:rsidRPr="00236418">
              <w:rPr>
                <w:rFonts w:asciiTheme="minorHAnsi" w:hAnsiTheme="minorHAnsi"/>
                <w:sz w:val="20"/>
              </w:rPr>
              <w:br/>
            </w:r>
            <w:proofErr w:type="spellStart"/>
            <w:r w:rsidRPr="00236418">
              <w:rPr>
                <w:rFonts w:asciiTheme="minorHAnsi" w:hAnsiTheme="minorHAnsi"/>
                <w:sz w:val="20"/>
              </w:rPr>
              <w:t>agenc</w:t>
            </w:r>
            <w:proofErr w:type="spellEnd"/>
            <w:r w:rsidRPr="00236418">
              <w:rPr>
                <w:rFonts w:asciiTheme="minorHAnsi" w:hAnsiTheme="minorHAnsi"/>
                <w:sz w:val="20"/>
              </w:rPr>
              <w:t>.</w:t>
            </w:r>
          </w:p>
        </w:tc>
        <w:tc>
          <w:tcPr>
            <w:tcW w:w="851" w:type="dxa"/>
            <w:tcBorders>
              <w:bottom w:val="single" w:sz="4" w:space="0" w:color="auto"/>
            </w:tcBorders>
            <w:tcMar>
              <w:left w:w="57" w:type="dxa"/>
              <w:right w:w="57" w:type="dxa"/>
            </w:tcMar>
          </w:tcPr>
          <w:p w14:paraId="351002BC"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 xml:space="preserve">Matériel </w:t>
            </w:r>
            <w:proofErr w:type="spellStart"/>
            <w:r w:rsidRPr="00236418">
              <w:rPr>
                <w:rFonts w:asciiTheme="minorHAnsi" w:hAnsiTheme="minorHAnsi"/>
                <w:sz w:val="20"/>
              </w:rPr>
              <w:t>inform</w:t>
            </w:r>
            <w:proofErr w:type="spellEnd"/>
            <w:r w:rsidRPr="00236418">
              <w:rPr>
                <w:rFonts w:asciiTheme="minorHAnsi" w:hAnsiTheme="minorHAnsi"/>
                <w:sz w:val="20"/>
              </w:rPr>
              <w:t>.</w:t>
            </w:r>
          </w:p>
        </w:tc>
        <w:tc>
          <w:tcPr>
            <w:tcW w:w="992" w:type="dxa"/>
            <w:tcBorders>
              <w:bottom w:val="single" w:sz="4" w:space="0" w:color="auto"/>
            </w:tcBorders>
            <w:tcMar>
              <w:left w:w="57" w:type="dxa"/>
              <w:right w:w="57" w:type="dxa"/>
            </w:tcMar>
          </w:tcPr>
          <w:p w14:paraId="4245B353"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Véhicules</w:t>
            </w:r>
          </w:p>
        </w:tc>
        <w:tc>
          <w:tcPr>
            <w:tcW w:w="992" w:type="dxa"/>
            <w:tcBorders>
              <w:bottom w:val="single" w:sz="4" w:space="0" w:color="auto"/>
              <w:right w:val="single" w:sz="4" w:space="0" w:color="auto"/>
            </w:tcBorders>
          </w:tcPr>
          <w:p w14:paraId="06FD4681"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Actifs de faible valeur</w:t>
            </w:r>
          </w:p>
        </w:tc>
        <w:tc>
          <w:tcPr>
            <w:tcW w:w="993" w:type="dxa"/>
            <w:tcBorders>
              <w:left w:val="single" w:sz="4" w:space="0" w:color="auto"/>
              <w:bottom w:val="single" w:sz="4" w:space="0" w:color="auto"/>
              <w:right w:val="single" w:sz="4" w:space="0" w:color="auto"/>
            </w:tcBorders>
            <w:tcMar>
              <w:left w:w="57" w:type="dxa"/>
              <w:right w:w="57" w:type="dxa"/>
            </w:tcMar>
          </w:tcPr>
          <w:p w14:paraId="3D86840D" w14:textId="77777777" w:rsidR="00DF6159" w:rsidRPr="00236418" w:rsidRDefault="00DF6159" w:rsidP="009B3D24">
            <w:pPr>
              <w:pStyle w:val="Tablehead"/>
              <w:rPr>
                <w:rFonts w:asciiTheme="minorHAnsi" w:hAnsiTheme="minorHAnsi"/>
                <w:sz w:val="20"/>
              </w:rPr>
            </w:pPr>
            <w:r w:rsidRPr="00236418">
              <w:rPr>
                <w:rFonts w:asciiTheme="minorHAnsi" w:hAnsiTheme="minorHAnsi"/>
                <w:sz w:val="20"/>
              </w:rPr>
              <w:t>Total</w:t>
            </w:r>
          </w:p>
        </w:tc>
      </w:tr>
      <w:tr w:rsidR="00DF6159" w:rsidRPr="00236418" w14:paraId="357B09A5" w14:textId="77777777" w:rsidTr="006538EB">
        <w:trPr>
          <w:jc w:val="center"/>
        </w:trPr>
        <w:tc>
          <w:tcPr>
            <w:tcW w:w="2977" w:type="dxa"/>
            <w:tcBorders>
              <w:bottom w:val="single" w:sz="4" w:space="0" w:color="auto"/>
              <w:right w:val="single" w:sz="4" w:space="0" w:color="auto"/>
            </w:tcBorders>
          </w:tcPr>
          <w:p w14:paraId="3C04642D" w14:textId="77777777" w:rsidR="00DF6159" w:rsidRPr="00236418" w:rsidRDefault="00DF6159" w:rsidP="009B3D24">
            <w:pPr>
              <w:pStyle w:val="Tabletext"/>
              <w:rPr>
                <w:rFonts w:asciiTheme="minorHAnsi" w:hAnsiTheme="minorHAnsi" w:cstheme="minorHAnsi"/>
                <w:b/>
                <w:bCs/>
                <w:sz w:val="20"/>
                <w:lang w:eastAsia="fr-FR"/>
              </w:rPr>
            </w:pPr>
            <w:r w:rsidRPr="00236418">
              <w:rPr>
                <w:rFonts w:asciiTheme="minorHAnsi" w:hAnsiTheme="minorHAnsi" w:cstheme="minorHAnsi"/>
                <w:b/>
                <w:bCs/>
                <w:sz w:val="20"/>
              </w:rPr>
              <w:t xml:space="preserve">Coût au 1er janvier </w:t>
            </w:r>
          </w:p>
        </w:tc>
        <w:tc>
          <w:tcPr>
            <w:tcW w:w="998" w:type="dxa"/>
            <w:tcBorders>
              <w:left w:val="single" w:sz="4" w:space="0" w:color="auto"/>
              <w:bottom w:val="single" w:sz="4" w:space="0" w:color="auto"/>
              <w:right w:val="single" w:sz="4" w:space="0" w:color="auto"/>
            </w:tcBorders>
            <w:vAlign w:val="center"/>
          </w:tcPr>
          <w:p w14:paraId="0F83D869" w14:textId="7FBC5155"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124 877</w:t>
            </w:r>
          </w:p>
        </w:tc>
        <w:tc>
          <w:tcPr>
            <w:tcW w:w="845" w:type="dxa"/>
            <w:tcBorders>
              <w:left w:val="single" w:sz="4" w:space="0" w:color="auto"/>
              <w:bottom w:val="single" w:sz="4" w:space="0" w:color="auto"/>
              <w:right w:val="single" w:sz="4" w:space="0" w:color="auto"/>
            </w:tcBorders>
            <w:vAlign w:val="center"/>
          </w:tcPr>
          <w:p w14:paraId="5011E140" w14:textId="1A8422A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w:t>
            </w:r>
            <w:r w:rsidR="0091355E" w:rsidRPr="00236418">
              <w:rPr>
                <w:rFonts w:asciiTheme="minorHAnsi" w:hAnsiTheme="minorHAnsi" w:cs="Arial"/>
                <w:b/>
                <w:bCs/>
                <w:color w:val="000000"/>
                <w:sz w:val="20"/>
                <w:lang w:eastAsia="zh-CN"/>
              </w:rPr>
              <w:t xml:space="preserve"> 073</w:t>
            </w:r>
          </w:p>
        </w:tc>
        <w:tc>
          <w:tcPr>
            <w:tcW w:w="992" w:type="dxa"/>
            <w:tcBorders>
              <w:left w:val="single" w:sz="4" w:space="0" w:color="auto"/>
              <w:bottom w:val="single" w:sz="4" w:space="0" w:color="auto"/>
              <w:right w:val="single" w:sz="4" w:space="0" w:color="auto"/>
            </w:tcBorders>
            <w:vAlign w:val="center"/>
          </w:tcPr>
          <w:p w14:paraId="58FB3B6D" w14:textId="4DDEA45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1 6</w:t>
            </w:r>
            <w:r w:rsidR="0091355E" w:rsidRPr="00236418">
              <w:rPr>
                <w:rFonts w:asciiTheme="minorHAnsi" w:hAnsiTheme="minorHAnsi" w:cs="Arial"/>
                <w:b/>
                <w:bCs/>
                <w:color w:val="000000"/>
                <w:sz w:val="20"/>
                <w:lang w:eastAsia="zh-CN"/>
              </w:rPr>
              <w:t>83</w:t>
            </w:r>
          </w:p>
        </w:tc>
        <w:tc>
          <w:tcPr>
            <w:tcW w:w="851" w:type="dxa"/>
            <w:tcBorders>
              <w:left w:val="single" w:sz="4" w:space="0" w:color="auto"/>
              <w:bottom w:val="single" w:sz="4" w:space="0" w:color="auto"/>
              <w:right w:val="single" w:sz="4" w:space="0" w:color="auto"/>
            </w:tcBorders>
            <w:vAlign w:val="center"/>
          </w:tcPr>
          <w:p w14:paraId="3923A302" w14:textId="4394C09B"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8 542</w:t>
            </w:r>
          </w:p>
        </w:tc>
        <w:tc>
          <w:tcPr>
            <w:tcW w:w="992" w:type="dxa"/>
            <w:tcBorders>
              <w:left w:val="single" w:sz="4" w:space="0" w:color="auto"/>
              <w:bottom w:val="single" w:sz="4" w:space="0" w:color="auto"/>
              <w:right w:val="single" w:sz="4" w:space="0" w:color="auto"/>
            </w:tcBorders>
            <w:vAlign w:val="center"/>
          </w:tcPr>
          <w:p w14:paraId="27315879" w14:textId="44B3D7D8"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259</w:t>
            </w:r>
          </w:p>
        </w:tc>
        <w:tc>
          <w:tcPr>
            <w:tcW w:w="992" w:type="dxa"/>
            <w:tcBorders>
              <w:left w:val="single" w:sz="4" w:space="0" w:color="auto"/>
              <w:bottom w:val="single" w:sz="4" w:space="0" w:color="auto"/>
              <w:right w:val="single" w:sz="4" w:space="0" w:color="auto"/>
            </w:tcBorders>
            <w:vAlign w:val="center"/>
          </w:tcPr>
          <w:p w14:paraId="2B1BDE25" w14:textId="3BD70E1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15 0</w:t>
            </w:r>
            <w:r w:rsidR="00657416" w:rsidRPr="00236418">
              <w:rPr>
                <w:rFonts w:asciiTheme="minorHAnsi" w:hAnsiTheme="minorHAnsi" w:cs="Arial"/>
                <w:b/>
                <w:bCs/>
                <w:color w:val="000000"/>
                <w:sz w:val="20"/>
                <w:lang w:eastAsia="zh-CN"/>
              </w:rPr>
              <w:t>84</w:t>
            </w:r>
          </w:p>
        </w:tc>
        <w:tc>
          <w:tcPr>
            <w:tcW w:w="993" w:type="dxa"/>
            <w:tcBorders>
              <w:left w:val="single" w:sz="4" w:space="0" w:color="auto"/>
              <w:bottom w:val="single" w:sz="4" w:space="0" w:color="auto"/>
              <w:right w:val="single" w:sz="4" w:space="0" w:color="auto"/>
            </w:tcBorders>
            <w:vAlign w:val="center"/>
          </w:tcPr>
          <w:p w14:paraId="6725F028" w14:textId="7B416EB6"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152 518</w:t>
            </w:r>
          </w:p>
        </w:tc>
      </w:tr>
      <w:tr w:rsidR="00DF6159" w:rsidRPr="00236418" w14:paraId="04176726" w14:textId="77777777" w:rsidTr="006538EB">
        <w:trPr>
          <w:jc w:val="center"/>
        </w:trPr>
        <w:tc>
          <w:tcPr>
            <w:tcW w:w="2977" w:type="dxa"/>
            <w:tcBorders>
              <w:bottom w:val="nil"/>
              <w:right w:val="single" w:sz="4" w:space="0" w:color="auto"/>
            </w:tcBorders>
          </w:tcPr>
          <w:p w14:paraId="4C2DD3FC" w14:textId="77777777" w:rsidR="00DF6159" w:rsidRPr="00236418" w:rsidRDefault="00DF6159" w:rsidP="009B3D24">
            <w:pPr>
              <w:pStyle w:val="Tabletext"/>
              <w:spacing w:before="40" w:after="40"/>
              <w:rPr>
                <w:sz w:val="20"/>
                <w:lang w:eastAsia="zh-CN"/>
              </w:rPr>
            </w:pPr>
            <w:r w:rsidRPr="00236418">
              <w:rPr>
                <w:sz w:val="20"/>
                <w:lang w:eastAsia="zh-CN"/>
              </w:rPr>
              <w:t>Adjonctions</w:t>
            </w:r>
          </w:p>
        </w:tc>
        <w:tc>
          <w:tcPr>
            <w:tcW w:w="998" w:type="dxa"/>
            <w:tcBorders>
              <w:left w:val="single" w:sz="4" w:space="0" w:color="auto"/>
              <w:bottom w:val="nil"/>
              <w:right w:val="single" w:sz="4" w:space="0" w:color="auto"/>
            </w:tcBorders>
          </w:tcPr>
          <w:p w14:paraId="152A4A9C" w14:textId="0B312088"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77</w:t>
            </w:r>
          </w:p>
        </w:tc>
        <w:tc>
          <w:tcPr>
            <w:tcW w:w="845" w:type="dxa"/>
            <w:tcBorders>
              <w:left w:val="single" w:sz="4" w:space="0" w:color="auto"/>
              <w:bottom w:val="nil"/>
              <w:right w:val="single" w:sz="4" w:space="0" w:color="auto"/>
            </w:tcBorders>
          </w:tcPr>
          <w:p w14:paraId="127CF0E8" w14:textId="3B027E85"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36418">
              <w:rPr>
                <w:rFonts w:asciiTheme="minorHAnsi" w:hAnsiTheme="minorHAnsi"/>
                <w:sz w:val="20"/>
                <w:lang w:eastAsia="zh-CN"/>
              </w:rPr>
              <w:t>14</w:t>
            </w:r>
          </w:p>
        </w:tc>
        <w:tc>
          <w:tcPr>
            <w:tcW w:w="992" w:type="dxa"/>
            <w:tcBorders>
              <w:left w:val="single" w:sz="4" w:space="0" w:color="auto"/>
              <w:bottom w:val="nil"/>
              <w:right w:val="single" w:sz="4" w:space="0" w:color="auto"/>
            </w:tcBorders>
          </w:tcPr>
          <w:p w14:paraId="5E32AA87" w14:textId="73397B4D"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24</w:t>
            </w:r>
          </w:p>
        </w:tc>
        <w:tc>
          <w:tcPr>
            <w:tcW w:w="851" w:type="dxa"/>
            <w:tcBorders>
              <w:left w:val="single" w:sz="4" w:space="0" w:color="auto"/>
              <w:bottom w:val="nil"/>
              <w:right w:val="single" w:sz="4" w:space="0" w:color="auto"/>
            </w:tcBorders>
          </w:tcPr>
          <w:p w14:paraId="58C4EA5D" w14:textId="25F2498C"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457</w:t>
            </w:r>
          </w:p>
        </w:tc>
        <w:tc>
          <w:tcPr>
            <w:tcW w:w="992" w:type="dxa"/>
            <w:tcBorders>
              <w:left w:val="single" w:sz="4" w:space="0" w:color="auto"/>
              <w:bottom w:val="nil"/>
              <w:right w:val="single" w:sz="4" w:space="0" w:color="auto"/>
            </w:tcBorders>
            <w:vAlign w:val="bottom"/>
          </w:tcPr>
          <w:p w14:paraId="155FCC27" w14:textId="500725C5"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37</w:t>
            </w:r>
          </w:p>
        </w:tc>
        <w:tc>
          <w:tcPr>
            <w:tcW w:w="992" w:type="dxa"/>
            <w:tcBorders>
              <w:left w:val="single" w:sz="4" w:space="0" w:color="auto"/>
              <w:bottom w:val="nil"/>
              <w:right w:val="single" w:sz="4" w:space="0" w:color="auto"/>
            </w:tcBorders>
            <w:vAlign w:val="center"/>
          </w:tcPr>
          <w:p w14:paraId="1727A9E5" w14:textId="5BBAC0A8"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977</w:t>
            </w:r>
          </w:p>
        </w:tc>
        <w:tc>
          <w:tcPr>
            <w:tcW w:w="993" w:type="dxa"/>
            <w:tcBorders>
              <w:left w:val="single" w:sz="4" w:space="0" w:color="auto"/>
              <w:bottom w:val="nil"/>
              <w:right w:val="single" w:sz="4" w:space="0" w:color="auto"/>
            </w:tcBorders>
            <w:vAlign w:val="center"/>
          </w:tcPr>
          <w:p w14:paraId="67AD72BB" w14:textId="76A948A5"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xml:space="preserve">1 </w:t>
            </w:r>
            <w:r w:rsidR="00657416" w:rsidRPr="00236418">
              <w:rPr>
                <w:rFonts w:asciiTheme="minorHAnsi" w:hAnsiTheme="minorHAnsi" w:cs="Arial"/>
                <w:b/>
                <w:bCs/>
                <w:color w:val="000000"/>
                <w:sz w:val="20"/>
                <w:lang w:eastAsia="zh-CN"/>
              </w:rPr>
              <w:t>585</w:t>
            </w:r>
          </w:p>
        </w:tc>
      </w:tr>
      <w:tr w:rsidR="00DF6159" w:rsidRPr="00236418" w14:paraId="72C04AFF" w14:textId="77777777" w:rsidTr="006538EB">
        <w:trPr>
          <w:jc w:val="center"/>
        </w:trPr>
        <w:tc>
          <w:tcPr>
            <w:tcW w:w="2977" w:type="dxa"/>
            <w:tcBorders>
              <w:top w:val="nil"/>
              <w:bottom w:val="nil"/>
              <w:right w:val="single" w:sz="4" w:space="0" w:color="auto"/>
            </w:tcBorders>
          </w:tcPr>
          <w:p w14:paraId="10DCCFE9" w14:textId="77777777" w:rsidR="00DF6159" w:rsidRPr="00236418" w:rsidRDefault="00DF6159" w:rsidP="009B3D24">
            <w:pPr>
              <w:pStyle w:val="Tabletext"/>
              <w:spacing w:before="40" w:after="40"/>
              <w:rPr>
                <w:sz w:val="20"/>
                <w:lang w:eastAsia="zh-CN"/>
              </w:rPr>
            </w:pPr>
            <w:r w:rsidRPr="00236418">
              <w:rPr>
                <w:sz w:val="20"/>
                <w:lang w:eastAsia="zh-CN"/>
              </w:rPr>
              <w:t>Dons</w:t>
            </w:r>
          </w:p>
        </w:tc>
        <w:tc>
          <w:tcPr>
            <w:tcW w:w="998" w:type="dxa"/>
            <w:tcBorders>
              <w:top w:val="nil"/>
              <w:left w:val="single" w:sz="4" w:space="0" w:color="auto"/>
              <w:bottom w:val="nil"/>
              <w:right w:val="single" w:sz="4" w:space="0" w:color="auto"/>
            </w:tcBorders>
          </w:tcPr>
          <w:p w14:paraId="0220CC7B"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tcPr>
          <w:p w14:paraId="3F512BF4"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280FFBFF"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51" w:type="dxa"/>
            <w:tcBorders>
              <w:top w:val="nil"/>
              <w:left w:val="single" w:sz="4" w:space="0" w:color="auto"/>
              <w:bottom w:val="nil"/>
              <w:right w:val="single" w:sz="4" w:space="0" w:color="auto"/>
            </w:tcBorders>
            <w:vAlign w:val="bottom"/>
          </w:tcPr>
          <w:p w14:paraId="084333A4"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992" w:type="dxa"/>
            <w:tcBorders>
              <w:top w:val="nil"/>
              <w:left w:val="single" w:sz="4" w:space="0" w:color="auto"/>
              <w:bottom w:val="nil"/>
              <w:right w:val="single" w:sz="4" w:space="0" w:color="auto"/>
            </w:tcBorders>
            <w:vAlign w:val="bottom"/>
          </w:tcPr>
          <w:p w14:paraId="1520D16E"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270F1AF1"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nil"/>
              <w:right w:val="single" w:sz="4" w:space="0" w:color="auto"/>
            </w:tcBorders>
            <w:vAlign w:val="bottom"/>
          </w:tcPr>
          <w:p w14:paraId="098948F3" w14:textId="3FABEEC9"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r>
      <w:tr w:rsidR="00DF6159" w:rsidRPr="00236418" w14:paraId="7A025D7D" w14:textId="77777777" w:rsidTr="006538EB">
        <w:trPr>
          <w:jc w:val="center"/>
        </w:trPr>
        <w:tc>
          <w:tcPr>
            <w:tcW w:w="2977" w:type="dxa"/>
            <w:tcBorders>
              <w:top w:val="nil"/>
              <w:bottom w:val="nil"/>
              <w:right w:val="single" w:sz="4" w:space="0" w:color="auto"/>
            </w:tcBorders>
          </w:tcPr>
          <w:p w14:paraId="560A05BB" w14:textId="77777777" w:rsidR="00DF6159" w:rsidRPr="00236418" w:rsidRDefault="00DF6159" w:rsidP="009B3D24">
            <w:pPr>
              <w:pStyle w:val="Tabletext"/>
              <w:spacing w:before="40" w:after="40"/>
              <w:rPr>
                <w:sz w:val="20"/>
                <w:lang w:eastAsia="zh-CN"/>
              </w:rPr>
            </w:pPr>
            <w:r w:rsidRPr="00236418">
              <w:rPr>
                <w:sz w:val="20"/>
                <w:lang w:eastAsia="zh-CN"/>
              </w:rPr>
              <w:t>Cessions</w:t>
            </w:r>
          </w:p>
        </w:tc>
        <w:tc>
          <w:tcPr>
            <w:tcW w:w="998" w:type="dxa"/>
            <w:tcBorders>
              <w:top w:val="nil"/>
              <w:left w:val="single" w:sz="4" w:space="0" w:color="auto"/>
              <w:bottom w:val="nil"/>
              <w:right w:val="single" w:sz="4" w:space="0" w:color="auto"/>
            </w:tcBorders>
            <w:vAlign w:val="center"/>
          </w:tcPr>
          <w:p w14:paraId="598AC2C1"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center"/>
          </w:tcPr>
          <w:p w14:paraId="3B5E4E90" w14:textId="0483DC9C"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r w:rsidR="0091355E" w:rsidRPr="00236418">
              <w:rPr>
                <w:rFonts w:asciiTheme="minorHAnsi" w:hAnsiTheme="minorHAnsi" w:cs="Arial"/>
                <w:color w:val="000000"/>
                <w:sz w:val="20"/>
                <w:lang w:eastAsia="zh-CN"/>
              </w:rPr>
              <w:t>41</w:t>
            </w:r>
          </w:p>
        </w:tc>
        <w:tc>
          <w:tcPr>
            <w:tcW w:w="992" w:type="dxa"/>
            <w:tcBorders>
              <w:top w:val="nil"/>
              <w:left w:val="single" w:sz="4" w:space="0" w:color="auto"/>
              <w:bottom w:val="nil"/>
              <w:right w:val="single" w:sz="4" w:space="0" w:color="auto"/>
            </w:tcBorders>
            <w:vAlign w:val="center"/>
          </w:tcPr>
          <w:p w14:paraId="2BF8CC18" w14:textId="455E9A0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51" w:type="dxa"/>
            <w:tcBorders>
              <w:top w:val="nil"/>
              <w:left w:val="single" w:sz="4" w:space="0" w:color="auto"/>
              <w:bottom w:val="nil"/>
              <w:right w:val="single" w:sz="4" w:space="0" w:color="auto"/>
            </w:tcBorders>
            <w:vAlign w:val="center"/>
          </w:tcPr>
          <w:p w14:paraId="02BA9023" w14:textId="3273A2EC"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r w:rsidR="00657416" w:rsidRPr="00236418">
              <w:rPr>
                <w:rFonts w:asciiTheme="minorHAnsi" w:hAnsiTheme="minorHAnsi" w:cs="Arial"/>
                <w:color w:val="000000"/>
                <w:sz w:val="20"/>
                <w:lang w:eastAsia="zh-CN"/>
              </w:rPr>
              <w:t>18</w:t>
            </w:r>
          </w:p>
        </w:tc>
        <w:tc>
          <w:tcPr>
            <w:tcW w:w="992" w:type="dxa"/>
            <w:tcBorders>
              <w:top w:val="nil"/>
              <w:left w:val="single" w:sz="4" w:space="0" w:color="auto"/>
              <w:bottom w:val="nil"/>
              <w:right w:val="single" w:sz="4" w:space="0" w:color="auto"/>
            </w:tcBorders>
            <w:vAlign w:val="center"/>
          </w:tcPr>
          <w:p w14:paraId="4A3832E8" w14:textId="7EB4EA3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992" w:type="dxa"/>
            <w:tcBorders>
              <w:top w:val="nil"/>
              <w:left w:val="single" w:sz="4" w:space="0" w:color="auto"/>
              <w:bottom w:val="nil"/>
              <w:right w:val="single" w:sz="4" w:space="0" w:color="auto"/>
            </w:tcBorders>
            <w:vAlign w:val="center"/>
          </w:tcPr>
          <w:p w14:paraId="6905BDDB" w14:textId="27CA5741"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r w:rsidR="00657416" w:rsidRPr="00236418">
              <w:rPr>
                <w:rFonts w:asciiTheme="minorHAnsi" w:hAnsiTheme="minorHAnsi" w:cs="Arial"/>
                <w:color w:val="000000"/>
                <w:sz w:val="20"/>
                <w:lang w:eastAsia="zh-CN"/>
              </w:rPr>
              <w:t>586</w:t>
            </w:r>
          </w:p>
        </w:tc>
        <w:tc>
          <w:tcPr>
            <w:tcW w:w="993" w:type="dxa"/>
            <w:tcBorders>
              <w:top w:val="nil"/>
              <w:left w:val="single" w:sz="4" w:space="0" w:color="auto"/>
              <w:bottom w:val="nil"/>
              <w:right w:val="single" w:sz="4" w:space="0" w:color="auto"/>
            </w:tcBorders>
            <w:vAlign w:val="center"/>
          </w:tcPr>
          <w:p w14:paraId="1C5167A8" w14:textId="4230C6B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r w:rsidR="00657416" w:rsidRPr="00236418">
              <w:rPr>
                <w:rFonts w:asciiTheme="minorHAnsi" w:hAnsiTheme="minorHAnsi" w:cs="Arial"/>
                <w:color w:val="000000"/>
                <w:sz w:val="20"/>
                <w:lang w:eastAsia="zh-CN"/>
              </w:rPr>
              <w:t>645</w:t>
            </w:r>
          </w:p>
        </w:tc>
      </w:tr>
      <w:tr w:rsidR="00DF6159" w:rsidRPr="00236418" w14:paraId="2AF84678" w14:textId="77777777" w:rsidTr="006538EB">
        <w:trPr>
          <w:jc w:val="center"/>
        </w:trPr>
        <w:tc>
          <w:tcPr>
            <w:tcW w:w="2977" w:type="dxa"/>
            <w:tcBorders>
              <w:top w:val="nil"/>
              <w:bottom w:val="nil"/>
              <w:right w:val="single" w:sz="4" w:space="0" w:color="auto"/>
            </w:tcBorders>
          </w:tcPr>
          <w:p w14:paraId="47C96CDC" w14:textId="77777777" w:rsidR="00DF6159" w:rsidRPr="00236418" w:rsidRDefault="00DF6159" w:rsidP="009B3D24">
            <w:pPr>
              <w:pStyle w:val="Tabletext"/>
              <w:spacing w:before="40" w:after="40"/>
              <w:rPr>
                <w:sz w:val="20"/>
                <w:lang w:eastAsia="zh-CN"/>
              </w:rPr>
            </w:pPr>
            <w:r w:rsidRPr="00236418">
              <w:rPr>
                <w:sz w:val="20"/>
                <w:lang w:eastAsia="zh-CN"/>
              </w:rPr>
              <w:t>Pertes de valeur</w:t>
            </w:r>
          </w:p>
        </w:tc>
        <w:tc>
          <w:tcPr>
            <w:tcW w:w="998" w:type="dxa"/>
            <w:tcBorders>
              <w:top w:val="nil"/>
              <w:left w:val="single" w:sz="4" w:space="0" w:color="auto"/>
              <w:bottom w:val="nil"/>
              <w:right w:val="single" w:sz="4" w:space="0" w:color="auto"/>
            </w:tcBorders>
          </w:tcPr>
          <w:p w14:paraId="156215DB"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bottom"/>
          </w:tcPr>
          <w:p w14:paraId="6EED358B"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1D2BFE2C"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3BC2AE62"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6A8BB9F"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02328A53" w14:textId="188224BE"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36418">
              <w:rPr>
                <w:rFonts w:asciiTheme="minorHAnsi" w:hAnsiTheme="minorHAnsi"/>
                <w:sz w:val="20"/>
                <w:lang w:eastAsia="zh-CN"/>
              </w:rPr>
              <w:t>–</w:t>
            </w:r>
          </w:p>
        </w:tc>
        <w:tc>
          <w:tcPr>
            <w:tcW w:w="993" w:type="dxa"/>
            <w:tcBorders>
              <w:top w:val="nil"/>
              <w:left w:val="single" w:sz="4" w:space="0" w:color="auto"/>
              <w:bottom w:val="nil"/>
              <w:right w:val="single" w:sz="4" w:space="0" w:color="auto"/>
            </w:tcBorders>
            <w:vAlign w:val="bottom"/>
          </w:tcPr>
          <w:p w14:paraId="67F1312C"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p>
        </w:tc>
      </w:tr>
      <w:tr w:rsidR="00DF6159" w:rsidRPr="00236418" w14:paraId="5BEE5621" w14:textId="77777777" w:rsidTr="006538EB">
        <w:trPr>
          <w:jc w:val="center"/>
        </w:trPr>
        <w:tc>
          <w:tcPr>
            <w:tcW w:w="2977" w:type="dxa"/>
            <w:tcBorders>
              <w:top w:val="nil"/>
              <w:bottom w:val="nil"/>
              <w:right w:val="single" w:sz="4" w:space="0" w:color="auto"/>
            </w:tcBorders>
          </w:tcPr>
          <w:p w14:paraId="11B44024" w14:textId="77777777" w:rsidR="00DF6159" w:rsidRPr="00236418" w:rsidRDefault="00DF6159" w:rsidP="009B3D24">
            <w:pPr>
              <w:pStyle w:val="Tabletext"/>
              <w:spacing w:before="40" w:after="40"/>
              <w:rPr>
                <w:sz w:val="20"/>
                <w:lang w:eastAsia="zh-CN"/>
              </w:rPr>
            </w:pPr>
            <w:r w:rsidRPr="00236418">
              <w:rPr>
                <w:sz w:val="20"/>
                <w:lang w:eastAsia="zh-CN"/>
              </w:rPr>
              <w:t>Reclassements et corrections</w:t>
            </w:r>
          </w:p>
        </w:tc>
        <w:tc>
          <w:tcPr>
            <w:tcW w:w="998" w:type="dxa"/>
            <w:tcBorders>
              <w:top w:val="nil"/>
              <w:left w:val="single" w:sz="4" w:space="0" w:color="auto"/>
              <w:bottom w:val="nil"/>
              <w:right w:val="single" w:sz="4" w:space="0" w:color="auto"/>
            </w:tcBorders>
          </w:tcPr>
          <w:p w14:paraId="4B0D50B0" w14:textId="4E5CE843"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47</w:t>
            </w:r>
          </w:p>
        </w:tc>
        <w:tc>
          <w:tcPr>
            <w:tcW w:w="845" w:type="dxa"/>
            <w:tcBorders>
              <w:top w:val="nil"/>
              <w:left w:val="single" w:sz="4" w:space="0" w:color="auto"/>
              <w:bottom w:val="nil"/>
              <w:right w:val="single" w:sz="4" w:space="0" w:color="auto"/>
            </w:tcBorders>
          </w:tcPr>
          <w:p w14:paraId="58DD3ED6"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3AC07BD9"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055C0116"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5A266E2"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251C74A" w14:textId="47841BF6"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236418">
              <w:rPr>
                <w:rFonts w:asciiTheme="minorHAnsi" w:hAnsiTheme="minorHAnsi"/>
                <w:sz w:val="20"/>
                <w:lang w:eastAsia="zh-CN"/>
              </w:rPr>
              <w:t>14</w:t>
            </w:r>
          </w:p>
        </w:tc>
        <w:tc>
          <w:tcPr>
            <w:tcW w:w="993" w:type="dxa"/>
            <w:tcBorders>
              <w:top w:val="nil"/>
              <w:left w:val="single" w:sz="4" w:space="0" w:color="auto"/>
              <w:bottom w:val="nil"/>
              <w:right w:val="single" w:sz="4" w:space="0" w:color="auto"/>
            </w:tcBorders>
            <w:vAlign w:val="bottom"/>
          </w:tcPr>
          <w:p w14:paraId="06573DE6" w14:textId="655D0968"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61</w:t>
            </w:r>
          </w:p>
        </w:tc>
      </w:tr>
      <w:tr w:rsidR="00DF6159" w:rsidRPr="00236418" w14:paraId="69C479F7" w14:textId="77777777" w:rsidTr="006538EB">
        <w:trPr>
          <w:jc w:val="center"/>
        </w:trPr>
        <w:tc>
          <w:tcPr>
            <w:tcW w:w="2977" w:type="dxa"/>
            <w:tcBorders>
              <w:top w:val="nil"/>
              <w:bottom w:val="single" w:sz="4" w:space="0" w:color="auto"/>
              <w:right w:val="single" w:sz="4" w:space="0" w:color="auto"/>
            </w:tcBorders>
          </w:tcPr>
          <w:p w14:paraId="616B04F5" w14:textId="77777777" w:rsidR="00DF6159" w:rsidRPr="00236418" w:rsidRDefault="00DF6159" w:rsidP="009B3D24">
            <w:pPr>
              <w:pStyle w:val="Tabletext"/>
              <w:spacing w:before="40" w:after="40"/>
              <w:rPr>
                <w:sz w:val="20"/>
                <w:lang w:eastAsia="zh-CN"/>
              </w:rPr>
            </w:pPr>
            <w:r w:rsidRPr="00236418">
              <w:rPr>
                <w:sz w:val="20"/>
                <w:lang w:eastAsia="zh-CN"/>
              </w:rPr>
              <w:t>Réévaluations</w:t>
            </w:r>
          </w:p>
        </w:tc>
        <w:tc>
          <w:tcPr>
            <w:tcW w:w="998" w:type="dxa"/>
            <w:tcBorders>
              <w:top w:val="nil"/>
              <w:left w:val="single" w:sz="4" w:space="0" w:color="auto"/>
              <w:bottom w:val="single" w:sz="4" w:space="0" w:color="auto"/>
              <w:right w:val="single" w:sz="4" w:space="0" w:color="auto"/>
            </w:tcBorders>
          </w:tcPr>
          <w:p w14:paraId="61AA0418"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single" w:sz="4" w:space="0" w:color="auto"/>
              <w:right w:val="single" w:sz="4" w:space="0" w:color="auto"/>
            </w:tcBorders>
          </w:tcPr>
          <w:p w14:paraId="526BE56F"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tcPr>
          <w:p w14:paraId="104DAF90"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single" w:sz="4" w:space="0" w:color="auto"/>
              <w:right w:val="single" w:sz="4" w:space="0" w:color="auto"/>
            </w:tcBorders>
          </w:tcPr>
          <w:p w14:paraId="0F54F1CB"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48CCC15A"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722273E8"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single" w:sz="4" w:space="0" w:color="auto"/>
              <w:right w:val="single" w:sz="4" w:space="0" w:color="auto"/>
            </w:tcBorders>
            <w:vAlign w:val="bottom"/>
          </w:tcPr>
          <w:p w14:paraId="2EC57FCC"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p>
        </w:tc>
      </w:tr>
      <w:tr w:rsidR="00DF6159" w:rsidRPr="00236418" w14:paraId="4BE0246F" w14:textId="77777777" w:rsidTr="006538EB">
        <w:trPr>
          <w:jc w:val="center"/>
        </w:trPr>
        <w:tc>
          <w:tcPr>
            <w:tcW w:w="2977" w:type="dxa"/>
            <w:tcBorders>
              <w:right w:val="single" w:sz="4" w:space="0" w:color="auto"/>
            </w:tcBorders>
          </w:tcPr>
          <w:p w14:paraId="3187F629" w14:textId="77777777" w:rsidR="00DF6159" w:rsidRPr="00236418" w:rsidRDefault="00DF6159" w:rsidP="009B3D24">
            <w:pPr>
              <w:pStyle w:val="Tabletext"/>
              <w:spacing w:before="40" w:after="40"/>
              <w:rPr>
                <w:b/>
                <w:bCs/>
                <w:sz w:val="20"/>
                <w:lang w:eastAsia="zh-CN"/>
              </w:rPr>
            </w:pPr>
            <w:r w:rsidRPr="00236418">
              <w:rPr>
                <w:b/>
                <w:bCs/>
                <w:sz w:val="20"/>
                <w:lang w:eastAsia="zh-CN"/>
              </w:rPr>
              <w:t>Coût au 31 décembre</w:t>
            </w:r>
          </w:p>
        </w:tc>
        <w:tc>
          <w:tcPr>
            <w:tcW w:w="998" w:type="dxa"/>
            <w:tcBorders>
              <w:left w:val="single" w:sz="4" w:space="0" w:color="auto"/>
              <w:right w:val="single" w:sz="4" w:space="0" w:color="auto"/>
            </w:tcBorders>
            <w:vAlign w:val="center"/>
          </w:tcPr>
          <w:p w14:paraId="47FB5F48" w14:textId="1377EFCE"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12</w:t>
            </w:r>
            <w:r w:rsidR="0091355E" w:rsidRPr="00236418">
              <w:rPr>
                <w:rFonts w:asciiTheme="minorHAnsi" w:hAnsiTheme="minorHAnsi" w:cs="Arial"/>
                <w:b/>
                <w:bCs/>
                <w:color w:val="000000"/>
                <w:sz w:val="20"/>
                <w:lang w:eastAsia="zh-CN"/>
              </w:rPr>
              <w:t>5 000</w:t>
            </w:r>
            <w:r w:rsidRPr="00236418">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11832593" w14:textId="2F239E7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2 0</w:t>
            </w:r>
            <w:r w:rsidR="0091355E" w:rsidRPr="00236418">
              <w:rPr>
                <w:rFonts w:asciiTheme="minorHAnsi" w:hAnsiTheme="minorHAnsi" w:cs="Arial"/>
                <w:b/>
                <w:bCs/>
                <w:color w:val="000000"/>
                <w:sz w:val="20"/>
                <w:lang w:eastAsia="zh-CN"/>
              </w:rPr>
              <w:t>46</w:t>
            </w:r>
          </w:p>
        </w:tc>
        <w:tc>
          <w:tcPr>
            <w:tcW w:w="992" w:type="dxa"/>
            <w:tcBorders>
              <w:left w:val="single" w:sz="4" w:space="0" w:color="auto"/>
              <w:right w:val="single" w:sz="4" w:space="0" w:color="auto"/>
            </w:tcBorders>
            <w:vAlign w:val="center"/>
          </w:tcPr>
          <w:p w14:paraId="6F4538C3" w14:textId="28BABED9"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xml:space="preserve">1 </w:t>
            </w:r>
            <w:r w:rsidR="0091355E" w:rsidRPr="00236418">
              <w:rPr>
                <w:rFonts w:asciiTheme="minorHAnsi" w:hAnsiTheme="minorHAnsi" w:cs="Arial"/>
                <w:b/>
                <w:bCs/>
                <w:color w:val="000000"/>
                <w:sz w:val="20"/>
                <w:lang w:eastAsia="zh-CN"/>
              </w:rPr>
              <w:t>707</w:t>
            </w:r>
          </w:p>
        </w:tc>
        <w:tc>
          <w:tcPr>
            <w:tcW w:w="851" w:type="dxa"/>
            <w:tcBorders>
              <w:left w:val="single" w:sz="4" w:space="0" w:color="auto"/>
              <w:right w:val="single" w:sz="4" w:space="0" w:color="auto"/>
            </w:tcBorders>
            <w:vAlign w:val="center"/>
          </w:tcPr>
          <w:p w14:paraId="4D9F922A" w14:textId="1EEA05C0"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xml:space="preserve">8 </w:t>
            </w:r>
            <w:r w:rsidR="00657416" w:rsidRPr="00236418">
              <w:rPr>
                <w:rFonts w:asciiTheme="minorHAnsi" w:hAnsiTheme="minorHAnsi" w:cs="Arial"/>
                <w:b/>
                <w:bCs/>
                <w:color w:val="000000"/>
                <w:sz w:val="20"/>
                <w:lang w:eastAsia="zh-CN"/>
              </w:rPr>
              <w:t>981</w:t>
            </w:r>
          </w:p>
        </w:tc>
        <w:tc>
          <w:tcPr>
            <w:tcW w:w="992" w:type="dxa"/>
            <w:tcBorders>
              <w:left w:val="single" w:sz="4" w:space="0" w:color="auto"/>
              <w:right w:val="single" w:sz="4" w:space="0" w:color="auto"/>
            </w:tcBorders>
            <w:vAlign w:val="center"/>
          </w:tcPr>
          <w:p w14:paraId="7DB742E0" w14:textId="0FC2E05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w:t>
            </w:r>
            <w:r w:rsidR="00657416" w:rsidRPr="00236418">
              <w:rPr>
                <w:rFonts w:asciiTheme="minorHAnsi" w:hAnsiTheme="minorHAnsi" w:cs="Arial"/>
                <w:b/>
                <w:bCs/>
                <w:color w:val="000000"/>
                <w:sz w:val="20"/>
                <w:lang w:eastAsia="zh-CN"/>
              </w:rPr>
              <w:t>96</w:t>
            </w:r>
          </w:p>
        </w:tc>
        <w:tc>
          <w:tcPr>
            <w:tcW w:w="992" w:type="dxa"/>
            <w:tcBorders>
              <w:left w:val="single" w:sz="4" w:space="0" w:color="auto"/>
              <w:right w:val="single" w:sz="4" w:space="0" w:color="auto"/>
            </w:tcBorders>
            <w:vAlign w:val="center"/>
          </w:tcPr>
          <w:p w14:paraId="7A8D819C" w14:textId="5E6A1A60"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xml:space="preserve">15 </w:t>
            </w:r>
            <w:r w:rsidR="00657416" w:rsidRPr="00236418">
              <w:rPr>
                <w:rFonts w:asciiTheme="minorHAnsi" w:hAnsiTheme="minorHAnsi" w:cs="Arial"/>
                <w:b/>
                <w:bCs/>
                <w:color w:val="000000"/>
                <w:sz w:val="20"/>
                <w:lang w:eastAsia="zh-CN"/>
              </w:rPr>
              <w:t>488</w:t>
            </w:r>
          </w:p>
        </w:tc>
        <w:tc>
          <w:tcPr>
            <w:tcW w:w="993" w:type="dxa"/>
            <w:tcBorders>
              <w:left w:val="single" w:sz="4" w:space="0" w:color="auto"/>
              <w:right w:val="single" w:sz="4" w:space="0" w:color="auto"/>
            </w:tcBorders>
            <w:vAlign w:val="center"/>
          </w:tcPr>
          <w:p w14:paraId="21B22FCA" w14:textId="1BA3319C"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15</w:t>
            </w:r>
            <w:r w:rsidR="00657416" w:rsidRPr="00236418">
              <w:rPr>
                <w:rFonts w:asciiTheme="minorHAnsi" w:hAnsiTheme="minorHAnsi" w:cs="Arial"/>
                <w:b/>
                <w:bCs/>
                <w:color w:val="000000"/>
                <w:sz w:val="20"/>
                <w:lang w:eastAsia="zh-CN"/>
              </w:rPr>
              <w:t>3 518</w:t>
            </w:r>
          </w:p>
        </w:tc>
      </w:tr>
      <w:tr w:rsidR="00DF6159" w:rsidRPr="00236418" w14:paraId="11B57B31" w14:textId="77777777" w:rsidTr="006538EB">
        <w:trPr>
          <w:jc w:val="center"/>
        </w:trPr>
        <w:tc>
          <w:tcPr>
            <w:tcW w:w="2977" w:type="dxa"/>
            <w:tcBorders>
              <w:bottom w:val="single" w:sz="4" w:space="0" w:color="auto"/>
              <w:right w:val="single" w:sz="4" w:space="0" w:color="auto"/>
            </w:tcBorders>
          </w:tcPr>
          <w:p w14:paraId="70E29E2C" w14:textId="77777777" w:rsidR="00DF6159" w:rsidRPr="00236418" w:rsidRDefault="00DF6159" w:rsidP="009B3D24">
            <w:pPr>
              <w:pStyle w:val="Tabletext"/>
              <w:spacing w:before="40" w:after="40"/>
              <w:rPr>
                <w:b/>
                <w:bCs/>
                <w:sz w:val="20"/>
                <w:lang w:eastAsia="zh-CN"/>
              </w:rPr>
            </w:pPr>
            <w:r w:rsidRPr="00236418">
              <w:rPr>
                <w:b/>
                <w:bCs/>
                <w:sz w:val="20"/>
                <w:lang w:eastAsia="zh-CN"/>
              </w:rPr>
              <w:t xml:space="preserve">Amortissement au 1er janvier </w:t>
            </w:r>
          </w:p>
        </w:tc>
        <w:tc>
          <w:tcPr>
            <w:tcW w:w="998" w:type="dxa"/>
            <w:tcBorders>
              <w:left w:val="single" w:sz="4" w:space="0" w:color="auto"/>
              <w:bottom w:val="single" w:sz="4" w:space="0" w:color="auto"/>
              <w:right w:val="single" w:sz="4" w:space="0" w:color="auto"/>
            </w:tcBorders>
            <w:vAlign w:val="center"/>
          </w:tcPr>
          <w:p w14:paraId="40DAF4BF" w14:textId="50CA92A9"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30 219</w:t>
            </w:r>
          </w:p>
        </w:tc>
        <w:tc>
          <w:tcPr>
            <w:tcW w:w="845" w:type="dxa"/>
            <w:tcBorders>
              <w:left w:val="single" w:sz="4" w:space="0" w:color="auto"/>
              <w:bottom w:val="single" w:sz="4" w:space="0" w:color="auto"/>
              <w:right w:val="single" w:sz="4" w:space="0" w:color="auto"/>
            </w:tcBorders>
            <w:vAlign w:val="center"/>
          </w:tcPr>
          <w:p w14:paraId="2AEC197B" w14:textId="544D28D0"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2 0</w:t>
            </w:r>
            <w:r w:rsidR="0091355E" w:rsidRPr="00236418">
              <w:rPr>
                <w:rFonts w:asciiTheme="minorHAnsi" w:hAnsiTheme="minorHAnsi" w:cs="Arial"/>
                <w:b/>
                <w:bCs/>
                <w:color w:val="000000"/>
                <w:sz w:val="20"/>
                <w:lang w:eastAsia="zh-CN"/>
              </w:rPr>
              <w:t>29</w:t>
            </w:r>
          </w:p>
        </w:tc>
        <w:tc>
          <w:tcPr>
            <w:tcW w:w="992" w:type="dxa"/>
            <w:tcBorders>
              <w:left w:val="single" w:sz="4" w:space="0" w:color="auto"/>
              <w:bottom w:val="single" w:sz="4" w:space="0" w:color="auto"/>
              <w:right w:val="single" w:sz="4" w:space="0" w:color="auto"/>
            </w:tcBorders>
            <w:vAlign w:val="center"/>
          </w:tcPr>
          <w:p w14:paraId="3E9A5235" w14:textId="1240A36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xml:space="preserve">1 </w:t>
            </w:r>
            <w:r w:rsidR="0091355E" w:rsidRPr="00236418">
              <w:rPr>
                <w:rFonts w:asciiTheme="minorHAnsi" w:hAnsiTheme="minorHAnsi" w:cs="Arial"/>
                <w:b/>
                <w:bCs/>
                <w:color w:val="000000"/>
                <w:sz w:val="20"/>
                <w:lang w:eastAsia="zh-CN"/>
              </w:rPr>
              <w:t>604</w:t>
            </w:r>
          </w:p>
        </w:tc>
        <w:tc>
          <w:tcPr>
            <w:tcW w:w="851" w:type="dxa"/>
            <w:tcBorders>
              <w:left w:val="single" w:sz="4" w:space="0" w:color="auto"/>
              <w:bottom w:val="single" w:sz="4" w:space="0" w:color="auto"/>
              <w:right w:val="single" w:sz="4" w:space="0" w:color="auto"/>
            </w:tcBorders>
            <w:vAlign w:val="center"/>
          </w:tcPr>
          <w:p w14:paraId="4150A2E1" w14:textId="7566503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xml:space="preserve">7 </w:t>
            </w:r>
            <w:r w:rsidR="00657416" w:rsidRPr="00236418">
              <w:rPr>
                <w:rFonts w:asciiTheme="minorHAnsi" w:hAnsiTheme="minorHAnsi" w:cs="Arial"/>
                <w:b/>
                <w:bCs/>
                <w:color w:val="000000"/>
                <w:sz w:val="20"/>
                <w:lang w:eastAsia="zh-CN"/>
              </w:rPr>
              <w:t>746</w:t>
            </w:r>
          </w:p>
        </w:tc>
        <w:tc>
          <w:tcPr>
            <w:tcW w:w="992" w:type="dxa"/>
            <w:tcBorders>
              <w:left w:val="single" w:sz="4" w:space="0" w:color="auto"/>
              <w:bottom w:val="single" w:sz="4" w:space="0" w:color="auto"/>
              <w:right w:val="single" w:sz="4" w:space="0" w:color="auto"/>
            </w:tcBorders>
            <w:vAlign w:val="center"/>
          </w:tcPr>
          <w:p w14:paraId="4D857398" w14:textId="1B6F17DF"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212</w:t>
            </w:r>
          </w:p>
        </w:tc>
        <w:tc>
          <w:tcPr>
            <w:tcW w:w="992" w:type="dxa"/>
            <w:tcBorders>
              <w:left w:val="single" w:sz="4" w:space="0" w:color="auto"/>
              <w:bottom w:val="single" w:sz="4" w:space="0" w:color="auto"/>
              <w:right w:val="single" w:sz="4" w:space="0" w:color="auto"/>
            </w:tcBorders>
            <w:vAlign w:val="center"/>
          </w:tcPr>
          <w:p w14:paraId="13B0709A" w14:textId="5F8496A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15 0</w:t>
            </w:r>
            <w:r w:rsidR="00657416" w:rsidRPr="00236418">
              <w:rPr>
                <w:rFonts w:asciiTheme="minorHAnsi" w:hAnsiTheme="minorHAnsi" w:cs="Arial"/>
                <w:b/>
                <w:bCs/>
                <w:color w:val="000000"/>
                <w:sz w:val="20"/>
                <w:lang w:eastAsia="zh-CN"/>
              </w:rPr>
              <w:t>84</w:t>
            </w:r>
          </w:p>
        </w:tc>
        <w:tc>
          <w:tcPr>
            <w:tcW w:w="993" w:type="dxa"/>
            <w:tcBorders>
              <w:left w:val="single" w:sz="4" w:space="0" w:color="auto"/>
              <w:bottom w:val="single" w:sz="4" w:space="0" w:color="auto"/>
              <w:right w:val="single" w:sz="4" w:space="0" w:color="auto"/>
            </w:tcBorders>
            <w:vAlign w:val="center"/>
          </w:tcPr>
          <w:p w14:paraId="72DC8A60" w14:textId="57AD111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5</w:t>
            </w:r>
            <w:r w:rsidR="00657416" w:rsidRPr="00236418">
              <w:rPr>
                <w:rFonts w:asciiTheme="minorHAnsi" w:hAnsiTheme="minorHAnsi" w:cs="Arial"/>
                <w:b/>
                <w:bCs/>
                <w:color w:val="000000"/>
                <w:sz w:val="20"/>
                <w:lang w:eastAsia="zh-CN"/>
              </w:rPr>
              <w:t>6 893</w:t>
            </w:r>
          </w:p>
        </w:tc>
      </w:tr>
      <w:tr w:rsidR="00DF6159" w:rsidRPr="00236418" w14:paraId="26D126CC" w14:textId="77777777" w:rsidTr="006538EB">
        <w:trPr>
          <w:jc w:val="center"/>
        </w:trPr>
        <w:tc>
          <w:tcPr>
            <w:tcW w:w="2977" w:type="dxa"/>
            <w:tcBorders>
              <w:bottom w:val="nil"/>
              <w:right w:val="single" w:sz="4" w:space="0" w:color="auto"/>
            </w:tcBorders>
          </w:tcPr>
          <w:p w14:paraId="7A43B315" w14:textId="77777777" w:rsidR="00DF6159" w:rsidRPr="00236418" w:rsidRDefault="00DF6159" w:rsidP="009B3D24">
            <w:pPr>
              <w:pStyle w:val="Tabletext"/>
              <w:spacing w:before="40" w:after="40"/>
              <w:rPr>
                <w:sz w:val="20"/>
                <w:lang w:eastAsia="zh-CN"/>
              </w:rPr>
            </w:pPr>
            <w:r w:rsidRPr="00236418">
              <w:rPr>
                <w:sz w:val="20"/>
                <w:lang w:eastAsia="zh-CN"/>
              </w:rPr>
              <w:t>Imputés au cours de l'année</w:t>
            </w:r>
          </w:p>
        </w:tc>
        <w:tc>
          <w:tcPr>
            <w:tcW w:w="998" w:type="dxa"/>
            <w:tcBorders>
              <w:left w:val="single" w:sz="4" w:space="0" w:color="auto"/>
              <w:bottom w:val="nil"/>
              <w:right w:val="single" w:sz="4" w:space="0" w:color="auto"/>
            </w:tcBorders>
            <w:vAlign w:val="center"/>
          </w:tcPr>
          <w:p w14:paraId="123A13E2" w14:textId="0C8475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3 06</w:t>
            </w:r>
            <w:r w:rsidR="0091355E" w:rsidRPr="00236418">
              <w:rPr>
                <w:rFonts w:asciiTheme="minorHAnsi" w:hAnsiTheme="minorHAnsi" w:cs="Arial"/>
                <w:color w:val="000000"/>
                <w:sz w:val="20"/>
                <w:lang w:eastAsia="zh-CN"/>
              </w:rPr>
              <w:t>7</w:t>
            </w:r>
          </w:p>
        </w:tc>
        <w:tc>
          <w:tcPr>
            <w:tcW w:w="845" w:type="dxa"/>
            <w:tcBorders>
              <w:left w:val="single" w:sz="4" w:space="0" w:color="auto"/>
              <w:bottom w:val="nil"/>
              <w:right w:val="single" w:sz="4" w:space="0" w:color="auto"/>
            </w:tcBorders>
            <w:vAlign w:val="center"/>
          </w:tcPr>
          <w:p w14:paraId="59198444" w14:textId="3A401C5B"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17</w:t>
            </w:r>
            <w:r w:rsidR="00DF6159" w:rsidRPr="00236418">
              <w:rPr>
                <w:rFonts w:asciiTheme="minorHAnsi" w:hAnsiTheme="minorHAnsi" w:cs="Arial"/>
                <w:color w:val="000000"/>
                <w:sz w:val="20"/>
                <w:lang w:eastAsia="zh-CN"/>
              </w:rPr>
              <w:t xml:space="preserve"> </w:t>
            </w:r>
          </w:p>
        </w:tc>
        <w:tc>
          <w:tcPr>
            <w:tcW w:w="992" w:type="dxa"/>
            <w:tcBorders>
              <w:left w:val="single" w:sz="4" w:space="0" w:color="auto"/>
              <w:bottom w:val="nil"/>
              <w:right w:val="single" w:sz="4" w:space="0" w:color="auto"/>
            </w:tcBorders>
            <w:vAlign w:val="center"/>
          </w:tcPr>
          <w:p w14:paraId="42F40343" w14:textId="4990AF55"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2</w:t>
            </w:r>
            <w:r w:rsidR="0091355E" w:rsidRPr="00236418">
              <w:rPr>
                <w:rFonts w:asciiTheme="minorHAnsi" w:hAnsiTheme="minorHAnsi" w:cs="Arial"/>
                <w:color w:val="000000"/>
                <w:sz w:val="20"/>
                <w:lang w:eastAsia="zh-CN"/>
              </w:rPr>
              <w:t>6</w:t>
            </w:r>
          </w:p>
        </w:tc>
        <w:tc>
          <w:tcPr>
            <w:tcW w:w="851" w:type="dxa"/>
            <w:tcBorders>
              <w:left w:val="single" w:sz="4" w:space="0" w:color="auto"/>
              <w:bottom w:val="nil"/>
              <w:right w:val="single" w:sz="4" w:space="0" w:color="auto"/>
            </w:tcBorders>
            <w:vAlign w:val="center"/>
          </w:tcPr>
          <w:p w14:paraId="262E0406" w14:textId="5B34C971"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478</w:t>
            </w:r>
          </w:p>
        </w:tc>
        <w:tc>
          <w:tcPr>
            <w:tcW w:w="992" w:type="dxa"/>
            <w:tcBorders>
              <w:left w:val="single" w:sz="4" w:space="0" w:color="auto"/>
              <w:bottom w:val="nil"/>
              <w:right w:val="single" w:sz="4" w:space="0" w:color="auto"/>
            </w:tcBorders>
            <w:vAlign w:val="center"/>
          </w:tcPr>
          <w:p w14:paraId="4E5D161F"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 xml:space="preserve">17 </w:t>
            </w:r>
          </w:p>
        </w:tc>
        <w:tc>
          <w:tcPr>
            <w:tcW w:w="992" w:type="dxa"/>
            <w:tcBorders>
              <w:left w:val="single" w:sz="4" w:space="0" w:color="auto"/>
              <w:bottom w:val="nil"/>
              <w:right w:val="single" w:sz="4" w:space="0" w:color="auto"/>
            </w:tcBorders>
            <w:vAlign w:val="center"/>
          </w:tcPr>
          <w:p w14:paraId="64268916" w14:textId="65EC1CF7"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990</w:t>
            </w:r>
          </w:p>
        </w:tc>
        <w:tc>
          <w:tcPr>
            <w:tcW w:w="993" w:type="dxa"/>
            <w:tcBorders>
              <w:left w:val="single" w:sz="4" w:space="0" w:color="auto"/>
              <w:bottom w:val="nil"/>
              <w:right w:val="single" w:sz="4" w:space="0" w:color="auto"/>
            </w:tcBorders>
            <w:vAlign w:val="center"/>
          </w:tcPr>
          <w:p w14:paraId="35660B6D" w14:textId="3CF01F3E"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4</w:t>
            </w:r>
            <w:r w:rsidR="00DF6159" w:rsidRPr="00236418">
              <w:rPr>
                <w:rFonts w:asciiTheme="minorHAnsi" w:hAnsiTheme="minorHAnsi" w:cs="Arial"/>
                <w:b/>
                <w:bCs/>
                <w:color w:val="000000"/>
                <w:sz w:val="20"/>
                <w:lang w:eastAsia="zh-CN"/>
              </w:rPr>
              <w:t xml:space="preserve"> </w:t>
            </w:r>
            <w:r w:rsidRPr="00236418">
              <w:rPr>
                <w:rFonts w:asciiTheme="minorHAnsi" w:hAnsiTheme="minorHAnsi" w:cs="Arial"/>
                <w:b/>
                <w:bCs/>
                <w:color w:val="000000"/>
                <w:sz w:val="20"/>
                <w:lang w:eastAsia="zh-CN"/>
              </w:rPr>
              <w:t>595</w:t>
            </w:r>
          </w:p>
        </w:tc>
      </w:tr>
      <w:tr w:rsidR="00DF6159" w:rsidRPr="00236418" w14:paraId="4F1108DF" w14:textId="77777777" w:rsidTr="006538EB">
        <w:trPr>
          <w:jc w:val="center"/>
        </w:trPr>
        <w:tc>
          <w:tcPr>
            <w:tcW w:w="2977" w:type="dxa"/>
            <w:tcBorders>
              <w:top w:val="nil"/>
              <w:bottom w:val="nil"/>
              <w:right w:val="single" w:sz="4" w:space="0" w:color="auto"/>
            </w:tcBorders>
          </w:tcPr>
          <w:p w14:paraId="40CA1D8D" w14:textId="77777777" w:rsidR="00DF6159" w:rsidRPr="00236418" w:rsidRDefault="00DF6159" w:rsidP="009B3D24">
            <w:pPr>
              <w:pStyle w:val="Tabletext"/>
              <w:spacing w:before="40" w:after="40"/>
              <w:rPr>
                <w:sz w:val="20"/>
                <w:lang w:eastAsia="zh-CN"/>
              </w:rPr>
            </w:pPr>
            <w:r w:rsidRPr="00236418">
              <w:rPr>
                <w:sz w:val="20"/>
                <w:lang w:eastAsia="zh-CN"/>
              </w:rPr>
              <w:t>Cessions</w:t>
            </w:r>
          </w:p>
        </w:tc>
        <w:tc>
          <w:tcPr>
            <w:tcW w:w="998" w:type="dxa"/>
            <w:tcBorders>
              <w:top w:val="nil"/>
              <w:left w:val="single" w:sz="4" w:space="0" w:color="auto"/>
              <w:bottom w:val="nil"/>
              <w:right w:val="single" w:sz="4" w:space="0" w:color="auto"/>
            </w:tcBorders>
            <w:vAlign w:val="center"/>
          </w:tcPr>
          <w:p w14:paraId="24DC81F7"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center"/>
          </w:tcPr>
          <w:p w14:paraId="3A72AF1B" w14:textId="283F67EE"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r w:rsidR="0091355E" w:rsidRPr="00236418">
              <w:rPr>
                <w:rFonts w:asciiTheme="minorHAnsi" w:hAnsiTheme="minorHAnsi" w:cs="Arial"/>
                <w:color w:val="000000"/>
                <w:sz w:val="20"/>
                <w:lang w:eastAsia="zh-CN"/>
              </w:rPr>
              <w:t>41</w:t>
            </w:r>
            <w:r w:rsidRPr="00236418">
              <w:rPr>
                <w:rFonts w:asciiTheme="minorHAnsi" w:hAnsiTheme="minorHAnsi" w:cs="Arial"/>
                <w:color w:val="000000"/>
                <w:sz w:val="20"/>
                <w:lang w:eastAsia="zh-CN"/>
              </w:rPr>
              <w:t xml:space="preserve"> </w:t>
            </w:r>
          </w:p>
        </w:tc>
        <w:tc>
          <w:tcPr>
            <w:tcW w:w="992" w:type="dxa"/>
            <w:tcBorders>
              <w:top w:val="nil"/>
              <w:left w:val="single" w:sz="4" w:space="0" w:color="auto"/>
              <w:bottom w:val="nil"/>
              <w:right w:val="single" w:sz="4" w:space="0" w:color="auto"/>
            </w:tcBorders>
            <w:vAlign w:val="center"/>
          </w:tcPr>
          <w:p w14:paraId="5CB4787F" w14:textId="2BD9B8C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51" w:type="dxa"/>
            <w:tcBorders>
              <w:top w:val="nil"/>
              <w:left w:val="single" w:sz="4" w:space="0" w:color="auto"/>
              <w:bottom w:val="nil"/>
              <w:right w:val="single" w:sz="4" w:space="0" w:color="auto"/>
            </w:tcBorders>
            <w:vAlign w:val="center"/>
          </w:tcPr>
          <w:p w14:paraId="127F8A3D" w14:textId="00726AF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r w:rsidR="00657416" w:rsidRPr="00236418">
              <w:rPr>
                <w:rFonts w:asciiTheme="minorHAnsi" w:hAnsiTheme="minorHAnsi" w:cs="Arial"/>
                <w:color w:val="000000"/>
                <w:sz w:val="20"/>
                <w:lang w:eastAsia="zh-CN"/>
              </w:rPr>
              <w:t>18</w:t>
            </w:r>
          </w:p>
        </w:tc>
        <w:tc>
          <w:tcPr>
            <w:tcW w:w="992" w:type="dxa"/>
            <w:tcBorders>
              <w:top w:val="nil"/>
              <w:left w:val="single" w:sz="4" w:space="0" w:color="auto"/>
              <w:bottom w:val="nil"/>
              <w:right w:val="single" w:sz="4" w:space="0" w:color="auto"/>
            </w:tcBorders>
            <w:vAlign w:val="center"/>
          </w:tcPr>
          <w:p w14:paraId="41E7016E" w14:textId="5EAF2A3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992" w:type="dxa"/>
            <w:tcBorders>
              <w:top w:val="nil"/>
              <w:left w:val="single" w:sz="4" w:space="0" w:color="auto"/>
              <w:bottom w:val="nil"/>
              <w:right w:val="single" w:sz="4" w:space="0" w:color="auto"/>
            </w:tcBorders>
            <w:vAlign w:val="center"/>
          </w:tcPr>
          <w:p w14:paraId="562EA670" w14:textId="6411C91C"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236418">
              <w:rPr>
                <w:rFonts w:asciiTheme="minorHAnsi" w:hAnsiTheme="minorHAnsi" w:cs="Arial"/>
                <w:color w:val="000000"/>
                <w:sz w:val="20"/>
                <w:lang w:eastAsia="zh-CN"/>
              </w:rPr>
              <w:t>–</w:t>
            </w:r>
            <w:r w:rsidR="00657416" w:rsidRPr="00236418">
              <w:rPr>
                <w:rFonts w:asciiTheme="minorHAnsi" w:hAnsiTheme="minorHAnsi" w:cs="Arial"/>
                <w:color w:val="000000"/>
                <w:sz w:val="20"/>
                <w:lang w:eastAsia="zh-CN"/>
              </w:rPr>
              <w:t>586</w:t>
            </w:r>
          </w:p>
        </w:tc>
        <w:tc>
          <w:tcPr>
            <w:tcW w:w="993" w:type="dxa"/>
            <w:tcBorders>
              <w:top w:val="nil"/>
              <w:left w:val="single" w:sz="4" w:space="0" w:color="auto"/>
              <w:bottom w:val="nil"/>
              <w:right w:val="single" w:sz="4" w:space="0" w:color="auto"/>
            </w:tcBorders>
            <w:vAlign w:val="center"/>
          </w:tcPr>
          <w:p w14:paraId="56B3E97B" w14:textId="4B29D36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w:t>
            </w:r>
            <w:r w:rsidR="00657416" w:rsidRPr="00236418">
              <w:rPr>
                <w:rFonts w:asciiTheme="minorHAnsi" w:hAnsiTheme="minorHAnsi" w:cs="Arial"/>
                <w:b/>
                <w:bCs/>
                <w:color w:val="000000"/>
                <w:sz w:val="20"/>
                <w:lang w:eastAsia="zh-CN"/>
              </w:rPr>
              <w:t>645</w:t>
            </w:r>
          </w:p>
        </w:tc>
      </w:tr>
      <w:tr w:rsidR="00DF6159" w:rsidRPr="00236418" w14:paraId="6E74AB89" w14:textId="77777777" w:rsidTr="006538EB">
        <w:trPr>
          <w:jc w:val="center"/>
        </w:trPr>
        <w:tc>
          <w:tcPr>
            <w:tcW w:w="2977" w:type="dxa"/>
            <w:tcBorders>
              <w:top w:val="nil"/>
              <w:bottom w:val="nil"/>
              <w:right w:val="single" w:sz="4" w:space="0" w:color="auto"/>
            </w:tcBorders>
          </w:tcPr>
          <w:p w14:paraId="5B8E3025" w14:textId="77777777" w:rsidR="00DF6159" w:rsidRPr="00236418" w:rsidRDefault="00DF6159" w:rsidP="009B3D24">
            <w:pPr>
              <w:pStyle w:val="Tabletext"/>
              <w:spacing w:before="40" w:after="40"/>
              <w:rPr>
                <w:sz w:val="20"/>
                <w:lang w:eastAsia="zh-CN"/>
              </w:rPr>
            </w:pPr>
            <w:r w:rsidRPr="00236418">
              <w:rPr>
                <w:sz w:val="20"/>
                <w:lang w:eastAsia="zh-CN"/>
              </w:rPr>
              <w:t>Pertes de valeur</w:t>
            </w:r>
          </w:p>
        </w:tc>
        <w:tc>
          <w:tcPr>
            <w:tcW w:w="998" w:type="dxa"/>
            <w:tcBorders>
              <w:top w:val="nil"/>
              <w:left w:val="single" w:sz="4" w:space="0" w:color="auto"/>
              <w:bottom w:val="nil"/>
              <w:right w:val="single" w:sz="4" w:space="0" w:color="auto"/>
            </w:tcBorders>
          </w:tcPr>
          <w:p w14:paraId="78D9F32C"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bottom"/>
          </w:tcPr>
          <w:p w14:paraId="5C52E93A"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73CA34DA"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2F5A86C8"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EF17C99"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5145E088"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nil"/>
              <w:right w:val="single" w:sz="4" w:space="0" w:color="auto"/>
            </w:tcBorders>
            <w:vAlign w:val="bottom"/>
          </w:tcPr>
          <w:p w14:paraId="00C3B147"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w:t>
            </w:r>
          </w:p>
        </w:tc>
      </w:tr>
      <w:tr w:rsidR="00DF6159" w:rsidRPr="00236418" w14:paraId="787DFBA1" w14:textId="77777777" w:rsidTr="006538EB">
        <w:trPr>
          <w:jc w:val="center"/>
        </w:trPr>
        <w:tc>
          <w:tcPr>
            <w:tcW w:w="2977" w:type="dxa"/>
            <w:tcBorders>
              <w:top w:val="nil"/>
              <w:bottom w:val="nil"/>
              <w:right w:val="single" w:sz="4" w:space="0" w:color="auto"/>
            </w:tcBorders>
          </w:tcPr>
          <w:p w14:paraId="0CE59033" w14:textId="77777777" w:rsidR="00DF6159" w:rsidRPr="00236418" w:rsidRDefault="00DF6159" w:rsidP="009B3D24">
            <w:pPr>
              <w:pStyle w:val="Tabletext"/>
              <w:spacing w:before="40" w:after="40"/>
              <w:rPr>
                <w:sz w:val="20"/>
                <w:lang w:eastAsia="zh-CN"/>
              </w:rPr>
            </w:pPr>
            <w:r w:rsidRPr="00236418">
              <w:rPr>
                <w:sz w:val="20"/>
                <w:lang w:eastAsia="zh-CN"/>
              </w:rPr>
              <w:t>Reclassements et corrections</w:t>
            </w:r>
          </w:p>
        </w:tc>
        <w:tc>
          <w:tcPr>
            <w:tcW w:w="998" w:type="dxa"/>
            <w:tcBorders>
              <w:top w:val="nil"/>
              <w:left w:val="single" w:sz="4" w:space="0" w:color="auto"/>
              <w:bottom w:val="nil"/>
              <w:right w:val="single" w:sz="4" w:space="0" w:color="auto"/>
            </w:tcBorders>
          </w:tcPr>
          <w:p w14:paraId="5DD9A30E"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tcPr>
          <w:p w14:paraId="01514893"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2659E5E1"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61D49E3D"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4C763AA"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6047364A"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nil"/>
              <w:right w:val="single" w:sz="4" w:space="0" w:color="auto"/>
            </w:tcBorders>
            <w:vAlign w:val="bottom"/>
          </w:tcPr>
          <w:p w14:paraId="26FAA44E"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w:t>
            </w:r>
          </w:p>
        </w:tc>
      </w:tr>
      <w:tr w:rsidR="00DF6159" w:rsidRPr="00236418" w14:paraId="108D3E69" w14:textId="77777777" w:rsidTr="006538EB">
        <w:trPr>
          <w:jc w:val="center"/>
        </w:trPr>
        <w:tc>
          <w:tcPr>
            <w:tcW w:w="2977" w:type="dxa"/>
            <w:tcBorders>
              <w:top w:val="nil"/>
              <w:bottom w:val="single" w:sz="4" w:space="0" w:color="auto"/>
              <w:right w:val="single" w:sz="4" w:space="0" w:color="auto"/>
            </w:tcBorders>
          </w:tcPr>
          <w:p w14:paraId="142B51A4" w14:textId="77777777" w:rsidR="00DF6159" w:rsidRPr="00236418" w:rsidRDefault="00DF6159" w:rsidP="009B3D24">
            <w:pPr>
              <w:pStyle w:val="Tabletext"/>
              <w:spacing w:before="40" w:after="40"/>
              <w:rPr>
                <w:sz w:val="20"/>
                <w:lang w:eastAsia="zh-CN"/>
              </w:rPr>
            </w:pPr>
            <w:r w:rsidRPr="00236418">
              <w:rPr>
                <w:sz w:val="20"/>
                <w:lang w:eastAsia="zh-CN"/>
              </w:rPr>
              <w:t>Réévaluations</w:t>
            </w:r>
          </w:p>
        </w:tc>
        <w:tc>
          <w:tcPr>
            <w:tcW w:w="998" w:type="dxa"/>
            <w:tcBorders>
              <w:top w:val="nil"/>
              <w:left w:val="single" w:sz="4" w:space="0" w:color="auto"/>
              <w:bottom w:val="single" w:sz="4" w:space="0" w:color="auto"/>
              <w:right w:val="single" w:sz="4" w:space="0" w:color="auto"/>
            </w:tcBorders>
          </w:tcPr>
          <w:p w14:paraId="5CE7C7AF"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single" w:sz="4" w:space="0" w:color="auto"/>
              <w:right w:val="single" w:sz="4" w:space="0" w:color="auto"/>
            </w:tcBorders>
          </w:tcPr>
          <w:p w14:paraId="42E46CE0"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tcPr>
          <w:p w14:paraId="5031A138"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single" w:sz="4" w:space="0" w:color="auto"/>
              <w:right w:val="single" w:sz="4" w:space="0" w:color="auto"/>
            </w:tcBorders>
          </w:tcPr>
          <w:p w14:paraId="1B02C500"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544C5ACE"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10446775"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single" w:sz="4" w:space="0" w:color="auto"/>
              <w:right w:val="single" w:sz="4" w:space="0" w:color="auto"/>
            </w:tcBorders>
            <w:vAlign w:val="bottom"/>
          </w:tcPr>
          <w:p w14:paraId="2B41A615"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w:t>
            </w:r>
          </w:p>
        </w:tc>
      </w:tr>
      <w:tr w:rsidR="00DF6159" w:rsidRPr="00236418" w14:paraId="383EDBA7" w14:textId="77777777" w:rsidTr="006538EB">
        <w:trPr>
          <w:jc w:val="center"/>
        </w:trPr>
        <w:tc>
          <w:tcPr>
            <w:tcW w:w="2977" w:type="dxa"/>
            <w:tcBorders>
              <w:right w:val="single" w:sz="4" w:space="0" w:color="auto"/>
            </w:tcBorders>
          </w:tcPr>
          <w:p w14:paraId="15A00043" w14:textId="77777777" w:rsidR="00DF6159" w:rsidRPr="00236418" w:rsidRDefault="00DF6159" w:rsidP="009B3D24">
            <w:pPr>
              <w:pStyle w:val="Tabletext"/>
              <w:spacing w:before="40" w:after="40"/>
              <w:rPr>
                <w:b/>
                <w:bCs/>
                <w:sz w:val="20"/>
                <w:lang w:eastAsia="zh-CN"/>
              </w:rPr>
            </w:pPr>
            <w:r w:rsidRPr="00236418">
              <w:rPr>
                <w:b/>
                <w:bCs/>
                <w:sz w:val="20"/>
                <w:lang w:eastAsia="zh-CN"/>
              </w:rPr>
              <w:t xml:space="preserve">Amortissement au 31 décembre </w:t>
            </w:r>
          </w:p>
        </w:tc>
        <w:tc>
          <w:tcPr>
            <w:tcW w:w="998" w:type="dxa"/>
            <w:tcBorders>
              <w:left w:val="single" w:sz="4" w:space="0" w:color="auto"/>
              <w:right w:val="single" w:sz="4" w:space="0" w:color="auto"/>
            </w:tcBorders>
            <w:vAlign w:val="center"/>
          </w:tcPr>
          <w:p w14:paraId="3636D412" w14:textId="25C8934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3</w:t>
            </w:r>
            <w:r w:rsidR="0091355E" w:rsidRPr="00236418">
              <w:rPr>
                <w:rFonts w:asciiTheme="minorHAnsi" w:hAnsiTheme="minorHAnsi" w:cs="Arial"/>
                <w:b/>
                <w:bCs/>
                <w:color w:val="000000"/>
                <w:sz w:val="20"/>
                <w:lang w:eastAsia="zh-CN"/>
              </w:rPr>
              <w:t>3 286</w:t>
            </w:r>
            <w:r w:rsidRPr="00236418">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7072862F" w14:textId="3CC7B3E5"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2 0</w:t>
            </w:r>
            <w:r w:rsidR="0091355E" w:rsidRPr="00236418">
              <w:rPr>
                <w:rFonts w:asciiTheme="minorHAnsi" w:hAnsiTheme="minorHAnsi" w:cs="Arial"/>
                <w:b/>
                <w:bCs/>
                <w:color w:val="000000"/>
                <w:sz w:val="20"/>
                <w:lang w:eastAsia="zh-CN"/>
              </w:rPr>
              <w:t>05</w:t>
            </w:r>
          </w:p>
        </w:tc>
        <w:tc>
          <w:tcPr>
            <w:tcW w:w="992" w:type="dxa"/>
            <w:tcBorders>
              <w:left w:val="single" w:sz="4" w:space="0" w:color="auto"/>
              <w:right w:val="single" w:sz="4" w:space="0" w:color="auto"/>
            </w:tcBorders>
            <w:vAlign w:val="center"/>
          </w:tcPr>
          <w:p w14:paraId="7492BC7F" w14:textId="156A517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1 6</w:t>
            </w:r>
            <w:r w:rsidR="00657416" w:rsidRPr="00236418">
              <w:rPr>
                <w:rFonts w:asciiTheme="minorHAnsi" w:hAnsiTheme="minorHAnsi" w:cs="Arial"/>
                <w:b/>
                <w:bCs/>
                <w:color w:val="000000"/>
                <w:sz w:val="20"/>
                <w:lang w:eastAsia="zh-CN"/>
              </w:rPr>
              <w:t>31</w:t>
            </w:r>
          </w:p>
        </w:tc>
        <w:tc>
          <w:tcPr>
            <w:tcW w:w="851" w:type="dxa"/>
            <w:tcBorders>
              <w:left w:val="single" w:sz="4" w:space="0" w:color="auto"/>
              <w:right w:val="single" w:sz="4" w:space="0" w:color="auto"/>
            </w:tcBorders>
            <w:vAlign w:val="center"/>
          </w:tcPr>
          <w:p w14:paraId="3C56450E" w14:textId="4CAE2DC2"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8 205</w:t>
            </w:r>
          </w:p>
        </w:tc>
        <w:tc>
          <w:tcPr>
            <w:tcW w:w="992" w:type="dxa"/>
            <w:tcBorders>
              <w:left w:val="single" w:sz="4" w:space="0" w:color="auto"/>
              <w:right w:val="single" w:sz="4" w:space="0" w:color="auto"/>
            </w:tcBorders>
            <w:vAlign w:val="center"/>
          </w:tcPr>
          <w:p w14:paraId="54A3F9BC" w14:textId="1B1A1FBB"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2</w:t>
            </w:r>
            <w:r w:rsidR="00657416" w:rsidRPr="00236418">
              <w:rPr>
                <w:rFonts w:asciiTheme="minorHAnsi" w:hAnsiTheme="minorHAnsi" w:cs="Arial"/>
                <w:b/>
                <w:bCs/>
                <w:color w:val="000000"/>
                <w:sz w:val="20"/>
                <w:lang w:eastAsia="zh-CN"/>
              </w:rPr>
              <w:t>29</w:t>
            </w:r>
          </w:p>
        </w:tc>
        <w:tc>
          <w:tcPr>
            <w:tcW w:w="992" w:type="dxa"/>
            <w:tcBorders>
              <w:left w:val="single" w:sz="4" w:space="0" w:color="auto"/>
              <w:right w:val="single" w:sz="4" w:space="0" w:color="auto"/>
            </w:tcBorders>
            <w:vAlign w:val="center"/>
          </w:tcPr>
          <w:p w14:paraId="31B07E5C" w14:textId="74FE35E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xml:space="preserve">15 </w:t>
            </w:r>
            <w:r w:rsidR="00657416" w:rsidRPr="00236418">
              <w:rPr>
                <w:rFonts w:asciiTheme="minorHAnsi" w:hAnsiTheme="minorHAnsi" w:cs="Arial"/>
                <w:b/>
                <w:bCs/>
                <w:color w:val="000000"/>
                <w:sz w:val="20"/>
                <w:lang w:eastAsia="zh-CN"/>
              </w:rPr>
              <w:t>488</w:t>
            </w:r>
          </w:p>
        </w:tc>
        <w:tc>
          <w:tcPr>
            <w:tcW w:w="993" w:type="dxa"/>
            <w:tcBorders>
              <w:left w:val="single" w:sz="4" w:space="0" w:color="auto"/>
              <w:right w:val="single" w:sz="4" w:space="0" w:color="auto"/>
            </w:tcBorders>
            <w:vAlign w:val="center"/>
          </w:tcPr>
          <w:p w14:paraId="5AEC59D3" w14:textId="0E71D148"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60 843</w:t>
            </w:r>
          </w:p>
        </w:tc>
      </w:tr>
      <w:tr w:rsidR="00DF6159" w:rsidRPr="00236418" w14:paraId="6C47C141" w14:textId="77777777" w:rsidTr="006538EB">
        <w:trPr>
          <w:jc w:val="center"/>
        </w:trPr>
        <w:tc>
          <w:tcPr>
            <w:tcW w:w="2977" w:type="dxa"/>
            <w:tcBorders>
              <w:right w:val="single" w:sz="4" w:space="0" w:color="auto"/>
            </w:tcBorders>
          </w:tcPr>
          <w:p w14:paraId="5E7D7400" w14:textId="77777777" w:rsidR="00DF6159" w:rsidRPr="00236418" w:rsidRDefault="00DF6159" w:rsidP="009B3D24">
            <w:pPr>
              <w:pStyle w:val="Tabletext"/>
              <w:spacing w:before="40" w:after="40"/>
              <w:rPr>
                <w:b/>
                <w:bCs/>
                <w:sz w:val="20"/>
                <w:lang w:eastAsia="zh-CN"/>
              </w:rPr>
            </w:pPr>
            <w:r w:rsidRPr="00236418">
              <w:rPr>
                <w:b/>
                <w:bCs/>
                <w:sz w:val="20"/>
                <w:lang w:eastAsia="zh-CN"/>
              </w:rPr>
              <w:t xml:space="preserve">Valeur comptable nette au 1er janvier </w:t>
            </w:r>
          </w:p>
        </w:tc>
        <w:tc>
          <w:tcPr>
            <w:tcW w:w="998" w:type="dxa"/>
            <w:tcBorders>
              <w:left w:val="single" w:sz="4" w:space="0" w:color="auto"/>
              <w:right w:val="single" w:sz="4" w:space="0" w:color="auto"/>
            </w:tcBorders>
            <w:vAlign w:val="center"/>
          </w:tcPr>
          <w:p w14:paraId="0DD81824" w14:textId="13392F85"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94 657</w:t>
            </w:r>
            <w:r w:rsidR="00DF6159" w:rsidRPr="00236418">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3622E563" w14:textId="5A139854" w:rsidR="00DF6159" w:rsidRPr="00236418"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44</w:t>
            </w:r>
          </w:p>
        </w:tc>
        <w:tc>
          <w:tcPr>
            <w:tcW w:w="992" w:type="dxa"/>
            <w:tcBorders>
              <w:left w:val="single" w:sz="4" w:space="0" w:color="auto"/>
              <w:right w:val="single" w:sz="4" w:space="0" w:color="auto"/>
            </w:tcBorders>
            <w:vAlign w:val="center"/>
          </w:tcPr>
          <w:p w14:paraId="73C6C54D" w14:textId="13D9BFC6"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79</w:t>
            </w:r>
          </w:p>
        </w:tc>
        <w:tc>
          <w:tcPr>
            <w:tcW w:w="851" w:type="dxa"/>
            <w:tcBorders>
              <w:left w:val="single" w:sz="4" w:space="0" w:color="auto"/>
              <w:right w:val="single" w:sz="4" w:space="0" w:color="auto"/>
            </w:tcBorders>
            <w:vAlign w:val="center"/>
          </w:tcPr>
          <w:p w14:paraId="2B8C1FF9" w14:textId="2D717B2F"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797</w:t>
            </w:r>
          </w:p>
        </w:tc>
        <w:tc>
          <w:tcPr>
            <w:tcW w:w="992" w:type="dxa"/>
            <w:tcBorders>
              <w:left w:val="single" w:sz="4" w:space="0" w:color="auto"/>
              <w:right w:val="single" w:sz="4" w:space="0" w:color="auto"/>
            </w:tcBorders>
            <w:vAlign w:val="center"/>
          </w:tcPr>
          <w:p w14:paraId="39B356D1" w14:textId="141CE973"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48</w:t>
            </w:r>
          </w:p>
        </w:tc>
        <w:tc>
          <w:tcPr>
            <w:tcW w:w="992" w:type="dxa"/>
            <w:tcBorders>
              <w:left w:val="single" w:sz="4" w:space="0" w:color="auto"/>
              <w:right w:val="single" w:sz="4" w:space="0" w:color="auto"/>
            </w:tcBorders>
            <w:vAlign w:val="center"/>
          </w:tcPr>
          <w:p w14:paraId="30167515"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w:t>
            </w:r>
          </w:p>
        </w:tc>
        <w:tc>
          <w:tcPr>
            <w:tcW w:w="993" w:type="dxa"/>
            <w:tcBorders>
              <w:left w:val="single" w:sz="4" w:space="0" w:color="auto"/>
              <w:right w:val="single" w:sz="4" w:space="0" w:color="auto"/>
            </w:tcBorders>
            <w:vAlign w:val="center"/>
          </w:tcPr>
          <w:p w14:paraId="68966258" w14:textId="38065F2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9</w:t>
            </w:r>
            <w:r w:rsidR="00657416" w:rsidRPr="00236418">
              <w:rPr>
                <w:rFonts w:asciiTheme="minorHAnsi" w:hAnsiTheme="minorHAnsi" w:cs="Arial"/>
                <w:b/>
                <w:bCs/>
                <w:color w:val="000000"/>
                <w:sz w:val="20"/>
                <w:lang w:eastAsia="zh-CN"/>
              </w:rPr>
              <w:t>5 624</w:t>
            </w:r>
          </w:p>
        </w:tc>
      </w:tr>
      <w:tr w:rsidR="00DF6159" w:rsidRPr="00236418" w14:paraId="6A038C40" w14:textId="77777777" w:rsidTr="006538EB">
        <w:trPr>
          <w:jc w:val="center"/>
        </w:trPr>
        <w:tc>
          <w:tcPr>
            <w:tcW w:w="2977" w:type="dxa"/>
            <w:tcBorders>
              <w:right w:val="single" w:sz="4" w:space="0" w:color="auto"/>
            </w:tcBorders>
          </w:tcPr>
          <w:p w14:paraId="17CDBB0C" w14:textId="77777777" w:rsidR="00DF6159" w:rsidRPr="00236418" w:rsidRDefault="00DF6159" w:rsidP="009B3D24">
            <w:pPr>
              <w:pStyle w:val="Tabletext"/>
              <w:spacing w:before="40" w:after="40"/>
              <w:rPr>
                <w:b/>
                <w:bCs/>
                <w:sz w:val="20"/>
                <w:lang w:eastAsia="zh-CN"/>
              </w:rPr>
            </w:pPr>
            <w:r w:rsidRPr="00236418">
              <w:rPr>
                <w:b/>
                <w:bCs/>
                <w:sz w:val="20"/>
                <w:lang w:eastAsia="zh-CN"/>
              </w:rPr>
              <w:t xml:space="preserve">Valeur comptable nette au 31 décembre </w:t>
            </w:r>
          </w:p>
        </w:tc>
        <w:tc>
          <w:tcPr>
            <w:tcW w:w="998" w:type="dxa"/>
            <w:tcBorders>
              <w:left w:val="single" w:sz="4" w:space="0" w:color="auto"/>
              <w:right w:val="single" w:sz="4" w:space="0" w:color="auto"/>
            </w:tcBorders>
            <w:vAlign w:val="center"/>
          </w:tcPr>
          <w:p w14:paraId="4A8D8C82" w14:textId="7F7809C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9</w:t>
            </w:r>
            <w:r w:rsidR="0091355E" w:rsidRPr="00236418">
              <w:rPr>
                <w:rFonts w:asciiTheme="minorHAnsi" w:hAnsiTheme="minorHAnsi" w:cs="Arial"/>
                <w:b/>
                <w:bCs/>
                <w:color w:val="000000"/>
                <w:sz w:val="20"/>
                <w:lang w:eastAsia="zh-CN"/>
              </w:rPr>
              <w:t>1 714</w:t>
            </w:r>
            <w:r w:rsidRPr="00236418">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33542634" w14:textId="59DF00EB"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4</w:t>
            </w:r>
            <w:r w:rsidR="0091355E" w:rsidRPr="00236418">
              <w:rPr>
                <w:rFonts w:asciiTheme="minorHAnsi" w:hAnsiTheme="minorHAnsi" w:cs="Arial"/>
                <w:b/>
                <w:bCs/>
                <w:color w:val="000000"/>
                <w:sz w:val="20"/>
                <w:lang w:eastAsia="zh-CN"/>
              </w:rPr>
              <w:t>1</w:t>
            </w:r>
          </w:p>
        </w:tc>
        <w:tc>
          <w:tcPr>
            <w:tcW w:w="992" w:type="dxa"/>
            <w:tcBorders>
              <w:left w:val="single" w:sz="4" w:space="0" w:color="auto"/>
              <w:right w:val="single" w:sz="4" w:space="0" w:color="auto"/>
            </w:tcBorders>
            <w:vAlign w:val="center"/>
          </w:tcPr>
          <w:p w14:paraId="3E4A5D9A" w14:textId="6EDC8FC1"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7</w:t>
            </w:r>
            <w:r w:rsidR="00657416" w:rsidRPr="00236418">
              <w:rPr>
                <w:rFonts w:asciiTheme="minorHAnsi" w:hAnsiTheme="minorHAnsi" w:cs="Arial"/>
                <w:b/>
                <w:bCs/>
                <w:color w:val="000000"/>
                <w:sz w:val="20"/>
                <w:lang w:eastAsia="zh-CN"/>
              </w:rPr>
              <w:t>6</w:t>
            </w:r>
          </w:p>
        </w:tc>
        <w:tc>
          <w:tcPr>
            <w:tcW w:w="851" w:type="dxa"/>
            <w:tcBorders>
              <w:left w:val="single" w:sz="4" w:space="0" w:color="auto"/>
              <w:right w:val="single" w:sz="4" w:space="0" w:color="auto"/>
            </w:tcBorders>
            <w:vAlign w:val="center"/>
          </w:tcPr>
          <w:p w14:paraId="45F5A613" w14:textId="7780DF17"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776</w:t>
            </w:r>
          </w:p>
        </w:tc>
        <w:tc>
          <w:tcPr>
            <w:tcW w:w="992" w:type="dxa"/>
            <w:tcBorders>
              <w:left w:val="single" w:sz="4" w:space="0" w:color="auto"/>
              <w:right w:val="single" w:sz="4" w:space="0" w:color="auto"/>
            </w:tcBorders>
            <w:vAlign w:val="center"/>
          </w:tcPr>
          <w:p w14:paraId="7BF10B87" w14:textId="5BACA2EA" w:rsidR="00DF6159" w:rsidRPr="00236418"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67</w:t>
            </w:r>
          </w:p>
        </w:tc>
        <w:tc>
          <w:tcPr>
            <w:tcW w:w="992" w:type="dxa"/>
            <w:tcBorders>
              <w:left w:val="single" w:sz="4" w:space="0" w:color="auto"/>
              <w:right w:val="single" w:sz="4" w:space="0" w:color="auto"/>
            </w:tcBorders>
            <w:vAlign w:val="center"/>
          </w:tcPr>
          <w:p w14:paraId="69543812"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 </w:t>
            </w:r>
          </w:p>
        </w:tc>
        <w:tc>
          <w:tcPr>
            <w:tcW w:w="993" w:type="dxa"/>
            <w:tcBorders>
              <w:left w:val="single" w:sz="4" w:space="0" w:color="auto"/>
              <w:right w:val="single" w:sz="4" w:space="0" w:color="auto"/>
            </w:tcBorders>
            <w:vAlign w:val="center"/>
          </w:tcPr>
          <w:p w14:paraId="5EF7F875" w14:textId="3F3C9B9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236418">
              <w:rPr>
                <w:rFonts w:asciiTheme="minorHAnsi" w:hAnsiTheme="minorHAnsi" w:cs="Arial"/>
                <w:b/>
                <w:bCs/>
                <w:color w:val="000000"/>
                <w:sz w:val="20"/>
                <w:lang w:eastAsia="zh-CN"/>
              </w:rPr>
              <w:t>9</w:t>
            </w:r>
            <w:r w:rsidR="00657416" w:rsidRPr="00236418">
              <w:rPr>
                <w:rFonts w:asciiTheme="minorHAnsi" w:hAnsiTheme="minorHAnsi" w:cs="Arial"/>
                <w:b/>
                <w:bCs/>
                <w:color w:val="000000"/>
                <w:sz w:val="20"/>
                <w:lang w:eastAsia="zh-CN"/>
              </w:rPr>
              <w:t>2 675</w:t>
            </w:r>
          </w:p>
        </w:tc>
      </w:tr>
    </w:tbl>
    <w:p w14:paraId="2284BA09" w14:textId="77777777" w:rsidR="00876480" w:rsidRPr="00236418" w:rsidRDefault="00876480" w:rsidP="00081C96">
      <w:pPr>
        <w:pStyle w:val="Heading1"/>
        <w:spacing w:before="240" w:after="120"/>
        <w:rPr>
          <w:sz w:val="24"/>
          <w:szCs w:val="24"/>
        </w:rPr>
      </w:pPr>
      <w:bookmarkStart w:id="1560" w:name="_MON_1395746645"/>
      <w:bookmarkStart w:id="1561" w:name="_MON_1395746659"/>
      <w:bookmarkStart w:id="1562" w:name="_MON_1395746618"/>
      <w:bookmarkStart w:id="1563" w:name="_MON_1401092855"/>
      <w:bookmarkStart w:id="1564" w:name="_Toc329202579"/>
      <w:bookmarkStart w:id="1565" w:name="_Toc329205011"/>
      <w:bookmarkStart w:id="1566" w:name="_Toc329206848"/>
      <w:bookmarkStart w:id="1567" w:name="_Toc358379934"/>
      <w:bookmarkStart w:id="1568" w:name="_Toc358380474"/>
      <w:bookmarkStart w:id="1569" w:name="_Toc387166654"/>
      <w:bookmarkStart w:id="1570" w:name="_Toc395260939"/>
      <w:bookmarkStart w:id="1571" w:name="_Toc395511718"/>
      <w:bookmarkStart w:id="1572" w:name="_Toc452138628"/>
      <w:bookmarkStart w:id="1573" w:name="_Toc452139077"/>
      <w:bookmarkStart w:id="1574" w:name="_Toc452139441"/>
      <w:bookmarkStart w:id="1575" w:name="_Toc452139842"/>
      <w:bookmarkStart w:id="1576" w:name="_Toc452140716"/>
      <w:bookmarkStart w:id="1577" w:name="_Toc482801506"/>
      <w:bookmarkStart w:id="1578" w:name="_Toc511649478"/>
      <w:bookmarkStart w:id="1579" w:name="_Toc511649848"/>
      <w:bookmarkStart w:id="1580" w:name="_Toc511649964"/>
      <w:bookmarkStart w:id="1581" w:name="_Toc511651221"/>
      <w:bookmarkStart w:id="1582" w:name="_Toc511724086"/>
      <w:bookmarkStart w:id="1583" w:name="_Toc511739075"/>
      <w:bookmarkStart w:id="1584" w:name="_Toc511741244"/>
      <w:bookmarkStart w:id="1585" w:name="_Toc10450750"/>
      <w:bookmarkStart w:id="1586" w:name="_Toc41566350"/>
      <w:bookmarkStart w:id="1587" w:name="_Toc41567358"/>
      <w:bookmarkStart w:id="1588" w:name="_Toc41567861"/>
      <w:bookmarkEnd w:id="1560"/>
      <w:bookmarkEnd w:id="1561"/>
      <w:bookmarkEnd w:id="1562"/>
      <w:bookmarkEnd w:id="1563"/>
      <w:r w:rsidRPr="00236418">
        <w:rPr>
          <w:sz w:val="24"/>
          <w:szCs w:val="24"/>
        </w:rPr>
        <w:br w:type="page"/>
      </w:r>
    </w:p>
    <w:p w14:paraId="252854BC" w14:textId="48027D10" w:rsidR="00DF6159" w:rsidRPr="00236418" w:rsidRDefault="00DF6159" w:rsidP="00081C96">
      <w:pPr>
        <w:pStyle w:val="Heading1"/>
        <w:spacing w:before="240" w:after="120"/>
        <w:rPr>
          <w:sz w:val="24"/>
          <w:szCs w:val="24"/>
        </w:rPr>
      </w:pPr>
      <w:bookmarkStart w:id="1589" w:name="_Toc41814956"/>
      <w:r w:rsidRPr="00236418">
        <w:rPr>
          <w:sz w:val="24"/>
          <w:szCs w:val="24"/>
        </w:rPr>
        <w:lastRenderedPageBreak/>
        <w:t>Note 12</w:t>
      </w:r>
      <w:r w:rsidRPr="00236418">
        <w:rPr>
          <w:sz w:val="24"/>
          <w:szCs w:val="24"/>
        </w:rPr>
        <w:tab/>
      </w:r>
      <w:bookmarkStart w:id="1590" w:name="_Toc268007546"/>
      <w:bookmarkStart w:id="1591" w:name="_Toc329178785"/>
      <w:bookmarkStart w:id="1592" w:name="_Toc329181758"/>
      <w:r w:rsidRPr="00236418">
        <w:rPr>
          <w:sz w:val="24"/>
          <w:szCs w:val="24"/>
        </w:rPr>
        <w:t>Immobilisations incorporelles</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
      </w:tblPr>
      <w:tblGrid>
        <w:gridCol w:w="4117"/>
        <w:gridCol w:w="1568"/>
        <w:gridCol w:w="1276"/>
        <w:gridCol w:w="1545"/>
        <w:gridCol w:w="1064"/>
      </w:tblGrid>
      <w:tr w:rsidR="00DF6159" w:rsidRPr="00236418" w14:paraId="769FAF1D" w14:textId="77777777" w:rsidTr="006538EB">
        <w:trPr>
          <w:trHeight w:val="554"/>
          <w:jc w:val="center"/>
        </w:trPr>
        <w:tc>
          <w:tcPr>
            <w:tcW w:w="4117" w:type="dxa"/>
            <w:vAlign w:val="center"/>
          </w:tcPr>
          <w:p w14:paraId="17476FD7"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Catégorie d'actifs</w:t>
            </w:r>
          </w:p>
        </w:tc>
        <w:tc>
          <w:tcPr>
            <w:tcW w:w="1568" w:type="dxa"/>
            <w:tcMar>
              <w:left w:w="57" w:type="dxa"/>
              <w:right w:w="57" w:type="dxa"/>
            </w:tcMar>
            <w:vAlign w:val="center"/>
          </w:tcPr>
          <w:p w14:paraId="2A9A3FC8"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Développements internes</w:t>
            </w:r>
          </w:p>
        </w:tc>
        <w:tc>
          <w:tcPr>
            <w:tcW w:w="1276" w:type="dxa"/>
            <w:vAlign w:val="center"/>
          </w:tcPr>
          <w:p w14:paraId="7A8DA9BA"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Logiciels</w:t>
            </w:r>
          </w:p>
        </w:tc>
        <w:tc>
          <w:tcPr>
            <w:tcW w:w="1545" w:type="dxa"/>
          </w:tcPr>
          <w:p w14:paraId="27B54F1D" w14:textId="199C4FE9"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 xml:space="preserve">Logiciels </w:t>
            </w:r>
            <w:r w:rsidR="00DC0009" w:rsidRPr="00236418">
              <w:rPr>
                <w:rFonts w:asciiTheme="minorHAnsi" w:hAnsiTheme="minorHAnsi"/>
                <w:sz w:val="20"/>
              </w:rPr>
              <w:t>–</w:t>
            </w:r>
            <w:r w:rsidRPr="00236418">
              <w:rPr>
                <w:rFonts w:asciiTheme="minorHAnsi" w:hAnsiTheme="minorHAnsi"/>
                <w:sz w:val="20"/>
              </w:rPr>
              <w:t xml:space="preserve"> Actif de faible valeur</w:t>
            </w:r>
          </w:p>
        </w:tc>
        <w:tc>
          <w:tcPr>
            <w:tcW w:w="1064" w:type="dxa"/>
            <w:vAlign w:val="center"/>
          </w:tcPr>
          <w:p w14:paraId="71A8DFD4"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Total</w:t>
            </w:r>
          </w:p>
        </w:tc>
      </w:tr>
      <w:tr w:rsidR="00DF6159" w:rsidRPr="00236418" w14:paraId="2FAC7957" w14:textId="77777777" w:rsidTr="00876480">
        <w:trPr>
          <w:trHeight w:val="282"/>
          <w:jc w:val="center"/>
        </w:trPr>
        <w:tc>
          <w:tcPr>
            <w:tcW w:w="4117" w:type="dxa"/>
            <w:tcBorders>
              <w:bottom w:val="single" w:sz="4" w:space="0" w:color="auto"/>
            </w:tcBorders>
          </w:tcPr>
          <w:p w14:paraId="670DE956" w14:textId="77777777" w:rsidR="00DF6159" w:rsidRPr="00236418" w:rsidRDefault="00DF6159" w:rsidP="00876480">
            <w:pPr>
              <w:pStyle w:val="Tabletext"/>
              <w:spacing w:before="0" w:after="0"/>
              <w:rPr>
                <w:rFonts w:asciiTheme="minorHAnsi" w:hAnsiTheme="minorHAnsi"/>
                <w:b/>
                <w:bCs/>
                <w:sz w:val="20"/>
                <w:lang w:eastAsia="fr-FR"/>
              </w:rPr>
            </w:pPr>
          </w:p>
        </w:tc>
        <w:tc>
          <w:tcPr>
            <w:tcW w:w="1568" w:type="dxa"/>
            <w:tcBorders>
              <w:bottom w:val="single" w:sz="4" w:space="0" w:color="auto"/>
            </w:tcBorders>
            <w:vAlign w:val="center"/>
          </w:tcPr>
          <w:p w14:paraId="1BBD878C" w14:textId="3A4D698B" w:rsidR="00DF6159" w:rsidRPr="00236418" w:rsidRDefault="00DF6159" w:rsidP="00876480">
            <w:pPr>
              <w:pStyle w:val="Tabletext"/>
              <w:spacing w:before="0" w:after="0"/>
              <w:jc w:val="center"/>
              <w:rPr>
                <w:rFonts w:asciiTheme="minorHAnsi" w:hAnsiTheme="minorHAnsi" w:cstheme="minorHAnsi"/>
                <w:b/>
                <w:bCs/>
                <w:sz w:val="20"/>
              </w:rPr>
            </w:pPr>
            <w:r w:rsidRPr="00236418">
              <w:rPr>
                <w:rFonts w:asciiTheme="minorHAnsi" w:hAnsiTheme="minorHAnsi" w:cstheme="minorHAnsi"/>
                <w:b/>
                <w:bCs/>
                <w:sz w:val="20"/>
              </w:rPr>
              <w:t>201</w:t>
            </w:r>
            <w:r w:rsidR="00DC0009" w:rsidRPr="00236418">
              <w:rPr>
                <w:rFonts w:asciiTheme="minorHAnsi" w:hAnsiTheme="minorHAnsi" w:cstheme="minorHAnsi"/>
                <w:b/>
                <w:bCs/>
                <w:sz w:val="20"/>
              </w:rPr>
              <w:t>9</w:t>
            </w:r>
          </w:p>
        </w:tc>
        <w:tc>
          <w:tcPr>
            <w:tcW w:w="1276" w:type="dxa"/>
            <w:tcBorders>
              <w:bottom w:val="single" w:sz="4" w:space="0" w:color="auto"/>
            </w:tcBorders>
            <w:vAlign w:val="center"/>
          </w:tcPr>
          <w:p w14:paraId="5105D0A3" w14:textId="380977D9" w:rsidR="00DF6159" w:rsidRPr="00236418" w:rsidRDefault="00DF6159" w:rsidP="00876480">
            <w:pPr>
              <w:pStyle w:val="Tabletext"/>
              <w:spacing w:before="0" w:after="0"/>
              <w:jc w:val="center"/>
              <w:rPr>
                <w:rFonts w:asciiTheme="minorHAnsi" w:hAnsiTheme="minorHAnsi" w:cstheme="minorHAnsi"/>
                <w:b/>
                <w:bCs/>
                <w:sz w:val="20"/>
              </w:rPr>
            </w:pPr>
            <w:r w:rsidRPr="00236418">
              <w:rPr>
                <w:rFonts w:asciiTheme="minorHAnsi" w:hAnsiTheme="minorHAnsi" w:cstheme="minorHAnsi"/>
                <w:b/>
                <w:bCs/>
                <w:sz w:val="20"/>
              </w:rPr>
              <w:t>201</w:t>
            </w:r>
            <w:r w:rsidR="00DC0009" w:rsidRPr="00236418">
              <w:rPr>
                <w:rFonts w:asciiTheme="minorHAnsi" w:hAnsiTheme="minorHAnsi" w:cstheme="minorHAnsi"/>
                <w:b/>
                <w:bCs/>
                <w:sz w:val="20"/>
              </w:rPr>
              <w:t>9</w:t>
            </w:r>
          </w:p>
        </w:tc>
        <w:tc>
          <w:tcPr>
            <w:tcW w:w="1545" w:type="dxa"/>
            <w:tcBorders>
              <w:bottom w:val="single" w:sz="4" w:space="0" w:color="auto"/>
            </w:tcBorders>
          </w:tcPr>
          <w:p w14:paraId="6721E1B1" w14:textId="7CF8E07B" w:rsidR="00DF6159" w:rsidRPr="00236418" w:rsidRDefault="00DF6159" w:rsidP="00876480">
            <w:pPr>
              <w:pStyle w:val="Tabletext"/>
              <w:spacing w:before="0" w:after="0"/>
              <w:jc w:val="right"/>
              <w:rPr>
                <w:rFonts w:asciiTheme="minorHAnsi" w:hAnsiTheme="minorHAnsi" w:cstheme="minorHAnsi"/>
                <w:b/>
                <w:bCs/>
                <w:sz w:val="20"/>
              </w:rPr>
            </w:pPr>
            <w:r w:rsidRPr="00236418">
              <w:rPr>
                <w:rFonts w:asciiTheme="minorHAnsi" w:hAnsiTheme="minorHAnsi" w:cstheme="minorHAnsi"/>
                <w:b/>
                <w:bCs/>
                <w:sz w:val="20"/>
              </w:rPr>
              <w:t>201</w:t>
            </w:r>
            <w:r w:rsidR="00DC0009" w:rsidRPr="00236418">
              <w:rPr>
                <w:rFonts w:asciiTheme="minorHAnsi" w:hAnsiTheme="minorHAnsi" w:cstheme="minorHAnsi"/>
                <w:b/>
                <w:bCs/>
                <w:sz w:val="20"/>
              </w:rPr>
              <w:t>9</w:t>
            </w:r>
          </w:p>
        </w:tc>
        <w:tc>
          <w:tcPr>
            <w:tcW w:w="1064" w:type="dxa"/>
            <w:tcBorders>
              <w:bottom w:val="single" w:sz="4" w:space="0" w:color="auto"/>
            </w:tcBorders>
            <w:vAlign w:val="center"/>
          </w:tcPr>
          <w:p w14:paraId="19DC3365" w14:textId="77777777" w:rsidR="00DF6159" w:rsidRPr="00236418" w:rsidRDefault="00DF6159" w:rsidP="00876480">
            <w:pPr>
              <w:pStyle w:val="Tabletext"/>
              <w:spacing w:before="0" w:after="0"/>
              <w:jc w:val="right"/>
              <w:rPr>
                <w:rFonts w:asciiTheme="minorHAnsi" w:hAnsiTheme="minorHAnsi" w:cstheme="minorHAnsi"/>
                <w:b/>
                <w:bCs/>
                <w:sz w:val="20"/>
              </w:rPr>
            </w:pPr>
          </w:p>
        </w:tc>
      </w:tr>
      <w:tr w:rsidR="00DC0009" w:rsidRPr="00236418" w14:paraId="512C4B85" w14:textId="77777777" w:rsidTr="00EB3373">
        <w:trPr>
          <w:trHeight w:val="296"/>
          <w:jc w:val="center"/>
        </w:trPr>
        <w:tc>
          <w:tcPr>
            <w:tcW w:w="4117" w:type="dxa"/>
            <w:tcBorders>
              <w:bottom w:val="single" w:sz="4" w:space="0" w:color="auto"/>
            </w:tcBorders>
          </w:tcPr>
          <w:p w14:paraId="06B7DBAC" w14:textId="77777777" w:rsidR="00DC0009" w:rsidRPr="00236418" w:rsidRDefault="00DC0009" w:rsidP="009B3D24">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Coût au 1er janvier </w:t>
            </w:r>
          </w:p>
        </w:tc>
        <w:tc>
          <w:tcPr>
            <w:tcW w:w="1568" w:type="dxa"/>
            <w:tcBorders>
              <w:bottom w:val="single" w:sz="4" w:space="0" w:color="auto"/>
            </w:tcBorders>
            <w:vAlign w:val="center"/>
          </w:tcPr>
          <w:p w14:paraId="5672F986" w14:textId="24D01A2C"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2</w:t>
            </w:r>
            <w:r w:rsidR="005E2A89" w:rsidRPr="00236418">
              <w:rPr>
                <w:rFonts w:cs="Calibri"/>
                <w:b/>
                <w:bCs/>
                <w:color w:val="000000"/>
                <w:szCs w:val="22"/>
                <w:lang w:eastAsia="en-GB"/>
              </w:rPr>
              <w:t xml:space="preserve"> </w:t>
            </w:r>
            <w:r w:rsidRPr="00236418">
              <w:rPr>
                <w:rFonts w:cs="Calibri"/>
                <w:b/>
                <w:bCs/>
                <w:color w:val="000000"/>
                <w:szCs w:val="22"/>
                <w:lang w:eastAsia="en-GB"/>
              </w:rPr>
              <w:t>860</w:t>
            </w:r>
          </w:p>
        </w:tc>
        <w:tc>
          <w:tcPr>
            <w:tcW w:w="1276" w:type="dxa"/>
            <w:tcBorders>
              <w:bottom w:val="single" w:sz="4" w:space="0" w:color="auto"/>
            </w:tcBorders>
            <w:vAlign w:val="center"/>
          </w:tcPr>
          <w:p w14:paraId="13DB71AF" w14:textId="3F6EC0B2"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6</w:t>
            </w:r>
            <w:r w:rsidR="005E2A89" w:rsidRPr="00236418">
              <w:rPr>
                <w:rFonts w:cs="Calibri"/>
                <w:b/>
                <w:bCs/>
                <w:color w:val="000000"/>
                <w:szCs w:val="22"/>
                <w:lang w:eastAsia="en-GB"/>
              </w:rPr>
              <w:t xml:space="preserve"> </w:t>
            </w:r>
            <w:r w:rsidRPr="00236418">
              <w:rPr>
                <w:rFonts w:cs="Calibri"/>
                <w:b/>
                <w:bCs/>
                <w:color w:val="000000"/>
                <w:szCs w:val="22"/>
                <w:lang w:eastAsia="en-GB"/>
              </w:rPr>
              <w:t>457</w:t>
            </w:r>
          </w:p>
        </w:tc>
        <w:tc>
          <w:tcPr>
            <w:tcW w:w="1545" w:type="dxa"/>
            <w:tcBorders>
              <w:bottom w:val="single" w:sz="4" w:space="0" w:color="auto"/>
            </w:tcBorders>
            <w:vAlign w:val="center"/>
          </w:tcPr>
          <w:p w14:paraId="64A4FE8B" w14:textId="6E88827E"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659</w:t>
            </w:r>
          </w:p>
        </w:tc>
        <w:tc>
          <w:tcPr>
            <w:tcW w:w="1064" w:type="dxa"/>
            <w:tcBorders>
              <w:bottom w:val="single" w:sz="4" w:space="0" w:color="auto"/>
            </w:tcBorders>
            <w:vAlign w:val="center"/>
          </w:tcPr>
          <w:p w14:paraId="28C60EA3" w14:textId="768924D5"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9</w:t>
            </w:r>
            <w:r w:rsidR="005E2A89" w:rsidRPr="00236418">
              <w:rPr>
                <w:rFonts w:cs="Calibri"/>
                <w:b/>
                <w:bCs/>
                <w:color w:val="000000"/>
                <w:szCs w:val="22"/>
                <w:lang w:eastAsia="en-GB"/>
              </w:rPr>
              <w:t xml:space="preserve"> </w:t>
            </w:r>
            <w:r w:rsidRPr="00236418">
              <w:rPr>
                <w:rFonts w:cs="Calibri"/>
                <w:b/>
                <w:bCs/>
                <w:color w:val="000000"/>
                <w:szCs w:val="22"/>
                <w:lang w:eastAsia="en-GB"/>
              </w:rPr>
              <w:t>975</w:t>
            </w:r>
          </w:p>
        </w:tc>
      </w:tr>
      <w:tr w:rsidR="00DC0009" w:rsidRPr="00236418" w14:paraId="2414BA58" w14:textId="77777777" w:rsidTr="00EB3373">
        <w:trPr>
          <w:trHeight w:val="287"/>
          <w:jc w:val="center"/>
        </w:trPr>
        <w:tc>
          <w:tcPr>
            <w:tcW w:w="4117" w:type="dxa"/>
            <w:tcBorders>
              <w:bottom w:val="nil"/>
            </w:tcBorders>
          </w:tcPr>
          <w:p w14:paraId="2B5A1206"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sz w:val="20"/>
                <w:lang w:eastAsia="fr-FR"/>
              </w:rPr>
              <w:t>Adjonctions</w:t>
            </w:r>
          </w:p>
        </w:tc>
        <w:tc>
          <w:tcPr>
            <w:tcW w:w="1568" w:type="dxa"/>
            <w:tcBorders>
              <w:bottom w:val="nil"/>
            </w:tcBorders>
          </w:tcPr>
          <w:p w14:paraId="39722874" w14:textId="3B456EF6"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471</w:t>
            </w:r>
          </w:p>
        </w:tc>
        <w:tc>
          <w:tcPr>
            <w:tcW w:w="1276" w:type="dxa"/>
            <w:tcBorders>
              <w:bottom w:val="nil"/>
            </w:tcBorders>
            <w:vAlign w:val="bottom"/>
          </w:tcPr>
          <w:p w14:paraId="6B86AD6D" w14:textId="1B605C0D"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301</w:t>
            </w:r>
          </w:p>
        </w:tc>
        <w:tc>
          <w:tcPr>
            <w:tcW w:w="1545" w:type="dxa"/>
            <w:tcBorders>
              <w:bottom w:val="nil"/>
            </w:tcBorders>
            <w:vAlign w:val="bottom"/>
          </w:tcPr>
          <w:p w14:paraId="28B80CC9" w14:textId="3D5879F8"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208</w:t>
            </w:r>
          </w:p>
        </w:tc>
        <w:tc>
          <w:tcPr>
            <w:tcW w:w="1064" w:type="dxa"/>
            <w:tcBorders>
              <w:bottom w:val="nil"/>
            </w:tcBorders>
            <w:vAlign w:val="bottom"/>
          </w:tcPr>
          <w:p w14:paraId="37CF3AEF" w14:textId="50F4A503"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980</w:t>
            </w:r>
          </w:p>
        </w:tc>
      </w:tr>
      <w:tr w:rsidR="00DC0009" w:rsidRPr="00236418" w14:paraId="1FF25023" w14:textId="77777777" w:rsidTr="00EB3373">
        <w:trPr>
          <w:trHeight w:val="296"/>
          <w:jc w:val="center"/>
        </w:trPr>
        <w:tc>
          <w:tcPr>
            <w:tcW w:w="4117" w:type="dxa"/>
            <w:tcBorders>
              <w:top w:val="nil"/>
              <w:bottom w:val="nil"/>
            </w:tcBorders>
          </w:tcPr>
          <w:p w14:paraId="4A3D7B70"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sz w:val="20"/>
                <w:lang w:eastAsia="fr-FR"/>
              </w:rPr>
              <w:t>Dons</w:t>
            </w:r>
          </w:p>
        </w:tc>
        <w:tc>
          <w:tcPr>
            <w:tcW w:w="1568" w:type="dxa"/>
            <w:tcBorders>
              <w:top w:val="nil"/>
              <w:bottom w:val="nil"/>
            </w:tcBorders>
          </w:tcPr>
          <w:p w14:paraId="33B55DBE" w14:textId="38CABC7E"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bottom w:val="nil"/>
            </w:tcBorders>
            <w:vAlign w:val="bottom"/>
          </w:tcPr>
          <w:p w14:paraId="4FDA04A2" w14:textId="54ADF0E9"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545" w:type="dxa"/>
            <w:tcBorders>
              <w:top w:val="nil"/>
              <w:bottom w:val="nil"/>
            </w:tcBorders>
            <w:vAlign w:val="bottom"/>
          </w:tcPr>
          <w:p w14:paraId="79F0A70B" w14:textId="2FFFEAE5"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064" w:type="dxa"/>
            <w:tcBorders>
              <w:top w:val="nil"/>
              <w:bottom w:val="nil"/>
            </w:tcBorders>
            <w:vAlign w:val="bottom"/>
          </w:tcPr>
          <w:p w14:paraId="20455C4A" w14:textId="3E7121DF"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p>
        </w:tc>
      </w:tr>
      <w:tr w:rsidR="00DC0009" w:rsidRPr="00236418" w14:paraId="08534C5E" w14:textId="77777777" w:rsidTr="00EB3373">
        <w:trPr>
          <w:trHeight w:val="296"/>
          <w:jc w:val="center"/>
        </w:trPr>
        <w:tc>
          <w:tcPr>
            <w:tcW w:w="4117" w:type="dxa"/>
            <w:tcBorders>
              <w:top w:val="nil"/>
              <w:bottom w:val="nil"/>
            </w:tcBorders>
          </w:tcPr>
          <w:p w14:paraId="2DF90C9B"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sz w:val="20"/>
                <w:lang w:eastAsia="fr-FR"/>
              </w:rPr>
              <w:t>Cessions</w:t>
            </w:r>
          </w:p>
        </w:tc>
        <w:tc>
          <w:tcPr>
            <w:tcW w:w="1568" w:type="dxa"/>
            <w:tcBorders>
              <w:top w:val="nil"/>
              <w:bottom w:val="nil"/>
            </w:tcBorders>
          </w:tcPr>
          <w:p w14:paraId="4665717F" w14:textId="6939C811"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bottom w:val="nil"/>
            </w:tcBorders>
            <w:vAlign w:val="bottom"/>
          </w:tcPr>
          <w:p w14:paraId="3CBFF126" w14:textId="494E75EA"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r w:rsidR="00DC0009" w:rsidRPr="00236418">
              <w:rPr>
                <w:rFonts w:cs="Calibri"/>
                <w:color w:val="000000"/>
                <w:szCs w:val="22"/>
                <w:lang w:eastAsia="en-GB"/>
              </w:rPr>
              <w:t>11</w:t>
            </w:r>
          </w:p>
        </w:tc>
        <w:tc>
          <w:tcPr>
            <w:tcW w:w="1545" w:type="dxa"/>
            <w:tcBorders>
              <w:top w:val="nil"/>
              <w:bottom w:val="nil"/>
            </w:tcBorders>
            <w:vAlign w:val="bottom"/>
          </w:tcPr>
          <w:p w14:paraId="2A931ABE" w14:textId="558C43D9"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r w:rsidR="00DC0009" w:rsidRPr="00236418">
              <w:rPr>
                <w:rFonts w:cs="Calibri"/>
                <w:color w:val="000000"/>
                <w:szCs w:val="22"/>
                <w:lang w:eastAsia="en-GB"/>
              </w:rPr>
              <w:t>151</w:t>
            </w:r>
          </w:p>
        </w:tc>
        <w:tc>
          <w:tcPr>
            <w:tcW w:w="1064" w:type="dxa"/>
            <w:tcBorders>
              <w:top w:val="nil"/>
              <w:bottom w:val="nil"/>
            </w:tcBorders>
            <w:vAlign w:val="bottom"/>
          </w:tcPr>
          <w:p w14:paraId="6875BFFD" w14:textId="1FDEB922"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r w:rsidR="00DC0009" w:rsidRPr="00236418">
              <w:rPr>
                <w:rFonts w:cs="Calibri"/>
                <w:color w:val="000000"/>
                <w:szCs w:val="22"/>
                <w:lang w:eastAsia="en-GB"/>
              </w:rPr>
              <w:t>162</w:t>
            </w:r>
          </w:p>
        </w:tc>
      </w:tr>
      <w:tr w:rsidR="00DC0009" w:rsidRPr="00236418" w14:paraId="0B2AEEBD" w14:textId="77777777" w:rsidTr="00EB3373">
        <w:trPr>
          <w:trHeight w:val="296"/>
          <w:jc w:val="center"/>
        </w:trPr>
        <w:tc>
          <w:tcPr>
            <w:tcW w:w="4117" w:type="dxa"/>
            <w:tcBorders>
              <w:top w:val="nil"/>
              <w:bottom w:val="nil"/>
            </w:tcBorders>
          </w:tcPr>
          <w:p w14:paraId="7EA5647F"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sz w:val="20"/>
                <w:lang w:eastAsia="fr-FR"/>
              </w:rPr>
              <w:t>Pertes de valeur</w:t>
            </w:r>
          </w:p>
        </w:tc>
        <w:tc>
          <w:tcPr>
            <w:tcW w:w="1568" w:type="dxa"/>
            <w:tcBorders>
              <w:top w:val="nil"/>
              <w:bottom w:val="nil"/>
            </w:tcBorders>
          </w:tcPr>
          <w:p w14:paraId="2A0D5EBD" w14:textId="35A3C4E9"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bottom w:val="nil"/>
            </w:tcBorders>
            <w:vAlign w:val="bottom"/>
          </w:tcPr>
          <w:p w14:paraId="5DF84336" w14:textId="66C5F4A9"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545" w:type="dxa"/>
            <w:tcBorders>
              <w:top w:val="nil"/>
              <w:bottom w:val="nil"/>
            </w:tcBorders>
            <w:vAlign w:val="bottom"/>
          </w:tcPr>
          <w:p w14:paraId="1837648F" w14:textId="5347E550"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064" w:type="dxa"/>
            <w:tcBorders>
              <w:top w:val="nil"/>
              <w:bottom w:val="nil"/>
            </w:tcBorders>
            <w:vAlign w:val="bottom"/>
          </w:tcPr>
          <w:p w14:paraId="201971AE" w14:textId="617E4980"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p>
        </w:tc>
      </w:tr>
      <w:tr w:rsidR="00DC0009" w:rsidRPr="00236418" w14:paraId="59B3AC31" w14:textId="77777777" w:rsidTr="00EB3373">
        <w:trPr>
          <w:trHeight w:val="296"/>
          <w:jc w:val="center"/>
        </w:trPr>
        <w:tc>
          <w:tcPr>
            <w:tcW w:w="4117" w:type="dxa"/>
            <w:tcBorders>
              <w:top w:val="nil"/>
              <w:bottom w:val="nil"/>
            </w:tcBorders>
          </w:tcPr>
          <w:p w14:paraId="091589ED"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cs="Arial"/>
                <w:color w:val="000000"/>
                <w:sz w:val="20"/>
              </w:rPr>
              <w:t>Reclassements et corrections</w:t>
            </w:r>
          </w:p>
        </w:tc>
        <w:tc>
          <w:tcPr>
            <w:tcW w:w="1568" w:type="dxa"/>
            <w:tcBorders>
              <w:top w:val="nil"/>
              <w:bottom w:val="nil"/>
            </w:tcBorders>
          </w:tcPr>
          <w:p w14:paraId="1A590498" w14:textId="2DB77246"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21</w:t>
            </w:r>
          </w:p>
        </w:tc>
        <w:tc>
          <w:tcPr>
            <w:tcW w:w="1276" w:type="dxa"/>
            <w:tcBorders>
              <w:top w:val="nil"/>
              <w:bottom w:val="nil"/>
            </w:tcBorders>
            <w:vAlign w:val="bottom"/>
          </w:tcPr>
          <w:p w14:paraId="6411F73C" w14:textId="7256C47A"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545" w:type="dxa"/>
            <w:tcBorders>
              <w:top w:val="nil"/>
              <w:bottom w:val="nil"/>
            </w:tcBorders>
            <w:vAlign w:val="bottom"/>
          </w:tcPr>
          <w:p w14:paraId="2046A598" w14:textId="6E947D7A"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2</w:t>
            </w:r>
          </w:p>
        </w:tc>
        <w:tc>
          <w:tcPr>
            <w:tcW w:w="1064" w:type="dxa"/>
            <w:tcBorders>
              <w:top w:val="nil"/>
              <w:bottom w:val="nil"/>
            </w:tcBorders>
            <w:vAlign w:val="bottom"/>
          </w:tcPr>
          <w:p w14:paraId="514B882B" w14:textId="7A6B6110"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23</w:t>
            </w:r>
          </w:p>
        </w:tc>
      </w:tr>
      <w:tr w:rsidR="00DC0009" w:rsidRPr="00236418" w14:paraId="11A09FCA" w14:textId="77777777" w:rsidTr="00EB3373">
        <w:trPr>
          <w:trHeight w:val="296"/>
          <w:jc w:val="center"/>
        </w:trPr>
        <w:tc>
          <w:tcPr>
            <w:tcW w:w="4117" w:type="dxa"/>
            <w:tcBorders>
              <w:top w:val="nil"/>
            </w:tcBorders>
          </w:tcPr>
          <w:p w14:paraId="5CE1B415"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cs="Arial"/>
                <w:color w:val="000000"/>
                <w:sz w:val="20"/>
              </w:rPr>
              <w:t>Réévaluations</w:t>
            </w:r>
          </w:p>
        </w:tc>
        <w:tc>
          <w:tcPr>
            <w:tcW w:w="1568" w:type="dxa"/>
            <w:tcBorders>
              <w:top w:val="nil"/>
            </w:tcBorders>
          </w:tcPr>
          <w:p w14:paraId="59C67320" w14:textId="3B5F9846"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tcBorders>
            <w:vAlign w:val="bottom"/>
          </w:tcPr>
          <w:p w14:paraId="2D3B893D" w14:textId="5D618E4B"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545" w:type="dxa"/>
            <w:tcBorders>
              <w:top w:val="nil"/>
            </w:tcBorders>
            <w:vAlign w:val="bottom"/>
          </w:tcPr>
          <w:p w14:paraId="600CB13D" w14:textId="029CBD6C"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064" w:type="dxa"/>
            <w:tcBorders>
              <w:top w:val="nil"/>
            </w:tcBorders>
            <w:vAlign w:val="bottom"/>
          </w:tcPr>
          <w:p w14:paraId="61F86752" w14:textId="798B06AB"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p>
        </w:tc>
      </w:tr>
      <w:tr w:rsidR="00DC0009" w:rsidRPr="00236418" w14:paraId="5798A956" w14:textId="77777777" w:rsidTr="00876480">
        <w:trPr>
          <w:trHeight w:val="296"/>
          <w:jc w:val="center"/>
        </w:trPr>
        <w:tc>
          <w:tcPr>
            <w:tcW w:w="4117" w:type="dxa"/>
            <w:vAlign w:val="center"/>
          </w:tcPr>
          <w:p w14:paraId="5A1ECA8B" w14:textId="77777777" w:rsidR="00DC0009" w:rsidRPr="00236418" w:rsidRDefault="00DC0009" w:rsidP="00876480">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Coût au 31 décembre </w:t>
            </w:r>
          </w:p>
        </w:tc>
        <w:tc>
          <w:tcPr>
            <w:tcW w:w="1568" w:type="dxa"/>
            <w:vAlign w:val="center"/>
          </w:tcPr>
          <w:p w14:paraId="6A4D1F3E" w14:textId="6D42765E" w:rsidR="00DC0009" w:rsidRPr="00236418" w:rsidRDefault="00DC0009" w:rsidP="00876480">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3</w:t>
            </w:r>
            <w:r w:rsidR="005E2A89" w:rsidRPr="00236418">
              <w:rPr>
                <w:rFonts w:cs="Calibri"/>
                <w:b/>
                <w:bCs/>
                <w:color w:val="000000"/>
                <w:szCs w:val="22"/>
                <w:lang w:eastAsia="en-GB"/>
              </w:rPr>
              <w:t xml:space="preserve"> </w:t>
            </w:r>
            <w:r w:rsidRPr="00236418">
              <w:rPr>
                <w:rFonts w:cs="Calibri"/>
                <w:b/>
                <w:bCs/>
                <w:color w:val="000000"/>
                <w:szCs w:val="22"/>
                <w:lang w:eastAsia="en-GB"/>
              </w:rPr>
              <w:t>351</w:t>
            </w:r>
          </w:p>
        </w:tc>
        <w:tc>
          <w:tcPr>
            <w:tcW w:w="1276" w:type="dxa"/>
            <w:vAlign w:val="center"/>
          </w:tcPr>
          <w:p w14:paraId="2BB48B2E" w14:textId="1E18EF72" w:rsidR="00DC0009" w:rsidRPr="00236418" w:rsidRDefault="00DC0009" w:rsidP="00876480">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6</w:t>
            </w:r>
            <w:r w:rsidR="005E2A89" w:rsidRPr="00236418">
              <w:rPr>
                <w:rFonts w:cs="Calibri"/>
                <w:b/>
                <w:bCs/>
                <w:color w:val="000000"/>
                <w:szCs w:val="22"/>
                <w:lang w:eastAsia="en-GB"/>
              </w:rPr>
              <w:t xml:space="preserve"> </w:t>
            </w:r>
            <w:r w:rsidRPr="00236418">
              <w:rPr>
                <w:rFonts w:cs="Calibri"/>
                <w:b/>
                <w:bCs/>
                <w:color w:val="000000"/>
                <w:szCs w:val="22"/>
                <w:lang w:eastAsia="en-GB"/>
              </w:rPr>
              <w:t>746</w:t>
            </w:r>
          </w:p>
        </w:tc>
        <w:tc>
          <w:tcPr>
            <w:tcW w:w="1545" w:type="dxa"/>
            <w:vAlign w:val="center"/>
          </w:tcPr>
          <w:p w14:paraId="484C2EA4" w14:textId="500D3EF7" w:rsidR="00DC0009" w:rsidRPr="00236418" w:rsidRDefault="00DC0009" w:rsidP="00876480">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718</w:t>
            </w:r>
          </w:p>
        </w:tc>
        <w:tc>
          <w:tcPr>
            <w:tcW w:w="1064" w:type="dxa"/>
            <w:vAlign w:val="center"/>
          </w:tcPr>
          <w:p w14:paraId="2DA615A2" w14:textId="7DB8077D" w:rsidR="00DC0009" w:rsidRPr="00236418" w:rsidRDefault="00DC0009" w:rsidP="00876480">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10</w:t>
            </w:r>
            <w:r w:rsidR="005E2A89" w:rsidRPr="00236418">
              <w:rPr>
                <w:rFonts w:cs="Calibri"/>
                <w:b/>
                <w:bCs/>
                <w:color w:val="000000"/>
                <w:szCs w:val="22"/>
                <w:lang w:eastAsia="en-GB"/>
              </w:rPr>
              <w:t xml:space="preserve"> </w:t>
            </w:r>
            <w:r w:rsidRPr="00236418">
              <w:rPr>
                <w:rFonts w:cs="Calibri"/>
                <w:b/>
                <w:bCs/>
                <w:color w:val="000000"/>
                <w:szCs w:val="22"/>
                <w:lang w:eastAsia="en-GB"/>
              </w:rPr>
              <w:t>815</w:t>
            </w:r>
          </w:p>
        </w:tc>
      </w:tr>
      <w:tr w:rsidR="00DC0009" w:rsidRPr="00236418" w14:paraId="42BAD055" w14:textId="77777777" w:rsidTr="00EB3373">
        <w:trPr>
          <w:trHeight w:val="287"/>
          <w:jc w:val="center"/>
        </w:trPr>
        <w:tc>
          <w:tcPr>
            <w:tcW w:w="4117" w:type="dxa"/>
            <w:tcBorders>
              <w:bottom w:val="single" w:sz="4" w:space="0" w:color="auto"/>
            </w:tcBorders>
          </w:tcPr>
          <w:p w14:paraId="16A53F02" w14:textId="77777777" w:rsidR="00DC0009" w:rsidRPr="00236418" w:rsidRDefault="00DC0009" w:rsidP="009B3D24">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 xml:space="preserve">Amortissement au 1er janvier </w:t>
            </w:r>
          </w:p>
        </w:tc>
        <w:tc>
          <w:tcPr>
            <w:tcW w:w="1568" w:type="dxa"/>
            <w:tcBorders>
              <w:bottom w:val="single" w:sz="4" w:space="0" w:color="auto"/>
            </w:tcBorders>
            <w:vAlign w:val="center"/>
          </w:tcPr>
          <w:p w14:paraId="5C6EDF61" w14:textId="5B79842B"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1</w:t>
            </w:r>
            <w:r w:rsidR="005E2A89" w:rsidRPr="00236418">
              <w:rPr>
                <w:rFonts w:cs="Calibri"/>
                <w:b/>
                <w:bCs/>
                <w:color w:val="000000"/>
                <w:szCs w:val="22"/>
                <w:lang w:eastAsia="en-GB"/>
              </w:rPr>
              <w:t xml:space="preserve"> </w:t>
            </w:r>
            <w:r w:rsidRPr="00236418">
              <w:rPr>
                <w:rFonts w:cs="Calibri"/>
                <w:b/>
                <w:bCs/>
                <w:color w:val="000000"/>
                <w:szCs w:val="22"/>
                <w:lang w:eastAsia="en-GB"/>
              </w:rPr>
              <w:t>688</w:t>
            </w:r>
          </w:p>
        </w:tc>
        <w:tc>
          <w:tcPr>
            <w:tcW w:w="1276" w:type="dxa"/>
            <w:tcBorders>
              <w:bottom w:val="single" w:sz="4" w:space="0" w:color="auto"/>
            </w:tcBorders>
            <w:vAlign w:val="center"/>
          </w:tcPr>
          <w:p w14:paraId="247C7A29" w14:textId="29FE3A1F"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5</w:t>
            </w:r>
            <w:r w:rsidR="005E2A89" w:rsidRPr="00236418">
              <w:rPr>
                <w:rFonts w:cs="Calibri"/>
                <w:b/>
                <w:bCs/>
                <w:color w:val="000000"/>
                <w:szCs w:val="22"/>
                <w:lang w:eastAsia="en-GB"/>
              </w:rPr>
              <w:t xml:space="preserve"> </w:t>
            </w:r>
            <w:r w:rsidRPr="00236418">
              <w:rPr>
                <w:rFonts w:cs="Calibri"/>
                <w:b/>
                <w:bCs/>
                <w:color w:val="000000"/>
                <w:szCs w:val="22"/>
                <w:lang w:eastAsia="en-GB"/>
              </w:rPr>
              <w:t>570</w:t>
            </w:r>
          </w:p>
        </w:tc>
        <w:tc>
          <w:tcPr>
            <w:tcW w:w="1545" w:type="dxa"/>
            <w:tcBorders>
              <w:bottom w:val="single" w:sz="4" w:space="0" w:color="auto"/>
            </w:tcBorders>
            <w:vAlign w:val="center"/>
          </w:tcPr>
          <w:p w14:paraId="56673C47" w14:textId="470B8045"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659</w:t>
            </w:r>
          </w:p>
        </w:tc>
        <w:tc>
          <w:tcPr>
            <w:tcW w:w="1064" w:type="dxa"/>
            <w:tcBorders>
              <w:bottom w:val="single" w:sz="4" w:space="0" w:color="auto"/>
            </w:tcBorders>
            <w:vAlign w:val="center"/>
          </w:tcPr>
          <w:p w14:paraId="51805146" w14:textId="608CDB2A"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7</w:t>
            </w:r>
            <w:r w:rsidR="005E2A89" w:rsidRPr="00236418">
              <w:rPr>
                <w:rFonts w:cs="Calibri"/>
                <w:b/>
                <w:bCs/>
                <w:color w:val="000000"/>
                <w:szCs w:val="22"/>
                <w:lang w:eastAsia="en-GB"/>
              </w:rPr>
              <w:t xml:space="preserve"> </w:t>
            </w:r>
            <w:r w:rsidRPr="00236418">
              <w:rPr>
                <w:rFonts w:cs="Calibri"/>
                <w:b/>
                <w:bCs/>
                <w:color w:val="000000"/>
                <w:szCs w:val="22"/>
                <w:lang w:eastAsia="en-GB"/>
              </w:rPr>
              <w:t>917</w:t>
            </w:r>
          </w:p>
        </w:tc>
      </w:tr>
      <w:tr w:rsidR="00DC0009" w:rsidRPr="00236418" w14:paraId="4B6E1BDA" w14:textId="77777777" w:rsidTr="00EB3373">
        <w:trPr>
          <w:trHeight w:val="296"/>
          <w:jc w:val="center"/>
        </w:trPr>
        <w:tc>
          <w:tcPr>
            <w:tcW w:w="4117" w:type="dxa"/>
            <w:tcBorders>
              <w:bottom w:val="nil"/>
            </w:tcBorders>
          </w:tcPr>
          <w:p w14:paraId="13D727EB"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sz w:val="20"/>
                <w:lang w:eastAsia="fr-FR"/>
              </w:rPr>
              <w:t>Imputés au cours de l'année</w:t>
            </w:r>
          </w:p>
        </w:tc>
        <w:tc>
          <w:tcPr>
            <w:tcW w:w="1568" w:type="dxa"/>
            <w:tcBorders>
              <w:bottom w:val="nil"/>
            </w:tcBorders>
          </w:tcPr>
          <w:p w14:paraId="40233072" w14:textId="56979B94"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507</w:t>
            </w:r>
          </w:p>
        </w:tc>
        <w:tc>
          <w:tcPr>
            <w:tcW w:w="1276" w:type="dxa"/>
            <w:tcBorders>
              <w:bottom w:val="nil"/>
            </w:tcBorders>
            <w:vAlign w:val="bottom"/>
          </w:tcPr>
          <w:p w14:paraId="21066998" w14:textId="46548962"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450</w:t>
            </w:r>
          </w:p>
        </w:tc>
        <w:tc>
          <w:tcPr>
            <w:tcW w:w="1545" w:type="dxa"/>
            <w:tcBorders>
              <w:bottom w:val="nil"/>
            </w:tcBorders>
            <w:vAlign w:val="bottom"/>
          </w:tcPr>
          <w:p w14:paraId="0E0DC071" w14:textId="2A1B1C41"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210</w:t>
            </w:r>
          </w:p>
        </w:tc>
        <w:tc>
          <w:tcPr>
            <w:tcW w:w="1064" w:type="dxa"/>
            <w:tcBorders>
              <w:bottom w:val="nil"/>
            </w:tcBorders>
            <w:vAlign w:val="bottom"/>
          </w:tcPr>
          <w:p w14:paraId="409C68D2" w14:textId="0F2F4738"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1</w:t>
            </w:r>
            <w:r w:rsidR="005E2A89" w:rsidRPr="00236418">
              <w:rPr>
                <w:rFonts w:cs="Calibri"/>
                <w:color w:val="000000"/>
                <w:szCs w:val="22"/>
                <w:lang w:eastAsia="en-GB"/>
              </w:rPr>
              <w:t xml:space="preserve"> </w:t>
            </w:r>
            <w:r w:rsidRPr="00236418">
              <w:rPr>
                <w:rFonts w:cs="Calibri"/>
                <w:color w:val="000000"/>
                <w:szCs w:val="22"/>
                <w:lang w:eastAsia="en-GB"/>
              </w:rPr>
              <w:t>167</w:t>
            </w:r>
          </w:p>
        </w:tc>
      </w:tr>
      <w:tr w:rsidR="00DC0009" w:rsidRPr="00236418" w14:paraId="6CD0A905" w14:textId="77777777" w:rsidTr="00EB3373">
        <w:trPr>
          <w:trHeight w:val="296"/>
          <w:jc w:val="center"/>
        </w:trPr>
        <w:tc>
          <w:tcPr>
            <w:tcW w:w="4117" w:type="dxa"/>
            <w:tcBorders>
              <w:top w:val="nil"/>
              <w:bottom w:val="nil"/>
            </w:tcBorders>
          </w:tcPr>
          <w:p w14:paraId="5A2F52AF"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cs="Arial"/>
                <w:color w:val="000000"/>
                <w:sz w:val="20"/>
              </w:rPr>
              <w:t>Cessions</w:t>
            </w:r>
          </w:p>
        </w:tc>
        <w:tc>
          <w:tcPr>
            <w:tcW w:w="1568" w:type="dxa"/>
            <w:tcBorders>
              <w:top w:val="nil"/>
              <w:bottom w:val="nil"/>
            </w:tcBorders>
          </w:tcPr>
          <w:p w14:paraId="6483F144" w14:textId="532831B6"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bottom w:val="nil"/>
            </w:tcBorders>
            <w:vAlign w:val="bottom"/>
          </w:tcPr>
          <w:p w14:paraId="34CBBAE9" w14:textId="5B6F30AD"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r w:rsidR="00DC0009" w:rsidRPr="00236418">
              <w:rPr>
                <w:rFonts w:cs="Calibri"/>
                <w:color w:val="000000"/>
                <w:szCs w:val="22"/>
                <w:lang w:eastAsia="en-GB"/>
              </w:rPr>
              <w:t>4</w:t>
            </w:r>
          </w:p>
        </w:tc>
        <w:tc>
          <w:tcPr>
            <w:tcW w:w="1545" w:type="dxa"/>
            <w:tcBorders>
              <w:top w:val="nil"/>
              <w:bottom w:val="nil"/>
            </w:tcBorders>
            <w:vAlign w:val="bottom"/>
          </w:tcPr>
          <w:p w14:paraId="06CE4421" w14:textId="0CB52CDB"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r w:rsidR="00DC0009" w:rsidRPr="00236418">
              <w:rPr>
                <w:rFonts w:cs="Calibri"/>
                <w:color w:val="000000"/>
                <w:szCs w:val="22"/>
                <w:lang w:eastAsia="en-GB"/>
              </w:rPr>
              <w:t>151</w:t>
            </w:r>
          </w:p>
        </w:tc>
        <w:tc>
          <w:tcPr>
            <w:tcW w:w="1064" w:type="dxa"/>
            <w:tcBorders>
              <w:top w:val="nil"/>
              <w:bottom w:val="nil"/>
            </w:tcBorders>
            <w:vAlign w:val="bottom"/>
          </w:tcPr>
          <w:p w14:paraId="32186468" w14:textId="08519012"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r w:rsidR="00DC0009" w:rsidRPr="00236418">
              <w:rPr>
                <w:rFonts w:cs="Calibri"/>
                <w:color w:val="000000"/>
                <w:szCs w:val="22"/>
                <w:lang w:eastAsia="en-GB"/>
              </w:rPr>
              <w:t>15</w:t>
            </w:r>
            <w:r w:rsidRPr="00236418">
              <w:rPr>
                <w:rFonts w:cs="Calibri"/>
                <w:color w:val="000000"/>
                <w:szCs w:val="22"/>
                <w:lang w:eastAsia="en-GB"/>
              </w:rPr>
              <w:t>5</w:t>
            </w:r>
          </w:p>
        </w:tc>
      </w:tr>
      <w:tr w:rsidR="00DC0009" w:rsidRPr="00236418" w14:paraId="199CB350" w14:textId="77777777" w:rsidTr="00EB3373">
        <w:trPr>
          <w:trHeight w:val="296"/>
          <w:jc w:val="center"/>
        </w:trPr>
        <w:tc>
          <w:tcPr>
            <w:tcW w:w="4117" w:type="dxa"/>
            <w:tcBorders>
              <w:top w:val="nil"/>
              <w:bottom w:val="nil"/>
            </w:tcBorders>
          </w:tcPr>
          <w:p w14:paraId="1BF10A59"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cs="Arial"/>
                <w:color w:val="000000"/>
                <w:sz w:val="20"/>
              </w:rPr>
              <w:t>Pertes de valeur</w:t>
            </w:r>
          </w:p>
        </w:tc>
        <w:tc>
          <w:tcPr>
            <w:tcW w:w="1568" w:type="dxa"/>
            <w:tcBorders>
              <w:top w:val="nil"/>
              <w:bottom w:val="nil"/>
            </w:tcBorders>
          </w:tcPr>
          <w:p w14:paraId="0926B09B" w14:textId="4809DF1C"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bottom w:val="nil"/>
            </w:tcBorders>
            <w:vAlign w:val="bottom"/>
          </w:tcPr>
          <w:p w14:paraId="2C51ED99" w14:textId="3DC1232B"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545" w:type="dxa"/>
            <w:tcBorders>
              <w:top w:val="nil"/>
              <w:bottom w:val="nil"/>
            </w:tcBorders>
            <w:vAlign w:val="bottom"/>
          </w:tcPr>
          <w:p w14:paraId="5E14BE67" w14:textId="356EF4F9"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064" w:type="dxa"/>
            <w:tcBorders>
              <w:top w:val="nil"/>
              <w:bottom w:val="nil"/>
            </w:tcBorders>
            <w:vAlign w:val="bottom"/>
          </w:tcPr>
          <w:p w14:paraId="5CD95B9E" w14:textId="364FF1A7"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p>
        </w:tc>
      </w:tr>
      <w:tr w:rsidR="00DC0009" w:rsidRPr="00236418" w14:paraId="1B538022" w14:textId="77777777" w:rsidTr="00EB3373">
        <w:trPr>
          <w:trHeight w:val="296"/>
          <w:jc w:val="center"/>
        </w:trPr>
        <w:tc>
          <w:tcPr>
            <w:tcW w:w="4117" w:type="dxa"/>
            <w:tcBorders>
              <w:top w:val="nil"/>
              <w:bottom w:val="nil"/>
            </w:tcBorders>
          </w:tcPr>
          <w:p w14:paraId="2B97C1A8"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cs="Arial"/>
                <w:color w:val="000000"/>
                <w:sz w:val="20"/>
              </w:rPr>
              <w:t>Reclassements et corrections</w:t>
            </w:r>
          </w:p>
        </w:tc>
        <w:tc>
          <w:tcPr>
            <w:tcW w:w="1568" w:type="dxa"/>
            <w:tcBorders>
              <w:top w:val="nil"/>
              <w:bottom w:val="nil"/>
            </w:tcBorders>
          </w:tcPr>
          <w:p w14:paraId="77ED0958" w14:textId="58DE137B"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bottom w:val="nil"/>
            </w:tcBorders>
            <w:vAlign w:val="bottom"/>
          </w:tcPr>
          <w:p w14:paraId="5B8C6177" w14:textId="5A9E3C7C"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545" w:type="dxa"/>
            <w:tcBorders>
              <w:top w:val="nil"/>
              <w:bottom w:val="nil"/>
            </w:tcBorders>
            <w:vAlign w:val="bottom"/>
          </w:tcPr>
          <w:p w14:paraId="3383ECAC" w14:textId="038342FB"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064" w:type="dxa"/>
            <w:tcBorders>
              <w:top w:val="nil"/>
              <w:bottom w:val="nil"/>
            </w:tcBorders>
            <w:vAlign w:val="bottom"/>
          </w:tcPr>
          <w:p w14:paraId="671B3F2D" w14:textId="0987B5A3"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p>
        </w:tc>
      </w:tr>
      <w:tr w:rsidR="00DC0009" w:rsidRPr="00236418" w14:paraId="29A6EA55" w14:textId="77777777" w:rsidTr="00EB3373">
        <w:trPr>
          <w:trHeight w:val="296"/>
          <w:jc w:val="center"/>
        </w:trPr>
        <w:tc>
          <w:tcPr>
            <w:tcW w:w="4117" w:type="dxa"/>
            <w:tcBorders>
              <w:top w:val="nil"/>
            </w:tcBorders>
          </w:tcPr>
          <w:p w14:paraId="6D676992" w14:textId="77777777" w:rsidR="00DC0009" w:rsidRPr="00236418" w:rsidRDefault="00DC0009" w:rsidP="009B3D24">
            <w:pPr>
              <w:pStyle w:val="Tabletext"/>
              <w:spacing w:before="0" w:after="0"/>
              <w:rPr>
                <w:rFonts w:asciiTheme="minorHAnsi" w:hAnsiTheme="minorHAnsi"/>
                <w:sz w:val="20"/>
                <w:lang w:eastAsia="fr-FR"/>
              </w:rPr>
            </w:pPr>
            <w:r w:rsidRPr="00236418">
              <w:rPr>
                <w:rFonts w:asciiTheme="minorHAnsi" w:hAnsiTheme="minorHAnsi" w:cs="Arial"/>
                <w:color w:val="000000"/>
                <w:sz w:val="20"/>
              </w:rPr>
              <w:t>Réévaluations</w:t>
            </w:r>
          </w:p>
        </w:tc>
        <w:tc>
          <w:tcPr>
            <w:tcW w:w="1568" w:type="dxa"/>
            <w:tcBorders>
              <w:top w:val="nil"/>
            </w:tcBorders>
          </w:tcPr>
          <w:p w14:paraId="334A0259" w14:textId="7F098FEE"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276" w:type="dxa"/>
            <w:tcBorders>
              <w:top w:val="nil"/>
            </w:tcBorders>
            <w:vAlign w:val="bottom"/>
          </w:tcPr>
          <w:p w14:paraId="3948D0FF" w14:textId="2CE392E0"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545" w:type="dxa"/>
            <w:tcBorders>
              <w:top w:val="nil"/>
            </w:tcBorders>
            <w:vAlign w:val="bottom"/>
          </w:tcPr>
          <w:p w14:paraId="3986971C" w14:textId="31866721" w:rsidR="00DC0009" w:rsidRPr="00236418" w:rsidRDefault="00DC000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 </w:t>
            </w:r>
          </w:p>
        </w:tc>
        <w:tc>
          <w:tcPr>
            <w:tcW w:w="1064" w:type="dxa"/>
            <w:tcBorders>
              <w:top w:val="nil"/>
            </w:tcBorders>
            <w:vAlign w:val="bottom"/>
          </w:tcPr>
          <w:p w14:paraId="7B5FEA28" w14:textId="77CA7FFC" w:rsidR="00DC0009" w:rsidRPr="00236418" w:rsidRDefault="005E2A89" w:rsidP="009B3D24">
            <w:pPr>
              <w:pStyle w:val="Tabletext"/>
              <w:spacing w:before="0" w:after="0"/>
              <w:jc w:val="right"/>
              <w:rPr>
                <w:rFonts w:asciiTheme="minorHAnsi" w:hAnsiTheme="minorHAnsi"/>
                <w:sz w:val="20"/>
                <w:lang w:eastAsia="fr-FR"/>
              </w:rPr>
            </w:pPr>
            <w:r w:rsidRPr="00236418">
              <w:rPr>
                <w:rFonts w:cs="Calibri"/>
                <w:color w:val="000000"/>
                <w:szCs w:val="22"/>
                <w:lang w:eastAsia="en-GB"/>
              </w:rPr>
              <w:t>–</w:t>
            </w:r>
          </w:p>
        </w:tc>
      </w:tr>
      <w:tr w:rsidR="00DC0009" w:rsidRPr="00236418" w14:paraId="5E2A6C6C" w14:textId="77777777" w:rsidTr="00EB3373">
        <w:trPr>
          <w:trHeight w:val="296"/>
          <w:jc w:val="center"/>
        </w:trPr>
        <w:tc>
          <w:tcPr>
            <w:tcW w:w="4117" w:type="dxa"/>
          </w:tcPr>
          <w:p w14:paraId="037884A4" w14:textId="77777777" w:rsidR="00DC0009" w:rsidRPr="00236418" w:rsidRDefault="00DC0009" w:rsidP="009B3D24">
            <w:pPr>
              <w:pStyle w:val="Tabletext"/>
              <w:spacing w:before="0" w:after="0"/>
              <w:rPr>
                <w:rFonts w:asciiTheme="minorHAnsi" w:hAnsiTheme="minorHAnsi"/>
                <w:b/>
                <w:bCs/>
                <w:sz w:val="20"/>
                <w:lang w:eastAsia="fr-FR"/>
              </w:rPr>
            </w:pPr>
            <w:r w:rsidRPr="00236418">
              <w:rPr>
                <w:rFonts w:asciiTheme="minorHAnsi" w:hAnsiTheme="minorHAnsi"/>
                <w:b/>
                <w:bCs/>
                <w:sz w:val="20"/>
                <w:lang w:eastAsia="fr-FR"/>
              </w:rPr>
              <w:t>Amortissement au 31 décembre</w:t>
            </w:r>
          </w:p>
        </w:tc>
        <w:tc>
          <w:tcPr>
            <w:tcW w:w="1568" w:type="dxa"/>
            <w:vAlign w:val="center"/>
          </w:tcPr>
          <w:p w14:paraId="41853F2D" w14:textId="7B641F55"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2</w:t>
            </w:r>
            <w:r w:rsidR="005E2A89" w:rsidRPr="00236418">
              <w:rPr>
                <w:rFonts w:cs="Calibri"/>
                <w:b/>
                <w:bCs/>
                <w:color w:val="000000"/>
                <w:szCs w:val="22"/>
                <w:lang w:eastAsia="en-GB"/>
              </w:rPr>
              <w:t xml:space="preserve"> </w:t>
            </w:r>
            <w:r w:rsidRPr="00236418">
              <w:rPr>
                <w:rFonts w:cs="Calibri"/>
                <w:b/>
                <w:bCs/>
                <w:color w:val="000000"/>
                <w:szCs w:val="22"/>
                <w:lang w:eastAsia="en-GB"/>
              </w:rPr>
              <w:t>195</w:t>
            </w:r>
          </w:p>
        </w:tc>
        <w:tc>
          <w:tcPr>
            <w:tcW w:w="1276" w:type="dxa"/>
            <w:vAlign w:val="center"/>
          </w:tcPr>
          <w:p w14:paraId="2FD572A5" w14:textId="4556C8DE"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6</w:t>
            </w:r>
            <w:r w:rsidR="005E2A89" w:rsidRPr="00236418">
              <w:rPr>
                <w:rFonts w:cs="Calibri"/>
                <w:b/>
                <w:bCs/>
                <w:color w:val="000000"/>
                <w:szCs w:val="22"/>
                <w:lang w:eastAsia="en-GB"/>
              </w:rPr>
              <w:t xml:space="preserve"> </w:t>
            </w:r>
            <w:r w:rsidRPr="00236418">
              <w:rPr>
                <w:rFonts w:cs="Calibri"/>
                <w:b/>
                <w:bCs/>
                <w:color w:val="000000"/>
                <w:szCs w:val="22"/>
                <w:lang w:eastAsia="en-GB"/>
              </w:rPr>
              <w:t>016</w:t>
            </w:r>
          </w:p>
        </w:tc>
        <w:tc>
          <w:tcPr>
            <w:tcW w:w="1545" w:type="dxa"/>
            <w:vAlign w:val="center"/>
          </w:tcPr>
          <w:p w14:paraId="2A9C00DB" w14:textId="4F278460"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718</w:t>
            </w:r>
          </w:p>
        </w:tc>
        <w:tc>
          <w:tcPr>
            <w:tcW w:w="1064" w:type="dxa"/>
            <w:vAlign w:val="center"/>
          </w:tcPr>
          <w:p w14:paraId="3DD98E07" w14:textId="0C38811E"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8</w:t>
            </w:r>
            <w:r w:rsidR="005E2A89" w:rsidRPr="00236418">
              <w:rPr>
                <w:rFonts w:cs="Calibri"/>
                <w:b/>
                <w:bCs/>
                <w:color w:val="000000"/>
                <w:szCs w:val="22"/>
                <w:lang w:eastAsia="en-GB"/>
              </w:rPr>
              <w:t xml:space="preserve"> </w:t>
            </w:r>
            <w:r w:rsidRPr="00236418">
              <w:rPr>
                <w:rFonts w:cs="Calibri"/>
                <w:b/>
                <w:bCs/>
                <w:color w:val="000000"/>
                <w:szCs w:val="22"/>
                <w:lang w:eastAsia="en-GB"/>
              </w:rPr>
              <w:t>929</w:t>
            </w:r>
          </w:p>
        </w:tc>
      </w:tr>
      <w:tr w:rsidR="00DC0009" w:rsidRPr="00236418" w14:paraId="31AEECEC" w14:textId="77777777" w:rsidTr="00EB3373">
        <w:trPr>
          <w:trHeight w:val="296"/>
          <w:jc w:val="center"/>
        </w:trPr>
        <w:tc>
          <w:tcPr>
            <w:tcW w:w="4117" w:type="dxa"/>
          </w:tcPr>
          <w:p w14:paraId="1C8E48D3" w14:textId="77777777" w:rsidR="00DC0009" w:rsidRPr="00236418" w:rsidRDefault="00DC0009" w:rsidP="009B3D24">
            <w:pPr>
              <w:pStyle w:val="Tabletext"/>
              <w:spacing w:before="0" w:after="0"/>
              <w:rPr>
                <w:rFonts w:asciiTheme="minorHAnsi" w:hAnsiTheme="minorHAnsi"/>
                <w:b/>
                <w:bCs/>
                <w:sz w:val="20"/>
                <w:lang w:eastAsia="fr-FR"/>
              </w:rPr>
            </w:pPr>
            <w:r w:rsidRPr="00236418">
              <w:rPr>
                <w:rFonts w:asciiTheme="minorHAnsi" w:hAnsiTheme="minorHAnsi" w:cs="Arial"/>
                <w:b/>
                <w:bCs/>
                <w:color w:val="000000"/>
                <w:sz w:val="20"/>
              </w:rPr>
              <w:t>Valeur comptable nette au 1er janvier </w:t>
            </w:r>
          </w:p>
        </w:tc>
        <w:tc>
          <w:tcPr>
            <w:tcW w:w="1568" w:type="dxa"/>
            <w:vAlign w:val="center"/>
          </w:tcPr>
          <w:p w14:paraId="198C751C" w14:textId="59E803FA"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1</w:t>
            </w:r>
            <w:r w:rsidR="005E2A89" w:rsidRPr="00236418">
              <w:rPr>
                <w:rFonts w:cs="Calibri"/>
                <w:b/>
                <w:bCs/>
                <w:color w:val="000000"/>
                <w:szCs w:val="22"/>
                <w:lang w:eastAsia="en-GB"/>
              </w:rPr>
              <w:t xml:space="preserve"> </w:t>
            </w:r>
            <w:r w:rsidRPr="00236418">
              <w:rPr>
                <w:rFonts w:cs="Calibri"/>
                <w:b/>
                <w:bCs/>
                <w:color w:val="000000"/>
                <w:szCs w:val="22"/>
                <w:lang w:eastAsia="en-GB"/>
              </w:rPr>
              <w:t>172</w:t>
            </w:r>
          </w:p>
        </w:tc>
        <w:tc>
          <w:tcPr>
            <w:tcW w:w="1276" w:type="dxa"/>
            <w:vAlign w:val="center"/>
          </w:tcPr>
          <w:p w14:paraId="3C757E53" w14:textId="0F1C6FB4"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886</w:t>
            </w:r>
          </w:p>
        </w:tc>
        <w:tc>
          <w:tcPr>
            <w:tcW w:w="1545" w:type="dxa"/>
            <w:vAlign w:val="center"/>
          </w:tcPr>
          <w:p w14:paraId="027C171D" w14:textId="5001F089" w:rsidR="00DC0009" w:rsidRPr="00236418" w:rsidRDefault="005E2A8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w:t>
            </w:r>
          </w:p>
        </w:tc>
        <w:tc>
          <w:tcPr>
            <w:tcW w:w="1064" w:type="dxa"/>
            <w:vAlign w:val="center"/>
          </w:tcPr>
          <w:p w14:paraId="6D8F68A8" w14:textId="291778E3"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2</w:t>
            </w:r>
            <w:r w:rsidR="005E2A89" w:rsidRPr="00236418">
              <w:rPr>
                <w:rFonts w:cs="Calibri"/>
                <w:b/>
                <w:bCs/>
                <w:color w:val="000000"/>
                <w:szCs w:val="22"/>
                <w:lang w:eastAsia="en-GB"/>
              </w:rPr>
              <w:t xml:space="preserve"> </w:t>
            </w:r>
            <w:r w:rsidRPr="00236418">
              <w:rPr>
                <w:rFonts w:cs="Calibri"/>
                <w:b/>
                <w:bCs/>
                <w:color w:val="000000"/>
                <w:szCs w:val="22"/>
                <w:lang w:eastAsia="en-GB"/>
              </w:rPr>
              <w:t>058</w:t>
            </w:r>
          </w:p>
        </w:tc>
      </w:tr>
      <w:tr w:rsidR="00DC0009" w:rsidRPr="00236418" w14:paraId="225EE925" w14:textId="77777777" w:rsidTr="00EB3373">
        <w:trPr>
          <w:trHeight w:val="296"/>
          <w:jc w:val="center"/>
        </w:trPr>
        <w:tc>
          <w:tcPr>
            <w:tcW w:w="4117" w:type="dxa"/>
          </w:tcPr>
          <w:p w14:paraId="1EC3D5E7" w14:textId="77777777" w:rsidR="00DC0009" w:rsidRPr="00236418" w:rsidRDefault="00DC0009" w:rsidP="009B3D24">
            <w:pPr>
              <w:pStyle w:val="Tabletext"/>
              <w:spacing w:before="0" w:after="0"/>
              <w:rPr>
                <w:rFonts w:asciiTheme="minorHAnsi" w:hAnsiTheme="minorHAnsi"/>
                <w:b/>
                <w:bCs/>
                <w:sz w:val="20"/>
                <w:lang w:eastAsia="fr-FR"/>
              </w:rPr>
            </w:pPr>
            <w:r w:rsidRPr="00236418">
              <w:rPr>
                <w:rFonts w:asciiTheme="minorHAnsi" w:hAnsiTheme="minorHAnsi" w:cs="Arial"/>
                <w:b/>
                <w:bCs/>
                <w:color w:val="000000"/>
                <w:sz w:val="20"/>
              </w:rPr>
              <w:t>Valeur comptable nette au 31 décembre</w:t>
            </w:r>
          </w:p>
        </w:tc>
        <w:tc>
          <w:tcPr>
            <w:tcW w:w="1568" w:type="dxa"/>
            <w:vAlign w:val="center"/>
          </w:tcPr>
          <w:p w14:paraId="59F1D349" w14:textId="7EB20EBF"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1</w:t>
            </w:r>
            <w:r w:rsidR="005E2A89" w:rsidRPr="00236418">
              <w:rPr>
                <w:rFonts w:cs="Calibri"/>
                <w:b/>
                <w:bCs/>
                <w:color w:val="000000"/>
                <w:szCs w:val="22"/>
                <w:lang w:eastAsia="en-GB"/>
              </w:rPr>
              <w:t xml:space="preserve"> </w:t>
            </w:r>
            <w:r w:rsidRPr="00236418">
              <w:rPr>
                <w:rFonts w:cs="Calibri"/>
                <w:b/>
                <w:bCs/>
                <w:color w:val="000000"/>
                <w:szCs w:val="22"/>
                <w:lang w:eastAsia="en-GB"/>
              </w:rPr>
              <w:t>156</w:t>
            </w:r>
          </w:p>
        </w:tc>
        <w:tc>
          <w:tcPr>
            <w:tcW w:w="1276" w:type="dxa"/>
            <w:vAlign w:val="center"/>
          </w:tcPr>
          <w:p w14:paraId="2D438597" w14:textId="0B7955E3"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730</w:t>
            </w:r>
          </w:p>
        </w:tc>
        <w:tc>
          <w:tcPr>
            <w:tcW w:w="1545" w:type="dxa"/>
            <w:vAlign w:val="center"/>
          </w:tcPr>
          <w:p w14:paraId="1268C52E" w14:textId="43C45CAD" w:rsidR="00DC0009" w:rsidRPr="00236418" w:rsidRDefault="005E2A8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w:t>
            </w:r>
            <w:r w:rsidR="00DC0009" w:rsidRPr="00236418">
              <w:rPr>
                <w:rFonts w:cs="Calibri"/>
                <w:b/>
                <w:bCs/>
                <w:color w:val="000000"/>
                <w:szCs w:val="22"/>
                <w:lang w:eastAsia="en-GB"/>
              </w:rPr>
              <w:t>0</w:t>
            </w:r>
          </w:p>
        </w:tc>
        <w:tc>
          <w:tcPr>
            <w:tcW w:w="1064" w:type="dxa"/>
            <w:vAlign w:val="center"/>
          </w:tcPr>
          <w:p w14:paraId="58612896" w14:textId="3A3B81C5" w:rsidR="00DC0009" w:rsidRPr="00236418" w:rsidRDefault="00DC0009" w:rsidP="009B3D24">
            <w:pPr>
              <w:pStyle w:val="Tabletext"/>
              <w:spacing w:before="0" w:after="0"/>
              <w:jc w:val="right"/>
              <w:rPr>
                <w:rFonts w:asciiTheme="minorHAnsi" w:hAnsiTheme="minorHAnsi" w:cstheme="minorHAnsi"/>
                <w:b/>
                <w:bCs/>
                <w:sz w:val="20"/>
              </w:rPr>
            </w:pPr>
            <w:r w:rsidRPr="00236418">
              <w:rPr>
                <w:rFonts w:cs="Calibri"/>
                <w:b/>
                <w:bCs/>
                <w:color w:val="000000"/>
                <w:szCs w:val="22"/>
                <w:lang w:eastAsia="en-GB"/>
              </w:rPr>
              <w:t>1</w:t>
            </w:r>
            <w:r w:rsidR="005E2A89" w:rsidRPr="00236418">
              <w:rPr>
                <w:rFonts w:cs="Calibri"/>
                <w:b/>
                <w:bCs/>
                <w:color w:val="000000"/>
                <w:szCs w:val="22"/>
                <w:lang w:eastAsia="en-GB"/>
              </w:rPr>
              <w:t xml:space="preserve"> </w:t>
            </w:r>
            <w:r w:rsidRPr="00236418">
              <w:rPr>
                <w:rFonts w:cs="Calibri"/>
                <w:b/>
                <w:bCs/>
                <w:color w:val="000000"/>
                <w:szCs w:val="22"/>
                <w:lang w:eastAsia="en-GB"/>
              </w:rPr>
              <w:t>886</w:t>
            </w:r>
          </w:p>
        </w:tc>
      </w:tr>
    </w:tbl>
    <w:p w14:paraId="2E230470" w14:textId="7CBCBA6D" w:rsidR="00DF6159" w:rsidRPr="00236418" w:rsidRDefault="00DF6159" w:rsidP="00876480">
      <w:pPr>
        <w:rPr>
          <w:rFonts w:eastAsiaTheme="minorEastAsia"/>
          <w:bCs/>
          <w:color w:val="000000"/>
        </w:rPr>
      </w:pPr>
      <w:bookmarkStart w:id="1593" w:name="_MON_1395747403"/>
      <w:bookmarkStart w:id="1594" w:name="_MON_1401093284"/>
      <w:bookmarkStart w:id="1595" w:name="_MON_1395747409"/>
      <w:bookmarkStart w:id="1596" w:name="_MON_1395747428"/>
      <w:bookmarkStart w:id="1597" w:name="_MON_1395746989"/>
      <w:bookmarkStart w:id="1598" w:name="_MON_1395747377"/>
      <w:bookmarkStart w:id="1599" w:name="_MON_1396454112"/>
      <w:bookmarkEnd w:id="1593"/>
      <w:bookmarkEnd w:id="1594"/>
      <w:bookmarkEnd w:id="1595"/>
      <w:bookmarkEnd w:id="1596"/>
      <w:bookmarkEnd w:id="1597"/>
      <w:bookmarkEnd w:id="1598"/>
      <w:bookmarkEnd w:id="1599"/>
      <w:r w:rsidRPr="00236418">
        <w:t xml:space="preserve">Conformément à la norme IPSAS 31, des développements internes liés à l'amélioration des services offerts aux membres, tout particulièrement en ce qui concerne la consultation, la gestion et l'archivage de la documentation de l'Union, ont été capitalisés. Les logiciels capitalisés sont les logiciels et les mises </w:t>
      </w:r>
      <w:r w:rsidR="002613AD" w:rsidRPr="00236418">
        <w:t>à jour</w:t>
      </w:r>
      <w:r w:rsidRPr="00236418">
        <w:t xml:space="preserve"> standards utilisés dans le cadre des activités opérationnelles de l'Union</w:t>
      </w:r>
      <w:r w:rsidRPr="00236418">
        <w:rPr>
          <w:rFonts w:eastAsiaTheme="minorEastAsia"/>
          <w:bCs/>
          <w:color w:val="000000"/>
        </w:rPr>
        <w:t>.</w:t>
      </w:r>
    </w:p>
    <w:p w14:paraId="106E07EB" w14:textId="77777777" w:rsidR="00DF6159" w:rsidRPr="00236418" w:rsidRDefault="00DF6159" w:rsidP="007E1904">
      <w:pPr>
        <w:pStyle w:val="Heading1"/>
        <w:spacing w:before="120" w:after="120"/>
        <w:rPr>
          <w:sz w:val="24"/>
          <w:szCs w:val="24"/>
        </w:rPr>
      </w:pPr>
      <w:bookmarkStart w:id="1600" w:name="_Toc329178786"/>
      <w:bookmarkStart w:id="1601" w:name="_Toc329181759"/>
      <w:bookmarkStart w:id="1602" w:name="_Toc329202580"/>
      <w:bookmarkStart w:id="1603" w:name="_Toc329205012"/>
      <w:bookmarkStart w:id="1604" w:name="_Toc329206849"/>
      <w:bookmarkStart w:id="1605" w:name="_Toc358380475"/>
      <w:bookmarkStart w:id="1606" w:name="_Toc387166655"/>
      <w:bookmarkStart w:id="1607" w:name="_Toc395260940"/>
      <w:bookmarkStart w:id="1608" w:name="_Toc395511719"/>
      <w:bookmarkStart w:id="1609" w:name="_Toc452138629"/>
      <w:bookmarkStart w:id="1610" w:name="_Toc452139078"/>
      <w:bookmarkStart w:id="1611" w:name="_Toc452139442"/>
      <w:bookmarkStart w:id="1612" w:name="_Toc452139843"/>
      <w:bookmarkStart w:id="1613" w:name="_Toc452140717"/>
      <w:bookmarkStart w:id="1614" w:name="_Toc482801507"/>
      <w:bookmarkStart w:id="1615" w:name="_Toc511649479"/>
      <w:bookmarkStart w:id="1616" w:name="_Toc511649849"/>
      <w:bookmarkStart w:id="1617" w:name="_Toc511649965"/>
      <w:bookmarkStart w:id="1618" w:name="_Toc511651222"/>
      <w:bookmarkStart w:id="1619" w:name="_Toc511724087"/>
      <w:bookmarkStart w:id="1620" w:name="_Toc511739076"/>
      <w:bookmarkStart w:id="1621" w:name="_Toc511741245"/>
      <w:bookmarkStart w:id="1622" w:name="_Toc10450751"/>
      <w:bookmarkStart w:id="1623" w:name="_Toc41566351"/>
      <w:bookmarkStart w:id="1624" w:name="_Toc41567359"/>
      <w:bookmarkStart w:id="1625" w:name="_Toc41567862"/>
      <w:bookmarkStart w:id="1626" w:name="_Toc41814957"/>
      <w:r w:rsidRPr="00236418">
        <w:rPr>
          <w:sz w:val="24"/>
          <w:szCs w:val="24"/>
        </w:rPr>
        <w:t>Note 13</w:t>
      </w:r>
      <w:r w:rsidRPr="00236418">
        <w:rPr>
          <w:sz w:val="24"/>
          <w:szCs w:val="24"/>
        </w:rPr>
        <w:tab/>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236418">
        <w:rPr>
          <w:sz w:val="24"/>
          <w:szCs w:val="24"/>
        </w:rPr>
        <w:t>Biens en construction</w:t>
      </w:r>
      <w:bookmarkEnd w:id="1615"/>
      <w:bookmarkEnd w:id="1616"/>
      <w:bookmarkEnd w:id="1617"/>
      <w:bookmarkEnd w:id="1618"/>
      <w:bookmarkEnd w:id="1619"/>
      <w:bookmarkEnd w:id="1620"/>
      <w:bookmarkEnd w:id="1621"/>
      <w:bookmarkEnd w:id="1622"/>
      <w:bookmarkEnd w:id="1623"/>
      <w:bookmarkEnd w:id="1624"/>
      <w:bookmarkEnd w:id="1625"/>
      <w:bookmarkEnd w:id="1626"/>
    </w:p>
    <w:tbl>
      <w:tblPr>
        <w:tblW w:w="8081" w:type="dxa"/>
        <w:jc w:val="center"/>
        <w:tblLayout w:type="fixed"/>
        <w:tblLook w:val="04A0" w:firstRow="1" w:lastRow="0" w:firstColumn="1" w:lastColumn="0" w:noHBand="0" w:noVBand="1"/>
        <w:tblCaption w:val="E"/>
      </w:tblPr>
      <w:tblGrid>
        <w:gridCol w:w="3818"/>
        <w:gridCol w:w="1711"/>
        <w:gridCol w:w="1691"/>
        <w:gridCol w:w="861"/>
      </w:tblGrid>
      <w:tr w:rsidR="00DF6159" w:rsidRPr="00236418" w14:paraId="5CB1DD19" w14:textId="77777777" w:rsidTr="007E1904">
        <w:trPr>
          <w:trHeight w:val="480"/>
          <w:jc w:val="center"/>
        </w:trPr>
        <w:tc>
          <w:tcPr>
            <w:tcW w:w="3818" w:type="dxa"/>
            <w:tcBorders>
              <w:top w:val="single" w:sz="8" w:space="0" w:color="auto"/>
              <w:left w:val="single" w:sz="8" w:space="0" w:color="auto"/>
              <w:bottom w:val="nil"/>
              <w:right w:val="single" w:sz="4" w:space="0" w:color="auto"/>
            </w:tcBorders>
            <w:shd w:val="clear" w:color="auto" w:fill="auto"/>
            <w:hideMark/>
          </w:tcPr>
          <w:p w14:paraId="683283EE"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Catégories d'actifs</w:t>
            </w:r>
          </w:p>
        </w:tc>
        <w:tc>
          <w:tcPr>
            <w:tcW w:w="1711" w:type="dxa"/>
            <w:tcBorders>
              <w:top w:val="single" w:sz="8" w:space="0" w:color="auto"/>
              <w:left w:val="single" w:sz="4" w:space="0" w:color="auto"/>
              <w:bottom w:val="nil"/>
              <w:right w:val="single" w:sz="4" w:space="0" w:color="auto"/>
            </w:tcBorders>
            <w:shd w:val="clear" w:color="auto" w:fill="auto"/>
            <w:hideMark/>
          </w:tcPr>
          <w:p w14:paraId="74FC3F30"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Nouveau bâtiment</w:t>
            </w:r>
          </w:p>
        </w:tc>
        <w:tc>
          <w:tcPr>
            <w:tcW w:w="1691" w:type="dxa"/>
            <w:tcBorders>
              <w:top w:val="single" w:sz="8" w:space="0" w:color="auto"/>
              <w:left w:val="single" w:sz="4" w:space="0" w:color="auto"/>
              <w:bottom w:val="single" w:sz="4" w:space="0" w:color="auto"/>
              <w:right w:val="nil"/>
            </w:tcBorders>
            <w:shd w:val="clear" w:color="auto" w:fill="auto"/>
            <w:hideMark/>
          </w:tcPr>
          <w:p w14:paraId="0C110CB3"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Autres biens en construction</w:t>
            </w:r>
          </w:p>
        </w:tc>
        <w:tc>
          <w:tcPr>
            <w:tcW w:w="861" w:type="dxa"/>
            <w:tcBorders>
              <w:top w:val="single" w:sz="8" w:space="0" w:color="auto"/>
              <w:left w:val="single" w:sz="4" w:space="0" w:color="auto"/>
              <w:bottom w:val="single" w:sz="4" w:space="0" w:color="auto"/>
              <w:right w:val="single" w:sz="8" w:space="0" w:color="auto"/>
            </w:tcBorders>
            <w:shd w:val="clear" w:color="auto" w:fill="auto"/>
            <w:hideMark/>
          </w:tcPr>
          <w:p w14:paraId="0520F70A"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Total</w:t>
            </w:r>
          </w:p>
        </w:tc>
      </w:tr>
      <w:tr w:rsidR="00DF6159" w:rsidRPr="00236418" w14:paraId="194CA12B" w14:textId="77777777" w:rsidTr="007E1904">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7BF734" w14:textId="77777777" w:rsidR="00DF6159" w:rsidRPr="00236418" w:rsidRDefault="00DF6159" w:rsidP="009B3D24">
            <w:pPr>
              <w:pStyle w:val="Tablehead"/>
              <w:spacing w:before="0" w:after="0"/>
              <w:jc w:val="left"/>
              <w:rPr>
                <w:rFonts w:asciiTheme="minorHAnsi" w:hAnsiTheme="minorHAnsi"/>
                <w:sz w:val="20"/>
              </w:rPr>
            </w:pPr>
            <w:r w:rsidRPr="00236418">
              <w:rPr>
                <w:rFonts w:asciiTheme="minorHAnsi" w:hAnsiTheme="minorHAnsi"/>
                <w:sz w:val="20"/>
              </w:rPr>
              <w:t>Coût au 1er janvier</w:t>
            </w:r>
          </w:p>
        </w:tc>
        <w:tc>
          <w:tcPr>
            <w:tcW w:w="1711" w:type="dxa"/>
            <w:tcBorders>
              <w:top w:val="single" w:sz="4" w:space="0" w:color="auto"/>
              <w:left w:val="single" w:sz="4" w:space="0" w:color="auto"/>
              <w:bottom w:val="single" w:sz="4" w:space="0" w:color="auto"/>
              <w:right w:val="nil"/>
            </w:tcBorders>
            <w:shd w:val="clear" w:color="auto" w:fill="auto"/>
            <w:vAlign w:val="center"/>
            <w:hideMark/>
          </w:tcPr>
          <w:p w14:paraId="64C747AD" w14:textId="36857F0D"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1 326</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5A41E" w14:textId="12DC8DC9" w:rsidR="00DF6159" w:rsidRPr="00236418" w:rsidRDefault="00DF6159" w:rsidP="009B3D24">
            <w:pPr>
              <w:pStyle w:val="Tablehead"/>
              <w:spacing w:before="0" w:after="0"/>
              <w:jc w:val="right"/>
              <w:rPr>
                <w:rFonts w:asciiTheme="minorHAnsi" w:hAnsiTheme="minorHAnsi"/>
                <w:sz w:val="20"/>
              </w:rPr>
            </w:pPr>
            <w:r w:rsidRPr="00236418">
              <w:rPr>
                <w:rFonts w:asciiTheme="minorHAnsi" w:hAnsiTheme="minorHAnsi"/>
                <w:sz w:val="20"/>
              </w:rPr>
              <w:t>9</w:t>
            </w:r>
            <w:r w:rsidR="002168B6" w:rsidRPr="00236418">
              <w:rPr>
                <w:rFonts w:asciiTheme="minorHAnsi" w:hAnsiTheme="minorHAnsi"/>
                <w:sz w:val="20"/>
              </w:rPr>
              <w:t>83</w:t>
            </w:r>
          </w:p>
        </w:tc>
        <w:tc>
          <w:tcPr>
            <w:tcW w:w="861" w:type="dxa"/>
            <w:tcBorders>
              <w:top w:val="nil"/>
              <w:left w:val="nil"/>
              <w:bottom w:val="single" w:sz="4" w:space="0" w:color="auto"/>
              <w:right w:val="single" w:sz="8" w:space="0" w:color="auto"/>
            </w:tcBorders>
            <w:shd w:val="clear" w:color="000000" w:fill="FFFFFF"/>
            <w:noWrap/>
            <w:vAlign w:val="center"/>
          </w:tcPr>
          <w:p w14:paraId="7545FECB" w14:textId="4B9A67D2"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2 309</w:t>
            </w:r>
          </w:p>
        </w:tc>
      </w:tr>
      <w:tr w:rsidR="00DF6159" w:rsidRPr="00236418" w14:paraId="6F5B734B"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2BCFA5FF"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Adjonctions</w:t>
            </w:r>
          </w:p>
        </w:tc>
        <w:tc>
          <w:tcPr>
            <w:tcW w:w="1711" w:type="dxa"/>
            <w:tcBorders>
              <w:top w:val="nil"/>
              <w:left w:val="single" w:sz="4" w:space="0" w:color="auto"/>
              <w:bottom w:val="nil"/>
              <w:right w:val="nil"/>
            </w:tcBorders>
            <w:shd w:val="clear" w:color="auto" w:fill="auto"/>
            <w:noWrap/>
            <w:vAlign w:val="bottom"/>
            <w:hideMark/>
          </w:tcPr>
          <w:p w14:paraId="581FE407" w14:textId="005D1FB0" w:rsidR="00DF6159" w:rsidRPr="00236418" w:rsidRDefault="002168B6"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2 671</w:t>
            </w:r>
          </w:p>
        </w:tc>
        <w:tc>
          <w:tcPr>
            <w:tcW w:w="1691" w:type="dxa"/>
            <w:tcBorders>
              <w:top w:val="nil"/>
              <w:left w:val="single" w:sz="4" w:space="0" w:color="auto"/>
              <w:bottom w:val="nil"/>
              <w:right w:val="single" w:sz="4" w:space="0" w:color="auto"/>
            </w:tcBorders>
            <w:shd w:val="clear" w:color="auto" w:fill="auto"/>
            <w:noWrap/>
            <w:vAlign w:val="bottom"/>
          </w:tcPr>
          <w:p w14:paraId="5A7BC9D1" w14:textId="43AD1EE0" w:rsidR="00DF6159" w:rsidRPr="00236418" w:rsidRDefault="002168B6"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293</w:t>
            </w:r>
          </w:p>
        </w:tc>
        <w:tc>
          <w:tcPr>
            <w:tcW w:w="861" w:type="dxa"/>
            <w:tcBorders>
              <w:top w:val="nil"/>
              <w:left w:val="nil"/>
              <w:bottom w:val="nil"/>
              <w:right w:val="single" w:sz="8" w:space="0" w:color="auto"/>
            </w:tcBorders>
            <w:shd w:val="clear" w:color="auto" w:fill="auto"/>
            <w:noWrap/>
            <w:vAlign w:val="center"/>
          </w:tcPr>
          <w:p w14:paraId="59FA38A2" w14:textId="77EFF5EC" w:rsidR="00DF6159" w:rsidRPr="00236418" w:rsidRDefault="002168B6"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2 965</w:t>
            </w:r>
          </w:p>
        </w:tc>
      </w:tr>
      <w:tr w:rsidR="00DF6159" w:rsidRPr="00236418" w14:paraId="44D07C02"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2262F949"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Dons</w:t>
            </w:r>
          </w:p>
        </w:tc>
        <w:tc>
          <w:tcPr>
            <w:tcW w:w="1711" w:type="dxa"/>
            <w:tcBorders>
              <w:top w:val="nil"/>
              <w:left w:val="single" w:sz="4" w:space="0" w:color="auto"/>
              <w:bottom w:val="nil"/>
              <w:right w:val="nil"/>
            </w:tcBorders>
            <w:shd w:val="clear" w:color="auto" w:fill="auto"/>
            <w:noWrap/>
            <w:vAlign w:val="bottom"/>
            <w:hideMark/>
          </w:tcPr>
          <w:p w14:paraId="4A0234DE"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51B31033"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5D814F6A"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37189197"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0D324527"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vAlign w:val="bottom"/>
            <w:hideMark/>
          </w:tcPr>
          <w:p w14:paraId="5C939646"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24F8E29C"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7B1A32B7"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13310AC0"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496121D"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vAlign w:val="bottom"/>
            <w:hideMark/>
          </w:tcPr>
          <w:p w14:paraId="4C41CE95"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139F0120"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55FAD7AE"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17E15DAD"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5B7627BD"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hideMark/>
          </w:tcPr>
          <w:p w14:paraId="5EDF5C25" w14:textId="595A5261" w:rsidR="00DF6159" w:rsidRPr="00236418" w:rsidRDefault="00070753"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–49</w:t>
            </w:r>
          </w:p>
        </w:tc>
        <w:tc>
          <w:tcPr>
            <w:tcW w:w="1691" w:type="dxa"/>
            <w:tcBorders>
              <w:top w:val="nil"/>
              <w:left w:val="single" w:sz="4" w:space="0" w:color="auto"/>
              <w:bottom w:val="nil"/>
              <w:right w:val="single" w:sz="4" w:space="0" w:color="auto"/>
            </w:tcBorders>
            <w:shd w:val="clear" w:color="auto" w:fill="auto"/>
            <w:noWrap/>
            <w:hideMark/>
          </w:tcPr>
          <w:p w14:paraId="39DED328" w14:textId="243B8D73"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w:t>
            </w:r>
            <w:r w:rsidR="002168B6" w:rsidRPr="00236418">
              <w:rPr>
                <w:rFonts w:asciiTheme="minorHAnsi" w:hAnsiTheme="minorHAnsi"/>
                <w:sz w:val="20"/>
                <w:lang w:eastAsia="fr-FR"/>
              </w:rPr>
              <w:t>34</w:t>
            </w:r>
          </w:p>
        </w:tc>
        <w:tc>
          <w:tcPr>
            <w:tcW w:w="861" w:type="dxa"/>
            <w:tcBorders>
              <w:top w:val="nil"/>
              <w:left w:val="nil"/>
              <w:bottom w:val="nil"/>
              <w:right w:val="single" w:sz="8" w:space="0" w:color="auto"/>
            </w:tcBorders>
            <w:shd w:val="clear" w:color="auto" w:fill="auto"/>
            <w:noWrap/>
            <w:hideMark/>
          </w:tcPr>
          <w:p w14:paraId="34576599" w14:textId="7A8A4BB3" w:rsidR="00DF6159" w:rsidRPr="00236418" w:rsidRDefault="002168B6" w:rsidP="009B3D24">
            <w:pPr>
              <w:pStyle w:val="Tabletext"/>
              <w:spacing w:before="20" w:after="0"/>
              <w:jc w:val="right"/>
              <w:rPr>
                <w:rFonts w:asciiTheme="minorHAnsi" w:hAnsiTheme="minorHAnsi"/>
                <w:sz w:val="20"/>
                <w:lang w:eastAsia="fr-FR"/>
              </w:rPr>
            </w:pPr>
            <w:r w:rsidRPr="00236418">
              <w:rPr>
                <w:rFonts w:asciiTheme="minorHAnsi" w:hAnsiTheme="minorHAnsi"/>
                <w:sz w:val="20"/>
              </w:rPr>
              <w:t>(83)</w:t>
            </w:r>
          </w:p>
        </w:tc>
      </w:tr>
      <w:tr w:rsidR="00DF6159" w:rsidRPr="00236418" w14:paraId="5C547363"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3BD36713"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vAlign w:val="bottom"/>
            <w:hideMark/>
          </w:tcPr>
          <w:p w14:paraId="38262AB4"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2B411D53"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7C0EBC23"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3D91EB4F" w14:textId="77777777" w:rsidTr="007E1904">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hideMark/>
          </w:tcPr>
          <w:p w14:paraId="2EDB93BA" w14:textId="77777777" w:rsidR="00DF6159" w:rsidRPr="00236418" w:rsidRDefault="00DF6159" w:rsidP="009B3D24">
            <w:pPr>
              <w:pStyle w:val="Tablehead"/>
              <w:spacing w:before="0" w:after="0"/>
              <w:jc w:val="left"/>
              <w:rPr>
                <w:rFonts w:asciiTheme="minorHAnsi" w:hAnsiTheme="minorHAnsi"/>
                <w:sz w:val="20"/>
              </w:rPr>
            </w:pPr>
            <w:r w:rsidRPr="00236418">
              <w:rPr>
                <w:rFonts w:asciiTheme="minorHAnsi" w:hAnsiTheme="minorHAnsi"/>
                <w:sz w:val="20"/>
              </w:rPr>
              <w:t xml:space="preserve">Coût au 31 décembre </w:t>
            </w:r>
          </w:p>
        </w:tc>
        <w:tc>
          <w:tcPr>
            <w:tcW w:w="1711" w:type="dxa"/>
            <w:tcBorders>
              <w:top w:val="single" w:sz="4" w:space="0" w:color="auto"/>
              <w:left w:val="single" w:sz="4" w:space="0" w:color="auto"/>
              <w:bottom w:val="single" w:sz="4" w:space="0" w:color="auto"/>
              <w:right w:val="nil"/>
            </w:tcBorders>
            <w:shd w:val="clear" w:color="auto" w:fill="auto"/>
            <w:vAlign w:val="center"/>
            <w:hideMark/>
          </w:tcPr>
          <w:p w14:paraId="38BF1C97" w14:textId="0FEBA529" w:rsidR="00DF6159" w:rsidRPr="00236418" w:rsidRDefault="00070753" w:rsidP="009B3D24">
            <w:pPr>
              <w:pStyle w:val="Tablehead"/>
              <w:spacing w:before="0" w:after="0"/>
              <w:jc w:val="right"/>
              <w:rPr>
                <w:rFonts w:asciiTheme="minorHAnsi" w:hAnsiTheme="minorHAnsi"/>
                <w:sz w:val="20"/>
              </w:rPr>
            </w:pPr>
            <w:r w:rsidRPr="00236418">
              <w:rPr>
                <w:rFonts w:asciiTheme="minorHAnsi" w:hAnsiTheme="minorHAnsi"/>
                <w:sz w:val="20"/>
              </w:rPr>
              <w:t>3 948</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6B8946A" w14:textId="784B1122"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1 242</w:t>
            </w:r>
          </w:p>
        </w:tc>
        <w:tc>
          <w:tcPr>
            <w:tcW w:w="861" w:type="dxa"/>
            <w:tcBorders>
              <w:top w:val="single" w:sz="4" w:space="0" w:color="auto"/>
              <w:left w:val="nil"/>
              <w:bottom w:val="single" w:sz="4" w:space="0" w:color="auto"/>
              <w:right w:val="single" w:sz="8" w:space="0" w:color="auto"/>
            </w:tcBorders>
            <w:shd w:val="clear" w:color="auto" w:fill="auto"/>
            <w:vAlign w:val="center"/>
          </w:tcPr>
          <w:p w14:paraId="42226BE4" w14:textId="6F20FC88"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5 190</w:t>
            </w:r>
          </w:p>
        </w:tc>
      </w:tr>
      <w:tr w:rsidR="00DF6159" w:rsidRPr="00236418" w14:paraId="0295F6D9" w14:textId="77777777" w:rsidTr="007E1904">
        <w:trPr>
          <w:trHeight w:val="357"/>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1FD1B9B" w14:textId="77777777" w:rsidR="00DF6159" w:rsidRPr="00236418" w:rsidRDefault="00DF6159" w:rsidP="007E1904">
            <w:pPr>
              <w:pStyle w:val="Tablehead"/>
              <w:spacing w:before="0" w:after="0"/>
              <w:jc w:val="left"/>
              <w:rPr>
                <w:rFonts w:asciiTheme="minorHAnsi" w:hAnsiTheme="minorHAnsi"/>
                <w:sz w:val="20"/>
              </w:rPr>
            </w:pPr>
            <w:r w:rsidRPr="00236418">
              <w:rPr>
                <w:rFonts w:asciiTheme="minorHAnsi" w:hAnsiTheme="minorHAnsi"/>
                <w:sz w:val="20"/>
              </w:rPr>
              <w:t xml:space="preserve">Amortissement au 1er janvier </w:t>
            </w:r>
          </w:p>
        </w:tc>
        <w:tc>
          <w:tcPr>
            <w:tcW w:w="1711" w:type="dxa"/>
            <w:tcBorders>
              <w:top w:val="nil"/>
              <w:left w:val="single" w:sz="4" w:space="0" w:color="auto"/>
              <w:bottom w:val="single" w:sz="4" w:space="0" w:color="auto"/>
              <w:right w:val="nil"/>
            </w:tcBorders>
            <w:shd w:val="clear" w:color="auto" w:fill="auto"/>
            <w:noWrap/>
            <w:hideMark/>
          </w:tcPr>
          <w:p w14:paraId="0618BDFD" w14:textId="77777777" w:rsidR="00DF6159" w:rsidRPr="00236418" w:rsidRDefault="00DF6159" w:rsidP="009B3D24">
            <w:pPr>
              <w:pStyle w:val="Tablehead"/>
              <w:spacing w:before="0" w:after="0"/>
              <w:jc w:val="right"/>
              <w:rPr>
                <w:rFonts w:asciiTheme="minorHAnsi" w:hAnsiTheme="minorHAnsi"/>
                <w:sz w:val="20"/>
              </w:rPr>
            </w:pPr>
          </w:p>
        </w:tc>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7E3D3A9E" w14:textId="77777777" w:rsidR="00DF6159" w:rsidRPr="00236418" w:rsidRDefault="00DF6159" w:rsidP="009B3D24">
            <w:pPr>
              <w:pStyle w:val="Tablehead"/>
              <w:spacing w:before="0" w:after="0"/>
              <w:jc w:val="right"/>
              <w:rPr>
                <w:rFonts w:asciiTheme="minorHAnsi" w:hAnsiTheme="minorHAnsi"/>
                <w:sz w:val="20"/>
              </w:rPr>
            </w:pPr>
            <w:r w:rsidRPr="00236418">
              <w:rPr>
                <w:rFonts w:asciiTheme="minorHAnsi" w:hAnsiTheme="minorHAnsi"/>
                <w:sz w:val="20"/>
              </w:rPr>
              <w:t>–</w:t>
            </w:r>
          </w:p>
        </w:tc>
        <w:tc>
          <w:tcPr>
            <w:tcW w:w="861" w:type="dxa"/>
            <w:tcBorders>
              <w:top w:val="nil"/>
              <w:left w:val="nil"/>
              <w:bottom w:val="single" w:sz="4" w:space="0" w:color="auto"/>
              <w:right w:val="single" w:sz="8" w:space="0" w:color="auto"/>
            </w:tcBorders>
            <w:shd w:val="clear" w:color="auto" w:fill="auto"/>
            <w:vAlign w:val="center"/>
            <w:hideMark/>
          </w:tcPr>
          <w:p w14:paraId="0DFEC9F2" w14:textId="77777777" w:rsidR="00DF6159" w:rsidRPr="00236418" w:rsidRDefault="00DF6159" w:rsidP="009B3D24">
            <w:pPr>
              <w:pStyle w:val="Tablehead"/>
              <w:spacing w:before="0" w:after="0"/>
              <w:jc w:val="right"/>
              <w:rPr>
                <w:rFonts w:asciiTheme="minorHAnsi" w:hAnsiTheme="minorHAnsi"/>
                <w:sz w:val="20"/>
              </w:rPr>
            </w:pPr>
            <w:r w:rsidRPr="00236418">
              <w:rPr>
                <w:rFonts w:asciiTheme="minorHAnsi" w:hAnsiTheme="minorHAnsi"/>
                <w:sz w:val="20"/>
              </w:rPr>
              <w:t>–</w:t>
            </w:r>
          </w:p>
        </w:tc>
      </w:tr>
      <w:tr w:rsidR="00DF6159" w:rsidRPr="00236418" w14:paraId="286C92D0"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E2BA392"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Imputés au cours de l'année</w:t>
            </w:r>
          </w:p>
        </w:tc>
        <w:tc>
          <w:tcPr>
            <w:tcW w:w="1711" w:type="dxa"/>
            <w:tcBorders>
              <w:top w:val="nil"/>
              <w:left w:val="single" w:sz="4" w:space="0" w:color="auto"/>
              <w:bottom w:val="nil"/>
              <w:right w:val="nil"/>
            </w:tcBorders>
            <w:shd w:val="clear" w:color="auto" w:fill="auto"/>
            <w:noWrap/>
            <w:hideMark/>
          </w:tcPr>
          <w:p w14:paraId="7B2EEF7B"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52A6318D" w14:textId="77777777" w:rsidR="00DF6159" w:rsidRPr="00236418" w:rsidRDefault="00DF6159" w:rsidP="009B3D24">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hideMark/>
          </w:tcPr>
          <w:p w14:paraId="4CC7CF67" w14:textId="07F2DE90" w:rsidR="00DF6159" w:rsidRPr="00236418" w:rsidRDefault="002168B6"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w:t>
            </w:r>
          </w:p>
        </w:tc>
      </w:tr>
      <w:tr w:rsidR="00DF6159" w:rsidRPr="00236418" w14:paraId="4C2420F2"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6848FAB8"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hideMark/>
          </w:tcPr>
          <w:p w14:paraId="52C757C8"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447F85EC"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6B4188A5"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7E45661F"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2110B942"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hideMark/>
          </w:tcPr>
          <w:p w14:paraId="199FEE8C"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278F34F9"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3BEFEC34"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541547DE"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76BAE4B"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hideMark/>
          </w:tcPr>
          <w:p w14:paraId="090A56FB"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6CB78597"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578CEAB7"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1D828F8F"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F73043C" w14:textId="77777777" w:rsidR="00DF6159" w:rsidRPr="00236418" w:rsidRDefault="00DF615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hideMark/>
          </w:tcPr>
          <w:p w14:paraId="0A7663EB" w14:textId="77777777" w:rsidR="00DF6159" w:rsidRPr="00236418"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7AE3D3FB"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11484B6F" w14:textId="77777777" w:rsidR="00DF6159" w:rsidRPr="00236418" w:rsidRDefault="00DF6159" w:rsidP="009B3D24">
            <w:pPr>
              <w:pStyle w:val="Tabletext"/>
              <w:spacing w:before="20" w:after="0"/>
              <w:jc w:val="right"/>
              <w:rPr>
                <w:rFonts w:asciiTheme="minorHAnsi" w:hAnsiTheme="minorHAnsi"/>
                <w:sz w:val="20"/>
                <w:lang w:eastAsia="fr-FR"/>
              </w:rPr>
            </w:pPr>
            <w:r w:rsidRPr="00236418">
              <w:rPr>
                <w:rFonts w:asciiTheme="minorHAnsi" w:hAnsiTheme="minorHAnsi"/>
                <w:sz w:val="20"/>
              </w:rPr>
              <w:t>–</w:t>
            </w:r>
          </w:p>
        </w:tc>
      </w:tr>
      <w:tr w:rsidR="00DF6159" w:rsidRPr="00236418" w14:paraId="78E5F756" w14:textId="77777777" w:rsidTr="007E1904">
        <w:trPr>
          <w:trHeight w:val="319"/>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CA1733" w14:textId="77777777" w:rsidR="00DF6159" w:rsidRPr="00236418" w:rsidRDefault="00DF6159" w:rsidP="007E1904">
            <w:pPr>
              <w:pStyle w:val="Tablehead"/>
              <w:spacing w:before="0" w:after="0"/>
              <w:jc w:val="left"/>
              <w:rPr>
                <w:rFonts w:asciiTheme="minorHAnsi" w:hAnsiTheme="minorHAnsi"/>
                <w:sz w:val="20"/>
              </w:rPr>
            </w:pPr>
            <w:r w:rsidRPr="00236418">
              <w:rPr>
                <w:rFonts w:asciiTheme="minorHAnsi" w:hAnsiTheme="minorHAnsi"/>
                <w:sz w:val="20"/>
              </w:rPr>
              <w:t xml:space="preserve">Amortissement au 31 décembre </w:t>
            </w:r>
          </w:p>
        </w:tc>
        <w:tc>
          <w:tcPr>
            <w:tcW w:w="1711" w:type="dxa"/>
            <w:tcBorders>
              <w:top w:val="single" w:sz="4" w:space="0" w:color="auto"/>
              <w:left w:val="single" w:sz="4" w:space="0" w:color="auto"/>
              <w:bottom w:val="single" w:sz="4" w:space="0" w:color="auto"/>
              <w:right w:val="nil"/>
            </w:tcBorders>
            <w:shd w:val="clear" w:color="auto" w:fill="auto"/>
            <w:vAlign w:val="center"/>
            <w:hideMark/>
          </w:tcPr>
          <w:p w14:paraId="47E8C67C" w14:textId="77777777" w:rsidR="00DF6159" w:rsidRPr="00236418" w:rsidRDefault="00DF6159" w:rsidP="007E1904">
            <w:pPr>
              <w:spacing w:before="0"/>
              <w:jc w:val="right"/>
              <w:rPr>
                <w:sz w:val="20"/>
              </w:rPr>
            </w:pPr>
            <w:r w:rsidRPr="00236418">
              <w:rPr>
                <w:rFonts w:asciiTheme="minorHAnsi" w:hAnsiTheme="minorHAnsi"/>
                <w:sz w:val="20"/>
              </w:rPr>
              <w:t>–</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5D69" w14:textId="77777777" w:rsidR="00DF6159" w:rsidRPr="00236418" w:rsidRDefault="00DF6159" w:rsidP="007E1904">
            <w:pPr>
              <w:spacing w:before="0"/>
              <w:jc w:val="right"/>
              <w:rPr>
                <w:sz w:val="20"/>
              </w:rPr>
            </w:pPr>
            <w:r w:rsidRPr="00236418">
              <w:rPr>
                <w:rFonts w:asciiTheme="minorHAnsi" w:hAnsiTheme="minorHAnsi"/>
                <w:sz w:val="20"/>
              </w:rPr>
              <w:t>–</w:t>
            </w:r>
          </w:p>
        </w:tc>
        <w:tc>
          <w:tcPr>
            <w:tcW w:w="861" w:type="dxa"/>
            <w:tcBorders>
              <w:top w:val="single" w:sz="4" w:space="0" w:color="auto"/>
              <w:left w:val="nil"/>
              <w:bottom w:val="single" w:sz="4" w:space="0" w:color="auto"/>
              <w:right w:val="single" w:sz="8" w:space="0" w:color="auto"/>
            </w:tcBorders>
            <w:shd w:val="clear" w:color="auto" w:fill="auto"/>
            <w:vAlign w:val="center"/>
            <w:hideMark/>
          </w:tcPr>
          <w:p w14:paraId="29F3613C" w14:textId="77777777" w:rsidR="00DF6159" w:rsidRPr="00236418" w:rsidRDefault="00DF6159" w:rsidP="007E1904">
            <w:pPr>
              <w:pStyle w:val="Tablehead"/>
              <w:spacing w:before="0" w:after="0"/>
              <w:jc w:val="right"/>
              <w:rPr>
                <w:rFonts w:asciiTheme="minorHAnsi" w:hAnsiTheme="minorHAnsi"/>
                <w:b w:val="0"/>
                <w:bCs/>
                <w:sz w:val="20"/>
              </w:rPr>
            </w:pPr>
            <w:r w:rsidRPr="00236418">
              <w:rPr>
                <w:rFonts w:asciiTheme="minorHAnsi" w:hAnsiTheme="minorHAnsi"/>
                <w:b w:val="0"/>
                <w:bCs/>
                <w:sz w:val="20"/>
              </w:rPr>
              <w:t>–</w:t>
            </w:r>
          </w:p>
        </w:tc>
      </w:tr>
      <w:tr w:rsidR="00DF6159" w:rsidRPr="00236418" w14:paraId="1A6AE3B2" w14:textId="77777777" w:rsidTr="007E1904">
        <w:trPr>
          <w:trHeight w:val="366"/>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94E9574" w14:textId="77777777" w:rsidR="00DF6159" w:rsidRPr="00236418" w:rsidRDefault="00DF6159" w:rsidP="009B3D24">
            <w:pPr>
              <w:pStyle w:val="Tablehead"/>
              <w:spacing w:before="0" w:after="0"/>
              <w:jc w:val="left"/>
              <w:rPr>
                <w:rFonts w:asciiTheme="minorHAnsi" w:hAnsiTheme="minorHAnsi"/>
                <w:sz w:val="20"/>
              </w:rPr>
            </w:pPr>
            <w:r w:rsidRPr="00236418">
              <w:rPr>
                <w:rFonts w:asciiTheme="minorHAnsi" w:hAnsiTheme="minorHAnsi"/>
                <w:sz w:val="20"/>
              </w:rPr>
              <w:t xml:space="preserve">Valeur comptable nette au 1er janvier </w:t>
            </w:r>
          </w:p>
        </w:tc>
        <w:tc>
          <w:tcPr>
            <w:tcW w:w="1711" w:type="dxa"/>
            <w:tcBorders>
              <w:top w:val="nil"/>
              <w:left w:val="single" w:sz="4" w:space="0" w:color="auto"/>
              <w:bottom w:val="single" w:sz="4" w:space="0" w:color="auto"/>
              <w:right w:val="nil"/>
            </w:tcBorders>
            <w:shd w:val="clear" w:color="auto" w:fill="auto"/>
            <w:vAlign w:val="center"/>
            <w:hideMark/>
          </w:tcPr>
          <w:p w14:paraId="46C85CAE" w14:textId="41173E47" w:rsidR="00DF6159" w:rsidRPr="00236418" w:rsidRDefault="00070753" w:rsidP="009B3D24">
            <w:pPr>
              <w:pStyle w:val="Tablehead"/>
              <w:spacing w:before="0" w:after="0"/>
              <w:jc w:val="right"/>
              <w:rPr>
                <w:rFonts w:asciiTheme="minorHAnsi" w:hAnsiTheme="minorHAnsi"/>
                <w:sz w:val="20"/>
              </w:rPr>
            </w:pPr>
            <w:r w:rsidRPr="00236418">
              <w:rPr>
                <w:rFonts w:asciiTheme="minorHAnsi" w:hAnsiTheme="minorHAnsi"/>
                <w:sz w:val="20"/>
              </w:rPr>
              <w:t>1 326</w:t>
            </w:r>
          </w:p>
        </w:tc>
        <w:tc>
          <w:tcPr>
            <w:tcW w:w="1691" w:type="dxa"/>
            <w:tcBorders>
              <w:top w:val="nil"/>
              <w:left w:val="single" w:sz="4" w:space="0" w:color="auto"/>
              <w:bottom w:val="single" w:sz="4" w:space="0" w:color="auto"/>
              <w:right w:val="single" w:sz="4" w:space="0" w:color="auto"/>
            </w:tcBorders>
            <w:shd w:val="clear" w:color="auto" w:fill="auto"/>
            <w:vAlign w:val="center"/>
          </w:tcPr>
          <w:p w14:paraId="0F985B60" w14:textId="59D9499E"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983</w:t>
            </w:r>
          </w:p>
        </w:tc>
        <w:tc>
          <w:tcPr>
            <w:tcW w:w="861" w:type="dxa"/>
            <w:tcBorders>
              <w:top w:val="nil"/>
              <w:left w:val="nil"/>
              <w:bottom w:val="single" w:sz="4" w:space="0" w:color="auto"/>
              <w:right w:val="single" w:sz="8" w:space="0" w:color="auto"/>
            </w:tcBorders>
            <w:shd w:val="clear" w:color="auto" w:fill="auto"/>
            <w:vAlign w:val="center"/>
          </w:tcPr>
          <w:p w14:paraId="62F63562" w14:textId="4319A949"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2 309</w:t>
            </w:r>
          </w:p>
        </w:tc>
      </w:tr>
      <w:tr w:rsidR="00DF6159" w:rsidRPr="00236418" w14:paraId="57506F16" w14:textId="77777777" w:rsidTr="007E1904">
        <w:trPr>
          <w:trHeight w:val="415"/>
          <w:jc w:val="center"/>
        </w:trPr>
        <w:tc>
          <w:tcPr>
            <w:tcW w:w="3818" w:type="dxa"/>
            <w:tcBorders>
              <w:top w:val="nil"/>
              <w:left w:val="single" w:sz="8" w:space="0" w:color="auto"/>
              <w:bottom w:val="single" w:sz="8" w:space="0" w:color="auto"/>
              <w:right w:val="single" w:sz="4" w:space="0" w:color="auto"/>
            </w:tcBorders>
            <w:shd w:val="clear" w:color="auto" w:fill="auto"/>
            <w:vAlign w:val="center"/>
            <w:hideMark/>
          </w:tcPr>
          <w:p w14:paraId="11ADD725" w14:textId="77777777" w:rsidR="00DF6159" w:rsidRPr="00236418" w:rsidRDefault="00DF6159" w:rsidP="009B3D24">
            <w:pPr>
              <w:pStyle w:val="Tablehead"/>
              <w:spacing w:before="0" w:after="0"/>
              <w:jc w:val="left"/>
              <w:rPr>
                <w:rFonts w:asciiTheme="minorHAnsi" w:hAnsiTheme="minorHAnsi"/>
                <w:sz w:val="20"/>
              </w:rPr>
            </w:pPr>
            <w:r w:rsidRPr="00236418">
              <w:rPr>
                <w:rFonts w:asciiTheme="minorHAnsi" w:hAnsiTheme="minorHAnsi"/>
                <w:sz w:val="20"/>
              </w:rPr>
              <w:t xml:space="preserve">Valeur comptable nette au 31 décembre </w:t>
            </w:r>
          </w:p>
        </w:tc>
        <w:tc>
          <w:tcPr>
            <w:tcW w:w="1711" w:type="dxa"/>
            <w:tcBorders>
              <w:top w:val="nil"/>
              <w:left w:val="single" w:sz="4" w:space="0" w:color="auto"/>
              <w:bottom w:val="single" w:sz="8" w:space="0" w:color="auto"/>
              <w:right w:val="nil"/>
            </w:tcBorders>
            <w:shd w:val="clear" w:color="auto" w:fill="auto"/>
            <w:vAlign w:val="center"/>
            <w:hideMark/>
          </w:tcPr>
          <w:p w14:paraId="552351C0" w14:textId="38FA6EBC" w:rsidR="00DF6159" w:rsidRPr="00236418" w:rsidRDefault="00070753" w:rsidP="009B3D24">
            <w:pPr>
              <w:pStyle w:val="Tablehead"/>
              <w:spacing w:before="0" w:after="0"/>
              <w:jc w:val="right"/>
              <w:rPr>
                <w:rFonts w:asciiTheme="minorHAnsi" w:hAnsiTheme="minorHAnsi"/>
                <w:sz w:val="20"/>
              </w:rPr>
            </w:pPr>
            <w:r w:rsidRPr="00236418">
              <w:rPr>
                <w:rFonts w:asciiTheme="minorHAnsi" w:hAnsiTheme="minorHAnsi"/>
                <w:sz w:val="20"/>
              </w:rPr>
              <w:t>3 948</w:t>
            </w:r>
          </w:p>
        </w:tc>
        <w:tc>
          <w:tcPr>
            <w:tcW w:w="1691" w:type="dxa"/>
            <w:tcBorders>
              <w:top w:val="nil"/>
              <w:left w:val="single" w:sz="4" w:space="0" w:color="auto"/>
              <w:bottom w:val="single" w:sz="8" w:space="0" w:color="auto"/>
              <w:right w:val="single" w:sz="4" w:space="0" w:color="auto"/>
            </w:tcBorders>
            <w:shd w:val="clear" w:color="auto" w:fill="auto"/>
            <w:vAlign w:val="center"/>
          </w:tcPr>
          <w:p w14:paraId="47040C24" w14:textId="6DF5F11F"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1 242</w:t>
            </w:r>
          </w:p>
        </w:tc>
        <w:tc>
          <w:tcPr>
            <w:tcW w:w="861" w:type="dxa"/>
            <w:tcBorders>
              <w:top w:val="nil"/>
              <w:left w:val="nil"/>
              <w:bottom w:val="single" w:sz="8" w:space="0" w:color="auto"/>
              <w:right w:val="single" w:sz="8" w:space="0" w:color="auto"/>
            </w:tcBorders>
            <w:shd w:val="clear" w:color="auto" w:fill="auto"/>
            <w:vAlign w:val="center"/>
          </w:tcPr>
          <w:p w14:paraId="01528F4F" w14:textId="4846BF67" w:rsidR="00DF6159" w:rsidRPr="00236418" w:rsidRDefault="002168B6" w:rsidP="009B3D24">
            <w:pPr>
              <w:pStyle w:val="Tablehead"/>
              <w:spacing w:before="0" w:after="0"/>
              <w:jc w:val="right"/>
              <w:rPr>
                <w:rFonts w:asciiTheme="minorHAnsi" w:hAnsiTheme="minorHAnsi"/>
                <w:sz w:val="20"/>
              </w:rPr>
            </w:pPr>
            <w:r w:rsidRPr="00236418">
              <w:rPr>
                <w:rFonts w:asciiTheme="minorHAnsi" w:hAnsiTheme="minorHAnsi"/>
                <w:sz w:val="20"/>
              </w:rPr>
              <w:t>5 190</w:t>
            </w:r>
          </w:p>
        </w:tc>
      </w:tr>
    </w:tbl>
    <w:p w14:paraId="43C29156" w14:textId="77777777" w:rsidR="00DF6159" w:rsidRPr="00236418" w:rsidRDefault="00DF6159" w:rsidP="009B3D24">
      <w:pPr>
        <w:spacing w:before="240"/>
      </w:pPr>
      <w:bookmarkStart w:id="1627" w:name="_Toc511651223"/>
      <w:bookmarkStart w:id="1628" w:name="_Toc511724088"/>
      <w:bookmarkStart w:id="1629" w:name="_Toc511739077"/>
      <w:bookmarkStart w:id="1630" w:name="_Toc511741246"/>
      <w:r w:rsidRPr="00236418">
        <w:lastRenderedPageBreak/>
        <w:t>Il a été décidé de publier séparément les biens en construction en prévision du projet concernant le nouveau bâtiment, de façon à permettre le suivi transparent du projet pendant la phase de construction.</w:t>
      </w:r>
    </w:p>
    <w:p w14:paraId="1A4E563A" w14:textId="77777777" w:rsidR="00DF6159" w:rsidRPr="00236418" w:rsidRDefault="00DF6159" w:rsidP="00081C96">
      <w:pPr>
        <w:pStyle w:val="Heading1"/>
        <w:spacing w:before="240" w:after="120"/>
        <w:rPr>
          <w:sz w:val="24"/>
          <w:szCs w:val="24"/>
        </w:rPr>
      </w:pPr>
      <w:bookmarkStart w:id="1631" w:name="_Toc10450752"/>
      <w:bookmarkStart w:id="1632" w:name="_Toc41566352"/>
      <w:bookmarkStart w:id="1633" w:name="_Toc41567360"/>
      <w:bookmarkStart w:id="1634" w:name="_Toc41567863"/>
      <w:bookmarkStart w:id="1635" w:name="_Toc41814958"/>
      <w:r w:rsidRPr="00236418">
        <w:rPr>
          <w:sz w:val="24"/>
          <w:szCs w:val="24"/>
        </w:rPr>
        <w:t>Note 14</w:t>
      </w:r>
      <w:r w:rsidRPr="00236418">
        <w:rPr>
          <w:sz w:val="24"/>
          <w:szCs w:val="24"/>
        </w:rPr>
        <w:tab/>
        <w:t>Fournisseurs et autres créanciers</w:t>
      </w:r>
      <w:bookmarkEnd w:id="1627"/>
      <w:bookmarkEnd w:id="1628"/>
      <w:bookmarkEnd w:id="1629"/>
      <w:bookmarkEnd w:id="1630"/>
      <w:bookmarkEnd w:id="1631"/>
      <w:bookmarkEnd w:id="1632"/>
      <w:bookmarkEnd w:id="1633"/>
      <w:bookmarkEnd w:id="1634"/>
      <w:bookmarkEnd w:id="1635"/>
    </w:p>
    <w:tbl>
      <w:tblPr>
        <w:tblW w:w="7951" w:type="dxa"/>
        <w:jc w:val="center"/>
        <w:tblLayout w:type="fixed"/>
        <w:tblLook w:val="04A0" w:firstRow="1" w:lastRow="0" w:firstColumn="1" w:lastColumn="0" w:noHBand="0" w:noVBand="1"/>
      </w:tblPr>
      <w:tblGrid>
        <w:gridCol w:w="5120"/>
        <w:gridCol w:w="1559"/>
        <w:gridCol w:w="1272"/>
      </w:tblGrid>
      <w:tr w:rsidR="00DF6159" w:rsidRPr="00236418" w14:paraId="0FA86C10" w14:textId="77777777" w:rsidTr="006538EB">
        <w:trPr>
          <w:trHeight w:val="499"/>
          <w:jc w:val="center"/>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BB92" w14:textId="77777777"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En milliers de CHF</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97EBB56" w14:textId="1B4E9B3E"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31.12.201</w:t>
            </w:r>
            <w:r w:rsidR="007E3309" w:rsidRPr="00236418">
              <w:rPr>
                <w:rFonts w:asciiTheme="minorHAnsi" w:hAnsiTheme="minorHAnsi"/>
                <w:sz w:val="20"/>
              </w:rPr>
              <w:t>9</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DE5B048" w14:textId="5859F754" w:rsidR="00DF6159" w:rsidRPr="00236418" w:rsidRDefault="00DF6159" w:rsidP="009B3D24">
            <w:pPr>
              <w:pStyle w:val="Tablehead"/>
              <w:spacing w:before="0" w:after="0"/>
              <w:rPr>
                <w:rFonts w:asciiTheme="minorHAnsi" w:hAnsiTheme="minorHAnsi"/>
                <w:sz w:val="20"/>
              </w:rPr>
            </w:pPr>
            <w:r w:rsidRPr="00236418">
              <w:rPr>
                <w:rFonts w:asciiTheme="minorHAnsi" w:hAnsiTheme="minorHAnsi"/>
                <w:sz w:val="20"/>
              </w:rPr>
              <w:t>31.12.201</w:t>
            </w:r>
            <w:r w:rsidR="007E3309" w:rsidRPr="00236418">
              <w:rPr>
                <w:rFonts w:asciiTheme="minorHAnsi" w:hAnsiTheme="minorHAnsi"/>
                <w:sz w:val="20"/>
              </w:rPr>
              <w:t>8</w:t>
            </w:r>
          </w:p>
        </w:tc>
      </w:tr>
      <w:tr w:rsidR="007E3309" w:rsidRPr="00236418" w14:paraId="57005335" w14:textId="77777777" w:rsidTr="00EB3373">
        <w:trPr>
          <w:trHeight w:val="255"/>
          <w:jc w:val="center"/>
        </w:trPr>
        <w:tc>
          <w:tcPr>
            <w:tcW w:w="5120" w:type="dxa"/>
            <w:tcBorders>
              <w:top w:val="single" w:sz="4" w:space="0" w:color="auto"/>
              <w:left w:val="single" w:sz="4" w:space="0" w:color="auto"/>
              <w:bottom w:val="nil"/>
              <w:right w:val="single" w:sz="4" w:space="0" w:color="auto"/>
            </w:tcBorders>
            <w:shd w:val="clear" w:color="auto" w:fill="auto"/>
            <w:noWrap/>
            <w:vAlign w:val="bottom"/>
          </w:tcPr>
          <w:p w14:paraId="4B46543D" w14:textId="77777777" w:rsidR="007E3309" w:rsidRPr="00236418" w:rsidRDefault="007E330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Fournisseurs</w:t>
            </w:r>
          </w:p>
        </w:tc>
        <w:tc>
          <w:tcPr>
            <w:tcW w:w="1559" w:type="dxa"/>
            <w:tcBorders>
              <w:top w:val="single" w:sz="4" w:space="0" w:color="auto"/>
              <w:left w:val="nil"/>
              <w:bottom w:val="nil"/>
              <w:right w:val="single" w:sz="4" w:space="0" w:color="auto"/>
            </w:tcBorders>
            <w:shd w:val="clear" w:color="auto" w:fill="auto"/>
            <w:noWrap/>
            <w:vAlign w:val="bottom"/>
          </w:tcPr>
          <w:p w14:paraId="641A8B5D" w14:textId="612523F6" w:rsidR="007E3309" w:rsidRPr="00236418" w:rsidRDefault="007E3309" w:rsidP="009B3D24">
            <w:pPr>
              <w:pStyle w:val="Tabletext"/>
              <w:spacing w:before="20" w:after="0"/>
              <w:jc w:val="right"/>
              <w:rPr>
                <w:rFonts w:asciiTheme="minorHAnsi" w:hAnsiTheme="minorHAnsi"/>
                <w:sz w:val="20"/>
                <w:lang w:eastAsia="fr-FR"/>
              </w:rPr>
            </w:pPr>
            <w:r w:rsidRPr="00236418">
              <w:rPr>
                <w:rFonts w:cs="Arial"/>
                <w:color w:val="000000"/>
                <w:sz w:val="20"/>
                <w:lang w:eastAsia="zh-CN"/>
              </w:rPr>
              <w:t>4 772</w:t>
            </w:r>
          </w:p>
        </w:tc>
        <w:tc>
          <w:tcPr>
            <w:tcW w:w="1272" w:type="dxa"/>
            <w:tcBorders>
              <w:top w:val="single" w:sz="4" w:space="0" w:color="auto"/>
              <w:left w:val="nil"/>
              <w:bottom w:val="nil"/>
              <w:right w:val="single" w:sz="4" w:space="0" w:color="auto"/>
            </w:tcBorders>
            <w:shd w:val="clear" w:color="auto" w:fill="auto"/>
            <w:noWrap/>
            <w:vAlign w:val="center"/>
          </w:tcPr>
          <w:p w14:paraId="69615B81" w14:textId="69236280" w:rsidR="007E3309" w:rsidRPr="00236418" w:rsidRDefault="007E330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4 660</w:t>
            </w:r>
          </w:p>
        </w:tc>
      </w:tr>
      <w:tr w:rsidR="007E3309" w:rsidRPr="00236418" w14:paraId="1F2B8D8E" w14:textId="77777777" w:rsidTr="00EB3373">
        <w:trPr>
          <w:trHeight w:val="20"/>
          <w:jc w:val="center"/>
        </w:trPr>
        <w:tc>
          <w:tcPr>
            <w:tcW w:w="5120" w:type="dxa"/>
            <w:tcBorders>
              <w:left w:val="single" w:sz="4" w:space="0" w:color="auto"/>
              <w:right w:val="single" w:sz="4" w:space="0" w:color="auto"/>
            </w:tcBorders>
            <w:shd w:val="clear" w:color="auto" w:fill="auto"/>
            <w:noWrap/>
            <w:vAlign w:val="center"/>
          </w:tcPr>
          <w:p w14:paraId="4284EEF2" w14:textId="77777777" w:rsidR="007E3309" w:rsidRPr="00236418" w:rsidRDefault="007E330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Dépôts reçus</w:t>
            </w:r>
          </w:p>
        </w:tc>
        <w:tc>
          <w:tcPr>
            <w:tcW w:w="1559" w:type="dxa"/>
            <w:tcBorders>
              <w:left w:val="nil"/>
              <w:right w:val="single" w:sz="4" w:space="0" w:color="auto"/>
            </w:tcBorders>
            <w:shd w:val="clear" w:color="auto" w:fill="auto"/>
            <w:noWrap/>
            <w:vAlign w:val="bottom"/>
          </w:tcPr>
          <w:p w14:paraId="00CF99D4" w14:textId="74B9E629" w:rsidR="007E3309" w:rsidRPr="00236418" w:rsidRDefault="007E3309" w:rsidP="009B3D24">
            <w:pPr>
              <w:pStyle w:val="Tabletext"/>
              <w:spacing w:before="20" w:after="0"/>
              <w:jc w:val="right"/>
              <w:rPr>
                <w:rFonts w:asciiTheme="minorHAnsi" w:hAnsiTheme="minorHAnsi"/>
                <w:sz w:val="20"/>
                <w:lang w:eastAsia="fr-FR"/>
              </w:rPr>
            </w:pPr>
            <w:r w:rsidRPr="00236418">
              <w:rPr>
                <w:rFonts w:cs="Arial"/>
                <w:color w:val="000000"/>
                <w:sz w:val="20"/>
                <w:lang w:eastAsia="zh-CN"/>
              </w:rPr>
              <w:t>3 042</w:t>
            </w:r>
          </w:p>
        </w:tc>
        <w:tc>
          <w:tcPr>
            <w:tcW w:w="1272" w:type="dxa"/>
            <w:tcBorders>
              <w:left w:val="nil"/>
              <w:right w:val="single" w:sz="4" w:space="0" w:color="auto"/>
            </w:tcBorders>
            <w:shd w:val="clear" w:color="auto" w:fill="auto"/>
            <w:noWrap/>
            <w:vAlign w:val="center"/>
          </w:tcPr>
          <w:p w14:paraId="374CFA50" w14:textId="0D86AD48" w:rsidR="007E3309" w:rsidRPr="00236418" w:rsidRDefault="007E330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3 173</w:t>
            </w:r>
          </w:p>
        </w:tc>
      </w:tr>
      <w:tr w:rsidR="007E3309" w:rsidRPr="00236418" w14:paraId="619701A0" w14:textId="77777777" w:rsidTr="00EB3373">
        <w:trPr>
          <w:trHeight w:val="20"/>
          <w:jc w:val="center"/>
        </w:trPr>
        <w:tc>
          <w:tcPr>
            <w:tcW w:w="5120" w:type="dxa"/>
            <w:tcBorders>
              <w:left w:val="single" w:sz="4" w:space="0" w:color="auto"/>
              <w:bottom w:val="single" w:sz="4" w:space="0" w:color="auto"/>
              <w:right w:val="single" w:sz="4" w:space="0" w:color="auto"/>
            </w:tcBorders>
            <w:shd w:val="clear" w:color="auto" w:fill="auto"/>
            <w:noWrap/>
            <w:vAlign w:val="center"/>
          </w:tcPr>
          <w:p w14:paraId="64E25241" w14:textId="77777777" w:rsidR="007E3309" w:rsidRPr="00236418" w:rsidRDefault="007E3309" w:rsidP="009B3D24">
            <w:pPr>
              <w:pStyle w:val="Tabletext"/>
              <w:spacing w:before="20" w:after="0"/>
              <w:rPr>
                <w:rFonts w:asciiTheme="minorHAnsi" w:hAnsiTheme="minorHAnsi"/>
                <w:sz w:val="20"/>
                <w:lang w:eastAsia="fr-FR"/>
              </w:rPr>
            </w:pPr>
            <w:r w:rsidRPr="00236418">
              <w:rPr>
                <w:rFonts w:asciiTheme="minorHAnsi" w:hAnsiTheme="minorHAnsi"/>
                <w:sz w:val="20"/>
                <w:lang w:eastAsia="fr-FR"/>
              </w:rPr>
              <w:t>Acomptes reçus</w:t>
            </w:r>
          </w:p>
        </w:tc>
        <w:tc>
          <w:tcPr>
            <w:tcW w:w="1559" w:type="dxa"/>
            <w:tcBorders>
              <w:left w:val="nil"/>
              <w:bottom w:val="single" w:sz="4" w:space="0" w:color="auto"/>
              <w:right w:val="single" w:sz="4" w:space="0" w:color="auto"/>
            </w:tcBorders>
            <w:shd w:val="clear" w:color="auto" w:fill="auto"/>
            <w:noWrap/>
            <w:vAlign w:val="bottom"/>
          </w:tcPr>
          <w:p w14:paraId="597A875D" w14:textId="7EF5CDB5" w:rsidR="007E3309" w:rsidRPr="00236418" w:rsidRDefault="007E3309" w:rsidP="009B3D24">
            <w:pPr>
              <w:pStyle w:val="Tabletext"/>
              <w:spacing w:before="20" w:after="0"/>
              <w:jc w:val="right"/>
              <w:rPr>
                <w:rFonts w:asciiTheme="minorHAnsi" w:hAnsiTheme="minorHAnsi"/>
                <w:sz w:val="20"/>
                <w:lang w:eastAsia="fr-FR"/>
              </w:rPr>
            </w:pPr>
            <w:r w:rsidRPr="00236418">
              <w:rPr>
                <w:rFonts w:cs="Arial"/>
                <w:color w:val="000000"/>
                <w:sz w:val="20"/>
                <w:lang w:eastAsia="zh-CN"/>
              </w:rPr>
              <w:t>694</w:t>
            </w:r>
          </w:p>
        </w:tc>
        <w:tc>
          <w:tcPr>
            <w:tcW w:w="1272" w:type="dxa"/>
            <w:tcBorders>
              <w:left w:val="nil"/>
              <w:bottom w:val="single" w:sz="4" w:space="0" w:color="auto"/>
              <w:right w:val="single" w:sz="4" w:space="0" w:color="auto"/>
            </w:tcBorders>
            <w:shd w:val="clear" w:color="auto" w:fill="auto"/>
            <w:noWrap/>
            <w:vAlign w:val="center"/>
          </w:tcPr>
          <w:p w14:paraId="4CA7EF60" w14:textId="02B26266" w:rsidR="007E3309" w:rsidRPr="00236418" w:rsidRDefault="007E3309" w:rsidP="009B3D24">
            <w:pPr>
              <w:pStyle w:val="Tabletext"/>
              <w:spacing w:before="20" w:after="0"/>
              <w:jc w:val="right"/>
              <w:rPr>
                <w:rFonts w:asciiTheme="minorHAnsi" w:hAnsiTheme="minorHAnsi"/>
                <w:sz w:val="20"/>
                <w:lang w:eastAsia="fr-FR"/>
              </w:rPr>
            </w:pPr>
            <w:r w:rsidRPr="00236418">
              <w:rPr>
                <w:rFonts w:asciiTheme="minorHAnsi" w:hAnsiTheme="minorHAnsi"/>
                <w:sz w:val="20"/>
                <w:lang w:eastAsia="fr-FR"/>
              </w:rPr>
              <w:t>1 072</w:t>
            </w:r>
          </w:p>
        </w:tc>
      </w:tr>
      <w:tr w:rsidR="007E3309" w:rsidRPr="00236418" w14:paraId="303F7A9A" w14:textId="77777777" w:rsidTr="00EB3373">
        <w:trPr>
          <w:trHeight w:val="20"/>
          <w:jc w:val="center"/>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64976" w14:textId="77777777" w:rsidR="007E3309" w:rsidRPr="00236418" w:rsidRDefault="007E3309" w:rsidP="009B3D24">
            <w:pPr>
              <w:pStyle w:val="Tablehead"/>
              <w:spacing w:before="0" w:after="0"/>
              <w:jc w:val="left"/>
              <w:rPr>
                <w:rFonts w:asciiTheme="minorHAnsi" w:hAnsiTheme="minorHAnsi"/>
                <w:sz w:val="20"/>
              </w:rPr>
            </w:pPr>
            <w:r w:rsidRPr="00236418">
              <w:rPr>
                <w:rFonts w:asciiTheme="minorHAnsi" w:hAnsiTheme="minorHAnsi"/>
                <w:sz w:val="20"/>
              </w:rPr>
              <w:t>Fournisseurs et autres créanciers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CDD3B1D" w14:textId="22D84170" w:rsidR="007E3309" w:rsidRPr="00236418" w:rsidRDefault="007E3309" w:rsidP="009B3D24">
            <w:pPr>
              <w:pStyle w:val="Tablehead"/>
              <w:spacing w:before="0" w:after="0"/>
              <w:jc w:val="right"/>
              <w:rPr>
                <w:rFonts w:asciiTheme="minorHAnsi" w:hAnsiTheme="minorHAnsi"/>
                <w:sz w:val="20"/>
              </w:rPr>
            </w:pPr>
            <w:r w:rsidRPr="00236418">
              <w:rPr>
                <w:rFonts w:asciiTheme="minorHAnsi" w:hAnsiTheme="minorHAnsi"/>
                <w:sz w:val="20"/>
              </w:rPr>
              <w:t>8 508</w:t>
            </w: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5E319C21" w14:textId="1075A239" w:rsidR="007E3309" w:rsidRPr="00236418" w:rsidRDefault="007E3309" w:rsidP="009B3D24">
            <w:pPr>
              <w:pStyle w:val="Tablehead"/>
              <w:spacing w:before="0" w:after="0"/>
              <w:jc w:val="right"/>
              <w:rPr>
                <w:rFonts w:asciiTheme="minorHAnsi" w:hAnsiTheme="minorHAnsi"/>
                <w:sz w:val="20"/>
              </w:rPr>
            </w:pPr>
            <w:r w:rsidRPr="00236418">
              <w:rPr>
                <w:rFonts w:asciiTheme="minorHAnsi" w:hAnsiTheme="minorHAnsi"/>
                <w:sz w:val="20"/>
              </w:rPr>
              <w:t>8 905</w:t>
            </w:r>
          </w:p>
        </w:tc>
      </w:tr>
    </w:tbl>
    <w:p w14:paraId="0E4F2CE8" w14:textId="77777777" w:rsidR="00DF6159" w:rsidRPr="00236418" w:rsidRDefault="00DF6159" w:rsidP="009B3D24">
      <w:pPr>
        <w:spacing w:before="240"/>
      </w:pPr>
      <w:r w:rsidRPr="00236418">
        <w:t>Le montant des fournisseurs porte essentiellement sur les factures non payées, sur les décomptes du personnel ainsi que sur les factures IOV en attente de régularisation avec le PNUD.</w:t>
      </w:r>
    </w:p>
    <w:p w14:paraId="0E7A7449" w14:textId="3A8C6F6A" w:rsidR="00DF6159" w:rsidRPr="00236418" w:rsidRDefault="00DF6159" w:rsidP="009B3D24">
      <w:r w:rsidRPr="00236418">
        <w:t xml:space="preserve">Des dépôts ont été reçus pour le traitement des fiches de notification de réseaux à satellite ainsi que pour de futurs achats </w:t>
      </w:r>
      <w:r w:rsidR="00BE2C89" w:rsidRPr="00236418">
        <w:t>ou factures</w:t>
      </w:r>
      <w:r w:rsidR="006549D9" w:rsidRPr="00236418">
        <w:t xml:space="preserve"> relatives à des publications</w:t>
      </w:r>
      <w:r w:rsidRPr="00236418">
        <w:t>. Ces montants seront remboursés aux bénéficiaires ou utilisés pour le paiement des futures factures relatives à des fiches de notification de réseaux à satellite et à des publications.</w:t>
      </w:r>
    </w:p>
    <w:p w14:paraId="1DE3A926" w14:textId="108F73EF" w:rsidR="00BE2C89" w:rsidRPr="00236418" w:rsidRDefault="00DF6159" w:rsidP="009B3D24">
      <w:r w:rsidRPr="00236418">
        <w:t xml:space="preserve">Les acomptes correspondent aux avances que les pays hôtes ont versées à l'Union pour l'organisation de manifestations </w:t>
      </w:r>
      <w:r w:rsidR="00BE2C89" w:rsidRPr="00236418">
        <w:t xml:space="preserve">comme l'AR-19, la CMR-19 et le GSR-19. Après la clôture des comptes de la manifestation, le solde est </w:t>
      </w:r>
      <w:r w:rsidR="00385528" w:rsidRPr="00236418">
        <w:t>remboursé aux pays hôtes conformément aux accords signés.</w:t>
      </w:r>
    </w:p>
    <w:p w14:paraId="471A8F6E" w14:textId="77777777" w:rsidR="00DF6159" w:rsidRPr="00236418" w:rsidRDefault="00DF6159" w:rsidP="00081C96">
      <w:pPr>
        <w:pStyle w:val="Heading1"/>
        <w:spacing w:before="240" w:after="120"/>
        <w:rPr>
          <w:sz w:val="24"/>
          <w:szCs w:val="24"/>
        </w:rPr>
      </w:pPr>
      <w:bookmarkStart w:id="1636" w:name="_Toc329202581"/>
      <w:bookmarkStart w:id="1637" w:name="_Toc329205013"/>
      <w:bookmarkStart w:id="1638" w:name="_Toc329206850"/>
      <w:bookmarkStart w:id="1639" w:name="_Toc358379935"/>
      <w:bookmarkStart w:id="1640" w:name="_Toc358380476"/>
      <w:bookmarkStart w:id="1641" w:name="_Toc387166656"/>
      <w:bookmarkStart w:id="1642" w:name="_Toc395260941"/>
      <w:bookmarkStart w:id="1643" w:name="_Toc395511720"/>
      <w:bookmarkStart w:id="1644" w:name="_Toc452138630"/>
      <w:bookmarkStart w:id="1645" w:name="_Toc452139079"/>
      <w:bookmarkStart w:id="1646" w:name="_Toc452139443"/>
      <w:bookmarkStart w:id="1647" w:name="_Toc452139844"/>
      <w:bookmarkStart w:id="1648" w:name="_Toc452140718"/>
      <w:bookmarkStart w:id="1649" w:name="_Toc482801508"/>
      <w:bookmarkStart w:id="1650" w:name="_Toc511649480"/>
      <w:bookmarkStart w:id="1651" w:name="_Toc511649850"/>
      <w:bookmarkStart w:id="1652" w:name="_Toc511649966"/>
      <w:bookmarkStart w:id="1653" w:name="_Toc511651224"/>
      <w:bookmarkStart w:id="1654" w:name="_Toc511724089"/>
      <w:bookmarkStart w:id="1655" w:name="_Toc511739078"/>
      <w:bookmarkStart w:id="1656" w:name="_Toc511741247"/>
      <w:bookmarkStart w:id="1657" w:name="_Toc10450753"/>
      <w:bookmarkStart w:id="1658" w:name="_Toc41566353"/>
      <w:bookmarkStart w:id="1659" w:name="_Toc41567361"/>
      <w:bookmarkStart w:id="1660" w:name="_Toc41567864"/>
      <w:bookmarkStart w:id="1661" w:name="_Toc41814959"/>
      <w:r w:rsidRPr="00236418">
        <w:rPr>
          <w:sz w:val="24"/>
          <w:szCs w:val="24"/>
        </w:rPr>
        <w:t>Note 15</w:t>
      </w:r>
      <w:r w:rsidRPr="00236418">
        <w:rPr>
          <w:sz w:val="24"/>
          <w:szCs w:val="24"/>
        </w:rPr>
        <w:tab/>
        <w:t>Produits différés</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tbl>
      <w:tblPr>
        <w:tblW w:w="9351" w:type="dxa"/>
        <w:jc w:val="center"/>
        <w:tblLayout w:type="fixed"/>
        <w:tblLook w:val="04A0" w:firstRow="1" w:lastRow="0" w:firstColumn="1" w:lastColumn="0" w:noHBand="0" w:noVBand="1"/>
        <w:tblCaption w:val="E"/>
      </w:tblPr>
      <w:tblGrid>
        <w:gridCol w:w="6091"/>
        <w:gridCol w:w="1559"/>
        <w:gridCol w:w="1701"/>
      </w:tblGrid>
      <w:tr w:rsidR="00DF6159" w:rsidRPr="00236418" w14:paraId="2D313759" w14:textId="77777777" w:rsidTr="006538EB">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3FCF"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En milliers de CHF</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E85C1A9" w14:textId="2EBD89F9"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31.12.201</w:t>
            </w:r>
            <w:r w:rsidR="005C4D13" w:rsidRPr="00236418">
              <w:rPr>
                <w:rFonts w:asciiTheme="minorHAnsi" w:hAnsiTheme="minorHAnsi"/>
                <w:sz w:val="20"/>
              </w:rPr>
              <w:t>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636BF4" w14:textId="4701829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31.12.201</w:t>
            </w:r>
            <w:r w:rsidR="005C4D13" w:rsidRPr="00236418">
              <w:rPr>
                <w:rFonts w:asciiTheme="minorHAnsi" w:hAnsiTheme="minorHAnsi"/>
                <w:sz w:val="20"/>
              </w:rPr>
              <w:t>8</w:t>
            </w:r>
          </w:p>
        </w:tc>
      </w:tr>
      <w:tr w:rsidR="005C4D13" w:rsidRPr="00236418" w14:paraId="0AF631D3" w14:textId="77777777" w:rsidTr="006538EB">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542524A7" w14:textId="77777777" w:rsidR="005C4D13" w:rsidRPr="00236418" w:rsidRDefault="005C4D13"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Contributions – États Membres</w:t>
            </w:r>
          </w:p>
        </w:tc>
        <w:tc>
          <w:tcPr>
            <w:tcW w:w="1559" w:type="dxa"/>
            <w:tcBorders>
              <w:top w:val="single" w:sz="4" w:space="0" w:color="auto"/>
              <w:left w:val="nil"/>
              <w:bottom w:val="nil"/>
              <w:right w:val="single" w:sz="4" w:space="0" w:color="auto"/>
            </w:tcBorders>
            <w:shd w:val="clear" w:color="auto" w:fill="auto"/>
            <w:noWrap/>
            <w:vAlign w:val="bottom"/>
          </w:tcPr>
          <w:p w14:paraId="2FFBF3E9" w14:textId="12F8E09B"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cs="Arial"/>
                <w:color w:val="000000"/>
                <w:sz w:val="20"/>
                <w:lang w:eastAsia="zh-CN"/>
              </w:rPr>
              <w:t>109 661</w:t>
            </w:r>
          </w:p>
        </w:tc>
        <w:tc>
          <w:tcPr>
            <w:tcW w:w="1701" w:type="dxa"/>
            <w:tcBorders>
              <w:top w:val="single" w:sz="4" w:space="0" w:color="auto"/>
              <w:left w:val="nil"/>
              <w:bottom w:val="nil"/>
              <w:right w:val="single" w:sz="4" w:space="0" w:color="auto"/>
            </w:tcBorders>
            <w:shd w:val="clear" w:color="auto" w:fill="auto"/>
            <w:noWrap/>
            <w:vAlign w:val="bottom"/>
          </w:tcPr>
          <w:p w14:paraId="6FC8F1EE" w14:textId="7220DD0C"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109 551</w:t>
            </w:r>
          </w:p>
        </w:tc>
      </w:tr>
      <w:tr w:rsidR="005C4D13" w:rsidRPr="00236418" w14:paraId="5C47D7FB"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21E21098" w14:textId="77777777" w:rsidR="005C4D13" w:rsidRPr="00236418" w:rsidRDefault="005C4D13"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Contributions – Membres de Secteur</w:t>
            </w:r>
          </w:p>
        </w:tc>
        <w:tc>
          <w:tcPr>
            <w:tcW w:w="1559" w:type="dxa"/>
            <w:tcBorders>
              <w:left w:val="nil"/>
              <w:right w:val="single" w:sz="4" w:space="0" w:color="auto"/>
            </w:tcBorders>
            <w:shd w:val="clear" w:color="auto" w:fill="auto"/>
            <w:noWrap/>
            <w:vAlign w:val="bottom"/>
          </w:tcPr>
          <w:p w14:paraId="78A35FBF" w14:textId="593DB4C0"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cs="Arial"/>
                <w:color w:val="000000"/>
                <w:sz w:val="20"/>
                <w:lang w:eastAsia="zh-CN"/>
              </w:rPr>
              <w:t>14 166</w:t>
            </w:r>
          </w:p>
        </w:tc>
        <w:tc>
          <w:tcPr>
            <w:tcW w:w="1701" w:type="dxa"/>
            <w:tcBorders>
              <w:left w:val="nil"/>
              <w:right w:val="single" w:sz="4" w:space="0" w:color="auto"/>
            </w:tcBorders>
            <w:shd w:val="clear" w:color="auto" w:fill="auto"/>
            <w:noWrap/>
            <w:vAlign w:val="bottom"/>
          </w:tcPr>
          <w:p w14:paraId="2E9D1BFF" w14:textId="71CD0FA4"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14 049</w:t>
            </w:r>
          </w:p>
        </w:tc>
      </w:tr>
      <w:tr w:rsidR="005C4D13" w:rsidRPr="00236418" w14:paraId="6757B666"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4B35A9ED" w14:textId="77777777" w:rsidR="005C4D13" w:rsidRPr="00236418" w:rsidRDefault="005C4D13"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Contributions – Associés</w:t>
            </w:r>
          </w:p>
        </w:tc>
        <w:tc>
          <w:tcPr>
            <w:tcW w:w="1559" w:type="dxa"/>
            <w:tcBorders>
              <w:left w:val="nil"/>
              <w:right w:val="single" w:sz="4" w:space="0" w:color="auto"/>
            </w:tcBorders>
            <w:shd w:val="clear" w:color="auto" w:fill="auto"/>
            <w:noWrap/>
            <w:vAlign w:val="bottom"/>
          </w:tcPr>
          <w:p w14:paraId="64C4B898" w14:textId="6E282F65"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cs="Arial"/>
                <w:color w:val="000000"/>
                <w:sz w:val="20"/>
                <w:lang w:eastAsia="zh-CN"/>
              </w:rPr>
              <w:t>2 123</w:t>
            </w:r>
          </w:p>
        </w:tc>
        <w:tc>
          <w:tcPr>
            <w:tcW w:w="1701" w:type="dxa"/>
            <w:tcBorders>
              <w:left w:val="nil"/>
              <w:right w:val="single" w:sz="4" w:space="0" w:color="auto"/>
            </w:tcBorders>
            <w:shd w:val="clear" w:color="auto" w:fill="auto"/>
            <w:noWrap/>
            <w:vAlign w:val="bottom"/>
          </w:tcPr>
          <w:p w14:paraId="69EA94B4" w14:textId="62DDF133"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1 925</w:t>
            </w:r>
          </w:p>
        </w:tc>
      </w:tr>
      <w:tr w:rsidR="005C4D13" w:rsidRPr="00236418" w14:paraId="0EED7C5F"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2AFD4E4F" w14:textId="77777777" w:rsidR="005C4D13" w:rsidRPr="00236418" w:rsidRDefault="005C4D13"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Contributions – Établissements universitaires</w:t>
            </w:r>
          </w:p>
        </w:tc>
        <w:tc>
          <w:tcPr>
            <w:tcW w:w="1559" w:type="dxa"/>
            <w:tcBorders>
              <w:left w:val="nil"/>
              <w:right w:val="single" w:sz="4" w:space="0" w:color="auto"/>
            </w:tcBorders>
            <w:shd w:val="clear" w:color="auto" w:fill="auto"/>
            <w:noWrap/>
            <w:vAlign w:val="bottom"/>
          </w:tcPr>
          <w:p w14:paraId="52B1EBB7" w14:textId="3A44E586"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cs="Arial"/>
                <w:color w:val="000000"/>
                <w:sz w:val="20"/>
                <w:lang w:eastAsia="zh-CN"/>
              </w:rPr>
              <w:t>381</w:t>
            </w:r>
          </w:p>
        </w:tc>
        <w:tc>
          <w:tcPr>
            <w:tcW w:w="1701" w:type="dxa"/>
            <w:tcBorders>
              <w:left w:val="nil"/>
              <w:right w:val="single" w:sz="4" w:space="0" w:color="auto"/>
            </w:tcBorders>
            <w:shd w:val="clear" w:color="auto" w:fill="auto"/>
            <w:noWrap/>
            <w:vAlign w:val="bottom"/>
          </w:tcPr>
          <w:p w14:paraId="0EAC9C1B" w14:textId="777B1DA5"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376</w:t>
            </w:r>
          </w:p>
        </w:tc>
      </w:tr>
      <w:tr w:rsidR="005C4D13" w:rsidRPr="00236418" w14:paraId="2333146E"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47C903B4" w14:textId="77777777" w:rsidR="005C4D13" w:rsidRPr="00236418" w:rsidRDefault="005C4D13"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Publications et divers</w:t>
            </w:r>
          </w:p>
        </w:tc>
        <w:tc>
          <w:tcPr>
            <w:tcW w:w="1559" w:type="dxa"/>
            <w:tcBorders>
              <w:left w:val="nil"/>
              <w:right w:val="single" w:sz="4" w:space="0" w:color="auto"/>
            </w:tcBorders>
            <w:shd w:val="clear" w:color="auto" w:fill="auto"/>
            <w:noWrap/>
            <w:vAlign w:val="bottom"/>
          </w:tcPr>
          <w:p w14:paraId="059FFD44" w14:textId="5D6C6249"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p>
        </w:tc>
        <w:tc>
          <w:tcPr>
            <w:tcW w:w="1701" w:type="dxa"/>
            <w:tcBorders>
              <w:left w:val="nil"/>
              <w:right w:val="single" w:sz="4" w:space="0" w:color="auto"/>
            </w:tcBorders>
            <w:shd w:val="clear" w:color="auto" w:fill="auto"/>
            <w:noWrap/>
            <w:vAlign w:val="bottom"/>
          </w:tcPr>
          <w:p w14:paraId="65C3CA41" w14:textId="492D4744"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r>
      <w:tr w:rsidR="005C4D13" w:rsidRPr="00236418" w14:paraId="7A015F1B" w14:textId="77777777" w:rsidTr="00EB3373">
        <w:trPr>
          <w:trHeight w:val="476"/>
          <w:jc w:val="center"/>
        </w:trPr>
        <w:tc>
          <w:tcPr>
            <w:tcW w:w="6091" w:type="dxa"/>
            <w:tcBorders>
              <w:left w:val="single" w:sz="4" w:space="0" w:color="auto"/>
              <w:right w:val="single" w:sz="4" w:space="0" w:color="auto"/>
            </w:tcBorders>
            <w:shd w:val="clear" w:color="auto" w:fill="auto"/>
            <w:noWrap/>
            <w:vAlign w:val="center"/>
          </w:tcPr>
          <w:p w14:paraId="79A37A41" w14:textId="77777777" w:rsidR="005C4D13" w:rsidRPr="00236418" w:rsidRDefault="005C4D13"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Fiche de notification des réseaux à satellite</w:t>
            </w:r>
          </w:p>
        </w:tc>
        <w:tc>
          <w:tcPr>
            <w:tcW w:w="1559" w:type="dxa"/>
            <w:tcBorders>
              <w:left w:val="single" w:sz="4" w:space="0" w:color="auto"/>
              <w:right w:val="single" w:sz="4" w:space="0" w:color="auto"/>
            </w:tcBorders>
            <w:shd w:val="clear" w:color="auto" w:fill="auto"/>
            <w:vAlign w:val="bottom"/>
          </w:tcPr>
          <w:p w14:paraId="0F95F598" w14:textId="26B029E2"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cs="Arial"/>
                <w:color w:val="000000"/>
                <w:sz w:val="20"/>
                <w:lang w:eastAsia="zh-CN"/>
              </w:rPr>
              <w:t>3 097</w:t>
            </w:r>
          </w:p>
        </w:tc>
        <w:tc>
          <w:tcPr>
            <w:tcW w:w="1701" w:type="dxa"/>
            <w:tcBorders>
              <w:left w:val="single" w:sz="4" w:space="0" w:color="auto"/>
              <w:right w:val="single" w:sz="4" w:space="0" w:color="auto"/>
            </w:tcBorders>
            <w:shd w:val="clear" w:color="auto" w:fill="auto"/>
            <w:vAlign w:val="center"/>
          </w:tcPr>
          <w:p w14:paraId="06FB83F1" w14:textId="6913CD26"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5 614</w:t>
            </w:r>
          </w:p>
        </w:tc>
      </w:tr>
      <w:tr w:rsidR="005C4D13" w:rsidRPr="00236418" w14:paraId="018A5CA4" w14:textId="77777777" w:rsidTr="00EB3373">
        <w:trPr>
          <w:trHeight w:val="476"/>
          <w:jc w:val="center"/>
        </w:trPr>
        <w:tc>
          <w:tcPr>
            <w:tcW w:w="6091" w:type="dxa"/>
            <w:tcBorders>
              <w:left w:val="single" w:sz="4" w:space="0" w:color="auto"/>
              <w:right w:val="single" w:sz="4" w:space="0" w:color="auto"/>
            </w:tcBorders>
            <w:shd w:val="clear" w:color="auto" w:fill="auto"/>
            <w:noWrap/>
            <w:vAlign w:val="center"/>
          </w:tcPr>
          <w:p w14:paraId="13DA8956" w14:textId="501557F6" w:rsidR="005C4D13" w:rsidRPr="00236418" w:rsidRDefault="00385528"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Autres</w:t>
            </w:r>
          </w:p>
        </w:tc>
        <w:tc>
          <w:tcPr>
            <w:tcW w:w="1559" w:type="dxa"/>
            <w:tcBorders>
              <w:left w:val="single" w:sz="4" w:space="0" w:color="auto"/>
              <w:right w:val="single" w:sz="4" w:space="0" w:color="auto"/>
            </w:tcBorders>
            <w:shd w:val="clear" w:color="auto" w:fill="auto"/>
            <w:vAlign w:val="bottom"/>
          </w:tcPr>
          <w:p w14:paraId="41D37173" w14:textId="145B807C"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cs="Arial"/>
                <w:color w:val="000000"/>
                <w:sz w:val="20"/>
                <w:lang w:eastAsia="zh-CN"/>
              </w:rPr>
              <w:t>5 000</w:t>
            </w:r>
          </w:p>
        </w:tc>
        <w:tc>
          <w:tcPr>
            <w:tcW w:w="1701" w:type="dxa"/>
            <w:tcBorders>
              <w:left w:val="single" w:sz="4" w:space="0" w:color="auto"/>
              <w:right w:val="single" w:sz="4" w:space="0" w:color="auto"/>
            </w:tcBorders>
            <w:shd w:val="clear" w:color="auto" w:fill="auto"/>
            <w:vAlign w:val="center"/>
          </w:tcPr>
          <w:p w14:paraId="67B40E02" w14:textId="1AF56974"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2 000</w:t>
            </w:r>
          </w:p>
        </w:tc>
      </w:tr>
      <w:tr w:rsidR="005C4D13" w:rsidRPr="00236418" w14:paraId="52375A64" w14:textId="77777777" w:rsidTr="00EB3373">
        <w:trPr>
          <w:trHeight w:val="475"/>
          <w:jc w:val="center"/>
        </w:trPr>
        <w:tc>
          <w:tcPr>
            <w:tcW w:w="6091" w:type="dxa"/>
            <w:tcBorders>
              <w:left w:val="single" w:sz="4" w:space="0" w:color="auto"/>
              <w:bottom w:val="single" w:sz="4" w:space="0" w:color="auto"/>
              <w:right w:val="single" w:sz="4" w:space="0" w:color="auto"/>
            </w:tcBorders>
            <w:shd w:val="clear" w:color="auto" w:fill="auto"/>
            <w:noWrap/>
            <w:vAlign w:val="center"/>
          </w:tcPr>
          <w:p w14:paraId="21AA959B" w14:textId="77777777" w:rsidR="005C4D13" w:rsidRPr="00236418" w:rsidRDefault="005C4D13"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Contributions extrabudgétaires</w:t>
            </w:r>
          </w:p>
        </w:tc>
        <w:tc>
          <w:tcPr>
            <w:tcW w:w="1559" w:type="dxa"/>
            <w:tcBorders>
              <w:left w:val="single" w:sz="4" w:space="0" w:color="auto"/>
              <w:bottom w:val="single" w:sz="4" w:space="0" w:color="auto"/>
              <w:right w:val="single" w:sz="4" w:space="0" w:color="auto"/>
            </w:tcBorders>
            <w:shd w:val="clear" w:color="auto" w:fill="auto"/>
            <w:vAlign w:val="bottom"/>
          </w:tcPr>
          <w:p w14:paraId="283A2C75" w14:textId="530A8318"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cs="Arial"/>
                <w:color w:val="000000"/>
                <w:sz w:val="20"/>
                <w:lang w:eastAsia="zh-CN"/>
              </w:rPr>
              <w:t>1 263</w:t>
            </w:r>
          </w:p>
        </w:tc>
        <w:tc>
          <w:tcPr>
            <w:tcW w:w="1701" w:type="dxa"/>
            <w:tcBorders>
              <w:left w:val="single" w:sz="4" w:space="0" w:color="auto"/>
              <w:bottom w:val="single" w:sz="4" w:space="0" w:color="auto"/>
              <w:right w:val="single" w:sz="4" w:space="0" w:color="auto"/>
            </w:tcBorders>
            <w:shd w:val="clear" w:color="auto" w:fill="auto"/>
            <w:vAlign w:val="center"/>
          </w:tcPr>
          <w:p w14:paraId="5AC8537A" w14:textId="37B215A7" w:rsidR="005C4D13" w:rsidRPr="00236418" w:rsidRDefault="005C4D13"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4 759</w:t>
            </w:r>
          </w:p>
        </w:tc>
      </w:tr>
      <w:tr w:rsidR="005C4D13" w:rsidRPr="00236418" w14:paraId="0408070B" w14:textId="77777777" w:rsidTr="006538EB">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9DD3" w14:textId="77777777" w:rsidR="005C4D13" w:rsidRPr="00236418" w:rsidRDefault="005C4D13" w:rsidP="009B3D24">
            <w:pPr>
              <w:pStyle w:val="Tablehead"/>
              <w:keepNext/>
              <w:keepLines/>
              <w:spacing w:before="0" w:after="0"/>
              <w:jc w:val="left"/>
              <w:rPr>
                <w:rFonts w:asciiTheme="minorHAnsi" w:hAnsiTheme="minorHAnsi"/>
                <w:sz w:val="20"/>
              </w:rPr>
            </w:pPr>
            <w:r w:rsidRPr="00236418">
              <w:rPr>
                <w:rFonts w:asciiTheme="minorHAnsi" w:hAnsiTheme="minorHAnsi"/>
                <w:sz w:val="20"/>
              </w:rPr>
              <w:t>Produits différés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1A65EB" w14:textId="171E3AEA" w:rsidR="005C4D13" w:rsidRPr="00236418" w:rsidRDefault="005C4D13" w:rsidP="009B3D24">
            <w:pPr>
              <w:pStyle w:val="Tablehead"/>
              <w:keepNext/>
              <w:keepLines/>
              <w:spacing w:before="0" w:after="0"/>
              <w:jc w:val="right"/>
              <w:rPr>
                <w:rFonts w:asciiTheme="minorHAnsi" w:hAnsiTheme="minorHAnsi"/>
                <w:sz w:val="20"/>
              </w:rPr>
            </w:pPr>
            <w:r w:rsidRPr="00236418">
              <w:rPr>
                <w:rFonts w:cs="Arial"/>
                <w:sz w:val="20"/>
                <w:lang w:eastAsia="zh-CN"/>
              </w:rPr>
              <w:t>135 642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C4C009" w14:textId="45F58242" w:rsidR="005C4D13" w:rsidRPr="00236418" w:rsidRDefault="005C4D13" w:rsidP="009B3D24">
            <w:pPr>
              <w:pStyle w:val="Tablehead"/>
              <w:keepNext/>
              <w:keepLines/>
              <w:spacing w:before="0" w:after="0"/>
              <w:jc w:val="right"/>
              <w:rPr>
                <w:rFonts w:asciiTheme="minorHAnsi" w:hAnsiTheme="minorHAnsi"/>
                <w:sz w:val="20"/>
              </w:rPr>
            </w:pPr>
            <w:r w:rsidRPr="00236418">
              <w:rPr>
                <w:rFonts w:asciiTheme="minorHAnsi" w:hAnsiTheme="minorHAnsi"/>
                <w:sz w:val="20"/>
              </w:rPr>
              <w:t>136 273</w:t>
            </w:r>
          </w:p>
        </w:tc>
      </w:tr>
    </w:tbl>
    <w:p w14:paraId="55363CB6" w14:textId="0896044C" w:rsidR="00385528" w:rsidRPr="00236418" w:rsidRDefault="00DF6159" w:rsidP="009B3D24">
      <w:pPr>
        <w:spacing w:before="240"/>
      </w:pPr>
      <w:bookmarkStart w:id="1662" w:name="_Toc329178787"/>
      <w:bookmarkStart w:id="1663" w:name="_Toc329181760"/>
      <w:r w:rsidRPr="00236418">
        <w:t>En 201</w:t>
      </w:r>
      <w:r w:rsidR="00CF2AB9" w:rsidRPr="00236418">
        <w:t>9</w:t>
      </w:r>
      <w:r w:rsidRPr="00236418">
        <w:t xml:space="preserve">, les produits différés pour les contributions représentaient les produits associés </w:t>
      </w:r>
      <w:r w:rsidR="00385528" w:rsidRPr="00236418">
        <w:t>aux contributions pour</w:t>
      </w:r>
      <w:r w:rsidRPr="00236418">
        <w:t xml:space="preserve"> l'année 20</w:t>
      </w:r>
      <w:r w:rsidR="00CF2AB9" w:rsidRPr="00236418">
        <w:t>20</w:t>
      </w:r>
      <w:r w:rsidRPr="00236418">
        <w:t xml:space="preserve">. Les produits différés pour les fiches de notification de réseaux à satellite concernent </w:t>
      </w:r>
      <w:bookmarkEnd w:id="1662"/>
      <w:bookmarkEnd w:id="1663"/>
      <w:r w:rsidRPr="00236418">
        <w:t>des demandes établies à la fin de 201</w:t>
      </w:r>
      <w:r w:rsidR="00CF2AB9" w:rsidRPr="00236418">
        <w:t>9</w:t>
      </w:r>
      <w:r w:rsidRPr="00236418">
        <w:t>, pour publication en 20</w:t>
      </w:r>
      <w:r w:rsidR="00CF2AB9" w:rsidRPr="00236418">
        <w:t>20</w:t>
      </w:r>
      <w:r w:rsidRPr="00236418">
        <w:t xml:space="preserve">. </w:t>
      </w:r>
      <w:r w:rsidR="00385528" w:rsidRPr="00236418">
        <w:t>Les autres produits différés concernent des accords de parrainage pour le nouveau bâtiment pour lesquels</w:t>
      </w:r>
      <w:r w:rsidR="007161BD" w:rsidRPr="00236418">
        <w:t xml:space="preserve"> la facture a été émise mais</w:t>
      </w:r>
      <w:r w:rsidR="00385528" w:rsidRPr="00236418">
        <w:t xml:space="preserve"> le paiement n'a pas encore eu lieu.</w:t>
      </w:r>
    </w:p>
    <w:p w14:paraId="619C20C6" w14:textId="77777777" w:rsidR="00DF6159" w:rsidRPr="00236418" w:rsidRDefault="00DF6159" w:rsidP="00081C96">
      <w:pPr>
        <w:pStyle w:val="Heading1"/>
        <w:spacing w:before="240" w:after="240"/>
        <w:rPr>
          <w:sz w:val="24"/>
          <w:szCs w:val="24"/>
        </w:rPr>
      </w:pPr>
      <w:bookmarkStart w:id="1664" w:name="_Toc329178788"/>
      <w:bookmarkStart w:id="1665" w:name="_Toc329181761"/>
      <w:bookmarkStart w:id="1666" w:name="_Toc329202582"/>
      <w:bookmarkStart w:id="1667" w:name="_Toc329205014"/>
      <w:bookmarkStart w:id="1668" w:name="_Toc329206851"/>
      <w:bookmarkStart w:id="1669" w:name="_Toc358379936"/>
      <w:bookmarkStart w:id="1670" w:name="_Toc358380477"/>
      <w:bookmarkStart w:id="1671" w:name="_Toc387166657"/>
      <w:bookmarkStart w:id="1672" w:name="_Toc395260942"/>
      <w:bookmarkStart w:id="1673" w:name="_Toc395511721"/>
      <w:bookmarkStart w:id="1674" w:name="_Toc452138631"/>
      <w:bookmarkStart w:id="1675" w:name="_Toc452139080"/>
      <w:bookmarkStart w:id="1676" w:name="_Toc452139444"/>
      <w:bookmarkStart w:id="1677" w:name="_Toc452139845"/>
      <w:bookmarkStart w:id="1678" w:name="_Toc452140719"/>
      <w:bookmarkStart w:id="1679" w:name="_Toc482801509"/>
      <w:bookmarkStart w:id="1680" w:name="_Toc511649481"/>
      <w:bookmarkStart w:id="1681" w:name="_Toc511649851"/>
      <w:bookmarkStart w:id="1682" w:name="_Toc511649967"/>
      <w:bookmarkStart w:id="1683" w:name="_Toc511651225"/>
      <w:bookmarkStart w:id="1684" w:name="_Toc511724090"/>
      <w:bookmarkStart w:id="1685" w:name="_Toc511739079"/>
      <w:bookmarkStart w:id="1686" w:name="_Toc511741248"/>
      <w:bookmarkStart w:id="1687" w:name="_Toc10450754"/>
      <w:bookmarkStart w:id="1688" w:name="_Toc41566354"/>
      <w:bookmarkStart w:id="1689" w:name="_Toc41567362"/>
      <w:bookmarkStart w:id="1690" w:name="_Toc41567865"/>
      <w:bookmarkStart w:id="1691" w:name="_Toc41814960"/>
      <w:r w:rsidRPr="00236418">
        <w:rPr>
          <w:sz w:val="24"/>
          <w:szCs w:val="24"/>
        </w:rPr>
        <w:lastRenderedPageBreak/>
        <w:t>Note 16</w:t>
      </w:r>
      <w:r w:rsidRPr="00236418">
        <w:rPr>
          <w:sz w:val="24"/>
          <w:szCs w:val="24"/>
        </w:rPr>
        <w:tab/>
        <w:t>Emprunts et autres dettes financières</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tbl>
      <w:tblPr>
        <w:tblW w:w="9351" w:type="dxa"/>
        <w:jc w:val="center"/>
        <w:tblLayout w:type="fixed"/>
        <w:tblLook w:val="04A0" w:firstRow="1" w:lastRow="0" w:firstColumn="1" w:lastColumn="0" w:noHBand="0" w:noVBand="1"/>
        <w:tblCaption w:val="E"/>
      </w:tblPr>
      <w:tblGrid>
        <w:gridCol w:w="5082"/>
        <w:gridCol w:w="1275"/>
        <w:gridCol w:w="1514"/>
        <w:gridCol w:w="1480"/>
      </w:tblGrid>
      <w:tr w:rsidR="00DF6159" w:rsidRPr="00236418" w14:paraId="2AE67041" w14:textId="77777777" w:rsidTr="006538EB">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3115"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 xml:space="preserve">En milliers de CHF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D4B7"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Échéance</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1B0B" w14:textId="4AFD6A66"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31.12.201</w:t>
            </w:r>
            <w:r w:rsidR="005F3271" w:rsidRPr="00236418">
              <w:rPr>
                <w:rFonts w:asciiTheme="minorHAnsi" w:hAnsiTheme="minorHAnsi"/>
                <w:sz w:val="20"/>
              </w:rPr>
              <w:t>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C2F12" w14:textId="2E8E43CC"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31.12.201</w:t>
            </w:r>
            <w:r w:rsidR="005F3271" w:rsidRPr="00236418">
              <w:rPr>
                <w:rFonts w:asciiTheme="minorHAnsi" w:hAnsiTheme="minorHAnsi"/>
                <w:sz w:val="20"/>
              </w:rPr>
              <w:t>8</w:t>
            </w:r>
          </w:p>
        </w:tc>
      </w:tr>
      <w:tr w:rsidR="00DF6159" w:rsidRPr="00236418" w14:paraId="2EE8DA19" w14:textId="77777777" w:rsidTr="006538EB">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656D263F"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Montants initialement empruntés auprès de la FIPOI</w:t>
            </w:r>
          </w:p>
        </w:tc>
        <w:tc>
          <w:tcPr>
            <w:tcW w:w="1275" w:type="dxa"/>
            <w:tcBorders>
              <w:top w:val="nil"/>
              <w:left w:val="single" w:sz="4" w:space="0" w:color="auto"/>
              <w:bottom w:val="nil"/>
              <w:right w:val="single" w:sz="4" w:space="0" w:color="auto"/>
            </w:tcBorders>
            <w:shd w:val="clear" w:color="auto" w:fill="auto"/>
            <w:noWrap/>
            <w:vAlign w:val="bottom"/>
            <w:hideMark/>
          </w:tcPr>
          <w:p w14:paraId="27613C22" w14:textId="77777777" w:rsidR="00DF6159" w:rsidRPr="00236418" w:rsidRDefault="00DF615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236418">
              <w:rPr>
                <w:rFonts w:asciiTheme="minorHAnsi" w:hAnsiTheme="minorHAnsi"/>
                <w:sz w:val="20"/>
                <w:lang w:eastAsia="fr-FR"/>
              </w:rPr>
              <w:t> </w:t>
            </w:r>
          </w:p>
        </w:tc>
        <w:tc>
          <w:tcPr>
            <w:tcW w:w="1514" w:type="dxa"/>
            <w:tcBorders>
              <w:top w:val="nil"/>
              <w:left w:val="single" w:sz="4" w:space="0" w:color="auto"/>
              <w:bottom w:val="nil"/>
              <w:right w:val="single" w:sz="4" w:space="0" w:color="auto"/>
            </w:tcBorders>
            <w:shd w:val="clear" w:color="auto" w:fill="auto"/>
            <w:noWrap/>
            <w:vAlign w:val="center"/>
            <w:hideMark/>
          </w:tcPr>
          <w:p w14:paraId="584C9C19" w14:textId="77777777" w:rsidR="00DF6159" w:rsidRPr="00236418" w:rsidRDefault="00DF615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 </w:t>
            </w:r>
          </w:p>
        </w:tc>
        <w:tc>
          <w:tcPr>
            <w:tcW w:w="1480" w:type="dxa"/>
            <w:tcBorders>
              <w:top w:val="nil"/>
              <w:left w:val="single" w:sz="4" w:space="0" w:color="auto"/>
              <w:bottom w:val="nil"/>
              <w:right w:val="single" w:sz="4" w:space="0" w:color="auto"/>
            </w:tcBorders>
            <w:shd w:val="clear" w:color="auto" w:fill="auto"/>
            <w:noWrap/>
            <w:vAlign w:val="center"/>
            <w:hideMark/>
          </w:tcPr>
          <w:p w14:paraId="0E0D4A52" w14:textId="77777777" w:rsidR="00DF6159" w:rsidRPr="00236418" w:rsidRDefault="00DF615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 </w:t>
            </w:r>
          </w:p>
        </w:tc>
      </w:tr>
      <w:tr w:rsidR="00E200E4" w:rsidRPr="00236418" w14:paraId="69EBB1C1" w14:textId="77777777" w:rsidTr="006538EB">
        <w:trPr>
          <w:trHeight w:val="255"/>
          <w:jc w:val="center"/>
        </w:trPr>
        <w:tc>
          <w:tcPr>
            <w:tcW w:w="5082" w:type="dxa"/>
            <w:tcBorders>
              <w:top w:val="nil"/>
              <w:left w:val="single" w:sz="4" w:space="0" w:color="auto"/>
              <w:bottom w:val="nil"/>
              <w:right w:val="single" w:sz="4" w:space="0" w:color="auto"/>
            </w:tcBorders>
            <w:shd w:val="clear" w:color="auto" w:fill="auto"/>
            <w:noWrap/>
            <w:vAlign w:val="bottom"/>
          </w:tcPr>
          <w:p w14:paraId="43E6ADF2" w14:textId="77777777" w:rsidR="00E200E4" w:rsidRPr="00236418" w:rsidRDefault="00E200E4" w:rsidP="009B3D24">
            <w:pPr>
              <w:pStyle w:val="Tabletext"/>
              <w:keepNext/>
              <w:keepLines/>
              <w:spacing w:before="20" w:after="0"/>
              <w:rPr>
                <w:rFonts w:asciiTheme="minorHAnsi" w:hAnsiTheme="minorHAnsi"/>
                <w:sz w:val="20"/>
                <w:lang w:eastAsia="fr-FR"/>
              </w:rPr>
            </w:pPr>
          </w:p>
        </w:tc>
        <w:tc>
          <w:tcPr>
            <w:tcW w:w="1275" w:type="dxa"/>
            <w:tcBorders>
              <w:top w:val="nil"/>
              <w:left w:val="single" w:sz="4" w:space="0" w:color="auto"/>
              <w:bottom w:val="nil"/>
              <w:right w:val="single" w:sz="4" w:space="0" w:color="auto"/>
            </w:tcBorders>
            <w:shd w:val="clear" w:color="auto" w:fill="auto"/>
            <w:noWrap/>
            <w:vAlign w:val="bottom"/>
          </w:tcPr>
          <w:p w14:paraId="03ABE992" w14:textId="77777777" w:rsidR="00E200E4" w:rsidRPr="00236418" w:rsidRDefault="00E200E4"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top w:val="nil"/>
              <w:left w:val="single" w:sz="4" w:space="0" w:color="auto"/>
              <w:bottom w:val="nil"/>
              <w:right w:val="single" w:sz="4" w:space="0" w:color="auto"/>
            </w:tcBorders>
            <w:shd w:val="clear" w:color="auto" w:fill="auto"/>
            <w:noWrap/>
            <w:vAlign w:val="center"/>
          </w:tcPr>
          <w:p w14:paraId="752C328B" w14:textId="77777777" w:rsidR="00E200E4" w:rsidRPr="00236418" w:rsidRDefault="00E200E4"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p>
        </w:tc>
        <w:tc>
          <w:tcPr>
            <w:tcW w:w="1480" w:type="dxa"/>
            <w:tcBorders>
              <w:top w:val="nil"/>
              <w:left w:val="single" w:sz="4" w:space="0" w:color="auto"/>
              <w:bottom w:val="nil"/>
              <w:right w:val="single" w:sz="4" w:space="0" w:color="auto"/>
            </w:tcBorders>
            <w:shd w:val="clear" w:color="auto" w:fill="auto"/>
            <w:noWrap/>
            <w:vAlign w:val="center"/>
          </w:tcPr>
          <w:p w14:paraId="3B9BFAA7" w14:textId="77777777" w:rsidR="00E200E4" w:rsidRPr="00236418" w:rsidRDefault="00E200E4"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p>
        </w:tc>
      </w:tr>
      <w:tr w:rsidR="00485119" w:rsidRPr="00236418" w14:paraId="4F908E6A" w14:textId="77777777" w:rsidTr="00EB3373">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3603AE4D"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 xml:space="preserve">2 634 780 CHF – dès 1990 </w:t>
            </w:r>
          </w:p>
        </w:tc>
        <w:tc>
          <w:tcPr>
            <w:tcW w:w="1275" w:type="dxa"/>
            <w:tcBorders>
              <w:top w:val="nil"/>
              <w:left w:val="single" w:sz="4" w:space="0" w:color="auto"/>
              <w:bottom w:val="nil"/>
              <w:right w:val="single" w:sz="4" w:space="0" w:color="auto"/>
            </w:tcBorders>
            <w:shd w:val="clear" w:color="auto" w:fill="auto"/>
            <w:noWrap/>
            <w:vAlign w:val="bottom"/>
            <w:hideMark/>
          </w:tcPr>
          <w:p w14:paraId="464282CF" w14:textId="7777777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236418">
              <w:rPr>
                <w:rFonts w:asciiTheme="minorHAnsi" w:hAnsiTheme="minorHAnsi"/>
                <w:sz w:val="20"/>
                <w:lang w:eastAsia="fr-FR"/>
              </w:rPr>
              <w:t>2020</w:t>
            </w:r>
          </w:p>
        </w:tc>
        <w:tc>
          <w:tcPr>
            <w:tcW w:w="1514" w:type="dxa"/>
            <w:tcBorders>
              <w:top w:val="nil"/>
              <w:left w:val="single" w:sz="4" w:space="0" w:color="auto"/>
              <w:bottom w:val="nil"/>
              <w:right w:val="single" w:sz="4" w:space="0" w:color="auto"/>
            </w:tcBorders>
            <w:shd w:val="clear" w:color="auto" w:fill="auto"/>
            <w:noWrap/>
            <w:vAlign w:val="bottom"/>
          </w:tcPr>
          <w:p w14:paraId="00A119F1" w14:textId="1AA6F73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102</w:t>
            </w:r>
          </w:p>
        </w:tc>
        <w:tc>
          <w:tcPr>
            <w:tcW w:w="1480" w:type="dxa"/>
            <w:tcBorders>
              <w:top w:val="nil"/>
              <w:left w:val="single" w:sz="4" w:space="0" w:color="auto"/>
              <w:bottom w:val="nil"/>
              <w:right w:val="single" w:sz="4" w:space="0" w:color="auto"/>
            </w:tcBorders>
            <w:shd w:val="clear" w:color="auto" w:fill="auto"/>
            <w:noWrap/>
          </w:tcPr>
          <w:p w14:paraId="3F6CE4C1" w14:textId="52E194E5"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204</w:t>
            </w:r>
          </w:p>
        </w:tc>
      </w:tr>
      <w:tr w:rsidR="00485119" w:rsidRPr="00236418" w14:paraId="37BE23C3" w14:textId="77777777" w:rsidTr="00EB3373">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77B456B1"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 xml:space="preserve">19 627 590 CHF – dès 1990 </w:t>
            </w:r>
          </w:p>
        </w:tc>
        <w:tc>
          <w:tcPr>
            <w:tcW w:w="1275" w:type="dxa"/>
            <w:tcBorders>
              <w:top w:val="nil"/>
              <w:left w:val="single" w:sz="4" w:space="0" w:color="auto"/>
              <w:bottom w:val="nil"/>
              <w:right w:val="single" w:sz="4" w:space="0" w:color="auto"/>
            </w:tcBorders>
            <w:shd w:val="clear" w:color="auto" w:fill="auto"/>
            <w:noWrap/>
            <w:vAlign w:val="bottom"/>
            <w:hideMark/>
          </w:tcPr>
          <w:p w14:paraId="5C6EAA80" w14:textId="7777777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236418">
              <w:rPr>
                <w:rFonts w:asciiTheme="minorHAnsi" w:hAnsiTheme="minorHAnsi"/>
                <w:sz w:val="20"/>
                <w:lang w:eastAsia="fr-FR"/>
              </w:rPr>
              <w:t>2039</w:t>
            </w:r>
          </w:p>
        </w:tc>
        <w:tc>
          <w:tcPr>
            <w:tcW w:w="1514" w:type="dxa"/>
            <w:tcBorders>
              <w:top w:val="nil"/>
              <w:left w:val="single" w:sz="4" w:space="0" w:color="auto"/>
              <w:bottom w:val="nil"/>
              <w:right w:val="single" w:sz="4" w:space="0" w:color="auto"/>
            </w:tcBorders>
            <w:shd w:val="clear" w:color="auto" w:fill="auto"/>
            <w:noWrap/>
            <w:vAlign w:val="bottom"/>
          </w:tcPr>
          <w:p w14:paraId="1C8FE76A" w14:textId="0400D14D"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8 856</w:t>
            </w:r>
          </w:p>
        </w:tc>
        <w:tc>
          <w:tcPr>
            <w:tcW w:w="1480" w:type="dxa"/>
            <w:tcBorders>
              <w:top w:val="nil"/>
              <w:left w:val="single" w:sz="4" w:space="0" w:color="auto"/>
              <w:bottom w:val="nil"/>
              <w:right w:val="single" w:sz="4" w:space="0" w:color="auto"/>
            </w:tcBorders>
            <w:shd w:val="clear" w:color="auto" w:fill="auto"/>
            <w:noWrap/>
          </w:tcPr>
          <w:p w14:paraId="57AD8B19" w14:textId="2E6A1D43"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9 299</w:t>
            </w:r>
          </w:p>
        </w:tc>
      </w:tr>
      <w:tr w:rsidR="00485119" w:rsidRPr="00236418" w14:paraId="6F747572" w14:textId="77777777" w:rsidTr="00EB3373">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146EB5FA"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 xml:space="preserve">45 427 250 CHF – dès 2002 </w:t>
            </w:r>
          </w:p>
        </w:tc>
        <w:tc>
          <w:tcPr>
            <w:tcW w:w="1275" w:type="dxa"/>
            <w:tcBorders>
              <w:top w:val="nil"/>
              <w:left w:val="single" w:sz="4" w:space="0" w:color="auto"/>
              <w:bottom w:val="nil"/>
              <w:right w:val="single" w:sz="4" w:space="0" w:color="auto"/>
            </w:tcBorders>
            <w:shd w:val="clear" w:color="auto" w:fill="auto"/>
            <w:noWrap/>
            <w:vAlign w:val="bottom"/>
            <w:hideMark/>
          </w:tcPr>
          <w:p w14:paraId="7647EBE4" w14:textId="7777777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236418">
              <w:rPr>
                <w:rFonts w:asciiTheme="minorHAnsi" w:hAnsiTheme="minorHAnsi"/>
                <w:sz w:val="20"/>
                <w:lang w:eastAsia="fr-FR"/>
              </w:rPr>
              <w:t>2051</w:t>
            </w:r>
          </w:p>
        </w:tc>
        <w:tc>
          <w:tcPr>
            <w:tcW w:w="1514" w:type="dxa"/>
            <w:tcBorders>
              <w:top w:val="nil"/>
              <w:left w:val="single" w:sz="4" w:space="0" w:color="auto"/>
              <w:bottom w:val="nil"/>
              <w:right w:val="single" w:sz="4" w:space="0" w:color="auto"/>
            </w:tcBorders>
            <w:shd w:val="clear" w:color="auto" w:fill="auto"/>
            <w:noWrap/>
            <w:vAlign w:val="bottom"/>
          </w:tcPr>
          <w:p w14:paraId="4031933F" w14:textId="7D612AA3"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29 074</w:t>
            </w:r>
          </w:p>
        </w:tc>
        <w:tc>
          <w:tcPr>
            <w:tcW w:w="1480" w:type="dxa"/>
            <w:tcBorders>
              <w:top w:val="nil"/>
              <w:left w:val="single" w:sz="4" w:space="0" w:color="auto"/>
              <w:bottom w:val="nil"/>
              <w:right w:val="single" w:sz="4" w:space="0" w:color="auto"/>
            </w:tcBorders>
            <w:shd w:val="clear" w:color="auto" w:fill="auto"/>
            <w:noWrap/>
          </w:tcPr>
          <w:p w14:paraId="48EAB6D2" w14:textId="4DFCD5E2"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 xml:space="preserve">29 982 </w:t>
            </w:r>
          </w:p>
        </w:tc>
      </w:tr>
      <w:tr w:rsidR="00485119" w:rsidRPr="00236418" w14:paraId="3D96DE1E" w14:textId="77777777" w:rsidTr="00EB3373">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61CA8A7A"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 xml:space="preserve">2 000 000 CHF – dès 2002 </w:t>
            </w:r>
          </w:p>
        </w:tc>
        <w:tc>
          <w:tcPr>
            <w:tcW w:w="1275" w:type="dxa"/>
            <w:tcBorders>
              <w:top w:val="nil"/>
              <w:left w:val="single" w:sz="4" w:space="0" w:color="auto"/>
              <w:right w:val="single" w:sz="4" w:space="0" w:color="auto"/>
            </w:tcBorders>
            <w:shd w:val="clear" w:color="auto" w:fill="auto"/>
            <w:noWrap/>
            <w:vAlign w:val="bottom"/>
            <w:hideMark/>
          </w:tcPr>
          <w:p w14:paraId="322F5219" w14:textId="7777777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236418">
              <w:rPr>
                <w:rFonts w:asciiTheme="minorHAnsi" w:hAnsiTheme="minorHAnsi"/>
                <w:sz w:val="20"/>
                <w:lang w:eastAsia="fr-FR"/>
              </w:rPr>
              <w:t>2051</w:t>
            </w:r>
          </w:p>
        </w:tc>
        <w:tc>
          <w:tcPr>
            <w:tcW w:w="1514" w:type="dxa"/>
            <w:tcBorders>
              <w:top w:val="nil"/>
              <w:left w:val="single" w:sz="4" w:space="0" w:color="auto"/>
              <w:right w:val="single" w:sz="4" w:space="0" w:color="auto"/>
            </w:tcBorders>
            <w:shd w:val="clear" w:color="auto" w:fill="auto"/>
            <w:noWrap/>
            <w:vAlign w:val="bottom"/>
          </w:tcPr>
          <w:p w14:paraId="5C6D5283" w14:textId="3D185B76"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1 280</w:t>
            </w:r>
          </w:p>
        </w:tc>
        <w:tc>
          <w:tcPr>
            <w:tcW w:w="1480" w:type="dxa"/>
            <w:tcBorders>
              <w:top w:val="nil"/>
              <w:left w:val="single" w:sz="4" w:space="0" w:color="auto"/>
              <w:right w:val="single" w:sz="4" w:space="0" w:color="auto"/>
            </w:tcBorders>
            <w:shd w:val="clear" w:color="auto" w:fill="auto"/>
            <w:noWrap/>
          </w:tcPr>
          <w:p w14:paraId="690345BA" w14:textId="77A62E5E"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 xml:space="preserve">1 320 </w:t>
            </w:r>
          </w:p>
        </w:tc>
      </w:tr>
      <w:tr w:rsidR="00485119" w:rsidRPr="00236418" w14:paraId="3C0730C2" w14:textId="77777777" w:rsidTr="002551DA">
        <w:trPr>
          <w:trHeight w:val="201"/>
          <w:jc w:val="center"/>
        </w:trPr>
        <w:tc>
          <w:tcPr>
            <w:tcW w:w="5082" w:type="dxa"/>
            <w:tcBorders>
              <w:left w:val="single" w:sz="4" w:space="0" w:color="auto"/>
              <w:bottom w:val="single" w:sz="4" w:space="0" w:color="auto"/>
              <w:right w:val="single" w:sz="4" w:space="0" w:color="auto"/>
            </w:tcBorders>
            <w:shd w:val="clear" w:color="auto" w:fill="auto"/>
            <w:noWrap/>
          </w:tcPr>
          <w:p w14:paraId="5FD3EDCD" w14:textId="77777777" w:rsidR="00485119" w:rsidRPr="00236418" w:rsidRDefault="00485119" w:rsidP="002551DA">
            <w:pPr>
              <w:pStyle w:val="Tabletext"/>
              <w:keepNext/>
              <w:keepLines/>
              <w:spacing w:before="100" w:beforeAutospacing="1" w:after="100" w:afterAutospacing="1"/>
              <w:rPr>
                <w:rFonts w:asciiTheme="minorHAnsi" w:hAnsiTheme="minorHAnsi"/>
                <w:sz w:val="20"/>
                <w:lang w:eastAsia="fr-FR"/>
              </w:rPr>
            </w:pPr>
            <w:r w:rsidRPr="00236418">
              <w:rPr>
                <w:rFonts w:asciiTheme="minorHAnsi" w:hAnsiTheme="minorHAnsi"/>
                <w:sz w:val="20"/>
                <w:lang w:eastAsia="fr-FR"/>
              </w:rPr>
              <w:t>Projet de nouveau bâtiment</w:t>
            </w:r>
          </w:p>
        </w:tc>
        <w:tc>
          <w:tcPr>
            <w:tcW w:w="1275" w:type="dxa"/>
            <w:tcBorders>
              <w:left w:val="single" w:sz="4" w:space="0" w:color="auto"/>
              <w:bottom w:val="single" w:sz="4" w:space="0" w:color="auto"/>
              <w:right w:val="single" w:sz="4" w:space="0" w:color="auto"/>
            </w:tcBorders>
            <w:shd w:val="clear" w:color="auto" w:fill="auto"/>
            <w:noWrap/>
          </w:tcPr>
          <w:p w14:paraId="6056C78F" w14:textId="77777777" w:rsidR="00485119" w:rsidRPr="00236418" w:rsidRDefault="00485119" w:rsidP="002551DA">
            <w:pPr>
              <w:keepNext/>
              <w:keepLines/>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rPr>
                <w:rFonts w:asciiTheme="minorHAnsi" w:hAnsiTheme="minorHAnsi"/>
                <w:sz w:val="20"/>
                <w:lang w:eastAsia="fr-FR"/>
              </w:rPr>
            </w:pPr>
            <w:r w:rsidRPr="00236418">
              <w:rPr>
                <w:rFonts w:asciiTheme="minorHAnsi" w:hAnsiTheme="minorHAnsi"/>
                <w:sz w:val="20"/>
                <w:lang w:eastAsia="fr-FR"/>
              </w:rPr>
              <w:t>–</w:t>
            </w:r>
          </w:p>
        </w:tc>
        <w:tc>
          <w:tcPr>
            <w:tcW w:w="1514" w:type="dxa"/>
            <w:tcBorders>
              <w:left w:val="single" w:sz="4" w:space="0" w:color="auto"/>
              <w:bottom w:val="single" w:sz="4" w:space="0" w:color="auto"/>
              <w:right w:val="single" w:sz="4" w:space="0" w:color="auto"/>
            </w:tcBorders>
            <w:shd w:val="clear" w:color="auto" w:fill="auto"/>
            <w:noWrap/>
          </w:tcPr>
          <w:p w14:paraId="7C329CFA" w14:textId="3343BE94" w:rsidR="00485119" w:rsidRPr="00236418" w:rsidRDefault="00485119" w:rsidP="002551DA">
            <w:pPr>
              <w:keepNext/>
              <w:keepLines/>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rPr>
                <w:rFonts w:asciiTheme="minorHAnsi" w:hAnsiTheme="minorHAnsi"/>
                <w:sz w:val="20"/>
                <w:lang w:eastAsia="fr-FR"/>
              </w:rPr>
            </w:pPr>
            <w:r w:rsidRPr="00236418">
              <w:rPr>
                <w:rFonts w:cs="Arial"/>
                <w:color w:val="000000"/>
                <w:sz w:val="20"/>
                <w:lang w:eastAsia="zh-CN"/>
              </w:rPr>
              <w:t>5 637</w:t>
            </w:r>
          </w:p>
        </w:tc>
        <w:tc>
          <w:tcPr>
            <w:tcW w:w="1480" w:type="dxa"/>
            <w:tcBorders>
              <w:left w:val="single" w:sz="4" w:space="0" w:color="auto"/>
              <w:bottom w:val="single" w:sz="4" w:space="0" w:color="auto"/>
              <w:right w:val="single" w:sz="4" w:space="0" w:color="auto"/>
            </w:tcBorders>
            <w:shd w:val="clear" w:color="auto" w:fill="auto"/>
            <w:noWrap/>
          </w:tcPr>
          <w:p w14:paraId="3CBD0F78" w14:textId="3D4DC23C" w:rsidR="00485119" w:rsidRPr="00236418" w:rsidRDefault="00485119" w:rsidP="002551DA">
            <w:pPr>
              <w:keepNext/>
              <w:keepLines/>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rPr>
                <w:rFonts w:asciiTheme="minorHAnsi" w:hAnsiTheme="minorHAnsi"/>
                <w:sz w:val="20"/>
                <w:lang w:eastAsia="fr-FR"/>
              </w:rPr>
            </w:pPr>
            <w:r w:rsidRPr="00236418">
              <w:rPr>
                <w:rFonts w:asciiTheme="minorHAnsi" w:hAnsiTheme="minorHAnsi"/>
                <w:sz w:val="20"/>
                <w:lang w:eastAsia="fr-FR"/>
              </w:rPr>
              <w:t xml:space="preserve">2 387 </w:t>
            </w:r>
          </w:p>
        </w:tc>
      </w:tr>
      <w:tr w:rsidR="00485119" w:rsidRPr="00236418" w14:paraId="43CC3B18" w14:textId="77777777" w:rsidTr="006538EB">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44DC" w14:textId="77777777" w:rsidR="00485119" w:rsidRPr="00236418" w:rsidRDefault="00485119" w:rsidP="009B3D24">
            <w:pPr>
              <w:pStyle w:val="Tablehead"/>
              <w:keepNext/>
              <w:keepLines/>
              <w:spacing w:before="0" w:after="0"/>
              <w:jc w:val="left"/>
              <w:rPr>
                <w:rFonts w:asciiTheme="minorHAnsi" w:hAnsiTheme="minorHAnsi"/>
                <w:sz w:val="20"/>
              </w:rPr>
            </w:pPr>
            <w:r w:rsidRPr="00236418">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A993" w14:textId="77777777" w:rsidR="00485119" w:rsidRPr="00236418"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25DC6" w14:textId="7ACA80EF"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cs="Arial"/>
                <w:b/>
                <w:bCs/>
                <w:color w:val="000000"/>
                <w:sz w:val="20"/>
                <w:lang w:eastAsia="zh-CN"/>
              </w:rPr>
              <w:t>44 949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421AA" w14:textId="6B215BD3"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asciiTheme="minorHAnsi" w:hAnsiTheme="minorHAnsi"/>
                <w:b/>
                <w:bCs/>
                <w:sz w:val="20"/>
                <w:lang w:eastAsia="fr-FR"/>
              </w:rPr>
              <w:t>43 193</w:t>
            </w:r>
          </w:p>
        </w:tc>
      </w:tr>
      <w:tr w:rsidR="00485119" w:rsidRPr="00236418" w14:paraId="69D9A332" w14:textId="77777777" w:rsidTr="00EB3373">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1B7CCAEF"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Dont part à court terme</w:t>
            </w:r>
          </w:p>
        </w:tc>
        <w:tc>
          <w:tcPr>
            <w:tcW w:w="1275" w:type="dxa"/>
            <w:tcBorders>
              <w:top w:val="nil"/>
              <w:left w:val="single" w:sz="4" w:space="0" w:color="auto"/>
              <w:right w:val="single" w:sz="4" w:space="0" w:color="auto"/>
            </w:tcBorders>
            <w:shd w:val="clear" w:color="auto" w:fill="auto"/>
            <w:noWrap/>
            <w:vAlign w:val="bottom"/>
            <w:hideMark/>
          </w:tcPr>
          <w:p w14:paraId="1D8203E6" w14:textId="7777777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top w:val="nil"/>
              <w:left w:val="single" w:sz="4" w:space="0" w:color="auto"/>
              <w:right w:val="single" w:sz="4" w:space="0" w:color="auto"/>
            </w:tcBorders>
            <w:shd w:val="clear" w:color="auto" w:fill="auto"/>
            <w:noWrap/>
            <w:vAlign w:val="bottom"/>
          </w:tcPr>
          <w:p w14:paraId="1FDC5690" w14:textId="10E28B6F"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1 493</w:t>
            </w:r>
          </w:p>
        </w:tc>
        <w:tc>
          <w:tcPr>
            <w:tcW w:w="1480" w:type="dxa"/>
            <w:tcBorders>
              <w:top w:val="nil"/>
              <w:left w:val="single" w:sz="4" w:space="0" w:color="auto"/>
              <w:right w:val="single" w:sz="4" w:space="0" w:color="auto"/>
            </w:tcBorders>
            <w:shd w:val="clear" w:color="auto" w:fill="auto"/>
            <w:noWrap/>
          </w:tcPr>
          <w:p w14:paraId="62F19B24" w14:textId="79CC9A4C"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1 493</w:t>
            </w:r>
          </w:p>
        </w:tc>
      </w:tr>
      <w:tr w:rsidR="00485119" w:rsidRPr="00236418" w14:paraId="122924FF" w14:textId="77777777" w:rsidTr="00EB3373">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5D569D50"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Dont part à long terme</w:t>
            </w:r>
          </w:p>
        </w:tc>
        <w:tc>
          <w:tcPr>
            <w:tcW w:w="1275" w:type="dxa"/>
            <w:tcBorders>
              <w:top w:val="nil"/>
              <w:left w:val="single" w:sz="4" w:space="0" w:color="auto"/>
              <w:right w:val="single" w:sz="4" w:space="0" w:color="auto"/>
            </w:tcBorders>
            <w:shd w:val="clear" w:color="auto" w:fill="auto"/>
            <w:noWrap/>
            <w:vAlign w:val="bottom"/>
            <w:hideMark/>
          </w:tcPr>
          <w:p w14:paraId="5EDDF255" w14:textId="7777777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top w:val="nil"/>
              <w:left w:val="single" w:sz="4" w:space="0" w:color="auto"/>
              <w:right w:val="single" w:sz="4" w:space="0" w:color="auto"/>
            </w:tcBorders>
            <w:shd w:val="clear" w:color="auto" w:fill="auto"/>
            <w:noWrap/>
            <w:vAlign w:val="bottom"/>
          </w:tcPr>
          <w:p w14:paraId="03A692C8" w14:textId="34CEA7F9"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43 456</w:t>
            </w:r>
          </w:p>
        </w:tc>
        <w:tc>
          <w:tcPr>
            <w:tcW w:w="1480" w:type="dxa"/>
            <w:tcBorders>
              <w:top w:val="nil"/>
              <w:left w:val="single" w:sz="4" w:space="0" w:color="auto"/>
              <w:right w:val="single" w:sz="4" w:space="0" w:color="auto"/>
            </w:tcBorders>
            <w:shd w:val="clear" w:color="auto" w:fill="auto"/>
            <w:noWrap/>
          </w:tcPr>
          <w:p w14:paraId="2859A55A" w14:textId="39483E23"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 xml:space="preserve">41 699 </w:t>
            </w:r>
          </w:p>
        </w:tc>
      </w:tr>
      <w:tr w:rsidR="00485119" w:rsidRPr="00236418" w14:paraId="4F596532" w14:textId="77777777" w:rsidTr="00EB3373">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94D6C" w14:textId="77777777" w:rsidR="00485119" w:rsidRPr="00236418" w:rsidRDefault="00485119" w:rsidP="009B3D24">
            <w:pPr>
              <w:pStyle w:val="Tablehead"/>
              <w:keepNext/>
              <w:keepLines/>
              <w:spacing w:before="0" w:after="0"/>
              <w:jc w:val="left"/>
              <w:rPr>
                <w:rFonts w:asciiTheme="minorHAnsi" w:hAnsiTheme="minorHAnsi"/>
                <w:sz w:val="20"/>
              </w:rPr>
            </w:pPr>
            <w:r w:rsidRPr="00236418">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BED19" w14:textId="77777777" w:rsidR="00485119" w:rsidRPr="00236418"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88C9" w14:textId="00EC2D20"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cs="Arial"/>
                <w:b/>
                <w:bCs/>
                <w:color w:val="000000"/>
                <w:sz w:val="20"/>
                <w:lang w:eastAsia="zh-CN"/>
              </w:rPr>
              <w:t>44 949</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36936368" w14:textId="2384872E"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asciiTheme="minorHAnsi" w:hAnsiTheme="minorHAnsi"/>
                <w:b/>
                <w:bCs/>
                <w:sz w:val="20"/>
                <w:lang w:eastAsia="fr-FR"/>
              </w:rPr>
              <w:t xml:space="preserve">43 193 </w:t>
            </w:r>
          </w:p>
        </w:tc>
      </w:tr>
      <w:tr w:rsidR="00485119" w:rsidRPr="00236418" w14:paraId="567D5F15" w14:textId="77777777" w:rsidTr="00EB3373">
        <w:trPr>
          <w:trHeight w:val="255"/>
          <w:jc w:val="center"/>
        </w:trPr>
        <w:tc>
          <w:tcPr>
            <w:tcW w:w="5082" w:type="dxa"/>
            <w:tcBorders>
              <w:left w:val="single" w:sz="4" w:space="0" w:color="auto"/>
              <w:right w:val="single" w:sz="4" w:space="0" w:color="auto"/>
            </w:tcBorders>
            <w:shd w:val="clear" w:color="auto" w:fill="auto"/>
            <w:noWrap/>
            <w:vAlign w:val="bottom"/>
          </w:tcPr>
          <w:p w14:paraId="70FFFAE9"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Emprunts – dont part à court terme</w:t>
            </w:r>
          </w:p>
        </w:tc>
        <w:tc>
          <w:tcPr>
            <w:tcW w:w="1275" w:type="dxa"/>
            <w:tcBorders>
              <w:left w:val="single" w:sz="4" w:space="0" w:color="auto"/>
              <w:right w:val="single" w:sz="4" w:space="0" w:color="auto"/>
            </w:tcBorders>
            <w:shd w:val="clear" w:color="auto" w:fill="auto"/>
            <w:noWrap/>
            <w:vAlign w:val="bottom"/>
          </w:tcPr>
          <w:p w14:paraId="2749B3C8" w14:textId="77777777"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left w:val="single" w:sz="4" w:space="0" w:color="auto"/>
              <w:right w:val="single" w:sz="4" w:space="0" w:color="auto"/>
            </w:tcBorders>
            <w:shd w:val="clear" w:color="auto" w:fill="auto"/>
            <w:noWrap/>
            <w:vAlign w:val="bottom"/>
          </w:tcPr>
          <w:p w14:paraId="5182D24D" w14:textId="2FC67376"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1 493</w:t>
            </w:r>
          </w:p>
        </w:tc>
        <w:tc>
          <w:tcPr>
            <w:tcW w:w="1480" w:type="dxa"/>
            <w:tcBorders>
              <w:left w:val="single" w:sz="4" w:space="0" w:color="auto"/>
              <w:right w:val="single" w:sz="4" w:space="0" w:color="auto"/>
            </w:tcBorders>
            <w:shd w:val="clear" w:color="auto" w:fill="auto"/>
            <w:noWrap/>
          </w:tcPr>
          <w:p w14:paraId="22CABB3A" w14:textId="2E42A79C"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 xml:space="preserve">1 493 </w:t>
            </w:r>
          </w:p>
        </w:tc>
      </w:tr>
      <w:tr w:rsidR="00485119" w:rsidRPr="00236418" w14:paraId="6CEBB1DB" w14:textId="77777777" w:rsidTr="00EB3373">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988B3" w14:textId="77777777" w:rsidR="00485119" w:rsidRPr="00236418" w:rsidRDefault="00485119" w:rsidP="009B3D24">
            <w:pPr>
              <w:pStyle w:val="Tablehead"/>
              <w:keepNext/>
              <w:keepLines/>
              <w:spacing w:before="0" w:after="0"/>
              <w:jc w:val="left"/>
              <w:rPr>
                <w:rFonts w:asciiTheme="minorHAnsi" w:hAnsiTheme="minorHAnsi"/>
                <w:sz w:val="20"/>
              </w:rPr>
            </w:pPr>
            <w:r w:rsidRPr="00236418">
              <w:rPr>
                <w:rFonts w:asciiTheme="minorHAnsi" w:hAnsiTheme="minorHAnsi"/>
                <w:sz w:val="20"/>
              </w:rPr>
              <w:t>Emprunts –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420C" w14:textId="77777777" w:rsidR="00485119" w:rsidRPr="00236418"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8AC7D" w14:textId="272CFB89"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cs="Arial"/>
                <w:b/>
                <w:bCs/>
                <w:color w:val="000000"/>
                <w:sz w:val="20"/>
                <w:lang w:eastAsia="zh-CN"/>
              </w:rPr>
              <w:t>1 493</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512E0110" w14:textId="4E24D27B"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asciiTheme="minorHAnsi" w:hAnsiTheme="minorHAnsi"/>
                <w:b/>
                <w:bCs/>
                <w:sz w:val="20"/>
                <w:lang w:eastAsia="fr-FR"/>
              </w:rPr>
              <w:t xml:space="preserve">1 493 </w:t>
            </w:r>
          </w:p>
        </w:tc>
      </w:tr>
      <w:tr w:rsidR="00485119" w:rsidRPr="00236418" w14:paraId="01415ADF" w14:textId="77777777" w:rsidTr="00EB3373">
        <w:trPr>
          <w:trHeight w:val="255"/>
          <w:jc w:val="center"/>
        </w:trPr>
        <w:tc>
          <w:tcPr>
            <w:tcW w:w="5082" w:type="dxa"/>
            <w:tcBorders>
              <w:left w:val="single" w:sz="4" w:space="0" w:color="auto"/>
              <w:right w:val="single" w:sz="4" w:space="0" w:color="auto"/>
            </w:tcBorders>
            <w:shd w:val="clear" w:color="auto" w:fill="auto"/>
            <w:noWrap/>
            <w:vAlign w:val="bottom"/>
          </w:tcPr>
          <w:p w14:paraId="4B7147A2" w14:textId="77777777" w:rsidR="00485119" w:rsidRPr="00236418" w:rsidRDefault="0048511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Emprunts – dont part à long terme</w:t>
            </w:r>
          </w:p>
        </w:tc>
        <w:tc>
          <w:tcPr>
            <w:tcW w:w="1275" w:type="dxa"/>
            <w:tcBorders>
              <w:left w:val="single" w:sz="4" w:space="0" w:color="auto"/>
              <w:right w:val="single" w:sz="4" w:space="0" w:color="auto"/>
            </w:tcBorders>
            <w:shd w:val="clear" w:color="auto" w:fill="auto"/>
            <w:noWrap/>
            <w:vAlign w:val="bottom"/>
          </w:tcPr>
          <w:p w14:paraId="53D5FC40" w14:textId="77777777" w:rsidR="00485119" w:rsidRPr="00236418" w:rsidRDefault="00485119" w:rsidP="009B3D24">
            <w:pPr>
              <w:pStyle w:val="Tabletext"/>
              <w:keepNext/>
              <w:keepLines/>
              <w:spacing w:before="20" w:after="0"/>
              <w:jc w:val="center"/>
              <w:rPr>
                <w:rFonts w:asciiTheme="minorHAnsi" w:hAnsiTheme="minorHAnsi"/>
                <w:sz w:val="20"/>
                <w:lang w:eastAsia="fr-FR"/>
              </w:rPr>
            </w:pPr>
          </w:p>
        </w:tc>
        <w:tc>
          <w:tcPr>
            <w:tcW w:w="1514" w:type="dxa"/>
            <w:tcBorders>
              <w:left w:val="single" w:sz="4" w:space="0" w:color="auto"/>
              <w:right w:val="single" w:sz="4" w:space="0" w:color="auto"/>
            </w:tcBorders>
            <w:shd w:val="clear" w:color="auto" w:fill="auto"/>
            <w:noWrap/>
            <w:vAlign w:val="bottom"/>
          </w:tcPr>
          <w:p w14:paraId="533AFA64" w14:textId="4B5B10AD"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cs="Arial"/>
                <w:color w:val="000000"/>
                <w:sz w:val="20"/>
                <w:lang w:eastAsia="zh-CN"/>
              </w:rPr>
              <w:t>43 456</w:t>
            </w:r>
          </w:p>
        </w:tc>
        <w:tc>
          <w:tcPr>
            <w:tcW w:w="1480" w:type="dxa"/>
            <w:tcBorders>
              <w:left w:val="single" w:sz="4" w:space="0" w:color="auto"/>
              <w:right w:val="single" w:sz="4" w:space="0" w:color="auto"/>
            </w:tcBorders>
            <w:shd w:val="clear" w:color="auto" w:fill="auto"/>
            <w:noWrap/>
          </w:tcPr>
          <w:p w14:paraId="18A4B1B0" w14:textId="75AB851C"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236418">
              <w:rPr>
                <w:rFonts w:asciiTheme="minorHAnsi" w:hAnsiTheme="minorHAnsi"/>
                <w:sz w:val="20"/>
                <w:lang w:eastAsia="fr-FR"/>
              </w:rPr>
              <w:t>41 699</w:t>
            </w:r>
          </w:p>
        </w:tc>
      </w:tr>
      <w:tr w:rsidR="00485119" w:rsidRPr="00236418" w14:paraId="12D9F922" w14:textId="77777777" w:rsidTr="00EB3373">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FB5EE" w14:textId="77777777" w:rsidR="00485119" w:rsidRPr="00236418" w:rsidRDefault="00485119" w:rsidP="009B3D24">
            <w:pPr>
              <w:pStyle w:val="Tablehead"/>
              <w:keepNext/>
              <w:keepLines/>
              <w:spacing w:before="0" w:after="0"/>
              <w:jc w:val="left"/>
              <w:rPr>
                <w:rFonts w:asciiTheme="minorHAnsi" w:hAnsiTheme="minorHAnsi"/>
                <w:sz w:val="20"/>
              </w:rPr>
            </w:pPr>
            <w:r w:rsidRPr="00236418">
              <w:rPr>
                <w:rFonts w:asciiTheme="minorHAnsi" w:hAnsiTheme="minorHAnsi"/>
                <w:sz w:val="20"/>
              </w:rPr>
              <w:t>Emprunts – non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35B2D" w14:textId="77777777" w:rsidR="00485119" w:rsidRPr="00236418"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C6E1" w14:textId="737AEF6E"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cs="Arial"/>
                <w:b/>
                <w:bCs/>
                <w:color w:val="000000"/>
                <w:sz w:val="20"/>
                <w:lang w:eastAsia="zh-CN"/>
              </w:rPr>
              <w:t>43 456</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603978E" w14:textId="501E6780" w:rsidR="00485119" w:rsidRPr="00236418"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236418">
              <w:rPr>
                <w:rFonts w:asciiTheme="minorHAnsi" w:hAnsiTheme="minorHAnsi"/>
                <w:b/>
                <w:bCs/>
                <w:sz w:val="20"/>
                <w:lang w:eastAsia="fr-FR"/>
              </w:rPr>
              <w:t>41 699</w:t>
            </w:r>
          </w:p>
        </w:tc>
      </w:tr>
    </w:tbl>
    <w:p w14:paraId="4F3738F6" w14:textId="77777777" w:rsidR="00DF6159" w:rsidRPr="00236418" w:rsidRDefault="00DF6159" w:rsidP="009B3D24">
      <w:pPr>
        <w:spacing w:before="240"/>
      </w:pPr>
      <w:r w:rsidRPr="00236418">
        <w:t xml:space="preserve">Le remboursement du prêt accordé pour la construction des nouveaux locaux de l'UIT débutera </w:t>
      </w:r>
      <w:r w:rsidRPr="00236418">
        <w:rPr>
          <w:color w:val="000000"/>
        </w:rPr>
        <w:t>après réception du nouveau bâtiment seulement, au plus tôt début 2026.</w:t>
      </w:r>
    </w:p>
    <w:p w14:paraId="14910445" w14:textId="475DECD4" w:rsidR="00DF6159" w:rsidRPr="00236418" w:rsidRDefault="00DF6159" w:rsidP="009B3D24">
      <w:r w:rsidRPr="00236418">
        <w:t>La valeur actualisée des emprunts au 31 décembre 201</w:t>
      </w:r>
      <w:r w:rsidR="005F3271" w:rsidRPr="00236418">
        <w:t>9</w:t>
      </w:r>
      <w:r w:rsidRPr="00236418">
        <w:t xml:space="preserve"> est de 25,</w:t>
      </w:r>
      <w:r w:rsidR="005F3271" w:rsidRPr="00236418">
        <w:t>2</w:t>
      </w:r>
      <w:r w:rsidRPr="00236418">
        <w:t xml:space="preserve"> millions CHF, contre 2</w:t>
      </w:r>
      <w:r w:rsidR="005F3271" w:rsidRPr="00236418">
        <w:t>5</w:t>
      </w:r>
      <w:r w:rsidRPr="00236418">
        <w:t>,</w:t>
      </w:r>
      <w:r w:rsidR="005F3271" w:rsidRPr="00236418">
        <w:t>8</w:t>
      </w:r>
      <w:r w:rsidRPr="00236418">
        <w:t> millions CHF au 31 décembre 201</w:t>
      </w:r>
      <w:r w:rsidR="005F3271" w:rsidRPr="00236418">
        <w:t>8</w:t>
      </w:r>
      <w:r w:rsidRPr="00236418">
        <w:t>. Le différentiel avec la valeur brute représente la valeur actualisée du total des intérêts non versés jusqu'à la fin de la durée de l'emprunt.</w:t>
      </w:r>
      <w:bookmarkStart w:id="1692" w:name="_Toc268007553"/>
      <w:bookmarkStart w:id="1693" w:name="_Toc329178789"/>
      <w:bookmarkStart w:id="1694" w:name="_Toc329181762"/>
    </w:p>
    <w:p w14:paraId="1A5D88CF" w14:textId="77777777" w:rsidR="00DF6159" w:rsidRPr="00236418" w:rsidRDefault="00DF6159" w:rsidP="0098205B">
      <w:pPr>
        <w:pStyle w:val="Heading1"/>
        <w:spacing w:before="240"/>
        <w:rPr>
          <w:sz w:val="24"/>
          <w:szCs w:val="24"/>
        </w:rPr>
      </w:pPr>
      <w:bookmarkStart w:id="1695" w:name="_Toc329202583"/>
      <w:bookmarkStart w:id="1696" w:name="_Toc329205015"/>
      <w:bookmarkStart w:id="1697" w:name="_Toc329206852"/>
      <w:bookmarkStart w:id="1698" w:name="_Toc358379937"/>
      <w:bookmarkStart w:id="1699" w:name="_Toc358380478"/>
      <w:bookmarkStart w:id="1700" w:name="_Toc387166658"/>
      <w:bookmarkStart w:id="1701" w:name="_Toc395260943"/>
      <w:bookmarkStart w:id="1702" w:name="_Toc395511722"/>
      <w:bookmarkStart w:id="1703" w:name="_Toc452138632"/>
      <w:bookmarkStart w:id="1704" w:name="_Toc452139081"/>
      <w:bookmarkStart w:id="1705" w:name="_Toc452139445"/>
      <w:bookmarkStart w:id="1706" w:name="_Toc452139846"/>
      <w:bookmarkStart w:id="1707" w:name="_Toc452140720"/>
      <w:bookmarkStart w:id="1708" w:name="_Toc482801510"/>
      <w:bookmarkStart w:id="1709" w:name="_Toc511649482"/>
      <w:bookmarkStart w:id="1710" w:name="_Toc511649852"/>
      <w:bookmarkStart w:id="1711" w:name="_Toc511649968"/>
      <w:bookmarkStart w:id="1712" w:name="_Toc511651226"/>
      <w:bookmarkStart w:id="1713" w:name="_Toc511724091"/>
      <w:bookmarkStart w:id="1714" w:name="_Toc511739080"/>
      <w:bookmarkStart w:id="1715" w:name="_Toc511741249"/>
      <w:bookmarkStart w:id="1716" w:name="_Toc10450755"/>
      <w:bookmarkStart w:id="1717" w:name="_Toc41566355"/>
      <w:bookmarkStart w:id="1718" w:name="_Toc41567363"/>
      <w:bookmarkStart w:id="1719" w:name="_Toc41567866"/>
      <w:bookmarkStart w:id="1720" w:name="_Toc41814961"/>
      <w:r w:rsidRPr="00236418">
        <w:rPr>
          <w:sz w:val="24"/>
          <w:szCs w:val="24"/>
        </w:rPr>
        <w:t>Note 17</w:t>
      </w:r>
      <w:r w:rsidRPr="00236418">
        <w:rPr>
          <w:sz w:val="24"/>
          <w:szCs w:val="24"/>
        </w:rPr>
        <w:tab/>
        <w:t>Avantages du personnel</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14:paraId="11563A74" w14:textId="77777777" w:rsidR="00DF6159" w:rsidRPr="00236418" w:rsidRDefault="00DF6159" w:rsidP="009B3D24">
      <w:r w:rsidRPr="00236418">
        <w:t>Les avantages du personnel désignent toutes formes de contreparties données par l'UIT au titre des services rendus par ses employés. Ils sont comptabilisés à mesure qu'ils sont acquis par les membres du personnel.</w:t>
      </w:r>
    </w:p>
    <w:p w14:paraId="340D3208" w14:textId="77777777" w:rsidR="00DF6159" w:rsidRPr="00236418" w:rsidRDefault="00DF6159" w:rsidP="009B3D24">
      <w:pPr>
        <w:pStyle w:val="Heading2"/>
        <w:spacing w:before="120"/>
      </w:pPr>
      <w:bookmarkStart w:id="1721" w:name="_Toc329178790"/>
      <w:bookmarkStart w:id="1722" w:name="_Toc329181763"/>
      <w:bookmarkStart w:id="1723" w:name="_Toc329202584"/>
      <w:bookmarkStart w:id="1724" w:name="_Toc329205016"/>
      <w:bookmarkStart w:id="1725" w:name="_Toc329206853"/>
      <w:bookmarkStart w:id="1726" w:name="_Toc358380479"/>
      <w:bookmarkStart w:id="1727" w:name="_Toc395261097"/>
      <w:bookmarkStart w:id="1728" w:name="_Toc395511723"/>
      <w:bookmarkStart w:id="1729" w:name="_Toc452139847"/>
      <w:bookmarkStart w:id="1730" w:name="_Toc452140721"/>
      <w:bookmarkStart w:id="1731" w:name="_Toc511651227"/>
      <w:bookmarkStart w:id="1732" w:name="_Toc511740820"/>
      <w:bookmarkStart w:id="1733" w:name="_Toc511741250"/>
      <w:bookmarkStart w:id="1734" w:name="_Toc10450756"/>
      <w:bookmarkStart w:id="1735" w:name="_Toc41566356"/>
      <w:bookmarkStart w:id="1736" w:name="_Toc41567364"/>
      <w:bookmarkStart w:id="1737" w:name="_Toc41567867"/>
      <w:r w:rsidRPr="00236418">
        <w:t>17.1</w:t>
      </w:r>
      <w:r w:rsidRPr="00236418">
        <w:tab/>
        <w:t>Avantages du personnel à court terme</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79453817" w14:textId="0BD48C20" w:rsidR="00DF6159" w:rsidRPr="00236418" w:rsidRDefault="00DF6159" w:rsidP="009B3D24">
      <w:pPr>
        <w:pStyle w:val="Headingb"/>
        <w:spacing w:before="120" w:after="120"/>
      </w:pPr>
      <w:bookmarkStart w:id="1738" w:name="_Toc329178791"/>
      <w:bookmarkStart w:id="1739" w:name="_Toc329181764"/>
      <w:bookmarkStart w:id="1740" w:name="_Toc358379938"/>
      <w:bookmarkStart w:id="1741" w:name="_Toc358380480"/>
      <w:bookmarkStart w:id="1742" w:name="_Toc387166659"/>
      <w:bookmarkStart w:id="1743" w:name="_Toc387167479"/>
      <w:bookmarkStart w:id="1744" w:name="_Toc395260944"/>
      <w:bookmarkStart w:id="1745" w:name="_Toc395511724"/>
      <w:bookmarkStart w:id="1746" w:name="_Toc452138633"/>
      <w:bookmarkStart w:id="1747" w:name="_Toc452139082"/>
      <w:bookmarkStart w:id="1748" w:name="_Toc452139446"/>
      <w:bookmarkStart w:id="1749" w:name="_Toc452139848"/>
      <w:bookmarkStart w:id="1750" w:name="_Toc452140722"/>
      <w:bookmarkStart w:id="1751" w:name="_Toc482801511"/>
      <w:bookmarkStart w:id="1752" w:name="_Toc482888768"/>
      <w:bookmarkStart w:id="1753" w:name="_Toc511649483"/>
      <w:bookmarkStart w:id="1754" w:name="_Toc511649853"/>
      <w:bookmarkStart w:id="1755" w:name="_Toc511649969"/>
      <w:bookmarkStart w:id="1756" w:name="_Toc511650088"/>
      <w:bookmarkStart w:id="1757" w:name="_Toc511650582"/>
      <w:bookmarkStart w:id="1758" w:name="_Toc511651228"/>
      <w:bookmarkStart w:id="1759" w:name="_Toc511724092"/>
      <w:bookmarkStart w:id="1760" w:name="_Toc511739081"/>
      <w:bookmarkStart w:id="1761" w:name="_Toc511741251"/>
      <w:bookmarkStart w:id="1762" w:name="_Toc9605743"/>
      <w:bookmarkStart w:id="1763" w:name="_Toc10450757"/>
      <w:bookmarkStart w:id="1764" w:name="_Toc41566357"/>
      <w:bookmarkStart w:id="1765" w:name="_Toc41814962"/>
      <w:r w:rsidRPr="00236418">
        <w:t>Chiffres au 31.12.</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sidRPr="00236418">
        <w:t>201</w:t>
      </w:r>
      <w:bookmarkEnd w:id="1762"/>
      <w:bookmarkEnd w:id="1763"/>
      <w:r w:rsidR="005F3271" w:rsidRPr="00236418">
        <w:t>9</w:t>
      </w:r>
      <w:bookmarkEnd w:id="1764"/>
      <w:bookmarkEnd w:id="17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
      </w:tblPr>
      <w:tblGrid>
        <w:gridCol w:w="2408"/>
        <w:gridCol w:w="2407"/>
        <w:gridCol w:w="2407"/>
        <w:gridCol w:w="2407"/>
      </w:tblGrid>
      <w:tr w:rsidR="00DF6159" w:rsidRPr="00236418" w14:paraId="1617290F" w14:textId="77777777" w:rsidTr="006538EB">
        <w:trPr>
          <w:jc w:val="center"/>
        </w:trPr>
        <w:tc>
          <w:tcPr>
            <w:tcW w:w="2408" w:type="dxa"/>
            <w:vAlign w:val="center"/>
          </w:tcPr>
          <w:p w14:paraId="6F85CCBA" w14:textId="77777777" w:rsidR="00DF6159" w:rsidRPr="00236418" w:rsidRDefault="00DF6159" w:rsidP="009B3D24">
            <w:pPr>
              <w:pStyle w:val="Tablehead"/>
              <w:keepNext/>
              <w:keepLines/>
              <w:spacing w:before="0" w:after="0"/>
              <w:rPr>
                <w:rFonts w:asciiTheme="minorHAnsi" w:hAnsiTheme="minorHAnsi"/>
                <w:sz w:val="20"/>
              </w:rPr>
            </w:pPr>
          </w:p>
        </w:tc>
        <w:tc>
          <w:tcPr>
            <w:tcW w:w="7221" w:type="dxa"/>
            <w:gridSpan w:val="3"/>
          </w:tcPr>
          <w:p w14:paraId="7B0BFDDE"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Avantages du personnel – court terme</w:t>
            </w:r>
          </w:p>
        </w:tc>
      </w:tr>
      <w:tr w:rsidR="00DF6159" w:rsidRPr="00236418" w14:paraId="47B99D2E" w14:textId="77777777" w:rsidTr="006538EB">
        <w:trPr>
          <w:jc w:val="center"/>
        </w:trPr>
        <w:tc>
          <w:tcPr>
            <w:tcW w:w="2408" w:type="dxa"/>
            <w:vAlign w:val="center"/>
          </w:tcPr>
          <w:p w14:paraId="118EDE39"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En milliers de CHF</w:t>
            </w:r>
          </w:p>
        </w:tc>
        <w:tc>
          <w:tcPr>
            <w:tcW w:w="2407" w:type="dxa"/>
            <w:vAlign w:val="center"/>
          </w:tcPr>
          <w:p w14:paraId="30EFE5E8"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Heures supplémentaires</w:t>
            </w:r>
          </w:p>
        </w:tc>
        <w:tc>
          <w:tcPr>
            <w:tcW w:w="2407" w:type="dxa"/>
            <w:vAlign w:val="center"/>
          </w:tcPr>
          <w:p w14:paraId="7E53CDC5"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Congés accumulés</w:t>
            </w:r>
          </w:p>
        </w:tc>
        <w:tc>
          <w:tcPr>
            <w:tcW w:w="2407" w:type="dxa"/>
            <w:vAlign w:val="center"/>
          </w:tcPr>
          <w:p w14:paraId="7009EC42"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 xml:space="preserve">Total avantages du personnel </w:t>
            </w:r>
            <w:r w:rsidRPr="00236418">
              <w:rPr>
                <w:rFonts w:asciiTheme="minorHAnsi" w:hAnsiTheme="minorHAnsi"/>
                <w:sz w:val="20"/>
              </w:rPr>
              <w:sym w:font="Symbol" w:char="F02D"/>
            </w:r>
            <w:r w:rsidRPr="00236418">
              <w:rPr>
                <w:rFonts w:asciiTheme="minorHAnsi" w:hAnsiTheme="minorHAnsi"/>
                <w:sz w:val="20"/>
              </w:rPr>
              <w:t xml:space="preserve"> court terme</w:t>
            </w:r>
          </w:p>
        </w:tc>
      </w:tr>
      <w:tr w:rsidR="00DF6159" w:rsidRPr="00236418" w14:paraId="59C16AB3" w14:textId="77777777" w:rsidTr="006538EB">
        <w:trPr>
          <w:jc w:val="center"/>
        </w:trPr>
        <w:tc>
          <w:tcPr>
            <w:tcW w:w="2408" w:type="dxa"/>
            <w:tcBorders>
              <w:bottom w:val="single" w:sz="4" w:space="0" w:color="auto"/>
            </w:tcBorders>
          </w:tcPr>
          <w:p w14:paraId="36CFDBA2" w14:textId="77777777" w:rsidR="00DF6159" w:rsidRPr="00236418" w:rsidRDefault="00DF6159" w:rsidP="009B3D24">
            <w:pPr>
              <w:pStyle w:val="Tablehead"/>
              <w:keepNext/>
              <w:keepLines/>
              <w:spacing w:before="0" w:after="0"/>
              <w:jc w:val="left"/>
              <w:rPr>
                <w:rFonts w:asciiTheme="minorHAnsi" w:hAnsiTheme="minorHAnsi"/>
                <w:sz w:val="20"/>
              </w:rPr>
            </w:pPr>
            <w:r w:rsidRPr="00236418">
              <w:rPr>
                <w:rFonts w:asciiTheme="minorHAnsi" w:hAnsiTheme="minorHAnsi"/>
                <w:sz w:val="20"/>
              </w:rPr>
              <w:t xml:space="preserve">Solde d'ouverture </w:t>
            </w:r>
          </w:p>
        </w:tc>
        <w:tc>
          <w:tcPr>
            <w:tcW w:w="2407" w:type="dxa"/>
            <w:tcBorders>
              <w:bottom w:val="single" w:sz="4" w:space="0" w:color="auto"/>
            </w:tcBorders>
          </w:tcPr>
          <w:p w14:paraId="5F299B3C" w14:textId="4E1C8E18" w:rsidR="00DF6159" w:rsidRPr="00236418" w:rsidRDefault="005F3271"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39</w:t>
            </w:r>
          </w:p>
        </w:tc>
        <w:tc>
          <w:tcPr>
            <w:tcW w:w="2407" w:type="dxa"/>
            <w:tcBorders>
              <w:bottom w:val="single" w:sz="4" w:space="0" w:color="auto"/>
            </w:tcBorders>
          </w:tcPr>
          <w:p w14:paraId="5A352E47" w14:textId="5E98A8D9"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1</w:t>
            </w:r>
            <w:r w:rsidR="005F3271" w:rsidRPr="00236418">
              <w:rPr>
                <w:rFonts w:asciiTheme="minorHAnsi" w:hAnsiTheme="minorHAnsi"/>
                <w:b/>
                <w:bCs/>
                <w:sz w:val="20"/>
                <w:lang w:eastAsia="fr-FR"/>
              </w:rPr>
              <w:t>48</w:t>
            </w:r>
          </w:p>
        </w:tc>
        <w:tc>
          <w:tcPr>
            <w:tcW w:w="2407" w:type="dxa"/>
            <w:tcBorders>
              <w:bottom w:val="single" w:sz="4" w:space="0" w:color="auto"/>
            </w:tcBorders>
          </w:tcPr>
          <w:p w14:paraId="453D3FB2" w14:textId="30512CED" w:rsidR="00DF6159" w:rsidRPr="00236418" w:rsidRDefault="005F3271"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187</w:t>
            </w:r>
          </w:p>
        </w:tc>
      </w:tr>
      <w:tr w:rsidR="00DF6159" w:rsidRPr="00236418" w14:paraId="6A3DF5D2" w14:textId="77777777" w:rsidTr="006538EB">
        <w:trPr>
          <w:jc w:val="center"/>
        </w:trPr>
        <w:tc>
          <w:tcPr>
            <w:tcW w:w="2408" w:type="dxa"/>
            <w:tcBorders>
              <w:bottom w:val="nil"/>
            </w:tcBorders>
          </w:tcPr>
          <w:p w14:paraId="6C274977"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Augmentation</w:t>
            </w:r>
          </w:p>
        </w:tc>
        <w:tc>
          <w:tcPr>
            <w:tcW w:w="2407" w:type="dxa"/>
            <w:tcBorders>
              <w:bottom w:val="nil"/>
            </w:tcBorders>
          </w:tcPr>
          <w:p w14:paraId="3A3A3E69" w14:textId="79A90882" w:rsidR="00DF6159" w:rsidRPr="00236418" w:rsidRDefault="005F3271"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46</w:t>
            </w:r>
          </w:p>
        </w:tc>
        <w:tc>
          <w:tcPr>
            <w:tcW w:w="2407" w:type="dxa"/>
            <w:tcBorders>
              <w:bottom w:val="nil"/>
            </w:tcBorders>
          </w:tcPr>
          <w:p w14:paraId="67791670" w14:textId="411BBF4E"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1</w:t>
            </w:r>
            <w:r w:rsidR="005F3271" w:rsidRPr="00236418">
              <w:rPr>
                <w:rFonts w:asciiTheme="minorHAnsi" w:hAnsiTheme="minorHAnsi"/>
                <w:sz w:val="20"/>
                <w:lang w:eastAsia="fr-FR"/>
              </w:rPr>
              <w:t>32</w:t>
            </w:r>
          </w:p>
        </w:tc>
        <w:tc>
          <w:tcPr>
            <w:tcW w:w="2407" w:type="dxa"/>
            <w:tcBorders>
              <w:bottom w:val="nil"/>
            </w:tcBorders>
          </w:tcPr>
          <w:p w14:paraId="2B5EADCA" w14:textId="5B8B9510"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1</w:t>
            </w:r>
            <w:r w:rsidR="005F3271" w:rsidRPr="00236418">
              <w:rPr>
                <w:rFonts w:asciiTheme="minorHAnsi" w:hAnsiTheme="minorHAnsi"/>
                <w:sz w:val="20"/>
                <w:lang w:eastAsia="fr-FR"/>
              </w:rPr>
              <w:t>7</w:t>
            </w:r>
            <w:r w:rsidRPr="00236418">
              <w:rPr>
                <w:rFonts w:asciiTheme="minorHAnsi" w:hAnsiTheme="minorHAnsi"/>
                <w:sz w:val="20"/>
                <w:lang w:eastAsia="fr-FR"/>
              </w:rPr>
              <w:t xml:space="preserve">8 </w:t>
            </w:r>
          </w:p>
        </w:tc>
      </w:tr>
      <w:tr w:rsidR="00DF6159" w:rsidRPr="00236418" w14:paraId="5DFA40C4" w14:textId="77777777" w:rsidTr="006538EB">
        <w:trPr>
          <w:jc w:val="center"/>
        </w:trPr>
        <w:tc>
          <w:tcPr>
            <w:tcW w:w="2408" w:type="dxa"/>
            <w:tcBorders>
              <w:top w:val="nil"/>
              <w:bottom w:val="nil"/>
            </w:tcBorders>
          </w:tcPr>
          <w:p w14:paraId="660C7884"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Utilisé en cours d'exercice</w:t>
            </w:r>
          </w:p>
        </w:tc>
        <w:tc>
          <w:tcPr>
            <w:tcW w:w="2407" w:type="dxa"/>
            <w:tcBorders>
              <w:top w:val="nil"/>
              <w:bottom w:val="nil"/>
            </w:tcBorders>
          </w:tcPr>
          <w:p w14:paraId="07784A21" w14:textId="45AF3F26"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5F3271" w:rsidRPr="00236418">
              <w:rPr>
                <w:rFonts w:asciiTheme="minorHAnsi" w:hAnsiTheme="minorHAnsi"/>
                <w:sz w:val="20"/>
                <w:lang w:eastAsia="fr-FR"/>
              </w:rPr>
              <w:t>39</w:t>
            </w:r>
          </w:p>
        </w:tc>
        <w:tc>
          <w:tcPr>
            <w:tcW w:w="2407" w:type="dxa"/>
            <w:tcBorders>
              <w:top w:val="nil"/>
              <w:bottom w:val="nil"/>
            </w:tcBorders>
          </w:tcPr>
          <w:p w14:paraId="2CC0963A" w14:textId="08E48B1B"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5F3271" w:rsidRPr="00236418">
              <w:rPr>
                <w:rFonts w:asciiTheme="minorHAnsi" w:hAnsiTheme="minorHAnsi"/>
                <w:sz w:val="20"/>
                <w:lang w:eastAsia="fr-FR"/>
              </w:rPr>
              <w:t>7</w:t>
            </w:r>
          </w:p>
        </w:tc>
        <w:tc>
          <w:tcPr>
            <w:tcW w:w="2407" w:type="dxa"/>
            <w:tcBorders>
              <w:top w:val="nil"/>
              <w:bottom w:val="nil"/>
            </w:tcBorders>
          </w:tcPr>
          <w:p w14:paraId="734FF86C" w14:textId="063B985F"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5F3271" w:rsidRPr="00236418">
              <w:rPr>
                <w:rFonts w:asciiTheme="minorHAnsi" w:hAnsiTheme="minorHAnsi"/>
                <w:sz w:val="20"/>
                <w:lang w:eastAsia="fr-FR"/>
              </w:rPr>
              <w:t>46</w:t>
            </w:r>
          </w:p>
        </w:tc>
      </w:tr>
      <w:tr w:rsidR="00DF6159" w:rsidRPr="00236418" w14:paraId="0A5AC3C3" w14:textId="77777777" w:rsidTr="006538EB">
        <w:trPr>
          <w:jc w:val="center"/>
        </w:trPr>
        <w:tc>
          <w:tcPr>
            <w:tcW w:w="2408" w:type="dxa"/>
            <w:tcBorders>
              <w:top w:val="nil"/>
              <w:bottom w:val="nil"/>
            </w:tcBorders>
          </w:tcPr>
          <w:p w14:paraId="64939104"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Débloqué</w:t>
            </w:r>
          </w:p>
        </w:tc>
        <w:tc>
          <w:tcPr>
            <w:tcW w:w="2407" w:type="dxa"/>
            <w:tcBorders>
              <w:top w:val="nil"/>
              <w:bottom w:val="nil"/>
            </w:tcBorders>
          </w:tcPr>
          <w:p w14:paraId="0C2F434A"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p>
        </w:tc>
        <w:tc>
          <w:tcPr>
            <w:tcW w:w="2407" w:type="dxa"/>
            <w:tcBorders>
              <w:top w:val="nil"/>
              <w:bottom w:val="nil"/>
            </w:tcBorders>
          </w:tcPr>
          <w:p w14:paraId="0C351287" w14:textId="568BF438"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5F3271" w:rsidRPr="00236418">
              <w:rPr>
                <w:rFonts w:asciiTheme="minorHAnsi" w:hAnsiTheme="minorHAnsi"/>
                <w:sz w:val="20"/>
                <w:lang w:eastAsia="fr-FR"/>
              </w:rPr>
              <w:t>58</w:t>
            </w:r>
          </w:p>
        </w:tc>
        <w:tc>
          <w:tcPr>
            <w:tcW w:w="2407" w:type="dxa"/>
            <w:tcBorders>
              <w:top w:val="nil"/>
              <w:bottom w:val="nil"/>
            </w:tcBorders>
            <w:vAlign w:val="center"/>
          </w:tcPr>
          <w:p w14:paraId="6B1471B3" w14:textId="3D7B1D79"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5F3271" w:rsidRPr="00236418">
              <w:rPr>
                <w:rFonts w:asciiTheme="minorHAnsi" w:hAnsiTheme="minorHAnsi"/>
                <w:sz w:val="20"/>
                <w:lang w:eastAsia="fr-FR"/>
              </w:rPr>
              <w:t>58</w:t>
            </w:r>
          </w:p>
        </w:tc>
      </w:tr>
      <w:tr w:rsidR="00DF6159" w:rsidRPr="00236418" w14:paraId="2218668D" w14:textId="77777777" w:rsidTr="006538EB">
        <w:trPr>
          <w:jc w:val="center"/>
        </w:trPr>
        <w:tc>
          <w:tcPr>
            <w:tcW w:w="2408" w:type="dxa"/>
            <w:tcBorders>
              <w:top w:val="nil"/>
              <w:bottom w:val="nil"/>
            </w:tcBorders>
          </w:tcPr>
          <w:p w14:paraId="5714BA53"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Transfert</w:t>
            </w:r>
          </w:p>
        </w:tc>
        <w:tc>
          <w:tcPr>
            <w:tcW w:w="2407" w:type="dxa"/>
            <w:tcBorders>
              <w:top w:val="nil"/>
              <w:bottom w:val="nil"/>
            </w:tcBorders>
            <w:vAlign w:val="center"/>
          </w:tcPr>
          <w:p w14:paraId="513CDB9E" w14:textId="328985DC" w:rsidR="00DF6159" w:rsidRPr="00236418" w:rsidRDefault="005F3271"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p>
        </w:tc>
        <w:tc>
          <w:tcPr>
            <w:tcW w:w="2407" w:type="dxa"/>
            <w:tcBorders>
              <w:top w:val="nil"/>
              <w:bottom w:val="nil"/>
            </w:tcBorders>
          </w:tcPr>
          <w:p w14:paraId="26C21198" w14:textId="03EE5ED5"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5F3271" w:rsidRPr="00236418">
              <w:rPr>
                <w:rFonts w:asciiTheme="minorHAnsi" w:hAnsiTheme="minorHAnsi"/>
                <w:sz w:val="20"/>
                <w:lang w:eastAsia="fr-FR"/>
              </w:rPr>
              <w:t>84</w:t>
            </w:r>
          </w:p>
        </w:tc>
        <w:tc>
          <w:tcPr>
            <w:tcW w:w="2407" w:type="dxa"/>
            <w:tcBorders>
              <w:top w:val="nil"/>
              <w:bottom w:val="nil"/>
            </w:tcBorders>
          </w:tcPr>
          <w:p w14:paraId="7E29BBD9" w14:textId="4C55A49D"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5F3271" w:rsidRPr="00236418">
              <w:rPr>
                <w:rFonts w:asciiTheme="minorHAnsi" w:hAnsiTheme="minorHAnsi"/>
                <w:sz w:val="20"/>
                <w:lang w:eastAsia="fr-FR"/>
              </w:rPr>
              <w:t>84</w:t>
            </w:r>
          </w:p>
        </w:tc>
      </w:tr>
      <w:tr w:rsidR="00DF6159" w:rsidRPr="00236418" w14:paraId="290DC98C" w14:textId="77777777" w:rsidTr="006538EB">
        <w:trPr>
          <w:jc w:val="center"/>
        </w:trPr>
        <w:tc>
          <w:tcPr>
            <w:tcW w:w="2408" w:type="dxa"/>
            <w:tcBorders>
              <w:top w:val="nil"/>
              <w:bottom w:val="nil"/>
            </w:tcBorders>
          </w:tcPr>
          <w:p w14:paraId="1D22E64C"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Gains de change non réalisés</w:t>
            </w:r>
          </w:p>
        </w:tc>
        <w:tc>
          <w:tcPr>
            <w:tcW w:w="2407" w:type="dxa"/>
            <w:tcBorders>
              <w:top w:val="nil"/>
              <w:bottom w:val="nil"/>
            </w:tcBorders>
          </w:tcPr>
          <w:p w14:paraId="5EE9B87D"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p>
        </w:tc>
        <w:tc>
          <w:tcPr>
            <w:tcW w:w="2407" w:type="dxa"/>
            <w:tcBorders>
              <w:top w:val="nil"/>
              <w:bottom w:val="nil"/>
            </w:tcBorders>
          </w:tcPr>
          <w:p w14:paraId="47578D2B"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p>
        </w:tc>
        <w:tc>
          <w:tcPr>
            <w:tcW w:w="2407" w:type="dxa"/>
            <w:tcBorders>
              <w:top w:val="nil"/>
              <w:bottom w:val="nil"/>
            </w:tcBorders>
          </w:tcPr>
          <w:p w14:paraId="04CF8AD5"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p>
        </w:tc>
      </w:tr>
      <w:tr w:rsidR="00DF6159" w:rsidRPr="00236418" w14:paraId="76E8A4E5" w14:textId="77777777" w:rsidTr="006538EB">
        <w:trPr>
          <w:jc w:val="center"/>
        </w:trPr>
        <w:tc>
          <w:tcPr>
            <w:tcW w:w="2408" w:type="dxa"/>
          </w:tcPr>
          <w:p w14:paraId="10F9D43B" w14:textId="77777777" w:rsidR="00DF6159" w:rsidRPr="00236418" w:rsidRDefault="00DF6159" w:rsidP="009B3D24">
            <w:pPr>
              <w:pStyle w:val="Tablehead"/>
              <w:keepNext/>
              <w:keepLines/>
              <w:spacing w:before="0" w:after="0"/>
              <w:jc w:val="left"/>
              <w:rPr>
                <w:rFonts w:asciiTheme="minorHAnsi" w:hAnsiTheme="minorHAnsi"/>
                <w:sz w:val="20"/>
              </w:rPr>
            </w:pPr>
            <w:r w:rsidRPr="00236418">
              <w:rPr>
                <w:rFonts w:asciiTheme="minorHAnsi" w:hAnsiTheme="minorHAnsi"/>
                <w:sz w:val="20"/>
              </w:rPr>
              <w:t xml:space="preserve">Solde de clôture </w:t>
            </w:r>
          </w:p>
        </w:tc>
        <w:tc>
          <w:tcPr>
            <w:tcW w:w="2407" w:type="dxa"/>
          </w:tcPr>
          <w:p w14:paraId="5B4FA323" w14:textId="38AFD94B" w:rsidR="00DF6159" w:rsidRPr="00236418" w:rsidRDefault="005F3271"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46</w:t>
            </w:r>
          </w:p>
        </w:tc>
        <w:tc>
          <w:tcPr>
            <w:tcW w:w="2407" w:type="dxa"/>
          </w:tcPr>
          <w:p w14:paraId="19326F67" w14:textId="36CFA7B0"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1</w:t>
            </w:r>
            <w:r w:rsidR="005F3271" w:rsidRPr="00236418">
              <w:rPr>
                <w:rFonts w:asciiTheme="minorHAnsi" w:hAnsiTheme="minorHAnsi"/>
                <w:b/>
                <w:bCs/>
                <w:sz w:val="20"/>
                <w:lang w:eastAsia="fr-FR"/>
              </w:rPr>
              <w:t>32</w:t>
            </w:r>
          </w:p>
        </w:tc>
        <w:tc>
          <w:tcPr>
            <w:tcW w:w="2407" w:type="dxa"/>
          </w:tcPr>
          <w:p w14:paraId="3EE8754B" w14:textId="586618C2"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1</w:t>
            </w:r>
            <w:r w:rsidR="005F3271" w:rsidRPr="00236418">
              <w:rPr>
                <w:rFonts w:asciiTheme="minorHAnsi" w:hAnsiTheme="minorHAnsi"/>
                <w:b/>
                <w:bCs/>
                <w:sz w:val="20"/>
                <w:lang w:eastAsia="fr-FR"/>
              </w:rPr>
              <w:t>78</w:t>
            </w:r>
          </w:p>
        </w:tc>
      </w:tr>
    </w:tbl>
    <w:p w14:paraId="560ADF8C" w14:textId="77777777" w:rsidR="00DF6159" w:rsidRPr="00236418" w:rsidRDefault="00DF6159" w:rsidP="009B3D24">
      <w:r w:rsidRPr="00236418">
        <w:t>Les heures supplémentaires sont calculées suivant les modalités établies dans les Statut et Règlement du personnel, sur la base des conditions et pratiques locales des organisations locales appliquant le régime commun des Nations Unies.</w:t>
      </w:r>
    </w:p>
    <w:p w14:paraId="7A2EEF86" w14:textId="77777777" w:rsidR="00DF6159" w:rsidRPr="00236418" w:rsidRDefault="00DF6159" w:rsidP="009B3D24">
      <w:r w:rsidRPr="00236418">
        <w:t>Les congés accumulés sont les congés accumulés pendant l'exercice.</w:t>
      </w:r>
    </w:p>
    <w:p w14:paraId="75A7D692" w14:textId="77777777" w:rsidR="00DF6159" w:rsidRPr="00236418" w:rsidRDefault="00DF6159" w:rsidP="009B3D24">
      <w:pPr>
        <w:pStyle w:val="Heading2"/>
      </w:pPr>
      <w:bookmarkStart w:id="1766" w:name="_Toc329178792"/>
      <w:bookmarkStart w:id="1767" w:name="_Toc329181765"/>
      <w:bookmarkStart w:id="1768" w:name="_Toc329202586"/>
      <w:bookmarkStart w:id="1769" w:name="_Toc329205018"/>
      <w:bookmarkStart w:id="1770" w:name="_Toc329206855"/>
      <w:bookmarkStart w:id="1771" w:name="_Toc358380481"/>
      <w:bookmarkStart w:id="1772" w:name="_Toc395261098"/>
      <w:bookmarkStart w:id="1773" w:name="_Toc395511725"/>
      <w:bookmarkStart w:id="1774" w:name="_Toc452139849"/>
      <w:bookmarkStart w:id="1775" w:name="_Toc452140723"/>
      <w:bookmarkStart w:id="1776" w:name="_Toc511651229"/>
      <w:bookmarkStart w:id="1777" w:name="_Toc511740821"/>
      <w:bookmarkStart w:id="1778" w:name="_Toc511741252"/>
      <w:bookmarkStart w:id="1779" w:name="_Toc10450758"/>
      <w:bookmarkStart w:id="1780" w:name="_Toc41566358"/>
      <w:bookmarkStart w:id="1781" w:name="_Toc41567365"/>
      <w:bookmarkStart w:id="1782" w:name="_Toc41567868"/>
      <w:r w:rsidRPr="00236418">
        <w:lastRenderedPageBreak/>
        <w:t>17.2</w:t>
      </w:r>
      <w:r w:rsidRPr="00236418">
        <w:tab/>
        <w:t>Avantages du personnel à long terme</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42DF98A6" w14:textId="22BE0798" w:rsidR="00DF6159" w:rsidRPr="00236418" w:rsidRDefault="00DF6159" w:rsidP="009B3D24">
      <w:pPr>
        <w:pStyle w:val="Tabletitle"/>
        <w:keepLines/>
        <w:spacing w:before="120"/>
        <w:ind w:left="567" w:hanging="567"/>
        <w:jc w:val="left"/>
        <w:outlineLvl w:val="0"/>
      </w:pPr>
      <w:bookmarkStart w:id="1783" w:name="_Toc329178793"/>
      <w:bookmarkStart w:id="1784" w:name="_Toc329181766"/>
      <w:bookmarkStart w:id="1785" w:name="_Toc358379939"/>
      <w:bookmarkStart w:id="1786" w:name="_Toc358380482"/>
      <w:r w:rsidRPr="00236418">
        <w:t>Chiffres au 31.12.</w:t>
      </w:r>
      <w:bookmarkEnd w:id="1783"/>
      <w:bookmarkEnd w:id="1784"/>
      <w:bookmarkEnd w:id="1785"/>
      <w:bookmarkEnd w:id="1786"/>
      <w:r w:rsidRPr="00236418">
        <w:t>201</w:t>
      </w:r>
      <w:r w:rsidR="00734A2D" w:rsidRPr="00236418">
        <w:t>9</w:t>
      </w:r>
    </w:p>
    <w:tbl>
      <w:tblPr>
        <w:tblW w:w="99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iffres au 31.12.2015"/>
      </w:tblPr>
      <w:tblGrid>
        <w:gridCol w:w="2297"/>
        <w:gridCol w:w="1418"/>
        <w:gridCol w:w="1134"/>
        <w:gridCol w:w="1984"/>
        <w:gridCol w:w="1276"/>
        <w:gridCol w:w="1814"/>
      </w:tblGrid>
      <w:tr w:rsidR="00DF6159" w:rsidRPr="00236418" w14:paraId="4D189FDC" w14:textId="77777777" w:rsidTr="006538EB">
        <w:tc>
          <w:tcPr>
            <w:tcW w:w="2297" w:type="dxa"/>
            <w:tcBorders>
              <w:top w:val="nil"/>
              <w:left w:val="nil"/>
            </w:tcBorders>
            <w:vAlign w:val="center"/>
          </w:tcPr>
          <w:p w14:paraId="16EFEAA7" w14:textId="77777777" w:rsidR="00DF6159" w:rsidRPr="00236418" w:rsidRDefault="00DF6159" w:rsidP="009B3D24">
            <w:pPr>
              <w:pStyle w:val="Tablehead"/>
              <w:keepNext/>
              <w:keepLines/>
              <w:spacing w:before="0" w:after="0"/>
              <w:rPr>
                <w:rFonts w:asciiTheme="minorHAnsi" w:hAnsiTheme="minorHAnsi"/>
                <w:sz w:val="20"/>
              </w:rPr>
            </w:pPr>
          </w:p>
        </w:tc>
        <w:tc>
          <w:tcPr>
            <w:tcW w:w="7626" w:type="dxa"/>
            <w:gridSpan w:val="5"/>
            <w:tcBorders>
              <w:bottom w:val="single" w:sz="4" w:space="0" w:color="auto"/>
            </w:tcBorders>
            <w:vAlign w:val="center"/>
          </w:tcPr>
          <w:p w14:paraId="0D09D40D" w14:textId="77777777" w:rsidR="00DF6159" w:rsidRPr="00236418" w:rsidRDefault="00DF6159" w:rsidP="009B3D24">
            <w:pPr>
              <w:pStyle w:val="Tablehead"/>
              <w:keepNext/>
              <w:keepLines/>
              <w:snapToGrid w:val="0"/>
              <w:spacing w:before="0" w:after="0"/>
              <w:rPr>
                <w:rFonts w:asciiTheme="minorHAnsi" w:hAnsiTheme="minorHAnsi"/>
                <w:sz w:val="20"/>
              </w:rPr>
            </w:pPr>
            <w:r w:rsidRPr="00236418">
              <w:rPr>
                <w:rFonts w:asciiTheme="minorHAnsi" w:hAnsiTheme="minorHAnsi"/>
                <w:sz w:val="20"/>
              </w:rPr>
              <w:t>Avantages du personnel – long terme</w:t>
            </w:r>
          </w:p>
        </w:tc>
      </w:tr>
      <w:tr w:rsidR="00DF6159" w:rsidRPr="00236418" w14:paraId="1941E577" w14:textId="77777777" w:rsidTr="006538EB">
        <w:tc>
          <w:tcPr>
            <w:tcW w:w="2297" w:type="dxa"/>
            <w:vAlign w:val="center"/>
          </w:tcPr>
          <w:p w14:paraId="44B98A0C" w14:textId="77777777" w:rsidR="00DF6159" w:rsidRPr="00236418" w:rsidRDefault="00DF6159" w:rsidP="009B3D24">
            <w:pPr>
              <w:pStyle w:val="Tablehead"/>
              <w:keepNext/>
              <w:keepLines/>
              <w:spacing w:before="0" w:after="0"/>
              <w:rPr>
                <w:rFonts w:asciiTheme="minorHAnsi" w:hAnsiTheme="minorHAnsi"/>
                <w:sz w:val="20"/>
              </w:rPr>
            </w:pPr>
            <w:r w:rsidRPr="00236418">
              <w:rPr>
                <w:rFonts w:asciiTheme="minorHAnsi" w:hAnsiTheme="minorHAnsi"/>
                <w:sz w:val="20"/>
              </w:rPr>
              <w:t>En milliers de CHF</w:t>
            </w:r>
          </w:p>
        </w:tc>
        <w:tc>
          <w:tcPr>
            <w:tcW w:w="1418" w:type="dxa"/>
            <w:tcBorders>
              <w:bottom w:val="single" w:sz="4" w:space="0" w:color="auto"/>
            </w:tcBorders>
            <w:vAlign w:val="center"/>
          </w:tcPr>
          <w:p w14:paraId="1CF1C102" w14:textId="77777777" w:rsidR="00DF6159" w:rsidRPr="00236418" w:rsidRDefault="00DF6159" w:rsidP="009B3D24">
            <w:pPr>
              <w:pStyle w:val="Tablehead"/>
              <w:keepNext/>
              <w:keepLines/>
              <w:snapToGrid w:val="0"/>
              <w:spacing w:before="0" w:after="0"/>
              <w:rPr>
                <w:rFonts w:asciiTheme="minorHAnsi" w:hAnsiTheme="minorHAnsi"/>
                <w:sz w:val="20"/>
              </w:rPr>
            </w:pPr>
            <w:r w:rsidRPr="00236418">
              <w:rPr>
                <w:rFonts w:asciiTheme="minorHAnsi" w:hAnsiTheme="minorHAnsi"/>
                <w:sz w:val="20"/>
              </w:rPr>
              <w:t>ASHI</w:t>
            </w:r>
          </w:p>
        </w:tc>
        <w:tc>
          <w:tcPr>
            <w:tcW w:w="1134" w:type="dxa"/>
            <w:tcBorders>
              <w:bottom w:val="single" w:sz="4" w:space="0" w:color="auto"/>
            </w:tcBorders>
            <w:vAlign w:val="center"/>
          </w:tcPr>
          <w:p w14:paraId="01862A9E" w14:textId="77777777" w:rsidR="00DF6159" w:rsidRPr="00236418" w:rsidRDefault="00DF6159" w:rsidP="009B3D24">
            <w:pPr>
              <w:pStyle w:val="Tablehead"/>
              <w:keepNext/>
              <w:keepLines/>
              <w:snapToGrid w:val="0"/>
              <w:spacing w:before="0" w:after="0"/>
              <w:rPr>
                <w:rFonts w:asciiTheme="minorHAnsi" w:hAnsiTheme="minorHAnsi"/>
                <w:sz w:val="20"/>
              </w:rPr>
            </w:pPr>
            <w:r w:rsidRPr="00236418">
              <w:rPr>
                <w:rFonts w:asciiTheme="minorHAnsi" w:hAnsiTheme="minorHAnsi"/>
                <w:sz w:val="20"/>
              </w:rPr>
              <w:t>Pensions</w:t>
            </w:r>
          </w:p>
        </w:tc>
        <w:tc>
          <w:tcPr>
            <w:tcW w:w="1984" w:type="dxa"/>
            <w:tcBorders>
              <w:bottom w:val="single" w:sz="4" w:space="0" w:color="auto"/>
            </w:tcBorders>
            <w:vAlign w:val="center"/>
          </w:tcPr>
          <w:p w14:paraId="131DAE6B" w14:textId="77777777" w:rsidR="00DF6159" w:rsidRPr="00236418" w:rsidRDefault="00DF6159" w:rsidP="009B3D24">
            <w:pPr>
              <w:pStyle w:val="Tablehead"/>
              <w:keepNext/>
              <w:keepLines/>
              <w:snapToGrid w:val="0"/>
              <w:spacing w:before="0" w:after="0"/>
              <w:rPr>
                <w:rFonts w:asciiTheme="minorHAnsi" w:hAnsiTheme="minorHAnsi"/>
                <w:sz w:val="20"/>
              </w:rPr>
            </w:pPr>
            <w:r w:rsidRPr="00236418">
              <w:rPr>
                <w:rFonts w:asciiTheme="minorHAnsi" w:hAnsiTheme="minorHAnsi"/>
                <w:sz w:val="20"/>
              </w:rPr>
              <w:t>Prime d'installation/de rapatriement</w:t>
            </w:r>
          </w:p>
        </w:tc>
        <w:tc>
          <w:tcPr>
            <w:tcW w:w="1276" w:type="dxa"/>
            <w:tcBorders>
              <w:bottom w:val="single" w:sz="4" w:space="0" w:color="auto"/>
            </w:tcBorders>
            <w:vAlign w:val="center"/>
          </w:tcPr>
          <w:p w14:paraId="74B8E921" w14:textId="77777777" w:rsidR="00DF6159" w:rsidRPr="00236418" w:rsidRDefault="00DF6159" w:rsidP="009B3D24">
            <w:pPr>
              <w:pStyle w:val="Tablehead"/>
              <w:keepNext/>
              <w:keepLines/>
              <w:snapToGrid w:val="0"/>
              <w:spacing w:before="0" w:after="0"/>
              <w:rPr>
                <w:rFonts w:asciiTheme="minorHAnsi" w:hAnsiTheme="minorHAnsi"/>
                <w:sz w:val="20"/>
              </w:rPr>
            </w:pPr>
            <w:r w:rsidRPr="00236418">
              <w:rPr>
                <w:rFonts w:asciiTheme="minorHAnsi" w:hAnsiTheme="minorHAnsi"/>
                <w:sz w:val="20"/>
              </w:rPr>
              <w:t>Congés accumulés</w:t>
            </w:r>
          </w:p>
        </w:tc>
        <w:tc>
          <w:tcPr>
            <w:tcW w:w="1814" w:type="dxa"/>
            <w:tcBorders>
              <w:bottom w:val="single" w:sz="4" w:space="0" w:color="auto"/>
            </w:tcBorders>
            <w:vAlign w:val="center"/>
          </w:tcPr>
          <w:p w14:paraId="74D48D69" w14:textId="77777777" w:rsidR="00DF6159" w:rsidRPr="00236418" w:rsidRDefault="00DF6159" w:rsidP="009B3D24">
            <w:pPr>
              <w:pStyle w:val="Tablehead"/>
              <w:keepNext/>
              <w:keepLines/>
              <w:snapToGrid w:val="0"/>
              <w:spacing w:before="0" w:after="0"/>
              <w:rPr>
                <w:rFonts w:asciiTheme="minorHAnsi" w:hAnsiTheme="minorHAnsi"/>
                <w:sz w:val="20"/>
              </w:rPr>
            </w:pPr>
            <w:r w:rsidRPr="00236418">
              <w:rPr>
                <w:rFonts w:asciiTheme="minorHAnsi" w:hAnsiTheme="minorHAnsi"/>
                <w:sz w:val="20"/>
              </w:rPr>
              <w:t>Total avantages du personnel – long terme</w:t>
            </w:r>
          </w:p>
        </w:tc>
      </w:tr>
      <w:tr w:rsidR="00DF6159" w:rsidRPr="00236418" w14:paraId="06AC310A" w14:textId="77777777" w:rsidTr="006538EB">
        <w:tc>
          <w:tcPr>
            <w:tcW w:w="2297" w:type="dxa"/>
            <w:tcBorders>
              <w:bottom w:val="single" w:sz="4" w:space="0" w:color="auto"/>
            </w:tcBorders>
          </w:tcPr>
          <w:p w14:paraId="100CC480" w14:textId="77777777" w:rsidR="00DF6159" w:rsidRPr="00236418" w:rsidRDefault="00DF6159" w:rsidP="009B3D24">
            <w:pPr>
              <w:pStyle w:val="Tablehead"/>
              <w:keepNext/>
              <w:keepLines/>
              <w:spacing w:before="0" w:after="0"/>
              <w:jc w:val="left"/>
              <w:rPr>
                <w:rFonts w:asciiTheme="minorHAnsi" w:hAnsiTheme="minorHAnsi"/>
                <w:sz w:val="20"/>
              </w:rPr>
            </w:pPr>
            <w:r w:rsidRPr="00236418">
              <w:rPr>
                <w:rFonts w:asciiTheme="minorHAnsi" w:hAnsiTheme="minorHAnsi"/>
                <w:sz w:val="20"/>
              </w:rPr>
              <w:t xml:space="preserve">Solde d'ouverture </w:t>
            </w:r>
          </w:p>
        </w:tc>
        <w:tc>
          <w:tcPr>
            <w:tcW w:w="1418" w:type="dxa"/>
            <w:tcBorders>
              <w:bottom w:val="single" w:sz="4" w:space="0" w:color="auto"/>
            </w:tcBorders>
          </w:tcPr>
          <w:p w14:paraId="54DB13CD" w14:textId="4BB51AE3" w:rsidR="00DF6159" w:rsidRPr="00236418" w:rsidRDefault="00734A2D"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 xml:space="preserve">522 </w:t>
            </w:r>
            <w:r w:rsidR="00DF6159" w:rsidRPr="00236418">
              <w:rPr>
                <w:rFonts w:asciiTheme="minorHAnsi" w:hAnsiTheme="minorHAnsi"/>
                <w:b/>
                <w:bCs/>
                <w:sz w:val="20"/>
                <w:lang w:eastAsia="fr-FR"/>
              </w:rPr>
              <w:t>2</w:t>
            </w:r>
            <w:r w:rsidRPr="00236418">
              <w:rPr>
                <w:rFonts w:asciiTheme="minorHAnsi" w:hAnsiTheme="minorHAnsi"/>
                <w:b/>
                <w:bCs/>
                <w:sz w:val="20"/>
                <w:lang w:eastAsia="fr-FR"/>
              </w:rPr>
              <w:t>40</w:t>
            </w:r>
            <w:r w:rsidR="00DF6159" w:rsidRPr="00236418">
              <w:rPr>
                <w:rFonts w:asciiTheme="minorHAnsi" w:hAnsiTheme="minorHAnsi"/>
                <w:b/>
                <w:bCs/>
                <w:sz w:val="20"/>
                <w:lang w:eastAsia="fr-FR"/>
              </w:rPr>
              <w:t xml:space="preserve"> </w:t>
            </w:r>
          </w:p>
        </w:tc>
        <w:tc>
          <w:tcPr>
            <w:tcW w:w="1134" w:type="dxa"/>
            <w:tcBorders>
              <w:bottom w:val="single" w:sz="4" w:space="0" w:color="auto"/>
            </w:tcBorders>
          </w:tcPr>
          <w:p w14:paraId="73938D3D" w14:textId="6D976BC8"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54</w:t>
            </w:r>
          </w:p>
        </w:tc>
        <w:tc>
          <w:tcPr>
            <w:tcW w:w="1984" w:type="dxa"/>
            <w:tcBorders>
              <w:bottom w:val="single" w:sz="4" w:space="0" w:color="auto"/>
            </w:tcBorders>
          </w:tcPr>
          <w:p w14:paraId="7E9E6155" w14:textId="3B2D5471"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12</w:t>
            </w:r>
            <w:r w:rsidR="00734A2D" w:rsidRPr="00236418">
              <w:rPr>
                <w:rFonts w:asciiTheme="minorHAnsi" w:hAnsiTheme="minorHAnsi"/>
                <w:b/>
                <w:bCs/>
                <w:sz w:val="20"/>
                <w:lang w:eastAsia="fr-FR"/>
              </w:rPr>
              <w:t xml:space="preserve"> 341</w:t>
            </w:r>
            <w:r w:rsidRPr="00236418">
              <w:rPr>
                <w:rFonts w:asciiTheme="minorHAnsi" w:hAnsiTheme="minorHAnsi"/>
                <w:b/>
                <w:bCs/>
                <w:sz w:val="20"/>
                <w:lang w:eastAsia="fr-FR"/>
              </w:rPr>
              <w:t xml:space="preserve"> </w:t>
            </w:r>
          </w:p>
        </w:tc>
        <w:tc>
          <w:tcPr>
            <w:tcW w:w="1276" w:type="dxa"/>
            <w:tcBorders>
              <w:bottom w:val="single" w:sz="4" w:space="0" w:color="auto"/>
            </w:tcBorders>
          </w:tcPr>
          <w:p w14:paraId="1D08E39B" w14:textId="02EB16CB"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8</w:t>
            </w:r>
            <w:r w:rsidR="00734A2D" w:rsidRPr="00236418">
              <w:rPr>
                <w:rFonts w:asciiTheme="minorHAnsi" w:hAnsiTheme="minorHAnsi"/>
                <w:b/>
                <w:bCs/>
                <w:sz w:val="20"/>
                <w:lang w:eastAsia="fr-FR"/>
              </w:rPr>
              <w:t xml:space="preserve"> 777</w:t>
            </w:r>
          </w:p>
        </w:tc>
        <w:tc>
          <w:tcPr>
            <w:tcW w:w="1814" w:type="dxa"/>
            <w:tcBorders>
              <w:bottom w:val="single" w:sz="4" w:space="0" w:color="auto"/>
            </w:tcBorders>
          </w:tcPr>
          <w:p w14:paraId="7910702C" w14:textId="2F236F76" w:rsidR="00DF6159" w:rsidRPr="00236418" w:rsidRDefault="00734A2D"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573 412</w:t>
            </w:r>
          </w:p>
        </w:tc>
      </w:tr>
      <w:tr w:rsidR="00DF6159" w:rsidRPr="00236418" w14:paraId="37E300B1" w14:textId="77777777" w:rsidTr="006538EB">
        <w:tc>
          <w:tcPr>
            <w:tcW w:w="2297" w:type="dxa"/>
            <w:tcBorders>
              <w:bottom w:val="nil"/>
            </w:tcBorders>
          </w:tcPr>
          <w:p w14:paraId="16E1F339"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Augmentation</w:t>
            </w:r>
          </w:p>
        </w:tc>
        <w:tc>
          <w:tcPr>
            <w:tcW w:w="1418" w:type="dxa"/>
            <w:tcBorders>
              <w:bottom w:val="nil"/>
            </w:tcBorders>
          </w:tcPr>
          <w:p w14:paraId="753C9A16"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p>
        </w:tc>
        <w:tc>
          <w:tcPr>
            <w:tcW w:w="1134" w:type="dxa"/>
            <w:tcBorders>
              <w:bottom w:val="nil"/>
            </w:tcBorders>
          </w:tcPr>
          <w:p w14:paraId="30F029AA"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984" w:type="dxa"/>
            <w:tcBorders>
              <w:bottom w:val="nil"/>
            </w:tcBorders>
          </w:tcPr>
          <w:p w14:paraId="087B395A" w14:textId="1A2B8F0F" w:rsidR="00DF6159" w:rsidRPr="00236418" w:rsidRDefault="00734A2D"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1 717</w:t>
            </w:r>
          </w:p>
        </w:tc>
        <w:tc>
          <w:tcPr>
            <w:tcW w:w="1276" w:type="dxa"/>
            <w:tcBorders>
              <w:bottom w:val="nil"/>
            </w:tcBorders>
          </w:tcPr>
          <w:p w14:paraId="7A53D5F5" w14:textId="5647288A" w:rsidR="00DF6159" w:rsidRPr="00236418" w:rsidRDefault="00734A2D"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766</w:t>
            </w:r>
          </w:p>
        </w:tc>
        <w:tc>
          <w:tcPr>
            <w:tcW w:w="1814" w:type="dxa"/>
            <w:tcBorders>
              <w:bottom w:val="nil"/>
            </w:tcBorders>
          </w:tcPr>
          <w:p w14:paraId="7D4414E8" w14:textId="01FCEB62" w:rsidR="00DF6159" w:rsidRPr="00236418" w:rsidRDefault="00734A2D"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62 139</w:t>
            </w:r>
          </w:p>
        </w:tc>
      </w:tr>
      <w:tr w:rsidR="00DF6159" w:rsidRPr="00236418" w14:paraId="15E4A3BB" w14:textId="77777777" w:rsidTr="006538EB">
        <w:tc>
          <w:tcPr>
            <w:tcW w:w="2297" w:type="dxa"/>
            <w:tcBorders>
              <w:top w:val="nil"/>
              <w:bottom w:val="nil"/>
            </w:tcBorders>
          </w:tcPr>
          <w:p w14:paraId="1A9E5C3F"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Utilisé en cours d'exercice</w:t>
            </w:r>
          </w:p>
        </w:tc>
        <w:tc>
          <w:tcPr>
            <w:tcW w:w="1418" w:type="dxa"/>
            <w:tcBorders>
              <w:top w:val="nil"/>
              <w:bottom w:val="nil"/>
            </w:tcBorders>
          </w:tcPr>
          <w:p w14:paraId="48459D7A" w14:textId="74B65DD6" w:rsidR="00DF6159" w:rsidRPr="00236418" w:rsidRDefault="00734A2D"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59 656</w:t>
            </w:r>
          </w:p>
        </w:tc>
        <w:tc>
          <w:tcPr>
            <w:tcW w:w="1134" w:type="dxa"/>
            <w:tcBorders>
              <w:top w:val="nil"/>
              <w:bottom w:val="nil"/>
            </w:tcBorders>
          </w:tcPr>
          <w:p w14:paraId="31B71AD3"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984" w:type="dxa"/>
            <w:tcBorders>
              <w:top w:val="nil"/>
              <w:bottom w:val="nil"/>
            </w:tcBorders>
          </w:tcPr>
          <w:p w14:paraId="588CF1C2" w14:textId="6004DA92"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–5</w:t>
            </w:r>
            <w:r w:rsidR="00734A2D" w:rsidRPr="00236418">
              <w:rPr>
                <w:rFonts w:asciiTheme="minorHAnsi" w:hAnsiTheme="minorHAnsi"/>
                <w:sz w:val="20"/>
                <w:lang w:eastAsia="fr-FR"/>
              </w:rPr>
              <w:t>58</w:t>
            </w:r>
          </w:p>
        </w:tc>
        <w:tc>
          <w:tcPr>
            <w:tcW w:w="1276" w:type="dxa"/>
            <w:tcBorders>
              <w:top w:val="nil"/>
              <w:bottom w:val="nil"/>
            </w:tcBorders>
          </w:tcPr>
          <w:p w14:paraId="322388E7" w14:textId="201B121E"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–1</w:t>
            </w:r>
            <w:r w:rsidR="00734A2D" w:rsidRPr="00236418">
              <w:rPr>
                <w:rFonts w:asciiTheme="minorHAnsi" w:hAnsiTheme="minorHAnsi"/>
                <w:sz w:val="20"/>
                <w:lang w:eastAsia="fr-FR"/>
              </w:rPr>
              <w:t>87</w:t>
            </w:r>
          </w:p>
        </w:tc>
        <w:tc>
          <w:tcPr>
            <w:tcW w:w="1814" w:type="dxa"/>
            <w:tcBorders>
              <w:top w:val="nil"/>
              <w:bottom w:val="nil"/>
            </w:tcBorders>
          </w:tcPr>
          <w:p w14:paraId="1847CF33" w14:textId="65C30F83"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734A2D" w:rsidRPr="00236418">
              <w:rPr>
                <w:rFonts w:asciiTheme="minorHAnsi" w:hAnsiTheme="minorHAnsi"/>
                <w:sz w:val="20"/>
                <w:lang w:eastAsia="fr-FR"/>
              </w:rPr>
              <w:t>745</w:t>
            </w:r>
            <w:r w:rsidRPr="00236418">
              <w:rPr>
                <w:rFonts w:asciiTheme="minorHAnsi" w:hAnsiTheme="minorHAnsi"/>
                <w:sz w:val="20"/>
                <w:lang w:eastAsia="fr-FR"/>
              </w:rPr>
              <w:t xml:space="preserve"> </w:t>
            </w:r>
          </w:p>
        </w:tc>
      </w:tr>
      <w:tr w:rsidR="00DF6159" w:rsidRPr="00236418" w14:paraId="1EED836E" w14:textId="77777777" w:rsidTr="006538EB">
        <w:tc>
          <w:tcPr>
            <w:tcW w:w="2297" w:type="dxa"/>
            <w:tcBorders>
              <w:top w:val="nil"/>
              <w:bottom w:val="nil"/>
            </w:tcBorders>
          </w:tcPr>
          <w:p w14:paraId="7F6A0C5B"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Débloqué</w:t>
            </w:r>
          </w:p>
        </w:tc>
        <w:tc>
          <w:tcPr>
            <w:tcW w:w="1418" w:type="dxa"/>
            <w:tcBorders>
              <w:top w:val="nil"/>
              <w:bottom w:val="nil"/>
            </w:tcBorders>
          </w:tcPr>
          <w:p w14:paraId="2268ED94"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134" w:type="dxa"/>
            <w:tcBorders>
              <w:top w:val="nil"/>
              <w:bottom w:val="nil"/>
            </w:tcBorders>
          </w:tcPr>
          <w:p w14:paraId="2E6F1D9C"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984" w:type="dxa"/>
            <w:tcBorders>
              <w:top w:val="nil"/>
              <w:bottom w:val="nil"/>
            </w:tcBorders>
          </w:tcPr>
          <w:p w14:paraId="77CFB126" w14:textId="354202E8" w:rsidR="00DF6159" w:rsidRPr="00236418" w:rsidRDefault="00DF6159" w:rsidP="009B3D24">
            <w:pPr>
              <w:pStyle w:val="Tabletext"/>
              <w:keepNext/>
              <w:keepLines/>
              <w:spacing w:before="20" w:after="0"/>
              <w:jc w:val="right"/>
              <w:rPr>
                <w:rFonts w:asciiTheme="minorHAnsi" w:hAnsiTheme="minorHAnsi"/>
                <w:sz w:val="20"/>
                <w:lang w:eastAsia="fr-FR"/>
              </w:rPr>
            </w:pPr>
          </w:p>
        </w:tc>
        <w:tc>
          <w:tcPr>
            <w:tcW w:w="1276" w:type="dxa"/>
            <w:tcBorders>
              <w:top w:val="nil"/>
              <w:bottom w:val="nil"/>
            </w:tcBorders>
          </w:tcPr>
          <w:p w14:paraId="75CC09F2" w14:textId="1832E2F1"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734A2D" w:rsidRPr="00236418">
              <w:rPr>
                <w:rFonts w:asciiTheme="minorHAnsi" w:hAnsiTheme="minorHAnsi"/>
                <w:sz w:val="20"/>
                <w:lang w:eastAsia="fr-FR"/>
              </w:rPr>
              <w:t>33</w:t>
            </w:r>
          </w:p>
        </w:tc>
        <w:tc>
          <w:tcPr>
            <w:tcW w:w="1814" w:type="dxa"/>
            <w:tcBorders>
              <w:top w:val="nil"/>
              <w:bottom w:val="nil"/>
            </w:tcBorders>
          </w:tcPr>
          <w:p w14:paraId="2FA66E98" w14:textId="4CA88FA8"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w:t>
            </w:r>
            <w:r w:rsidR="00734A2D" w:rsidRPr="00236418">
              <w:rPr>
                <w:rFonts w:asciiTheme="minorHAnsi" w:hAnsiTheme="minorHAnsi"/>
                <w:sz w:val="20"/>
                <w:lang w:eastAsia="fr-FR"/>
              </w:rPr>
              <w:t>33</w:t>
            </w:r>
          </w:p>
        </w:tc>
      </w:tr>
      <w:tr w:rsidR="00DF6159" w:rsidRPr="00236418" w14:paraId="5180443F" w14:textId="77777777" w:rsidTr="006538EB">
        <w:tc>
          <w:tcPr>
            <w:tcW w:w="2297" w:type="dxa"/>
            <w:tcBorders>
              <w:top w:val="nil"/>
              <w:bottom w:val="nil"/>
            </w:tcBorders>
          </w:tcPr>
          <w:p w14:paraId="18D7CE02"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Transfert à court terme</w:t>
            </w:r>
          </w:p>
        </w:tc>
        <w:tc>
          <w:tcPr>
            <w:tcW w:w="1418" w:type="dxa"/>
            <w:tcBorders>
              <w:top w:val="nil"/>
              <w:bottom w:val="nil"/>
            </w:tcBorders>
          </w:tcPr>
          <w:p w14:paraId="2A06DB4D"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134" w:type="dxa"/>
            <w:tcBorders>
              <w:top w:val="nil"/>
              <w:bottom w:val="nil"/>
            </w:tcBorders>
          </w:tcPr>
          <w:p w14:paraId="6417D1C4"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984" w:type="dxa"/>
            <w:tcBorders>
              <w:top w:val="nil"/>
              <w:bottom w:val="nil"/>
            </w:tcBorders>
          </w:tcPr>
          <w:p w14:paraId="00D74045"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276" w:type="dxa"/>
            <w:tcBorders>
              <w:top w:val="nil"/>
              <w:bottom w:val="nil"/>
            </w:tcBorders>
          </w:tcPr>
          <w:p w14:paraId="5CC95867" w14:textId="649C86B8" w:rsidR="00DF6159" w:rsidRPr="00236418" w:rsidRDefault="00734A2D"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84</w:t>
            </w:r>
          </w:p>
        </w:tc>
        <w:tc>
          <w:tcPr>
            <w:tcW w:w="1814" w:type="dxa"/>
            <w:tcBorders>
              <w:top w:val="nil"/>
              <w:bottom w:val="nil"/>
            </w:tcBorders>
          </w:tcPr>
          <w:p w14:paraId="3351503F" w14:textId="4F11B174" w:rsidR="00DF6159" w:rsidRPr="00236418" w:rsidRDefault="00734A2D"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84</w:t>
            </w:r>
          </w:p>
        </w:tc>
      </w:tr>
      <w:tr w:rsidR="00DF6159" w:rsidRPr="00236418" w14:paraId="56185FBB" w14:textId="77777777" w:rsidTr="006538EB">
        <w:tc>
          <w:tcPr>
            <w:tcW w:w="2297" w:type="dxa"/>
            <w:tcBorders>
              <w:top w:val="nil"/>
              <w:bottom w:val="nil"/>
            </w:tcBorders>
          </w:tcPr>
          <w:p w14:paraId="40C70A0A" w14:textId="77777777" w:rsidR="00DF6159" w:rsidRPr="00236418" w:rsidRDefault="00DF6159" w:rsidP="009B3D24">
            <w:pPr>
              <w:pStyle w:val="Tabletext"/>
              <w:keepNext/>
              <w:keepLines/>
              <w:spacing w:before="20" w:after="0"/>
              <w:rPr>
                <w:rFonts w:asciiTheme="minorHAnsi" w:hAnsiTheme="minorHAnsi"/>
                <w:sz w:val="20"/>
                <w:lang w:eastAsia="fr-FR"/>
              </w:rPr>
            </w:pPr>
            <w:r w:rsidRPr="00236418">
              <w:rPr>
                <w:rFonts w:asciiTheme="minorHAnsi" w:hAnsiTheme="minorHAnsi"/>
                <w:sz w:val="20"/>
                <w:lang w:eastAsia="fr-FR"/>
              </w:rPr>
              <w:t>Gains de change non réalisés</w:t>
            </w:r>
          </w:p>
        </w:tc>
        <w:tc>
          <w:tcPr>
            <w:tcW w:w="1418" w:type="dxa"/>
            <w:tcBorders>
              <w:top w:val="nil"/>
              <w:bottom w:val="nil"/>
            </w:tcBorders>
          </w:tcPr>
          <w:p w14:paraId="2ED903B7"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134" w:type="dxa"/>
            <w:tcBorders>
              <w:top w:val="nil"/>
              <w:bottom w:val="nil"/>
            </w:tcBorders>
          </w:tcPr>
          <w:p w14:paraId="56705467"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984" w:type="dxa"/>
            <w:tcBorders>
              <w:top w:val="nil"/>
              <w:bottom w:val="nil"/>
            </w:tcBorders>
          </w:tcPr>
          <w:p w14:paraId="2E62D3DA"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276" w:type="dxa"/>
            <w:tcBorders>
              <w:top w:val="nil"/>
              <w:bottom w:val="nil"/>
            </w:tcBorders>
          </w:tcPr>
          <w:p w14:paraId="20662345"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c>
          <w:tcPr>
            <w:tcW w:w="1814" w:type="dxa"/>
            <w:tcBorders>
              <w:top w:val="nil"/>
              <w:bottom w:val="nil"/>
            </w:tcBorders>
          </w:tcPr>
          <w:p w14:paraId="0963D613" w14:textId="77777777" w:rsidR="00DF6159" w:rsidRPr="00236418" w:rsidRDefault="00DF6159" w:rsidP="009B3D24">
            <w:pPr>
              <w:pStyle w:val="Tabletext"/>
              <w:keepNext/>
              <w:keepLines/>
              <w:spacing w:before="20" w:after="0"/>
              <w:jc w:val="right"/>
              <w:rPr>
                <w:rFonts w:asciiTheme="minorHAnsi" w:hAnsiTheme="minorHAnsi"/>
                <w:sz w:val="20"/>
                <w:lang w:eastAsia="fr-FR"/>
              </w:rPr>
            </w:pPr>
            <w:r w:rsidRPr="00236418">
              <w:rPr>
                <w:rFonts w:asciiTheme="minorHAnsi" w:hAnsiTheme="minorHAnsi"/>
                <w:sz w:val="20"/>
                <w:lang w:eastAsia="fr-FR"/>
              </w:rPr>
              <w:t xml:space="preserve">– </w:t>
            </w:r>
          </w:p>
        </w:tc>
      </w:tr>
      <w:tr w:rsidR="00DF6159" w:rsidRPr="00236418" w14:paraId="73741B50" w14:textId="77777777" w:rsidTr="006538EB">
        <w:tc>
          <w:tcPr>
            <w:tcW w:w="2297" w:type="dxa"/>
          </w:tcPr>
          <w:p w14:paraId="001D780E" w14:textId="77777777" w:rsidR="00DF6159" w:rsidRPr="00236418" w:rsidRDefault="00DF6159" w:rsidP="009B3D24">
            <w:pPr>
              <w:pStyle w:val="Tablehead"/>
              <w:keepNext/>
              <w:keepLines/>
              <w:spacing w:before="0" w:after="0"/>
              <w:jc w:val="left"/>
              <w:rPr>
                <w:rFonts w:asciiTheme="minorHAnsi" w:hAnsiTheme="minorHAnsi"/>
                <w:sz w:val="20"/>
              </w:rPr>
            </w:pPr>
            <w:r w:rsidRPr="00236418">
              <w:rPr>
                <w:rFonts w:asciiTheme="minorHAnsi" w:hAnsiTheme="minorHAnsi"/>
                <w:sz w:val="20"/>
              </w:rPr>
              <w:t xml:space="preserve">Solde de clôture </w:t>
            </w:r>
          </w:p>
        </w:tc>
        <w:tc>
          <w:tcPr>
            <w:tcW w:w="1418" w:type="dxa"/>
          </w:tcPr>
          <w:p w14:paraId="059372E0" w14:textId="090A5CD1" w:rsidR="00DF6159" w:rsidRPr="00236418" w:rsidRDefault="00734A2D"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611</w:t>
            </w:r>
            <w:r w:rsidR="00DF6159" w:rsidRPr="00236418">
              <w:rPr>
                <w:rFonts w:asciiTheme="minorHAnsi" w:hAnsiTheme="minorHAnsi"/>
                <w:b/>
                <w:bCs/>
                <w:sz w:val="20"/>
                <w:lang w:eastAsia="fr-FR"/>
              </w:rPr>
              <w:t> </w:t>
            </w:r>
            <w:r w:rsidRPr="00236418">
              <w:rPr>
                <w:rFonts w:asciiTheme="minorHAnsi" w:hAnsiTheme="minorHAnsi"/>
                <w:b/>
                <w:bCs/>
                <w:sz w:val="20"/>
                <w:lang w:eastAsia="fr-FR"/>
              </w:rPr>
              <w:t>896</w:t>
            </w:r>
          </w:p>
        </w:tc>
        <w:tc>
          <w:tcPr>
            <w:tcW w:w="1134" w:type="dxa"/>
          </w:tcPr>
          <w:p w14:paraId="04AAC14A" w14:textId="650EB7CA"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54</w:t>
            </w:r>
          </w:p>
        </w:tc>
        <w:tc>
          <w:tcPr>
            <w:tcW w:w="1984" w:type="dxa"/>
          </w:tcPr>
          <w:p w14:paraId="25C5E16D" w14:textId="786D41AD" w:rsidR="00DF6159" w:rsidRPr="00236418" w:rsidRDefault="00DF6159"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1</w:t>
            </w:r>
            <w:r w:rsidR="00734A2D" w:rsidRPr="00236418">
              <w:rPr>
                <w:rFonts w:asciiTheme="minorHAnsi" w:hAnsiTheme="minorHAnsi"/>
                <w:b/>
                <w:bCs/>
                <w:sz w:val="20"/>
                <w:lang w:eastAsia="fr-FR"/>
              </w:rPr>
              <w:t>3</w:t>
            </w:r>
            <w:r w:rsidRPr="00236418">
              <w:rPr>
                <w:rFonts w:asciiTheme="minorHAnsi" w:hAnsiTheme="minorHAnsi"/>
                <w:b/>
                <w:bCs/>
                <w:sz w:val="20"/>
                <w:lang w:eastAsia="fr-FR"/>
              </w:rPr>
              <w:t> </w:t>
            </w:r>
            <w:r w:rsidR="00734A2D" w:rsidRPr="00236418">
              <w:rPr>
                <w:rFonts w:asciiTheme="minorHAnsi" w:hAnsiTheme="minorHAnsi"/>
                <w:b/>
                <w:bCs/>
                <w:sz w:val="20"/>
                <w:lang w:eastAsia="fr-FR"/>
              </w:rPr>
              <w:t>500</w:t>
            </w:r>
          </w:p>
        </w:tc>
        <w:tc>
          <w:tcPr>
            <w:tcW w:w="1276" w:type="dxa"/>
          </w:tcPr>
          <w:p w14:paraId="3365E656" w14:textId="0B5DD9A4" w:rsidR="00DF6159" w:rsidRPr="00236418" w:rsidRDefault="00734A2D"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9</w:t>
            </w:r>
            <w:r w:rsidR="00DF6159" w:rsidRPr="00236418">
              <w:rPr>
                <w:rFonts w:asciiTheme="minorHAnsi" w:hAnsiTheme="minorHAnsi"/>
                <w:b/>
                <w:bCs/>
                <w:sz w:val="20"/>
                <w:lang w:eastAsia="fr-FR"/>
              </w:rPr>
              <w:t> </w:t>
            </w:r>
            <w:r w:rsidRPr="00236418">
              <w:rPr>
                <w:rFonts w:asciiTheme="minorHAnsi" w:hAnsiTheme="minorHAnsi"/>
                <w:b/>
                <w:bCs/>
                <w:sz w:val="20"/>
                <w:lang w:eastAsia="fr-FR"/>
              </w:rPr>
              <w:t>407</w:t>
            </w:r>
          </w:p>
        </w:tc>
        <w:tc>
          <w:tcPr>
            <w:tcW w:w="1814" w:type="dxa"/>
          </w:tcPr>
          <w:p w14:paraId="67423EE7" w14:textId="07903446" w:rsidR="00DF6159" w:rsidRPr="00236418" w:rsidRDefault="00734A2D" w:rsidP="009B3D24">
            <w:pPr>
              <w:pStyle w:val="Tabletext"/>
              <w:keepNext/>
              <w:keepLines/>
              <w:spacing w:before="20" w:after="0"/>
              <w:jc w:val="right"/>
              <w:rPr>
                <w:rFonts w:asciiTheme="minorHAnsi" w:hAnsiTheme="minorHAnsi"/>
                <w:b/>
                <w:bCs/>
                <w:sz w:val="20"/>
                <w:lang w:eastAsia="fr-FR"/>
              </w:rPr>
            </w:pPr>
            <w:r w:rsidRPr="00236418">
              <w:rPr>
                <w:rFonts w:asciiTheme="minorHAnsi" w:hAnsiTheme="minorHAnsi"/>
                <w:b/>
                <w:bCs/>
                <w:sz w:val="20"/>
                <w:lang w:eastAsia="fr-FR"/>
              </w:rPr>
              <w:t>634</w:t>
            </w:r>
            <w:r w:rsidR="00DF6159" w:rsidRPr="00236418">
              <w:rPr>
                <w:rFonts w:asciiTheme="minorHAnsi" w:hAnsiTheme="minorHAnsi"/>
                <w:b/>
                <w:bCs/>
                <w:sz w:val="20"/>
                <w:lang w:eastAsia="fr-FR"/>
              </w:rPr>
              <w:t> </w:t>
            </w:r>
            <w:r w:rsidRPr="00236418">
              <w:rPr>
                <w:rFonts w:asciiTheme="minorHAnsi" w:hAnsiTheme="minorHAnsi"/>
                <w:b/>
                <w:bCs/>
                <w:sz w:val="20"/>
                <w:lang w:eastAsia="fr-FR"/>
              </w:rPr>
              <w:t>857</w:t>
            </w:r>
          </w:p>
        </w:tc>
      </w:tr>
    </w:tbl>
    <w:p w14:paraId="4848CA17" w14:textId="77777777" w:rsidR="00DF6159" w:rsidRPr="00236418" w:rsidRDefault="00DF6159" w:rsidP="009B3D24">
      <w:pPr>
        <w:spacing w:before="240"/>
      </w:pPr>
      <w:bookmarkStart w:id="1787" w:name="_MON_1395749926"/>
      <w:bookmarkStart w:id="1788" w:name="_MON_1395749936"/>
      <w:bookmarkStart w:id="1789" w:name="_MON_1395749951"/>
      <w:bookmarkStart w:id="1790" w:name="_MON_1395749958"/>
      <w:bookmarkStart w:id="1791" w:name="_MON_1395750072"/>
      <w:bookmarkStart w:id="1792" w:name="_MON_1395749877"/>
      <w:bookmarkEnd w:id="1787"/>
      <w:bookmarkEnd w:id="1788"/>
      <w:bookmarkEnd w:id="1789"/>
      <w:bookmarkEnd w:id="1790"/>
      <w:bookmarkEnd w:id="1791"/>
      <w:bookmarkEnd w:id="1792"/>
      <w:r w:rsidRPr="00236418">
        <w:t>Les avantages à long terme concernent les prestations après la cessation de service qui correspondent au plan ASHI (assurance maladie après la cessation de service), les primes de rapatriement, les congés accumulés et les engagements concernant les anciens régimes de pension et d'assurance maladie pour certains anciens employés de l'UIT.</w:t>
      </w:r>
    </w:p>
    <w:p w14:paraId="2B7DC247" w14:textId="77777777" w:rsidR="00DF6159" w:rsidRPr="00236418" w:rsidRDefault="00DF6159" w:rsidP="009B3D24">
      <w:pPr>
        <w:pStyle w:val="Heading3"/>
        <w:ind w:left="1134" w:hanging="1134"/>
        <w:rPr>
          <w:b w:val="0"/>
          <w:bCs/>
          <w:i/>
          <w:iCs/>
        </w:rPr>
      </w:pPr>
      <w:bookmarkStart w:id="1793" w:name="_Toc395511726"/>
      <w:bookmarkStart w:id="1794" w:name="_Toc10450759"/>
      <w:r w:rsidRPr="00236418">
        <w:rPr>
          <w:b w:val="0"/>
          <w:bCs/>
          <w:i/>
          <w:iCs/>
        </w:rPr>
        <w:t>17.2.1</w:t>
      </w:r>
      <w:r w:rsidRPr="00236418">
        <w:rPr>
          <w:b w:val="0"/>
          <w:bCs/>
          <w:i/>
          <w:iCs/>
        </w:rPr>
        <w:tab/>
        <w:t>Évaluation actuarielle des prestations dues après la cessation de service au titre du plan ASHI</w:t>
      </w:r>
      <w:bookmarkEnd w:id="1793"/>
      <w:bookmarkEnd w:id="1794"/>
    </w:p>
    <w:p w14:paraId="1292E32E" w14:textId="3E4D0F1B" w:rsidR="00DF6159" w:rsidRPr="00236418" w:rsidRDefault="00DF6159" w:rsidP="009B3D24">
      <w:r w:rsidRPr="00236418">
        <w:t>Le montant des engagements liés à l'assurance maladie après la cessation de service (ASHI) est déterminé sur la base d'une étude actuarielle annuelle conduite par un cabinet indépendant. La dernière évaluation a été effectuée en janvier 20</w:t>
      </w:r>
      <w:r w:rsidR="00BB62C6" w:rsidRPr="00236418">
        <w:t>20</w:t>
      </w:r>
      <w:r w:rsidRPr="00236418">
        <w:t xml:space="preserve"> et a établi à </w:t>
      </w:r>
      <w:r w:rsidR="00BB62C6" w:rsidRPr="00236418">
        <w:t>611</w:t>
      </w:r>
      <w:r w:rsidRPr="00236418">
        <w:t>,</w:t>
      </w:r>
      <w:r w:rsidR="00BB62C6" w:rsidRPr="00236418">
        <w:t>89</w:t>
      </w:r>
      <w:r w:rsidRPr="00236418">
        <w:t> millions CHF les engagements de l'UIT au titre des prestations en cas de maladie après la cessation de service dues aux fonctionnaires remplissant les conditions requises au 31 décembre 201</w:t>
      </w:r>
      <w:r w:rsidR="00BB62C6" w:rsidRPr="00236418">
        <w:t>9</w:t>
      </w:r>
      <w:r w:rsidRPr="00236418">
        <w:t>. L'étude actuarielle a été conduite sur la base des données fournies par l'UIT.</w:t>
      </w:r>
    </w:p>
    <w:p w14:paraId="282216D5" w14:textId="77777777" w:rsidR="00DF6159" w:rsidRPr="00236418" w:rsidRDefault="00DF6159" w:rsidP="009B3D24">
      <w:pPr>
        <w:pStyle w:val="Heading3"/>
        <w:rPr>
          <w:b w:val="0"/>
          <w:bCs/>
          <w:i/>
          <w:iCs/>
        </w:rPr>
      </w:pPr>
      <w:bookmarkStart w:id="1795" w:name="_Toc395511727"/>
      <w:bookmarkStart w:id="1796" w:name="_Toc10450760"/>
      <w:r w:rsidRPr="00236418">
        <w:rPr>
          <w:b w:val="0"/>
          <w:bCs/>
          <w:i/>
          <w:iCs/>
        </w:rPr>
        <w:t>17.2.2</w:t>
      </w:r>
      <w:r w:rsidRPr="00236418">
        <w:rPr>
          <w:b w:val="0"/>
          <w:bCs/>
          <w:i/>
          <w:iCs/>
        </w:rPr>
        <w:tab/>
        <w:t>Hypothèses et méthodes d'évaluation actuarielle</w:t>
      </w:r>
      <w:bookmarkEnd w:id="1795"/>
      <w:bookmarkEnd w:id="1796"/>
    </w:p>
    <w:p w14:paraId="3ED2A8EB" w14:textId="4FBA130E" w:rsidR="00DF6159" w:rsidRPr="00236418" w:rsidRDefault="00DF6159" w:rsidP="009B3D24">
      <w:r w:rsidRPr="00236418">
        <w:t>Dans le cadre de l'évaluation des engagements liés au plan ASHI au 31 décembre 201</w:t>
      </w:r>
      <w:r w:rsidR="00BB62C6" w:rsidRPr="00236418">
        <w:t>9</w:t>
      </w:r>
      <w:r w:rsidRPr="00236418">
        <w:t xml:space="preserve"> et de la contribution de l'exercice 201</w:t>
      </w:r>
      <w:r w:rsidR="00BB62C6" w:rsidRPr="00236418">
        <w:t>9</w:t>
      </w:r>
      <w:r w:rsidRPr="00236418">
        <w:t>, l'UIT valide les hypothèses et méthodes qui sont utilisées par les actuaires. Les hypothèses et méthodes utilisées pour l'évaluation couvrant l'exercice 201</w:t>
      </w:r>
      <w:r w:rsidR="00BB62C6" w:rsidRPr="00236418">
        <w:t>9</w:t>
      </w:r>
      <w:r w:rsidRPr="00236418">
        <w:t xml:space="preserve"> sont décrites ci-dessous.</w:t>
      </w:r>
    </w:p>
    <w:p w14:paraId="32A71A69" w14:textId="77777777" w:rsidR="00DF6159" w:rsidRPr="00236418" w:rsidRDefault="00DF6159" w:rsidP="009B3D24">
      <w:pPr>
        <w:rPr>
          <w:sz w:val="2"/>
          <w:szCs w:val="2"/>
        </w:rPr>
      </w:pPr>
    </w:p>
    <w:tbl>
      <w:tblPr>
        <w:tblStyle w:val="TableGrid"/>
        <w:tblW w:w="9634" w:type="dxa"/>
        <w:jc w:val="center"/>
        <w:tblLayout w:type="fixed"/>
        <w:tblLook w:val="04A0" w:firstRow="1" w:lastRow="0" w:firstColumn="1" w:lastColumn="0" w:noHBand="0" w:noVBand="1"/>
        <w:tblCaption w:val="T"/>
      </w:tblPr>
      <w:tblGrid>
        <w:gridCol w:w="4253"/>
        <w:gridCol w:w="5381"/>
      </w:tblGrid>
      <w:tr w:rsidR="00DF6159" w:rsidRPr="00236418" w14:paraId="6369ECE6" w14:textId="77777777" w:rsidTr="006538EB">
        <w:trPr>
          <w:trHeight w:val="255"/>
          <w:jc w:val="center"/>
        </w:trPr>
        <w:tc>
          <w:tcPr>
            <w:tcW w:w="4253" w:type="dxa"/>
            <w:hideMark/>
          </w:tcPr>
          <w:p w14:paraId="4FACFC38" w14:textId="77777777" w:rsidR="00DF6159" w:rsidRPr="00236418" w:rsidRDefault="00DF6159" w:rsidP="009B3D24">
            <w:pPr>
              <w:pStyle w:val="Tabletext"/>
              <w:spacing w:before="20" w:after="20"/>
              <w:rPr>
                <w:sz w:val="20"/>
              </w:rPr>
            </w:pPr>
            <w:bookmarkStart w:id="1797" w:name="_MON_1401715165"/>
            <w:bookmarkStart w:id="1798" w:name="_MON_1401715216"/>
            <w:bookmarkStart w:id="1799" w:name="_MON_1401715232"/>
            <w:bookmarkStart w:id="1800" w:name="_MON_1401715246"/>
            <w:bookmarkStart w:id="1801" w:name="_MON_1396085032"/>
            <w:bookmarkStart w:id="1802" w:name="_MON_1396085038"/>
            <w:bookmarkStart w:id="1803" w:name="_MON_1396085079"/>
            <w:bookmarkStart w:id="1804" w:name="_MON_1396085356"/>
            <w:bookmarkEnd w:id="1797"/>
            <w:bookmarkEnd w:id="1798"/>
            <w:bookmarkEnd w:id="1799"/>
            <w:bookmarkEnd w:id="1800"/>
            <w:bookmarkEnd w:id="1801"/>
            <w:bookmarkEnd w:id="1802"/>
            <w:bookmarkEnd w:id="1803"/>
            <w:bookmarkEnd w:id="1804"/>
            <w:r w:rsidRPr="00236418">
              <w:rPr>
                <w:sz w:val="20"/>
              </w:rPr>
              <w:t>Taux d'actualisation</w:t>
            </w:r>
          </w:p>
        </w:tc>
        <w:tc>
          <w:tcPr>
            <w:tcW w:w="5381" w:type="dxa"/>
            <w:hideMark/>
          </w:tcPr>
          <w:p w14:paraId="3A54D486" w14:textId="7C523948" w:rsidR="00DF6159" w:rsidRPr="00236418" w:rsidRDefault="00BB62C6" w:rsidP="009B3D24">
            <w:pPr>
              <w:pStyle w:val="Tabletext"/>
              <w:spacing w:before="20" w:after="20"/>
              <w:rPr>
                <w:sz w:val="20"/>
              </w:rPr>
            </w:pPr>
            <w:r w:rsidRPr="00236418">
              <w:rPr>
                <w:sz w:val="20"/>
              </w:rPr>
              <w:t xml:space="preserve">0,60% pour 2019 et </w:t>
            </w:r>
            <w:r w:rsidR="00DF6159" w:rsidRPr="00236418">
              <w:rPr>
                <w:sz w:val="20"/>
              </w:rPr>
              <w:t>1,20% pour 2018.</w:t>
            </w:r>
          </w:p>
        </w:tc>
      </w:tr>
      <w:tr w:rsidR="00DF6159" w:rsidRPr="00236418" w14:paraId="34FA6124" w14:textId="77777777" w:rsidTr="006538EB">
        <w:trPr>
          <w:trHeight w:val="255"/>
          <w:jc w:val="center"/>
        </w:trPr>
        <w:tc>
          <w:tcPr>
            <w:tcW w:w="4253" w:type="dxa"/>
            <w:hideMark/>
          </w:tcPr>
          <w:p w14:paraId="71B213AF" w14:textId="77777777" w:rsidR="00DF6159" w:rsidRPr="00236418" w:rsidRDefault="00DF6159" w:rsidP="009B3D24">
            <w:pPr>
              <w:pStyle w:val="Tabletext"/>
              <w:spacing w:before="20" w:after="20"/>
              <w:rPr>
                <w:sz w:val="20"/>
              </w:rPr>
            </w:pPr>
            <w:r w:rsidRPr="00236418">
              <w:rPr>
                <w:sz w:val="20"/>
              </w:rPr>
              <w:t>Hausse des coûts médicaux</w:t>
            </w:r>
          </w:p>
        </w:tc>
        <w:tc>
          <w:tcPr>
            <w:tcW w:w="5381" w:type="dxa"/>
            <w:hideMark/>
          </w:tcPr>
          <w:p w14:paraId="57AA2280" w14:textId="53645279" w:rsidR="00DF6159" w:rsidRPr="00236418" w:rsidRDefault="00DF6159" w:rsidP="009B3D24">
            <w:pPr>
              <w:pStyle w:val="Tabletext"/>
              <w:spacing w:before="20" w:after="20"/>
              <w:rPr>
                <w:sz w:val="20"/>
              </w:rPr>
            </w:pPr>
            <w:r w:rsidRPr="00236418">
              <w:rPr>
                <w:sz w:val="20"/>
              </w:rPr>
              <w:t>3,</w:t>
            </w:r>
            <w:r w:rsidR="00BB62C6" w:rsidRPr="00236418">
              <w:rPr>
                <w:sz w:val="20"/>
              </w:rPr>
              <w:t>0</w:t>
            </w:r>
            <w:r w:rsidRPr="00236418">
              <w:rPr>
                <w:sz w:val="20"/>
              </w:rPr>
              <w:t>0% pour 2019 avec une diminution de 0,30% par an pour atteindre 3,10%.</w:t>
            </w:r>
          </w:p>
        </w:tc>
      </w:tr>
      <w:tr w:rsidR="00DF6159" w:rsidRPr="00236418" w14:paraId="68D51C0E" w14:textId="77777777" w:rsidTr="006538EB">
        <w:trPr>
          <w:trHeight w:val="421"/>
          <w:jc w:val="center"/>
        </w:trPr>
        <w:tc>
          <w:tcPr>
            <w:tcW w:w="4253" w:type="dxa"/>
            <w:hideMark/>
          </w:tcPr>
          <w:p w14:paraId="046D775A" w14:textId="77777777" w:rsidR="00DF6159" w:rsidRPr="00236418" w:rsidRDefault="00DF6159" w:rsidP="009B3D24">
            <w:pPr>
              <w:pStyle w:val="Tabletext"/>
              <w:spacing w:before="20" w:after="20"/>
              <w:rPr>
                <w:sz w:val="20"/>
              </w:rPr>
            </w:pPr>
            <w:r w:rsidRPr="00236418">
              <w:rPr>
                <w:sz w:val="20"/>
              </w:rPr>
              <w:t>Rendement comptable escompté des actifs</w:t>
            </w:r>
          </w:p>
        </w:tc>
        <w:tc>
          <w:tcPr>
            <w:tcW w:w="5381" w:type="dxa"/>
            <w:hideMark/>
          </w:tcPr>
          <w:p w14:paraId="76885FEE" w14:textId="77777777" w:rsidR="00DF6159" w:rsidRPr="00236418" w:rsidRDefault="00DF6159" w:rsidP="009B3D24">
            <w:pPr>
              <w:pStyle w:val="Tabletext"/>
              <w:spacing w:before="20" w:after="20"/>
              <w:rPr>
                <w:sz w:val="20"/>
              </w:rPr>
            </w:pPr>
            <w:r w:rsidRPr="00236418">
              <w:rPr>
                <w:sz w:val="20"/>
              </w:rPr>
              <w:t>Sans objet pour 2018.</w:t>
            </w:r>
          </w:p>
        </w:tc>
      </w:tr>
      <w:tr w:rsidR="00DF6159" w:rsidRPr="00236418" w14:paraId="02145046" w14:textId="77777777" w:rsidTr="006538EB">
        <w:trPr>
          <w:trHeight w:val="457"/>
          <w:jc w:val="center"/>
        </w:trPr>
        <w:tc>
          <w:tcPr>
            <w:tcW w:w="4253" w:type="dxa"/>
            <w:hideMark/>
          </w:tcPr>
          <w:p w14:paraId="52A222D2" w14:textId="77777777" w:rsidR="00DF6159" w:rsidRPr="00236418" w:rsidRDefault="00DF6159" w:rsidP="009B3D24">
            <w:pPr>
              <w:pStyle w:val="Tabletext"/>
              <w:spacing w:before="20" w:after="20"/>
              <w:rPr>
                <w:sz w:val="20"/>
              </w:rPr>
            </w:pPr>
            <w:r w:rsidRPr="00236418">
              <w:rPr>
                <w:sz w:val="20"/>
              </w:rPr>
              <w:t>Augmentation des traitements</w:t>
            </w:r>
          </w:p>
        </w:tc>
        <w:tc>
          <w:tcPr>
            <w:tcW w:w="5381" w:type="dxa"/>
            <w:hideMark/>
          </w:tcPr>
          <w:p w14:paraId="311EB50C" w14:textId="6F48C42E" w:rsidR="00DF6159" w:rsidRPr="00236418" w:rsidRDefault="00DF6159" w:rsidP="009B3D24">
            <w:pPr>
              <w:pStyle w:val="Tabletext"/>
              <w:spacing w:before="20" w:after="20"/>
              <w:rPr>
                <w:sz w:val="20"/>
              </w:rPr>
            </w:pPr>
            <w:r w:rsidRPr="00236418">
              <w:rPr>
                <w:sz w:val="20"/>
              </w:rPr>
              <w:t xml:space="preserve">3% </w:t>
            </w:r>
            <w:r w:rsidR="00245ECD" w:rsidRPr="00236418">
              <w:rPr>
                <w:sz w:val="20"/>
              </w:rPr>
              <w:t>par rapport au</w:t>
            </w:r>
            <w:r w:rsidR="00864640" w:rsidRPr="00236418">
              <w:rPr>
                <w:sz w:val="20"/>
              </w:rPr>
              <w:t xml:space="preserve"> barème des traitements statique de la</w:t>
            </w:r>
            <w:r w:rsidRPr="00236418">
              <w:rPr>
                <w:sz w:val="20"/>
              </w:rPr>
              <w:t xml:space="preserve"> CCPPNU</w:t>
            </w:r>
          </w:p>
        </w:tc>
      </w:tr>
      <w:tr w:rsidR="00DF6159" w:rsidRPr="00236418" w14:paraId="5304508D" w14:textId="77777777" w:rsidTr="006538EB">
        <w:trPr>
          <w:trHeight w:val="255"/>
          <w:jc w:val="center"/>
        </w:trPr>
        <w:tc>
          <w:tcPr>
            <w:tcW w:w="4253" w:type="dxa"/>
            <w:hideMark/>
          </w:tcPr>
          <w:p w14:paraId="605848C5" w14:textId="77777777" w:rsidR="00DF6159" w:rsidRPr="00236418" w:rsidRDefault="00DF6159" w:rsidP="009B3D24">
            <w:pPr>
              <w:pStyle w:val="Tabletext"/>
              <w:spacing w:before="20" w:after="20"/>
              <w:rPr>
                <w:sz w:val="20"/>
              </w:rPr>
            </w:pPr>
            <w:r w:rsidRPr="00236418">
              <w:rPr>
                <w:sz w:val="20"/>
              </w:rPr>
              <w:t>Augmentation des retraites</w:t>
            </w:r>
          </w:p>
        </w:tc>
        <w:tc>
          <w:tcPr>
            <w:tcW w:w="5381" w:type="dxa"/>
            <w:hideMark/>
          </w:tcPr>
          <w:p w14:paraId="35ECA861" w14:textId="5EBB6903" w:rsidR="00DF6159" w:rsidRPr="00236418" w:rsidRDefault="00DF6159" w:rsidP="009B3D24">
            <w:pPr>
              <w:pStyle w:val="Tabletext"/>
              <w:spacing w:before="20" w:after="20"/>
              <w:rPr>
                <w:sz w:val="20"/>
              </w:rPr>
            </w:pPr>
            <w:r w:rsidRPr="00236418">
              <w:rPr>
                <w:sz w:val="20"/>
              </w:rPr>
              <w:t>2,50% pour 201</w:t>
            </w:r>
            <w:r w:rsidR="00BB62C6" w:rsidRPr="00236418">
              <w:rPr>
                <w:sz w:val="20"/>
              </w:rPr>
              <w:t>9</w:t>
            </w:r>
            <w:r w:rsidRPr="00236418">
              <w:rPr>
                <w:sz w:val="20"/>
              </w:rPr>
              <w:t xml:space="preserve"> et 201</w:t>
            </w:r>
            <w:r w:rsidR="00BB62C6" w:rsidRPr="00236418">
              <w:rPr>
                <w:sz w:val="20"/>
              </w:rPr>
              <w:t>8</w:t>
            </w:r>
          </w:p>
        </w:tc>
      </w:tr>
      <w:tr w:rsidR="00DF6159" w:rsidRPr="00236418" w14:paraId="0AE00B37" w14:textId="77777777" w:rsidTr="006538EB">
        <w:trPr>
          <w:trHeight w:val="1358"/>
          <w:jc w:val="center"/>
        </w:trPr>
        <w:tc>
          <w:tcPr>
            <w:tcW w:w="4253" w:type="dxa"/>
            <w:hideMark/>
          </w:tcPr>
          <w:p w14:paraId="67931DB7" w14:textId="77777777" w:rsidR="00DF6159" w:rsidRPr="00236418" w:rsidRDefault="00DF6159" w:rsidP="009B3D24">
            <w:pPr>
              <w:pStyle w:val="Tabletext"/>
              <w:spacing w:before="20" w:after="20"/>
              <w:rPr>
                <w:sz w:val="20"/>
              </w:rPr>
            </w:pPr>
            <w:r w:rsidRPr="00236418">
              <w:rPr>
                <w:sz w:val="20"/>
              </w:rPr>
              <w:t xml:space="preserve">Coût annuel moyen estimé des demandes de remboursement des frais médicaux en 2018 et variation des frais médicaux en fonction de l'âge </w:t>
            </w:r>
          </w:p>
        </w:tc>
        <w:tc>
          <w:tcPr>
            <w:tcW w:w="5381" w:type="dxa"/>
            <w:hideMark/>
          </w:tcPr>
          <w:p w14:paraId="11E7F649" w14:textId="772F27D6" w:rsidR="00DF6159" w:rsidRPr="00236418" w:rsidRDefault="00DF6159" w:rsidP="009B3D24">
            <w:pPr>
              <w:pStyle w:val="Tabletext"/>
              <w:spacing w:before="20" w:after="20"/>
              <w:rPr>
                <w:sz w:val="20"/>
              </w:rPr>
            </w:pPr>
            <w:r w:rsidRPr="00236418">
              <w:rPr>
                <w:sz w:val="20"/>
              </w:rPr>
              <w:t>Le rapport actuariel pour 201</w:t>
            </w:r>
            <w:r w:rsidR="00BB62C6" w:rsidRPr="00236418">
              <w:rPr>
                <w:sz w:val="20"/>
              </w:rPr>
              <w:t>9</w:t>
            </w:r>
            <w:r w:rsidRPr="00236418">
              <w:rPr>
                <w:sz w:val="20"/>
              </w:rPr>
              <w:t xml:space="preserve"> se fonde sur un coût moyen des demandes de remboursement estimé en CHF, à la fin de l'exercice 201</w:t>
            </w:r>
            <w:r w:rsidR="00BB62C6" w:rsidRPr="00236418">
              <w:rPr>
                <w:sz w:val="20"/>
              </w:rPr>
              <w:t>9</w:t>
            </w:r>
            <w:r w:rsidRPr="00236418">
              <w:rPr>
                <w:sz w:val="20"/>
              </w:rPr>
              <w:t xml:space="preserve">, par tranche d'âge de 50, 55, 60, 65, 70, 75 et 80 ans, à respectivement </w:t>
            </w:r>
            <w:r w:rsidR="00BB62C6" w:rsidRPr="00236418">
              <w:rPr>
                <w:sz w:val="20"/>
              </w:rPr>
              <w:t>3</w:t>
            </w:r>
            <w:r w:rsidRPr="00236418">
              <w:rPr>
                <w:sz w:val="20"/>
              </w:rPr>
              <w:t> 4</w:t>
            </w:r>
            <w:r w:rsidR="00BB62C6" w:rsidRPr="00236418">
              <w:rPr>
                <w:sz w:val="20"/>
              </w:rPr>
              <w:t>87</w:t>
            </w:r>
            <w:r w:rsidRPr="00236418">
              <w:rPr>
                <w:sz w:val="20"/>
              </w:rPr>
              <w:t xml:space="preserve"> CHF, </w:t>
            </w:r>
            <w:r w:rsidR="00BB62C6" w:rsidRPr="00236418">
              <w:rPr>
                <w:sz w:val="20"/>
              </w:rPr>
              <w:t>4 365</w:t>
            </w:r>
            <w:r w:rsidRPr="00236418">
              <w:rPr>
                <w:sz w:val="20"/>
              </w:rPr>
              <w:t xml:space="preserve"> CHF, </w:t>
            </w:r>
            <w:r w:rsidR="00BB62C6" w:rsidRPr="00236418">
              <w:rPr>
                <w:sz w:val="20"/>
              </w:rPr>
              <w:t>6 871</w:t>
            </w:r>
            <w:r w:rsidRPr="00236418">
              <w:rPr>
                <w:sz w:val="20"/>
              </w:rPr>
              <w:t xml:space="preserve"> CHF, </w:t>
            </w:r>
            <w:r w:rsidR="00BB62C6" w:rsidRPr="00236418">
              <w:rPr>
                <w:sz w:val="20"/>
              </w:rPr>
              <w:t>8 641</w:t>
            </w:r>
            <w:r w:rsidRPr="00236418">
              <w:rPr>
                <w:sz w:val="20"/>
              </w:rPr>
              <w:t xml:space="preserve"> CHF, </w:t>
            </w:r>
            <w:r w:rsidR="00BB62C6" w:rsidRPr="00236418">
              <w:rPr>
                <w:sz w:val="20"/>
              </w:rPr>
              <w:t>10 889</w:t>
            </w:r>
            <w:r w:rsidRPr="00236418">
              <w:rPr>
                <w:sz w:val="20"/>
              </w:rPr>
              <w:t> CHF, 1</w:t>
            </w:r>
            <w:r w:rsidR="00BB62C6" w:rsidRPr="00236418">
              <w:rPr>
                <w:sz w:val="20"/>
              </w:rPr>
              <w:t>3 743</w:t>
            </w:r>
            <w:r w:rsidRPr="00236418">
              <w:rPr>
                <w:sz w:val="20"/>
              </w:rPr>
              <w:t xml:space="preserve"> CHF</w:t>
            </w:r>
            <w:r w:rsidR="00BB62C6" w:rsidRPr="00236418">
              <w:rPr>
                <w:sz w:val="20"/>
              </w:rPr>
              <w:t>.</w:t>
            </w:r>
          </w:p>
        </w:tc>
      </w:tr>
      <w:tr w:rsidR="00DF6159" w:rsidRPr="00236418" w14:paraId="3CF40685" w14:textId="77777777" w:rsidTr="006538EB">
        <w:trPr>
          <w:trHeight w:val="255"/>
          <w:jc w:val="center"/>
        </w:trPr>
        <w:tc>
          <w:tcPr>
            <w:tcW w:w="4253" w:type="dxa"/>
            <w:hideMark/>
          </w:tcPr>
          <w:p w14:paraId="501AF567" w14:textId="77777777" w:rsidR="00DF6159" w:rsidRPr="00236418" w:rsidRDefault="00DF6159" w:rsidP="009B3D24">
            <w:pPr>
              <w:pStyle w:val="Tabletext"/>
              <w:spacing w:before="20" w:after="20"/>
              <w:rPr>
                <w:sz w:val="20"/>
              </w:rPr>
            </w:pPr>
            <w:r w:rsidRPr="00236418">
              <w:rPr>
                <w:sz w:val="20"/>
              </w:rPr>
              <w:lastRenderedPageBreak/>
              <w:t>Dépenses d'administration</w:t>
            </w:r>
          </w:p>
        </w:tc>
        <w:tc>
          <w:tcPr>
            <w:tcW w:w="5381" w:type="dxa"/>
            <w:hideMark/>
          </w:tcPr>
          <w:p w14:paraId="354541A4" w14:textId="62126288" w:rsidR="00DF6159" w:rsidRPr="00236418" w:rsidRDefault="00DF6159" w:rsidP="009B3D24">
            <w:pPr>
              <w:pStyle w:val="Tabletext"/>
              <w:spacing w:before="20" w:after="20"/>
              <w:rPr>
                <w:sz w:val="20"/>
              </w:rPr>
            </w:pPr>
            <w:r w:rsidRPr="00236418">
              <w:rPr>
                <w:sz w:val="20"/>
              </w:rPr>
              <w:t>Le coût administratif annuel a été estimé en moyenne à </w:t>
            </w:r>
            <w:r w:rsidR="00BB62C6" w:rsidRPr="00236418">
              <w:rPr>
                <w:sz w:val="20"/>
              </w:rPr>
              <w:t>153</w:t>
            </w:r>
            <w:r w:rsidRPr="00236418">
              <w:rPr>
                <w:sz w:val="20"/>
              </w:rPr>
              <w:t> CHF par personne.</w:t>
            </w:r>
          </w:p>
        </w:tc>
      </w:tr>
      <w:tr w:rsidR="00DF6159" w:rsidRPr="00236418" w14:paraId="1DC5BD39" w14:textId="77777777" w:rsidTr="006538EB">
        <w:trPr>
          <w:trHeight w:val="2295"/>
          <w:jc w:val="center"/>
        </w:trPr>
        <w:tc>
          <w:tcPr>
            <w:tcW w:w="4253" w:type="dxa"/>
            <w:hideMark/>
          </w:tcPr>
          <w:p w14:paraId="78AB0344" w14:textId="77777777" w:rsidR="00DF6159" w:rsidRPr="00236418" w:rsidRDefault="00DF6159" w:rsidP="009B3D24">
            <w:pPr>
              <w:pStyle w:val="Tabletext"/>
              <w:spacing w:before="20" w:after="20"/>
              <w:rPr>
                <w:sz w:val="20"/>
              </w:rPr>
            </w:pPr>
            <w:r w:rsidRPr="00236418">
              <w:rPr>
                <w:sz w:val="20"/>
              </w:rPr>
              <w:t>Mortalité</w:t>
            </w:r>
          </w:p>
        </w:tc>
        <w:tc>
          <w:tcPr>
            <w:tcW w:w="5381" w:type="dxa"/>
            <w:hideMark/>
          </w:tcPr>
          <w:p w14:paraId="53A93792" w14:textId="1F57DF87" w:rsidR="00DF6159" w:rsidRPr="00236418" w:rsidRDefault="00DF6159" w:rsidP="009B3D24">
            <w:pPr>
              <w:pStyle w:val="Tabletext"/>
              <w:spacing w:before="20" w:after="20"/>
              <w:rPr>
                <w:sz w:val="20"/>
              </w:rPr>
            </w:pPr>
            <w:r w:rsidRPr="00236418">
              <w:rPr>
                <w:sz w:val="20"/>
              </w:rPr>
              <w:t>Le taux de mortalité est basé sur les</w:t>
            </w:r>
            <w:r w:rsidR="00F66B2A" w:rsidRPr="00236418">
              <w:rPr>
                <w:sz w:val="20"/>
              </w:rPr>
              <w:t xml:space="preserve"> dernières</w:t>
            </w:r>
            <w:r w:rsidRPr="00236418">
              <w:rPr>
                <w:sz w:val="20"/>
              </w:rPr>
              <w:t xml:space="preserve"> tables de mortalité des Nations Unies </w:t>
            </w:r>
            <w:r w:rsidR="00F66B2A" w:rsidRPr="00236418">
              <w:rPr>
                <w:sz w:val="20"/>
              </w:rPr>
              <w:t>ventilées par sexe (février 2020) sans amélioration liée à l'augmentation de l'espérance de vie</w:t>
            </w:r>
            <w:r w:rsidRPr="00236418">
              <w:rPr>
                <w:sz w:val="20"/>
              </w:rPr>
              <w:t xml:space="preserve"> pour les fonctionnaires en service</w:t>
            </w:r>
            <w:r w:rsidR="00F66B2A" w:rsidRPr="00236418">
              <w:rPr>
                <w:sz w:val="20"/>
              </w:rPr>
              <w:t xml:space="preserve"> et les</w:t>
            </w:r>
            <w:r w:rsidRPr="00236418">
              <w:rPr>
                <w:sz w:val="20"/>
              </w:rPr>
              <w:t xml:space="preserve"> </w:t>
            </w:r>
            <w:r w:rsidR="00F66B2A" w:rsidRPr="00236418">
              <w:rPr>
                <w:sz w:val="20"/>
              </w:rPr>
              <w:t xml:space="preserve">bénéficiaires d'une pension d'invalidité, et avec une amélioration </w:t>
            </w:r>
            <w:r w:rsidR="003145C3" w:rsidRPr="00236418">
              <w:rPr>
                <w:sz w:val="20"/>
              </w:rPr>
              <w:t xml:space="preserve">statique </w:t>
            </w:r>
            <w:r w:rsidR="00F66B2A" w:rsidRPr="00236418">
              <w:rPr>
                <w:sz w:val="20"/>
              </w:rPr>
              <w:t xml:space="preserve">liée à l'augmentation de l'espérance de vie jusqu'en 2039 </w:t>
            </w:r>
            <w:r w:rsidRPr="00236418">
              <w:rPr>
                <w:sz w:val="20"/>
              </w:rPr>
              <w:t>pour les bénéficiaires d'une pension de retraite, pour les veuves et les veufs. L'année de référence est 2017, et une échelle d'amélioration liée à l'augmentation de l'espérance de vie est appliquée jusqu'à l'année 203</w:t>
            </w:r>
            <w:r w:rsidR="00F66B2A" w:rsidRPr="00236418">
              <w:rPr>
                <w:sz w:val="20"/>
              </w:rPr>
              <w:t>9</w:t>
            </w:r>
            <w:r w:rsidRPr="00236418">
              <w:rPr>
                <w:sz w:val="20"/>
              </w:rPr>
              <w:t xml:space="preserve"> pour le personnel actuellement en service et en bonne santé.</w:t>
            </w:r>
          </w:p>
        </w:tc>
      </w:tr>
      <w:tr w:rsidR="00DF6159" w:rsidRPr="00236418" w14:paraId="18CB44DE" w14:textId="77777777" w:rsidTr="006538EB">
        <w:trPr>
          <w:trHeight w:val="497"/>
          <w:jc w:val="center"/>
        </w:trPr>
        <w:tc>
          <w:tcPr>
            <w:tcW w:w="4253" w:type="dxa"/>
            <w:hideMark/>
          </w:tcPr>
          <w:p w14:paraId="45F8FDBC" w14:textId="77777777" w:rsidR="00DF6159" w:rsidRPr="00236418" w:rsidRDefault="00DF6159" w:rsidP="009B3D24">
            <w:pPr>
              <w:pStyle w:val="Tabletext"/>
              <w:spacing w:before="20" w:after="20"/>
              <w:rPr>
                <w:sz w:val="20"/>
              </w:rPr>
            </w:pPr>
            <w:r w:rsidRPr="00236418">
              <w:rPr>
                <w:sz w:val="20"/>
              </w:rPr>
              <w:t>Valorisation des actifs</w:t>
            </w:r>
          </w:p>
        </w:tc>
        <w:tc>
          <w:tcPr>
            <w:tcW w:w="5381" w:type="dxa"/>
            <w:hideMark/>
          </w:tcPr>
          <w:p w14:paraId="7C2B00D1" w14:textId="2B1058A5" w:rsidR="00DF6159" w:rsidRPr="00236418" w:rsidRDefault="00DF6159" w:rsidP="009B3D24">
            <w:pPr>
              <w:pStyle w:val="Tabletext"/>
              <w:spacing w:before="20" w:after="20"/>
              <w:rPr>
                <w:sz w:val="20"/>
              </w:rPr>
            </w:pPr>
            <w:r w:rsidRPr="00236418">
              <w:rPr>
                <w:sz w:val="20"/>
              </w:rPr>
              <w:t>L'UIT n'avait plus d'actif sous le Fonds de garantie au 31 décembre 201</w:t>
            </w:r>
            <w:r w:rsidR="00BB62C6" w:rsidRPr="00236418">
              <w:rPr>
                <w:sz w:val="20"/>
              </w:rPr>
              <w:t>9</w:t>
            </w:r>
            <w:r w:rsidRPr="00236418">
              <w:rPr>
                <w:sz w:val="20"/>
              </w:rPr>
              <w:t>.</w:t>
            </w:r>
          </w:p>
        </w:tc>
      </w:tr>
      <w:tr w:rsidR="00DF6159" w:rsidRPr="00236418" w14:paraId="7C4BFE22" w14:textId="77777777" w:rsidTr="006538EB">
        <w:trPr>
          <w:trHeight w:val="510"/>
          <w:jc w:val="center"/>
        </w:trPr>
        <w:tc>
          <w:tcPr>
            <w:tcW w:w="4253" w:type="dxa"/>
            <w:hideMark/>
          </w:tcPr>
          <w:p w14:paraId="491DC4B3" w14:textId="77777777" w:rsidR="00DF6159" w:rsidRPr="00236418" w:rsidRDefault="00DF6159" w:rsidP="009B3D24">
            <w:pPr>
              <w:pStyle w:val="Tabletext"/>
              <w:spacing w:before="20" w:after="20"/>
              <w:rPr>
                <w:sz w:val="20"/>
              </w:rPr>
            </w:pPr>
            <w:r w:rsidRPr="00236418">
              <w:rPr>
                <w:sz w:val="20"/>
              </w:rPr>
              <w:t>Taux d'invalidité</w:t>
            </w:r>
          </w:p>
        </w:tc>
        <w:tc>
          <w:tcPr>
            <w:tcW w:w="5381" w:type="dxa"/>
            <w:hideMark/>
          </w:tcPr>
          <w:p w14:paraId="160FEEE1" w14:textId="66A26162" w:rsidR="00DF6159" w:rsidRPr="00236418" w:rsidRDefault="00DF6159" w:rsidP="009B3D24">
            <w:pPr>
              <w:pStyle w:val="Tabletext"/>
              <w:spacing w:before="20" w:after="20"/>
              <w:rPr>
                <w:sz w:val="20"/>
              </w:rPr>
            </w:pPr>
            <w:r w:rsidRPr="00236418">
              <w:rPr>
                <w:sz w:val="20"/>
              </w:rPr>
              <w:t>Il varie selon l'âge et le sexe et pour le personnel de la catégorie professionnelle ainsi que le personnel de la catégorie des services généraux, et il augmente avec l'âge. Le taux est basé sur les tables d'invalidité des Nations Unies</w:t>
            </w:r>
            <w:r w:rsidR="00BB62C6" w:rsidRPr="00236418">
              <w:rPr>
                <w:sz w:val="20"/>
              </w:rPr>
              <w:t xml:space="preserve"> </w:t>
            </w:r>
            <w:r w:rsidR="00F66B2A" w:rsidRPr="00236418">
              <w:rPr>
                <w:sz w:val="20"/>
              </w:rPr>
              <w:t>communiquées en</w:t>
            </w:r>
            <w:r w:rsidR="00BB62C6" w:rsidRPr="00236418">
              <w:rPr>
                <w:sz w:val="20"/>
              </w:rPr>
              <w:t xml:space="preserve"> février 2020.</w:t>
            </w:r>
          </w:p>
        </w:tc>
      </w:tr>
      <w:tr w:rsidR="00DF6159" w:rsidRPr="00236418" w14:paraId="390187F1" w14:textId="77777777" w:rsidTr="006538EB">
        <w:trPr>
          <w:trHeight w:val="510"/>
          <w:jc w:val="center"/>
        </w:trPr>
        <w:tc>
          <w:tcPr>
            <w:tcW w:w="4253" w:type="dxa"/>
            <w:hideMark/>
          </w:tcPr>
          <w:p w14:paraId="0A615ABC" w14:textId="77777777" w:rsidR="00DF6159" w:rsidRPr="00236418" w:rsidRDefault="00DF6159" w:rsidP="009B3D24">
            <w:pPr>
              <w:pStyle w:val="Tabletext"/>
              <w:spacing w:before="20" w:after="20"/>
              <w:rPr>
                <w:sz w:val="20"/>
              </w:rPr>
            </w:pPr>
            <w:r w:rsidRPr="00236418">
              <w:rPr>
                <w:sz w:val="20"/>
              </w:rPr>
              <w:t>Taux de conversion des droits à prestation</w:t>
            </w:r>
          </w:p>
        </w:tc>
        <w:tc>
          <w:tcPr>
            <w:tcW w:w="5381" w:type="dxa"/>
            <w:hideMark/>
          </w:tcPr>
          <w:p w14:paraId="53E2A5DA" w14:textId="77777777" w:rsidR="00DF6159" w:rsidRPr="00236418" w:rsidRDefault="00DF6159" w:rsidP="009B3D24">
            <w:pPr>
              <w:pStyle w:val="Tabletext"/>
              <w:spacing w:before="20" w:after="20"/>
              <w:rPr>
                <w:sz w:val="20"/>
              </w:rPr>
            </w:pPr>
            <w:r w:rsidRPr="00236418">
              <w:rPr>
                <w:sz w:val="20"/>
              </w:rPr>
              <w:t>Varient selon l'âge et le nombre d'années de service, les demandes de conversion étant plus fréquentes la première année.</w:t>
            </w:r>
          </w:p>
        </w:tc>
      </w:tr>
      <w:tr w:rsidR="00DF6159" w:rsidRPr="00236418" w14:paraId="6115723C" w14:textId="77777777" w:rsidTr="006538EB">
        <w:trPr>
          <w:trHeight w:val="510"/>
          <w:jc w:val="center"/>
        </w:trPr>
        <w:tc>
          <w:tcPr>
            <w:tcW w:w="4253" w:type="dxa"/>
            <w:hideMark/>
          </w:tcPr>
          <w:p w14:paraId="0AC90A09" w14:textId="77777777" w:rsidR="00DF6159" w:rsidRPr="00236418" w:rsidRDefault="00DF6159" w:rsidP="009B3D24">
            <w:pPr>
              <w:pStyle w:val="Tabletext"/>
              <w:spacing w:before="20" w:after="20"/>
              <w:rPr>
                <w:sz w:val="20"/>
              </w:rPr>
            </w:pPr>
            <w:r w:rsidRPr="00236418">
              <w:rPr>
                <w:sz w:val="20"/>
              </w:rPr>
              <w:t>Rotation du personnel</w:t>
            </w:r>
          </w:p>
        </w:tc>
        <w:tc>
          <w:tcPr>
            <w:tcW w:w="5381" w:type="dxa"/>
            <w:hideMark/>
          </w:tcPr>
          <w:p w14:paraId="5D92BACF" w14:textId="77777777" w:rsidR="00DF6159" w:rsidRPr="00236418" w:rsidRDefault="00DF6159" w:rsidP="009B3D24">
            <w:pPr>
              <w:pStyle w:val="Tabletext"/>
              <w:spacing w:before="20" w:after="20"/>
              <w:rPr>
                <w:sz w:val="20"/>
              </w:rPr>
            </w:pPr>
            <w:r w:rsidRPr="00236418">
              <w:rPr>
                <w:sz w:val="20"/>
              </w:rPr>
              <w:t>Le taux de départ d'employés quittant les organisations considérées dans l'évaluation varie selon l'âge et le sexe.</w:t>
            </w:r>
          </w:p>
        </w:tc>
      </w:tr>
      <w:tr w:rsidR="00DF6159" w:rsidRPr="00236418" w14:paraId="53EB440A" w14:textId="77777777" w:rsidTr="006538EB">
        <w:trPr>
          <w:trHeight w:val="510"/>
          <w:jc w:val="center"/>
        </w:trPr>
        <w:tc>
          <w:tcPr>
            <w:tcW w:w="4253" w:type="dxa"/>
            <w:hideMark/>
          </w:tcPr>
          <w:p w14:paraId="0ECC5C3D" w14:textId="77777777" w:rsidR="00DF6159" w:rsidRPr="00236418" w:rsidRDefault="00DF6159" w:rsidP="009B3D24">
            <w:pPr>
              <w:pStyle w:val="Tabletext"/>
              <w:spacing w:before="20" w:after="20"/>
              <w:rPr>
                <w:sz w:val="20"/>
              </w:rPr>
            </w:pPr>
            <w:r w:rsidRPr="00236418">
              <w:rPr>
                <w:sz w:val="20"/>
              </w:rPr>
              <w:t>Taux de retraite</w:t>
            </w:r>
          </w:p>
        </w:tc>
        <w:tc>
          <w:tcPr>
            <w:tcW w:w="5381" w:type="dxa"/>
            <w:hideMark/>
          </w:tcPr>
          <w:p w14:paraId="50FB4DFA" w14:textId="5A9FB2ED" w:rsidR="00DF6159" w:rsidRPr="00236418" w:rsidRDefault="00DF6159" w:rsidP="009B3D24">
            <w:pPr>
              <w:pStyle w:val="Tabletext"/>
              <w:spacing w:before="20" w:after="20"/>
              <w:rPr>
                <w:sz w:val="20"/>
              </w:rPr>
            </w:pPr>
            <w:r w:rsidRPr="00236418">
              <w:rPr>
                <w:sz w:val="20"/>
              </w:rPr>
              <w:t xml:space="preserve">Pour tous les fonctionnaires, les taux de retraite sont équivalents aux taux définis dans </w:t>
            </w:r>
            <w:r w:rsidR="00443D99" w:rsidRPr="00236418">
              <w:rPr>
                <w:sz w:val="20"/>
              </w:rPr>
              <w:t>le message du Groupe spécial des Nations Unies de février 2020</w:t>
            </w:r>
            <w:r w:rsidRPr="00236418">
              <w:rPr>
                <w:sz w:val="20"/>
              </w:rPr>
              <w:t>. Les taux varient selon l'âge, le nombre d'années d'affiliation et la catégorie de poste.</w:t>
            </w:r>
          </w:p>
        </w:tc>
      </w:tr>
      <w:tr w:rsidR="00DF6159" w:rsidRPr="00236418" w14:paraId="764134B1" w14:textId="77777777" w:rsidTr="006538EB">
        <w:trPr>
          <w:trHeight w:val="255"/>
          <w:jc w:val="center"/>
        </w:trPr>
        <w:tc>
          <w:tcPr>
            <w:tcW w:w="4253" w:type="dxa"/>
            <w:hideMark/>
          </w:tcPr>
          <w:p w14:paraId="039E13C5" w14:textId="77777777" w:rsidR="00DF6159" w:rsidRPr="00236418" w:rsidRDefault="00DF6159" w:rsidP="009B3D24">
            <w:pPr>
              <w:pStyle w:val="Tabletext"/>
              <w:keepNext/>
              <w:keepLines/>
              <w:spacing w:before="20" w:after="20"/>
              <w:rPr>
                <w:sz w:val="20"/>
              </w:rPr>
            </w:pPr>
            <w:r w:rsidRPr="00236418">
              <w:rPr>
                <w:sz w:val="20"/>
              </w:rPr>
              <w:t>Participation</w:t>
            </w:r>
          </w:p>
        </w:tc>
        <w:tc>
          <w:tcPr>
            <w:tcW w:w="5381" w:type="dxa"/>
            <w:hideMark/>
          </w:tcPr>
          <w:p w14:paraId="626921C4" w14:textId="19E53FEC" w:rsidR="00DF6159" w:rsidRPr="00236418" w:rsidRDefault="00DF6159" w:rsidP="009B3D24">
            <w:pPr>
              <w:pStyle w:val="Tabletext"/>
              <w:keepNext/>
              <w:keepLines/>
              <w:spacing w:before="20" w:after="20"/>
              <w:rPr>
                <w:sz w:val="20"/>
              </w:rPr>
            </w:pPr>
            <w:r w:rsidRPr="00236418">
              <w:rPr>
                <w:sz w:val="20"/>
              </w:rPr>
              <w:t xml:space="preserve">97,5% des futurs retraités choisiront d'être </w:t>
            </w:r>
            <w:r w:rsidR="00443D99" w:rsidRPr="00236418">
              <w:rPr>
                <w:sz w:val="20"/>
              </w:rPr>
              <w:t>couvert par l'ASHI</w:t>
            </w:r>
            <w:r w:rsidRPr="00236418">
              <w:rPr>
                <w:sz w:val="20"/>
              </w:rPr>
              <w:t>.</w:t>
            </w:r>
          </w:p>
        </w:tc>
      </w:tr>
      <w:tr w:rsidR="00DF6159" w:rsidRPr="00236418" w14:paraId="6B5F3E2A" w14:textId="77777777" w:rsidTr="006538EB">
        <w:trPr>
          <w:trHeight w:val="765"/>
          <w:jc w:val="center"/>
        </w:trPr>
        <w:tc>
          <w:tcPr>
            <w:tcW w:w="4253" w:type="dxa"/>
            <w:hideMark/>
          </w:tcPr>
          <w:p w14:paraId="3E8F57FF" w14:textId="77777777" w:rsidR="00DF6159" w:rsidRPr="00236418" w:rsidRDefault="00DF6159" w:rsidP="009B3D24">
            <w:pPr>
              <w:pStyle w:val="Tabletext"/>
              <w:keepNext/>
              <w:keepLines/>
              <w:spacing w:before="20" w:after="20"/>
              <w:rPr>
                <w:sz w:val="20"/>
              </w:rPr>
            </w:pPr>
            <w:r w:rsidRPr="00236418">
              <w:rPr>
                <w:sz w:val="20"/>
              </w:rPr>
              <w:t>Couverture des conjoints</w:t>
            </w:r>
          </w:p>
        </w:tc>
        <w:tc>
          <w:tcPr>
            <w:tcW w:w="5381" w:type="dxa"/>
            <w:hideMark/>
          </w:tcPr>
          <w:p w14:paraId="1C2FA87B" w14:textId="45891E1C" w:rsidR="00DF6159" w:rsidRPr="00236418" w:rsidRDefault="00DF6159" w:rsidP="009B3D24">
            <w:pPr>
              <w:pStyle w:val="Tabletext"/>
              <w:keepNext/>
              <w:keepLines/>
              <w:spacing w:before="20" w:after="20"/>
              <w:rPr>
                <w:sz w:val="20"/>
              </w:rPr>
            </w:pPr>
            <w:r w:rsidRPr="00236418">
              <w:rPr>
                <w:sz w:val="20"/>
              </w:rPr>
              <w:t xml:space="preserve">75% et 25% des retraités de sexe masculin et féminin ont un conjoint </w:t>
            </w:r>
            <w:r w:rsidR="00443D99" w:rsidRPr="00236418">
              <w:rPr>
                <w:sz w:val="20"/>
              </w:rPr>
              <w:t>qui choisira d'être couvert par l'</w:t>
            </w:r>
            <w:r w:rsidR="00BB62C6" w:rsidRPr="00236418">
              <w:rPr>
                <w:sz w:val="20"/>
              </w:rPr>
              <w:t>ASHI</w:t>
            </w:r>
            <w:r w:rsidRPr="00236418">
              <w:rPr>
                <w:sz w:val="20"/>
              </w:rPr>
              <w:t>. Les hommes sont supposés avoir cinq ans de plus que leur conjoint.</w:t>
            </w:r>
          </w:p>
        </w:tc>
      </w:tr>
      <w:tr w:rsidR="00DF6159" w:rsidRPr="00236418" w14:paraId="645E9C69" w14:textId="77777777" w:rsidTr="006538EB">
        <w:trPr>
          <w:trHeight w:val="765"/>
          <w:jc w:val="center"/>
        </w:trPr>
        <w:tc>
          <w:tcPr>
            <w:tcW w:w="4253" w:type="dxa"/>
            <w:hideMark/>
          </w:tcPr>
          <w:p w14:paraId="3FE0B609" w14:textId="77777777" w:rsidR="00DF6159" w:rsidRPr="00236418" w:rsidRDefault="00DF6159" w:rsidP="009B3D24">
            <w:pPr>
              <w:pStyle w:val="Tabletext"/>
              <w:keepNext/>
              <w:keepLines/>
              <w:spacing w:before="20" w:after="20"/>
              <w:rPr>
                <w:sz w:val="20"/>
              </w:rPr>
            </w:pPr>
            <w:r w:rsidRPr="00236418">
              <w:rPr>
                <w:sz w:val="20"/>
              </w:rPr>
              <w:t>Méthode actuarielle</w:t>
            </w:r>
          </w:p>
        </w:tc>
        <w:tc>
          <w:tcPr>
            <w:tcW w:w="5381" w:type="dxa"/>
            <w:hideMark/>
          </w:tcPr>
          <w:p w14:paraId="2AB45CF3" w14:textId="05C11227" w:rsidR="00DF6159" w:rsidRPr="00236418" w:rsidRDefault="00DF6159" w:rsidP="009B3D24">
            <w:pPr>
              <w:pStyle w:val="Tabletext"/>
              <w:keepNext/>
              <w:keepLines/>
              <w:spacing w:before="20" w:after="20"/>
              <w:rPr>
                <w:sz w:val="20"/>
              </w:rPr>
            </w:pPr>
            <w:r w:rsidRPr="00236418">
              <w:rPr>
                <w:sz w:val="20"/>
              </w:rPr>
              <w:t>Méthode des unités de crédit projetées avec</w:t>
            </w:r>
            <w:r w:rsidR="00443D99" w:rsidRPr="00236418">
              <w:rPr>
                <w:sz w:val="20"/>
              </w:rPr>
              <w:t xml:space="preserve"> prorata en fonction du nombre d'années de service.</w:t>
            </w:r>
            <w:r w:rsidRPr="00236418">
              <w:rPr>
                <w:sz w:val="20"/>
              </w:rPr>
              <w:t xml:space="preserve"> </w:t>
            </w:r>
            <w:r w:rsidR="00443D99" w:rsidRPr="00236418">
              <w:rPr>
                <w:sz w:val="20"/>
              </w:rPr>
              <w:t>La</w:t>
            </w:r>
            <w:r w:rsidRPr="00236418">
              <w:rPr>
                <w:sz w:val="20"/>
              </w:rPr>
              <w:t xml:space="preserve"> période d'attribution commen</w:t>
            </w:r>
            <w:r w:rsidR="00443D99" w:rsidRPr="00236418">
              <w:rPr>
                <w:sz w:val="20"/>
              </w:rPr>
              <w:t>ce</w:t>
            </w:r>
            <w:r w:rsidRPr="00236418">
              <w:rPr>
                <w:sz w:val="20"/>
              </w:rPr>
              <w:t xml:space="preserve"> à 45 ans d'âge afin de refléter le fait que les employés doivent avoir un minimum de 55 ans et 10 ans de service afin d'être éligibles.</w:t>
            </w:r>
          </w:p>
        </w:tc>
      </w:tr>
      <w:tr w:rsidR="00DF6159" w:rsidRPr="00236418" w14:paraId="72F1B6DB" w14:textId="77777777" w:rsidTr="006538EB">
        <w:trPr>
          <w:trHeight w:val="1020"/>
          <w:jc w:val="center"/>
        </w:trPr>
        <w:tc>
          <w:tcPr>
            <w:tcW w:w="4253" w:type="dxa"/>
            <w:hideMark/>
          </w:tcPr>
          <w:p w14:paraId="1CA34296" w14:textId="77777777" w:rsidR="00DF6159" w:rsidRPr="00236418" w:rsidRDefault="00DF6159" w:rsidP="009B3D24">
            <w:pPr>
              <w:pStyle w:val="Tabletext"/>
              <w:spacing w:before="20" w:after="20"/>
              <w:rPr>
                <w:sz w:val="20"/>
              </w:rPr>
            </w:pPr>
            <w:r w:rsidRPr="00236418">
              <w:rPr>
                <w:sz w:val="20"/>
              </w:rPr>
              <w:t>Approche OCI</w:t>
            </w:r>
          </w:p>
        </w:tc>
        <w:tc>
          <w:tcPr>
            <w:tcW w:w="5381" w:type="dxa"/>
            <w:hideMark/>
          </w:tcPr>
          <w:p w14:paraId="3E3E312F" w14:textId="77777777" w:rsidR="00DF6159" w:rsidRPr="00236418" w:rsidRDefault="00DF6159" w:rsidP="009B3D24">
            <w:pPr>
              <w:pStyle w:val="Tabletext"/>
              <w:spacing w:before="20" w:after="20"/>
              <w:rPr>
                <w:sz w:val="20"/>
              </w:rPr>
            </w:pPr>
            <w:r w:rsidRPr="00236418">
              <w:rPr>
                <w:sz w:val="20"/>
              </w:rPr>
              <w:t>Tous les gains et toutes les pertes sont comptabilisés intégralement pendant l'année même au cours de laquelle ils surviennent, mais en dehors du compte de résultat, dans le cadre de l'état du résultat global (</w:t>
            </w:r>
            <w:proofErr w:type="spellStart"/>
            <w:r w:rsidRPr="00236418">
              <w:rPr>
                <w:sz w:val="20"/>
              </w:rPr>
              <w:t>SoCI</w:t>
            </w:r>
            <w:proofErr w:type="spellEnd"/>
            <w:r w:rsidRPr="00236418">
              <w:rPr>
                <w:sz w:val="20"/>
              </w:rPr>
              <w:t>).</w:t>
            </w:r>
          </w:p>
        </w:tc>
      </w:tr>
    </w:tbl>
    <w:p w14:paraId="3E00E725" w14:textId="77777777" w:rsidR="00DF6159" w:rsidRPr="00236418" w:rsidRDefault="00DF6159" w:rsidP="009B3D24">
      <w:pPr>
        <w:spacing w:before="240"/>
      </w:pPr>
      <w:r w:rsidRPr="00236418">
        <w:t>Les fonctionnaires (et leurs conjoints, enfants à charge et survivants) quittant le service à l'âge de 55 ans ou plus ont droit à l'assurance maladie après la cessation de service s'ils ont travaillé au moins dix ans à l'ONU ou dans une institution spécialisée et s'ils ont été assurés à la Caisse d'assurance pour la protection de la santé du personnel (CCAM) pendant les cinq années précédant immédiatement la fin de leur service. Les mêmes prestations s'appliquent aux fonctionnaires bénéficiant d'une pension d'invalidité de la Caisse commune des pensions du personnel des Nations Unies. Ce régime est financé par les cotisations conjointes de l'UIT, à hauteur des 2/3, et des assurés, pour le tiers restant.</w:t>
      </w:r>
    </w:p>
    <w:p w14:paraId="43B04C62" w14:textId="0ECD3F60" w:rsidR="00DF6159" w:rsidRPr="00236418" w:rsidRDefault="00DF6159" w:rsidP="009B3D24">
      <w:pPr>
        <w:spacing w:after="120"/>
      </w:pPr>
      <w:r w:rsidRPr="00236418">
        <w:lastRenderedPageBreak/>
        <w:t>Les tableaux ci-dessous fournissent des informations et analyses supplémentaires concernant les passifs découlant des indemnités dues aux employés ainsi que la valorisation des actifs détenus par la Caisse d'assurance sur la base de l'étude actuarielle qui a été conduite pour obtenir les montants au 31 décembre 201</w:t>
      </w:r>
      <w:r w:rsidR="00BB62C6" w:rsidRPr="00236418">
        <w:t>9</w:t>
      </w:r>
      <w:r w:rsidRPr="00236418">
        <w:t>.</w:t>
      </w:r>
    </w:p>
    <w:tbl>
      <w:tblPr>
        <w:tblW w:w="9634" w:type="dxa"/>
        <w:jc w:val="center"/>
        <w:tblLook w:val="04A0" w:firstRow="1" w:lastRow="0" w:firstColumn="1" w:lastColumn="0" w:noHBand="0" w:noVBand="1"/>
        <w:tblCaption w:val="M"/>
      </w:tblPr>
      <w:tblGrid>
        <w:gridCol w:w="5382"/>
        <w:gridCol w:w="2268"/>
        <w:gridCol w:w="1984"/>
      </w:tblGrid>
      <w:tr w:rsidR="00DF6159" w:rsidRPr="00236418" w14:paraId="67E7124A" w14:textId="77777777" w:rsidTr="006538EB">
        <w:trPr>
          <w:cantSplit/>
          <w:jc w:val="center"/>
        </w:trPr>
        <w:tc>
          <w:tcPr>
            <w:tcW w:w="5382" w:type="dxa"/>
            <w:tcBorders>
              <w:top w:val="single" w:sz="4" w:space="0" w:color="auto"/>
              <w:left w:val="single" w:sz="4" w:space="0" w:color="auto"/>
              <w:bottom w:val="single" w:sz="4" w:space="0" w:color="auto"/>
              <w:right w:val="nil"/>
            </w:tcBorders>
            <w:hideMark/>
          </w:tcPr>
          <w:p w14:paraId="5D6F328D" w14:textId="655254CA" w:rsidR="00DF6159" w:rsidRPr="00236418" w:rsidRDefault="00DF6159" w:rsidP="009B3D24">
            <w:pPr>
              <w:pStyle w:val="Tablehead"/>
            </w:pPr>
            <w:r w:rsidRPr="00236418">
              <w:t>Montant des engagements au titre du plan ASHI au 31 décembre 201</w:t>
            </w:r>
            <w:r w:rsidR="00BB62C6" w:rsidRPr="00236418">
              <w:t>9</w:t>
            </w:r>
            <w:r w:rsidRPr="00236418">
              <w:t xml:space="preserve"> et 201</w:t>
            </w:r>
            <w:r w:rsidR="00BB62C6" w:rsidRPr="00236418">
              <w:t>8</w:t>
            </w:r>
            <w:r w:rsidRPr="00236418">
              <w:t xml:space="preserve"> dans </w:t>
            </w:r>
            <w:r w:rsidRPr="00236418">
              <w:br/>
              <w:t>l'état de la situation financière</w:t>
            </w:r>
          </w:p>
        </w:tc>
        <w:tc>
          <w:tcPr>
            <w:tcW w:w="2268" w:type="dxa"/>
            <w:tcBorders>
              <w:top w:val="single" w:sz="4" w:space="0" w:color="auto"/>
              <w:left w:val="single" w:sz="4" w:space="0" w:color="auto"/>
              <w:bottom w:val="single" w:sz="4" w:space="0" w:color="auto"/>
              <w:right w:val="single" w:sz="4" w:space="0" w:color="auto"/>
            </w:tcBorders>
          </w:tcPr>
          <w:p w14:paraId="0DF33B18" w14:textId="64E17245" w:rsidR="00DF6159" w:rsidRPr="00236418" w:rsidRDefault="00DF6159" w:rsidP="009B3D24">
            <w:pPr>
              <w:pStyle w:val="Tablehead"/>
            </w:pPr>
            <w:r w:rsidRPr="00236418">
              <w:t>En milliers de CHF</w:t>
            </w:r>
            <w:r w:rsidRPr="00236418">
              <w:br/>
              <w:t>31.12.201</w:t>
            </w:r>
            <w:r w:rsidR="00BB62C6" w:rsidRPr="00236418">
              <w:t>9</w:t>
            </w:r>
          </w:p>
        </w:tc>
        <w:tc>
          <w:tcPr>
            <w:tcW w:w="1984" w:type="dxa"/>
            <w:tcBorders>
              <w:top w:val="single" w:sz="4" w:space="0" w:color="auto"/>
              <w:left w:val="single" w:sz="4" w:space="0" w:color="auto"/>
              <w:bottom w:val="single" w:sz="4" w:space="0" w:color="auto"/>
              <w:right w:val="single" w:sz="4" w:space="0" w:color="auto"/>
            </w:tcBorders>
          </w:tcPr>
          <w:p w14:paraId="472EC276" w14:textId="1AB727A0" w:rsidR="00DF6159" w:rsidRPr="00236418" w:rsidRDefault="00DF6159" w:rsidP="009B3D24">
            <w:pPr>
              <w:pStyle w:val="Tablehead"/>
            </w:pPr>
            <w:r w:rsidRPr="00236418">
              <w:t>En milliers de CHF</w:t>
            </w:r>
            <w:r w:rsidRPr="00236418">
              <w:br/>
              <w:t>31.12.201</w:t>
            </w:r>
            <w:r w:rsidR="00BB62C6" w:rsidRPr="00236418">
              <w:t>8</w:t>
            </w:r>
          </w:p>
        </w:tc>
      </w:tr>
      <w:tr w:rsidR="00BB62C6" w:rsidRPr="00236418" w14:paraId="71D35437" w14:textId="77777777" w:rsidTr="006538EB">
        <w:trPr>
          <w:cantSplit/>
          <w:trHeight w:val="360"/>
          <w:jc w:val="center"/>
        </w:trPr>
        <w:tc>
          <w:tcPr>
            <w:tcW w:w="5382" w:type="dxa"/>
            <w:tcBorders>
              <w:top w:val="nil"/>
              <w:left w:val="single" w:sz="4" w:space="0" w:color="auto"/>
              <w:bottom w:val="nil"/>
              <w:right w:val="single" w:sz="4" w:space="0" w:color="auto"/>
            </w:tcBorders>
            <w:vAlign w:val="bottom"/>
            <w:hideMark/>
          </w:tcPr>
          <w:p w14:paraId="26B59087" w14:textId="63158FFB" w:rsidR="00BB62C6" w:rsidRPr="00236418" w:rsidRDefault="00BB62C6" w:rsidP="009B3D24">
            <w:pPr>
              <w:pStyle w:val="Tabletext"/>
            </w:pPr>
            <w:r w:rsidRPr="00236418">
              <w:t>Solde au 31 décembre 2019-2018</w:t>
            </w:r>
          </w:p>
        </w:tc>
        <w:tc>
          <w:tcPr>
            <w:tcW w:w="2268" w:type="dxa"/>
            <w:tcBorders>
              <w:top w:val="single" w:sz="4" w:space="0" w:color="auto"/>
              <w:left w:val="single" w:sz="4" w:space="0" w:color="auto"/>
              <w:bottom w:val="nil"/>
              <w:right w:val="single" w:sz="4" w:space="0" w:color="auto"/>
            </w:tcBorders>
          </w:tcPr>
          <w:p w14:paraId="1E76573F" w14:textId="15B72334" w:rsidR="00BB62C6" w:rsidRPr="00236418" w:rsidRDefault="00BB62C6" w:rsidP="009B3D24">
            <w:pPr>
              <w:widowControl w:val="0"/>
              <w:tabs>
                <w:tab w:val="clear" w:pos="1701"/>
              </w:tabs>
              <w:kinsoku w:val="0"/>
              <w:ind w:right="210"/>
              <w:jc w:val="right"/>
              <w:rPr>
                <w:color w:val="000000"/>
                <w:sz w:val="22"/>
                <w:szCs w:val="18"/>
              </w:rPr>
            </w:pPr>
            <w:r w:rsidRPr="00236418">
              <w:rPr>
                <w:i/>
                <w:iCs/>
                <w:color w:val="000000"/>
                <w:sz w:val="22"/>
                <w:szCs w:val="18"/>
              </w:rPr>
              <w:t>552 240</w:t>
            </w:r>
          </w:p>
        </w:tc>
        <w:tc>
          <w:tcPr>
            <w:tcW w:w="1984" w:type="dxa"/>
            <w:tcBorders>
              <w:top w:val="single" w:sz="4" w:space="0" w:color="auto"/>
              <w:left w:val="single" w:sz="4" w:space="0" w:color="auto"/>
              <w:bottom w:val="nil"/>
              <w:right w:val="single" w:sz="4" w:space="0" w:color="auto"/>
            </w:tcBorders>
          </w:tcPr>
          <w:p w14:paraId="3CFDDB50" w14:textId="6BEC5056" w:rsidR="00BB62C6" w:rsidRPr="00236418" w:rsidRDefault="00BB62C6" w:rsidP="009B3D24">
            <w:pPr>
              <w:widowControl w:val="0"/>
              <w:tabs>
                <w:tab w:val="clear" w:pos="1701"/>
              </w:tabs>
              <w:kinsoku w:val="0"/>
              <w:ind w:right="210"/>
              <w:jc w:val="right"/>
              <w:rPr>
                <w:i/>
                <w:iCs/>
                <w:color w:val="000000"/>
                <w:sz w:val="22"/>
                <w:szCs w:val="18"/>
              </w:rPr>
            </w:pPr>
            <w:r w:rsidRPr="00236418">
              <w:rPr>
                <w:i/>
                <w:iCs/>
                <w:color w:val="000000"/>
                <w:sz w:val="22"/>
                <w:szCs w:val="18"/>
              </w:rPr>
              <w:t>617 250</w:t>
            </w:r>
          </w:p>
        </w:tc>
      </w:tr>
      <w:tr w:rsidR="00BB62C6" w:rsidRPr="00236418" w14:paraId="3490B9FD" w14:textId="77777777" w:rsidTr="006538EB">
        <w:trPr>
          <w:cantSplit/>
          <w:trHeight w:val="336"/>
          <w:jc w:val="center"/>
        </w:trPr>
        <w:tc>
          <w:tcPr>
            <w:tcW w:w="5382" w:type="dxa"/>
            <w:tcBorders>
              <w:top w:val="nil"/>
              <w:left w:val="single" w:sz="4" w:space="0" w:color="auto"/>
              <w:bottom w:val="nil"/>
              <w:right w:val="single" w:sz="4" w:space="0" w:color="auto"/>
            </w:tcBorders>
            <w:hideMark/>
          </w:tcPr>
          <w:p w14:paraId="5352BF1C" w14:textId="77777777" w:rsidR="00BB62C6" w:rsidRPr="00236418" w:rsidRDefault="00BB62C6" w:rsidP="009B3D24">
            <w:pPr>
              <w:pStyle w:val="Tabletext"/>
              <w:rPr>
                <w:b/>
              </w:rPr>
            </w:pPr>
            <w:r w:rsidRPr="00236418">
              <w:t>Total des charges comptabilisées dans l'état de la performance financière</w:t>
            </w:r>
          </w:p>
        </w:tc>
        <w:tc>
          <w:tcPr>
            <w:tcW w:w="2268" w:type="dxa"/>
            <w:tcBorders>
              <w:top w:val="nil"/>
              <w:left w:val="single" w:sz="4" w:space="0" w:color="auto"/>
              <w:bottom w:val="nil"/>
              <w:right w:val="single" w:sz="4" w:space="0" w:color="auto"/>
            </w:tcBorders>
          </w:tcPr>
          <w:p w14:paraId="287A7C33" w14:textId="5E4361E4" w:rsidR="00BB62C6" w:rsidRPr="00236418" w:rsidRDefault="00BB62C6" w:rsidP="009B3D24">
            <w:pPr>
              <w:widowControl w:val="0"/>
              <w:tabs>
                <w:tab w:val="clear" w:pos="1701"/>
              </w:tabs>
              <w:kinsoku w:val="0"/>
              <w:ind w:right="210"/>
              <w:jc w:val="right"/>
              <w:rPr>
                <w:color w:val="000000"/>
                <w:sz w:val="22"/>
                <w:szCs w:val="18"/>
              </w:rPr>
            </w:pPr>
            <w:r w:rsidRPr="00236418">
              <w:rPr>
                <w:i/>
                <w:iCs/>
                <w:color w:val="000000"/>
                <w:sz w:val="22"/>
                <w:szCs w:val="18"/>
              </w:rPr>
              <w:t>78 357</w:t>
            </w:r>
          </w:p>
        </w:tc>
        <w:tc>
          <w:tcPr>
            <w:tcW w:w="1984" w:type="dxa"/>
            <w:tcBorders>
              <w:top w:val="nil"/>
              <w:left w:val="single" w:sz="4" w:space="0" w:color="auto"/>
              <w:bottom w:val="nil"/>
              <w:right w:val="single" w:sz="4" w:space="0" w:color="auto"/>
            </w:tcBorders>
          </w:tcPr>
          <w:p w14:paraId="7DFB80FF" w14:textId="63D2E85A" w:rsidR="00BB62C6" w:rsidRPr="00236418" w:rsidRDefault="00BB62C6" w:rsidP="009B3D24">
            <w:pPr>
              <w:widowControl w:val="0"/>
              <w:tabs>
                <w:tab w:val="clear" w:pos="1701"/>
              </w:tabs>
              <w:kinsoku w:val="0"/>
              <w:ind w:right="210"/>
              <w:jc w:val="right"/>
              <w:rPr>
                <w:i/>
                <w:iCs/>
                <w:color w:val="000000"/>
                <w:sz w:val="22"/>
                <w:szCs w:val="18"/>
              </w:rPr>
            </w:pPr>
            <w:r w:rsidRPr="00236418">
              <w:rPr>
                <w:i/>
                <w:iCs/>
                <w:color w:val="000000"/>
                <w:sz w:val="22"/>
                <w:szCs w:val="18"/>
              </w:rPr>
              <w:t>28 548</w:t>
            </w:r>
          </w:p>
        </w:tc>
      </w:tr>
      <w:tr w:rsidR="00BB62C6" w:rsidRPr="00236418" w14:paraId="4C19BAED" w14:textId="77777777" w:rsidTr="006538EB">
        <w:trPr>
          <w:cantSplit/>
          <w:trHeight w:val="264"/>
          <w:jc w:val="center"/>
        </w:trPr>
        <w:tc>
          <w:tcPr>
            <w:tcW w:w="5382" w:type="dxa"/>
            <w:tcBorders>
              <w:top w:val="nil"/>
              <w:left w:val="single" w:sz="4" w:space="0" w:color="auto"/>
              <w:bottom w:val="nil"/>
              <w:right w:val="single" w:sz="4" w:space="0" w:color="auto"/>
            </w:tcBorders>
            <w:hideMark/>
          </w:tcPr>
          <w:p w14:paraId="2F3BE26C" w14:textId="77777777" w:rsidR="00BB62C6" w:rsidRPr="00236418" w:rsidRDefault="00BB62C6" w:rsidP="009B3D24">
            <w:pPr>
              <w:pStyle w:val="Tabletext"/>
              <w:rPr>
                <w:b/>
              </w:rPr>
            </w:pPr>
            <w:r w:rsidRPr="00236418">
              <w:t>Pertes actuarielles comptabilisées à l'actif net</w:t>
            </w:r>
          </w:p>
        </w:tc>
        <w:tc>
          <w:tcPr>
            <w:tcW w:w="2268" w:type="dxa"/>
            <w:tcBorders>
              <w:top w:val="nil"/>
              <w:left w:val="single" w:sz="4" w:space="0" w:color="auto"/>
              <w:bottom w:val="nil"/>
              <w:right w:val="single" w:sz="4" w:space="0" w:color="auto"/>
            </w:tcBorders>
          </w:tcPr>
          <w:p w14:paraId="276A15F6" w14:textId="560A58C4" w:rsidR="00BB62C6" w:rsidRPr="00236418" w:rsidRDefault="00BB62C6" w:rsidP="009B3D24">
            <w:pPr>
              <w:widowControl w:val="0"/>
              <w:tabs>
                <w:tab w:val="clear" w:pos="1701"/>
              </w:tabs>
              <w:kinsoku w:val="0"/>
              <w:ind w:right="210"/>
              <w:jc w:val="right"/>
              <w:rPr>
                <w:color w:val="000000"/>
                <w:sz w:val="22"/>
                <w:szCs w:val="18"/>
              </w:rPr>
            </w:pPr>
            <w:r w:rsidRPr="00236418">
              <w:rPr>
                <w:i/>
                <w:iCs/>
                <w:color w:val="000000"/>
                <w:sz w:val="22"/>
                <w:szCs w:val="18"/>
              </w:rPr>
              <w:t>–12 038</w:t>
            </w:r>
          </w:p>
        </w:tc>
        <w:tc>
          <w:tcPr>
            <w:tcW w:w="1984" w:type="dxa"/>
            <w:tcBorders>
              <w:top w:val="nil"/>
              <w:left w:val="single" w:sz="4" w:space="0" w:color="auto"/>
              <w:bottom w:val="nil"/>
              <w:right w:val="single" w:sz="4" w:space="0" w:color="auto"/>
            </w:tcBorders>
          </w:tcPr>
          <w:p w14:paraId="2BD95835" w14:textId="2D28C14D" w:rsidR="00BB62C6" w:rsidRPr="00236418" w:rsidRDefault="00BB62C6" w:rsidP="009B3D24">
            <w:pPr>
              <w:widowControl w:val="0"/>
              <w:tabs>
                <w:tab w:val="clear" w:pos="1701"/>
              </w:tabs>
              <w:kinsoku w:val="0"/>
              <w:ind w:right="210"/>
              <w:jc w:val="right"/>
              <w:rPr>
                <w:i/>
                <w:iCs/>
                <w:color w:val="000000"/>
                <w:sz w:val="22"/>
                <w:szCs w:val="18"/>
              </w:rPr>
            </w:pPr>
            <w:r w:rsidRPr="00236418">
              <w:rPr>
                <w:i/>
                <w:iCs/>
                <w:color w:val="000000"/>
                <w:sz w:val="22"/>
                <w:szCs w:val="18"/>
              </w:rPr>
              <w:t>–87 277</w:t>
            </w:r>
          </w:p>
        </w:tc>
      </w:tr>
      <w:tr w:rsidR="00BB62C6" w:rsidRPr="00236418" w14:paraId="7B5F8A11" w14:textId="77777777" w:rsidTr="006538EB">
        <w:trPr>
          <w:cantSplit/>
          <w:trHeight w:val="264"/>
          <w:jc w:val="center"/>
        </w:trPr>
        <w:tc>
          <w:tcPr>
            <w:tcW w:w="5382" w:type="dxa"/>
            <w:tcBorders>
              <w:top w:val="nil"/>
              <w:left w:val="single" w:sz="4" w:space="0" w:color="auto"/>
              <w:bottom w:val="nil"/>
              <w:right w:val="single" w:sz="4" w:space="0" w:color="auto"/>
            </w:tcBorders>
            <w:vAlign w:val="bottom"/>
            <w:hideMark/>
          </w:tcPr>
          <w:p w14:paraId="1224EF7D" w14:textId="77777777" w:rsidR="00BB62C6" w:rsidRPr="00236418" w:rsidRDefault="00BB62C6" w:rsidP="009B3D24">
            <w:pPr>
              <w:pStyle w:val="Tabletext"/>
              <w:rPr>
                <w:b/>
              </w:rPr>
            </w:pPr>
            <w:r w:rsidRPr="00236418">
              <w:t>Contributions de l'exercice</w:t>
            </w:r>
          </w:p>
        </w:tc>
        <w:tc>
          <w:tcPr>
            <w:tcW w:w="2268" w:type="dxa"/>
            <w:tcBorders>
              <w:top w:val="nil"/>
              <w:left w:val="single" w:sz="4" w:space="0" w:color="auto"/>
              <w:bottom w:val="nil"/>
              <w:right w:val="single" w:sz="4" w:space="0" w:color="auto"/>
            </w:tcBorders>
          </w:tcPr>
          <w:p w14:paraId="2E045CA3" w14:textId="17CF9AB6" w:rsidR="00BB62C6" w:rsidRPr="00236418" w:rsidRDefault="00BB62C6" w:rsidP="009B3D24">
            <w:pPr>
              <w:widowControl w:val="0"/>
              <w:tabs>
                <w:tab w:val="clear" w:pos="1701"/>
              </w:tabs>
              <w:kinsoku w:val="0"/>
              <w:ind w:right="210"/>
              <w:jc w:val="right"/>
              <w:rPr>
                <w:color w:val="000000"/>
                <w:sz w:val="22"/>
                <w:szCs w:val="18"/>
              </w:rPr>
            </w:pPr>
            <w:r w:rsidRPr="00236418">
              <w:rPr>
                <w:i/>
                <w:iCs/>
                <w:color w:val="000000"/>
                <w:sz w:val="22"/>
                <w:szCs w:val="18"/>
              </w:rPr>
              <w:t>–6 663</w:t>
            </w:r>
          </w:p>
        </w:tc>
        <w:tc>
          <w:tcPr>
            <w:tcW w:w="1984" w:type="dxa"/>
            <w:tcBorders>
              <w:top w:val="nil"/>
              <w:left w:val="single" w:sz="4" w:space="0" w:color="auto"/>
              <w:bottom w:val="nil"/>
              <w:right w:val="single" w:sz="4" w:space="0" w:color="auto"/>
            </w:tcBorders>
          </w:tcPr>
          <w:p w14:paraId="7862A4F7" w14:textId="0F8C8370" w:rsidR="00BB62C6" w:rsidRPr="00236418" w:rsidRDefault="00BB62C6" w:rsidP="009B3D24">
            <w:pPr>
              <w:widowControl w:val="0"/>
              <w:tabs>
                <w:tab w:val="clear" w:pos="1701"/>
              </w:tabs>
              <w:kinsoku w:val="0"/>
              <w:ind w:right="210"/>
              <w:jc w:val="right"/>
              <w:rPr>
                <w:i/>
                <w:iCs/>
                <w:color w:val="000000"/>
                <w:sz w:val="22"/>
                <w:szCs w:val="18"/>
              </w:rPr>
            </w:pPr>
            <w:r w:rsidRPr="00236418">
              <w:rPr>
                <w:i/>
                <w:iCs/>
                <w:color w:val="000000"/>
                <w:sz w:val="22"/>
                <w:szCs w:val="18"/>
              </w:rPr>
              <w:t>–6 281</w:t>
            </w:r>
          </w:p>
        </w:tc>
      </w:tr>
      <w:tr w:rsidR="00BB62C6" w:rsidRPr="00236418" w14:paraId="5783E8DA" w14:textId="77777777" w:rsidTr="006538EB">
        <w:trPr>
          <w:cantSplit/>
          <w:trHeight w:val="264"/>
          <w:jc w:val="center"/>
        </w:trPr>
        <w:tc>
          <w:tcPr>
            <w:tcW w:w="5382" w:type="dxa"/>
            <w:tcBorders>
              <w:top w:val="nil"/>
              <w:left w:val="single" w:sz="4" w:space="0" w:color="auto"/>
              <w:bottom w:val="nil"/>
              <w:right w:val="single" w:sz="4" w:space="0" w:color="auto"/>
            </w:tcBorders>
            <w:hideMark/>
          </w:tcPr>
          <w:p w14:paraId="1B40B593" w14:textId="77777777" w:rsidR="00BB62C6" w:rsidRPr="00236418" w:rsidRDefault="00BB62C6" w:rsidP="009B3D24">
            <w:pPr>
              <w:pStyle w:val="Tabletext"/>
              <w:rPr>
                <w:b/>
              </w:rPr>
            </w:pPr>
            <w:r w:rsidRPr="00236418">
              <w:t>Pertes/(gains) de change non réalisés</w:t>
            </w:r>
          </w:p>
        </w:tc>
        <w:tc>
          <w:tcPr>
            <w:tcW w:w="2268" w:type="dxa"/>
            <w:tcBorders>
              <w:top w:val="nil"/>
              <w:left w:val="single" w:sz="4" w:space="0" w:color="auto"/>
              <w:bottom w:val="nil"/>
              <w:right w:val="single" w:sz="4" w:space="0" w:color="auto"/>
            </w:tcBorders>
          </w:tcPr>
          <w:p w14:paraId="1C828492" w14:textId="660C83C2" w:rsidR="00BB62C6" w:rsidRPr="00236418" w:rsidRDefault="00BB62C6" w:rsidP="009B3D24">
            <w:pPr>
              <w:widowControl w:val="0"/>
              <w:tabs>
                <w:tab w:val="clear" w:pos="1701"/>
              </w:tabs>
              <w:kinsoku w:val="0"/>
              <w:ind w:right="210"/>
              <w:jc w:val="right"/>
              <w:rPr>
                <w:color w:val="000000"/>
                <w:sz w:val="22"/>
                <w:szCs w:val="18"/>
              </w:rPr>
            </w:pPr>
            <w:r w:rsidRPr="00236418">
              <w:rPr>
                <w:i/>
                <w:iCs/>
                <w:color w:val="000000"/>
                <w:sz w:val="22"/>
                <w:szCs w:val="18"/>
              </w:rPr>
              <w:t>0</w:t>
            </w:r>
          </w:p>
        </w:tc>
        <w:tc>
          <w:tcPr>
            <w:tcW w:w="1984" w:type="dxa"/>
            <w:tcBorders>
              <w:top w:val="nil"/>
              <w:left w:val="single" w:sz="4" w:space="0" w:color="auto"/>
              <w:bottom w:val="nil"/>
              <w:right w:val="single" w:sz="4" w:space="0" w:color="auto"/>
            </w:tcBorders>
          </w:tcPr>
          <w:p w14:paraId="5624A968" w14:textId="1C9B18B6" w:rsidR="00BB62C6" w:rsidRPr="00236418" w:rsidRDefault="00BB62C6" w:rsidP="009B3D24">
            <w:pPr>
              <w:widowControl w:val="0"/>
              <w:tabs>
                <w:tab w:val="clear" w:pos="1701"/>
              </w:tabs>
              <w:kinsoku w:val="0"/>
              <w:ind w:right="210"/>
              <w:jc w:val="right"/>
              <w:rPr>
                <w:i/>
                <w:iCs/>
                <w:color w:val="000000"/>
                <w:sz w:val="22"/>
                <w:szCs w:val="18"/>
              </w:rPr>
            </w:pPr>
            <w:r w:rsidRPr="00236418">
              <w:rPr>
                <w:i/>
                <w:iCs/>
                <w:color w:val="000000"/>
                <w:sz w:val="22"/>
                <w:szCs w:val="18"/>
              </w:rPr>
              <w:t>0</w:t>
            </w:r>
          </w:p>
        </w:tc>
      </w:tr>
      <w:tr w:rsidR="00BB62C6" w:rsidRPr="00236418" w14:paraId="6686E314" w14:textId="77777777" w:rsidTr="006538EB">
        <w:trPr>
          <w:cantSplit/>
          <w:trHeight w:val="336"/>
          <w:jc w:val="center"/>
        </w:trPr>
        <w:tc>
          <w:tcPr>
            <w:tcW w:w="5382" w:type="dxa"/>
            <w:tcBorders>
              <w:top w:val="nil"/>
              <w:left w:val="single" w:sz="4" w:space="0" w:color="auto"/>
              <w:bottom w:val="single" w:sz="4" w:space="0" w:color="auto"/>
              <w:right w:val="single" w:sz="4" w:space="0" w:color="auto"/>
            </w:tcBorders>
            <w:hideMark/>
          </w:tcPr>
          <w:p w14:paraId="7A88C683" w14:textId="57364FA7" w:rsidR="00BB62C6" w:rsidRPr="00236418" w:rsidRDefault="00BB62C6" w:rsidP="009B3D24">
            <w:pPr>
              <w:pStyle w:val="Tabletext"/>
            </w:pPr>
            <w:r w:rsidRPr="00236418">
              <w:t>Montant des engagements au titre du plan ASHI au 31 décembre 2019-2018</w:t>
            </w:r>
          </w:p>
        </w:tc>
        <w:tc>
          <w:tcPr>
            <w:tcW w:w="2268" w:type="dxa"/>
            <w:tcBorders>
              <w:top w:val="nil"/>
              <w:left w:val="single" w:sz="4" w:space="0" w:color="auto"/>
              <w:bottom w:val="single" w:sz="4" w:space="0" w:color="auto"/>
              <w:right w:val="single" w:sz="4" w:space="0" w:color="auto"/>
            </w:tcBorders>
          </w:tcPr>
          <w:p w14:paraId="6C348F31" w14:textId="3CC3C1EB" w:rsidR="00BB62C6" w:rsidRPr="00236418" w:rsidRDefault="00BB62C6" w:rsidP="009B3D24">
            <w:pPr>
              <w:widowControl w:val="0"/>
              <w:tabs>
                <w:tab w:val="clear" w:pos="1701"/>
              </w:tabs>
              <w:kinsoku w:val="0"/>
              <w:ind w:right="210"/>
              <w:jc w:val="right"/>
              <w:rPr>
                <w:color w:val="000000"/>
                <w:sz w:val="22"/>
                <w:szCs w:val="18"/>
              </w:rPr>
            </w:pPr>
            <w:r w:rsidRPr="00236418">
              <w:rPr>
                <w:i/>
                <w:iCs/>
                <w:color w:val="000000"/>
                <w:sz w:val="22"/>
                <w:szCs w:val="18"/>
              </w:rPr>
              <w:t>611 896</w:t>
            </w:r>
          </w:p>
        </w:tc>
        <w:tc>
          <w:tcPr>
            <w:tcW w:w="1984" w:type="dxa"/>
            <w:tcBorders>
              <w:top w:val="nil"/>
              <w:left w:val="single" w:sz="4" w:space="0" w:color="auto"/>
              <w:bottom w:val="single" w:sz="4" w:space="0" w:color="auto"/>
              <w:right w:val="single" w:sz="4" w:space="0" w:color="auto"/>
            </w:tcBorders>
          </w:tcPr>
          <w:p w14:paraId="37663187" w14:textId="050FBA5D" w:rsidR="00BB62C6" w:rsidRPr="00236418" w:rsidRDefault="00BB62C6" w:rsidP="009B3D24">
            <w:pPr>
              <w:widowControl w:val="0"/>
              <w:tabs>
                <w:tab w:val="clear" w:pos="1701"/>
              </w:tabs>
              <w:kinsoku w:val="0"/>
              <w:ind w:right="210"/>
              <w:jc w:val="right"/>
              <w:rPr>
                <w:i/>
                <w:iCs/>
                <w:color w:val="000000"/>
                <w:sz w:val="22"/>
                <w:szCs w:val="18"/>
              </w:rPr>
            </w:pPr>
            <w:r w:rsidRPr="00236418">
              <w:rPr>
                <w:i/>
                <w:iCs/>
                <w:color w:val="000000"/>
                <w:sz w:val="22"/>
                <w:szCs w:val="18"/>
              </w:rPr>
              <w:t>552 240</w:t>
            </w:r>
          </w:p>
        </w:tc>
      </w:tr>
    </w:tbl>
    <w:p w14:paraId="38FED9C8" w14:textId="1903DBB0" w:rsidR="00EB3373" w:rsidRPr="00236418" w:rsidRDefault="00DF6159" w:rsidP="009B3D24">
      <w:pPr>
        <w:spacing w:before="240"/>
        <w:rPr>
          <w:lang w:eastAsia="en-GB"/>
        </w:rPr>
      </w:pPr>
      <w:r w:rsidRPr="00236418">
        <w:t>Les engagements liés à l'ASHI s'établissaient, au 31 décembre 201</w:t>
      </w:r>
      <w:r w:rsidR="00BB62C6" w:rsidRPr="00236418">
        <w:t>9</w:t>
      </w:r>
      <w:r w:rsidRPr="00236418">
        <w:t xml:space="preserve">, à </w:t>
      </w:r>
      <w:r w:rsidR="00BB62C6" w:rsidRPr="00236418">
        <w:t>611</w:t>
      </w:r>
      <w:r w:rsidRPr="00236418">
        <w:t>,</w:t>
      </w:r>
      <w:r w:rsidR="00BB62C6" w:rsidRPr="00236418">
        <w:t>89</w:t>
      </w:r>
      <w:r w:rsidRPr="00236418">
        <w:t xml:space="preserve"> millions CHF. </w:t>
      </w:r>
      <w:r w:rsidR="00E36002" w:rsidRPr="00236418">
        <w:t>Cette augmentation considérable par rapport au chiffre de 2018 (552 240 CHF) s'explique par la baisse importante du taux d'actualisation, qui est passé de</w:t>
      </w:r>
      <w:r w:rsidR="00EB3373" w:rsidRPr="00236418">
        <w:rPr>
          <w:lang w:eastAsia="en-GB"/>
        </w:rPr>
        <w:t xml:space="preserve"> 1,2% en 2018 à 0,6% en 2019. </w:t>
      </w:r>
      <w:r w:rsidR="00E36002" w:rsidRPr="00236418">
        <w:rPr>
          <w:lang w:eastAsia="en-GB"/>
        </w:rPr>
        <w:t xml:space="preserve">Le taux d'actualisation utilisé pour cette évaluation a été établi à l'aide des courbes de rendement des obligations des sociétés AA au </w:t>
      </w:r>
      <w:r w:rsidR="00EB3373" w:rsidRPr="00236418">
        <w:rPr>
          <w:lang w:eastAsia="en-GB"/>
        </w:rPr>
        <w:t>31 décembre 2019.</w:t>
      </w:r>
    </w:p>
    <w:p w14:paraId="2BD81842" w14:textId="2AA86DDE" w:rsidR="00E36002" w:rsidRPr="00236418" w:rsidRDefault="00E36002" w:rsidP="009B3D24">
      <w:pPr>
        <w:spacing w:before="240"/>
        <w:rPr>
          <w:lang w:eastAsia="en-GB"/>
        </w:rPr>
      </w:pPr>
      <w:r w:rsidRPr="00236418">
        <w:rPr>
          <w:lang w:eastAsia="en-GB"/>
        </w:rPr>
        <w:t>Suite à une demande des vérificateurs extérieurs des comptes et à titre d'information, l'évaluation utilisant la courbe de rendement des obligations d'État suisse Aon a été demandée. Le taux d'actualisation avec ce</w:t>
      </w:r>
      <w:r w:rsidR="00DB35DC" w:rsidRPr="00236418">
        <w:rPr>
          <w:lang w:eastAsia="en-GB"/>
        </w:rPr>
        <w:t>s obligations d'État serait de 0,2% et entraînerait une hausse des engagements liés à l'ASHI de 120 millions CHF environ.</w:t>
      </w:r>
    </w:p>
    <w:p w14:paraId="31533842" w14:textId="6B1E4008" w:rsidR="00DF6159" w:rsidRPr="00236418" w:rsidRDefault="00DF6159" w:rsidP="009B3D24">
      <w:pPr>
        <w:spacing w:after="120"/>
      </w:pPr>
      <w:r w:rsidRPr="00236418">
        <w:t>La perte actuarielle due à l'évolution des estimations actuarielles est comptabilisée à l'actif net selon la méthode OCI.</w:t>
      </w:r>
    </w:p>
    <w:p w14:paraId="028B6C85" w14:textId="19DAC2BC" w:rsidR="00EB3373" w:rsidRPr="00236418" w:rsidRDefault="00DB35DC" w:rsidP="009B3D24">
      <w:pPr>
        <w:spacing w:after="120"/>
      </w:pPr>
      <w:r w:rsidRPr="00236418">
        <w:t>Le tableau ci-dessous montre le montant net de l'obligation à la fin de l'exercice.</w:t>
      </w:r>
    </w:p>
    <w:tbl>
      <w:tblPr>
        <w:tblW w:w="92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
      </w:tblPr>
      <w:tblGrid>
        <w:gridCol w:w="5870"/>
        <w:gridCol w:w="1672"/>
        <w:gridCol w:w="1672"/>
      </w:tblGrid>
      <w:tr w:rsidR="00DF6159" w:rsidRPr="00236418" w14:paraId="6A3CB9C9" w14:textId="77777777" w:rsidTr="006538EB">
        <w:trPr>
          <w:trHeight w:val="336"/>
          <w:jc w:val="center"/>
        </w:trPr>
        <w:tc>
          <w:tcPr>
            <w:tcW w:w="5870" w:type="dxa"/>
            <w:tcBorders>
              <w:top w:val="single" w:sz="4" w:space="0" w:color="auto"/>
              <w:left w:val="single" w:sz="4" w:space="0" w:color="auto"/>
              <w:bottom w:val="single" w:sz="4" w:space="0" w:color="auto"/>
              <w:right w:val="single" w:sz="4" w:space="0" w:color="auto"/>
            </w:tcBorders>
            <w:hideMark/>
          </w:tcPr>
          <w:p w14:paraId="60A21C1C" w14:textId="77777777" w:rsidR="00DF6159" w:rsidRPr="00236418" w:rsidRDefault="00DF6159" w:rsidP="009B3D24">
            <w:pPr>
              <w:pStyle w:val="Tablehead"/>
              <w:jc w:val="left"/>
              <w:rPr>
                <w:rFonts w:asciiTheme="minorHAnsi" w:hAnsiTheme="minorHAnsi" w:cstheme="minorHAnsi"/>
                <w:bCs/>
                <w:color w:val="000000"/>
                <w:szCs w:val="22"/>
              </w:rPr>
            </w:pPr>
            <w:r w:rsidRPr="00236418">
              <w:rPr>
                <w:rFonts w:asciiTheme="minorHAnsi" w:hAnsiTheme="minorHAnsi" w:cstheme="minorHAnsi"/>
                <w:bCs/>
                <w:color w:val="000000"/>
                <w:szCs w:val="22"/>
              </w:rPr>
              <w:t>Analyse des pertes actuarielles comptabilisées à l'actif net</w:t>
            </w:r>
          </w:p>
        </w:tc>
        <w:tc>
          <w:tcPr>
            <w:tcW w:w="3344" w:type="dxa"/>
            <w:gridSpan w:val="2"/>
            <w:tcBorders>
              <w:top w:val="single" w:sz="4" w:space="0" w:color="auto"/>
              <w:left w:val="single" w:sz="4" w:space="0" w:color="auto"/>
              <w:bottom w:val="single" w:sz="4" w:space="0" w:color="auto"/>
              <w:right w:val="single" w:sz="4" w:space="0" w:color="auto"/>
            </w:tcBorders>
            <w:hideMark/>
          </w:tcPr>
          <w:p w14:paraId="461D39BC" w14:textId="77777777" w:rsidR="00DF6159" w:rsidRPr="00236418" w:rsidRDefault="00DF6159" w:rsidP="009B3D24">
            <w:pPr>
              <w:pStyle w:val="Tablehead"/>
              <w:rPr>
                <w:rFonts w:asciiTheme="minorHAnsi" w:hAnsiTheme="minorHAnsi" w:cstheme="minorHAnsi"/>
                <w:i/>
                <w:iCs/>
                <w:szCs w:val="22"/>
              </w:rPr>
            </w:pPr>
            <w:r w:rsidRPr="00236418">
              <w:rPr>
                <w:rFonts w:asciiTheme="minorHAnsi" w:hAnsiTheme="minorHAnsi" w:cstheme="minorHAnsi"/>
                <w:i/>
                <w:iCs/>
                <w:szCs w:val="22"/>
              </w:rPr>
              <w:t>En milliers de CHF</w:t>
            </w:r>
          </w:p>
        </w:tc>
      </w:tr>
      <w:tr w:rsidR="00DF6159" w:rsidRPr="00236418" w14:paraId="11C506A2" w14:textId="77777777" w:rsidTr="006538EB">
        <w:trPr>
          <w:trHeight w:val="264"/>
          <w:jc w:val="center"/>
        </w:trPr>
        <w:tc>
          <w:tcPr>
            <w:tcW w:w="5870" w:type="dxa"/>
            <w:tcBorders>
              <w:top w:val="single" w:sz="4" w:space="0" w:color="auto"/>
              <w:left w:val="single" w:sz="4" w:space="0" w:color="auto"/>
              <w:bottom w:val="nil"/>
              <w:right w:val="single" w:sz="4" w:space="0" w:color="auto"/>
            </w:tcBorders>
          </w:tcPr>
          <w:p w14:paraId="36B041B7" w14:textId="77777777" w:rsidR="00DF6159" w:rsidRPr="00236418" w:rsidRDefault="00DF6159" w:rsidP="009B3D24">
            <w:pPr>
              <w:pStyle w:val="Tabletext"/>
              <w:rPr>
                <w:rFonts w:asciiTheme="minorHAnsi" w:hAnsiTheme="minorHAnsi" w:cstheme="minorHAnsi"/>
                <w:szCs w:val="22"/>
              </w:rPr>
            </w:pPr>
          </w:p>
        </w:tc>
        <w:tc>
          <w:tcPr>
            <w:tcW w:w="1672" w:type="dxa"/>
            <w:tcBorders>
              <w:top w:val="single" w:sz="4" w:space="0" w:color="auto"/>
              <w:left w:val="single" w:sz="4" w:space="0" w:color="auto"/>
              <w:bottom w:val="single" w:sz="4" w:space="0" w:color="auto"/>
              <w:right w:val="single" w:sz="4" w:space="0" w:color="auto"/>
            </w:tcBorders>
          </w:tcPr>
          <w:p w14:paraId="22D5E053" w14:textId="3801FF2E" w:rsidR="00DF6159" w:rsidRPr="00236418" w:rsidRDefault="00DF6159" w:rsidP="009B3D24">
            <w:pPr>
              <w:pStyle w:val="Tablehead"/>
              <w:rPr>
                <w:rFonts w:asciiTheme="minorHAnsi" w:hAnsiTheme="minorHAnsi" w:cstheme="minorHAnsi"/>
                <w:szCs w:val="22"/>
              </w:rPr>
            </w:pPr>
            <w:r w:rsidRPr="00236418">
              <w:rPr>
                <w:rFonts w:asciiTheme="minorHAnsi" w:hAnsiTheme="minorHAnsi" w:cstheme="minorHAnsi"/>
                <w:szCs w:val="22"/>
              </w:rPr>
              <w:t>31.12.201</w:t>
            </w:r>
            <w:r w:rsidR="00EB3373" w:rsidRPr="00236418">
              <w:rPr>
                <w:rFonts w:asciiTheme="minorHAnsi" w:hAnsiTheme="minorHAnsi" w:cstheme="minorHAnsi"/>
                <w:szCs w:val="22"/>
              </w:rPr>
              <w:t>9</w:t>
            </w:r>
          </w:p>
        </w:tc>
        <w:tc>
          <w:tcPr>
            <w:tcW w:w="1672" w:type="dxa"/>
            <w:tcBorders>
              <w:top w:val="single" w:sz="4" w:space="0" w:color="auto"/>
              <w:left w:val="single" w:sz="4" w:space="0" w:color="auto"/>
              <w:bottom w:val="single" w:sz="4" w:space="0" w:color="auto"/>
              <w:right w:val="single" w:sz="4" w:space="0" w:color="auto"/>
            </w:tcBorders>
          </w:tcPr>
          <w:p w14:paraId="020B97A3" w14:textId="1081D07D" w:rsidR="00DF6159" w:rsidRPr="00236418" w:rsidRDefault="00DF6159" w:rsidP="009B3D24">
            <w:pPr>
              <w:pStyle w:val="Tablehead"/>
              <w:rPr>
                <w:rFonts w:asciiTheme="minorHAnsi" w:hAnsiTheme="minorHAnsi" w:cstheme="minorHAnsi"/>
                <w:szCs w:val="22"/>
              </w:rPr>
            </w:pPr>
            <w:r w:rsidRPr="00236418">
              <w:rPr>
                <w:rFonts w:asciiTheme="minorHAnsi" w:hAnsiTheme="minorHAnsi" w:cstheme="minorHAnsi"/>
                <w:szCs w:val="22"/>
              </w:rPr>
              <w:t>31.12.201</w:t>
            </w:r>
            <w:r w:rsidR="00EB3373" w:rsidRPr="00236418">
              <w:rPr>
                <w:rFonts w:asciiTheme="minorHAnsi" w:hAnsiTheme="minorHAnsi" w:cstheme="minorHAnsi"/>
                <w:szCs w:val="22"/>
              </w:rPr>
              <w:t>8</w:t>
            </w:r>
          </w:p>
        </w:tc>
      </w:tr>
      <w:tr w:rsidR="00EB3373" w:rsidRPr="00236418" w14:paraId="5035D182" w14:textId="77777777" w:rsidTr="00EB3373">
        <w:trPr>
          <w:trHeight w:val="264"/>
          <w:jc w:val="center"/>
        </w:trPr>
        <w:tc>
          <w:tcPr>
            <w:tcW w:w="5870" w:type="dxa"/>
            <w:tcBorders>
              <w:top w:val="nil"/>
              <w:left w:val="single" w:sz="4" w:space="0" w:color="auto"/>
              <w:bottom w:val="nil"/>
              <w:right w:val="single" w:sz="4" w:space="0" w:color="auto"/>
            </w:tcBorders>
          </w:tcPr>
          <w:p w14:paraId="4E9C3418" w14:textId="77777777" w:rsidR="00EB3373" w:rsidRPr="00236418" w:rsidRDefault="00EB3373" w:rsidP="009B3D24">
            <w:pPr>
              <w:pStyle w:val="Tabletext"/>
              <w:rPr>
                <w:rFonts w:asciiTheme="minorHAnsi" w:hAnsiTheme="minorHAnsi" w:cstheme="minorHAnsi"/>
                <w:szCs w:val="22"/>
              </w:rPr>
            </w:pPr>
            <w:r w:rsidRPr="00236418">
              <w:rPr>
                <w:rFonts w:asciiTheme="minorHAnsi" w:hAnsiTheme="minorHAnsi" w:cstheme="minorHAnsi"/>
                <w:szCs w:val="22"/>
              </w:rPr>
              <w:t>Obligation due à des changements d'hypothèses</w:t>
            </w:r>
          </w:p>
        </w:tc>
        <w:tc>
          <w:tcPr>
            <w:tcW w:w="1672" w:type="dxa"/>
            <w:tcBorders>
              <w:top w:val="single" w:sz="4" w:space="0" w:color="auto"/>
              <w:left w:val="single" w:sz="4" w:space="0" w:color="auto"/>
              <w:bottom w:val="nil"/>
              <w:right w:val="single" w:sz="4" w:space="0" w:color="auto"/>
            </w:tcBorders>
          </w:tcPr>
          <w:p w14:paraId="598752E3" w14:textId="51CC203B" w:rsidR="00EB3373" w:rsidRPr="00236418" w:rsidRDefault="00A82302"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w:t>
            </w:r>
            <w:r w:rsidR="00EB3373" w:rsidRPr="00236418">
              <w:rPr>
                <w:rFonts w:asciiTheme="minorHAnsi" w:hAnsiTheme="minorHAnsi" w:cstheme="minorHAnsi"/>
                <w:color w:val="000000"/>
                <w:sz w:val="22"/>
                <w:szCs w:val="22"/>
                <w:lang w:eastAsia="zh-CN"/>
              </w:rPr>
              <w:t>12 038</w:t>
            </w:r>
          </w:p>
        </w:tc>
        <w:tc>
          <w:tcPr>
            <w:tcW w:w="1672" w:type="dxa"/>
            <w:tcBorders>
              <w:top w:val="single" w:sz="4" w:space="0" w:color="auto"/>
              <w:left w:val="single" w:sz="4" w:space="0" w:color="auto"/>
              <w:bottom w:val="nil"/>
              <w:right w:val="single" w:sz="4" w:space="0" w:color="auto"/>
            </w:tcBorders>
          </w:tcPr>
          <w:p w14:paraId="3783A3F5" w14:textId="4A7E1582" w:rsidR="00EB3373" w:rsidRPr="00236418"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–98 029</w:t>
            </w:r>
          </w:p>
        </w:tc>
      </w:tr>
      <w:tr w:rsidR="00EB3373" w:rsidRPr="00236418" w14:paraId="3DB0E4A4" w14:textId="77777777" w:rsidTr="00EB3373">
        <w:trPr>
          <w:trHeight w:val="264"/>
          <w:jc w:val="center"/>
        </w:trPr>
        <w:tc>
          <w:tcPr>
            <w:tcW w:w="5870" w:type="dxa"/>
            <w:tcBorders>
              <w:top w:val="nil"/>
              <w:left w:val="single" w:sz="4" w:space="0" w:color="auto"/>
              <w:bottom w:val="nil"/>
              <w:right w:val="single" w:sz="4" w:space="0" w:color="auto"/>
            </w:tcBorders>
            <w:hideMark/>
          </w:tcPr>
          <w:p w14:paraId="3BB34A75" w14:textId="77777777" w:rsidR="00EB3373" w:rsidRPr="00236418" w:rsidRDefault="00EB3373" w:rsidP="009B3D24">
            <w:pPr>
              <w:pStyle w:val="Tabletext"/>
              <w:rPr>
                <w:rFonts w:asciiTheme="minorHAnsi" w:hAnsiTheme="minorHAnsi" w:cstheme="minorHAnsi"/>
                <w:szCs w:val="22"/>
              </w:rPr>
            </w:pPr>
            <w:r w:rsidRPr="00236418">
              <w:rPr>
                <w:rFonts w:asciiTheme="minorHAnsi" w:hAnsiTheme="minorHAnsi" w:cstheme="minorHAnsi"/>
                <w:szCs w:val="22"/>
              </w:rPr>
              <w:t>Obligation due à l'expérience acquise pendant l'exercice</w:t>
            </w:r>
          </w:p>
        </w:tc>
        <w:tc>
          <w:tcPr>
            <w:tcW w:w="1672" w:type="dxa"/>
            <w:tcBorders>
              <w:top w:val="nil"/>
              <w:left w:val="single" w:sz="4" w:space="0" w:color="auto"/>
              <w:bottom w:val="nil"/>
              <w:right w:val="single" w:sz="4" w:space="0" w:color="auto"/>
            </w:tcBorders>
          </w:tcPr>
          <w:p w14:paraId="683C495C" w14:textId="2A490BDA" w:rsidR="00EB3373" w:rsidRPr="00236418"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w:t>
            </w:r>
          </w:p>
        </w:tc>
        <w:tc>
          <w:tcPr>
            <w:tcW w:w="1672" w:type="dxa"/>
            <w:tcBorders>
              <w:top w:val="nil"/>
              <w:left w:val="single" w:sz="4" w:space="0" w:color="auto"/>
              <w:bottom w:val="nil"/>
              <w:right w:val="single" w:sz="4" w:space="0" w:color="auto"/>
            </w:tcBorders>
          </w:tcPr>
          <w:p w14:paraId="6BD74CF9" w14:textId="620C02A7" w:rsidR="00EB3373" w:rsidRPr="00236418"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10 752</w:t>
            </w:r>
          </w:p>
        </w:tc>
      </w:tr>
      <w:tr w:rsidR="00EB3373" w:rsidRPr="00236418" w14:paraId="29637F31" w14:textId="77777777" w:rsidTr="00EB3373">
        <w:trPr>
          <w:trHeight w:val="336"/>
          <w:jc w:val="center"/>
        </w:trPr>
        <w:tc>
          <w:tcPr>
            <w:tcW w:w="5870" w:type="dxa"/>
            <w:tcBorders>
              <w:top w:val="nil"/>
              <w:left w:val="single" w:sz="4" w:space="0" w:color="auto"/>
              <w:bottom w:val="nil"/>
              <w:right w:val="single" w:sz="4" w:space="0" w:color="auto"/>
            </w:tcBorders>
          </w:tcPr>
          <w:p w14:paraId="46404EE7" w14:textId="77777777" w:rsidR="00EB3373" w:rsidRPr="00236418" w:rsidRDefault="00EB3373" w:rsidP="009B3D24">
            <w:pPr>
              <w:pStyle w:val="Tabletext"/>
              <w:rPr>
                <w:rFonts w:asciiTheme="minorHAnsi" w:hAnsiTheme="minorHAnsi" w:cstheme="minorHAnsi"/>
                <w:szCs w:val="22"/>
              </w:rPr>
            </w:pPr>
            <w:r w:rsidRPr="00236418">
              <w:rPr>
                <w:rFonts w:asciiTheme="minorHAnsi" w:hAnsiTheme="minorHAnsi" w:cstheme="minorHAnsi"/>
                <w:szCs w:val="22"/>
              </w:rPr>
              <w:t>Variation pendant l'exercice</w:t>
            </w:r>
          </w:p>
        </w:tc>
        <w:tc>
          <w:tcPr>
            <w:tcW w:w="1672" w:type="dxa"/>
            <w:tcBorders>
              <w:top w:val="nil"/>
              <w:left w:val="single" w:sz="4" w:space="0" w:color="auto"/>
              <w:bottom w:val="nil"/>
              <w:right w:val="single" w:sz="4" w:space="0" w:color="auto"/>
            </w:tcBorders>
          </w:tcPr>
          <w:p w14:paraId="2C1FE044" w14:textId="133ACCB6" w:rsidR="00EB3373" w:rsidRPr="00236418" w:rsidRDefault="00A82302"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w:t>
            </w:r>
            <w:r w:rsidR="00EB3373" w:rsidRPr="00236418">
              <w:rPr>
                <w:rFonts w:asciiTheme="minorHAnsi" w:hAnsiTheme="minorHAnsi" w:cstheme="minorHAnsi"/>
                <w:color w:val="000000"/>
                <w:sz w:val="22"/>
                <w:szCs w:val="22"/>
                <w:lang w:eastAsia="zh-CN"/>
              </w:rPr>
              <w:t>12 038</w:t>
            </w:r>
          </w:p>
        </w:tc>
        <w:tc>
          <w:tcPr>
            <w:tcW w:w="1672" w:type="dxa"/>
            <w:tcBorders>
              <w:top w:val="nil"/>
              <w:left w:val="single" w:sz="4" w:space="0" w:color="auto"/>
              <w:bottom w:val="nil"/>
              <w:right w:val="single" w:sz="4" w:space="0" w:color="auto"/>
            </w:tcBorders>
          </w:tcPr>
          <w:p w14:paraId="5DEB5D34" w14:textId="01CEA620" w:rsidR="00EB3373" w:rsidRPr="00236418"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–87 277</w:t>
            </w:r>
          </w:p>
        </w:tc>
      </w:tr>
      <w:tr w:rsidR="00EB3373" w:rsidRPr="00236418" w14:paraId="10EB2658" w14:textId="77777777" w:rsidTr="00EB3373">
        <w:trPr>
          <w:trHeight w:val="336"/>
          <w:jc w:val="center"/>
        </w:trPr>
        <w:tc>
          <w:tcPr>
            <w:tcW w:w="5870" w:type="dxa"/>
            <w:tcBorders>
              <w:top w:val="nil"/>
              <w:left w:val="single" w:sz="4" w:space="0" w:color="auto"/>
              <w:bottom w:val="single" w:sz="4" w:space="0" w:color="auto"/>
              <w:right w:val="single" w:sz="4" w:space="0" w:color="auto"/>
            </w:tcBorders>
          </w:tcPr>
          <w:p w14:paraId="69133278" w14:textId="77777777" w:rsidR="00EB3373" w:rsidRPr="00236418" w:rsidRDefault="00EB3373" w:rsidP="009B3D24">
            <w:pPr>
              <w:pStyle w:val="Tabletext"/>
              <w:rPr>
                <w:rFonts w:asciiTheme="minorHAnsi" w:hAnsiTheme="minorHAnsi" w:cstheme="minorHAnsi"/>
                <w:szCs w:val="22"/>
              </w:rPr>
            </w:pPr>
            <w:r w:rsidRPr="00236418">
              <w:rPr>
                <w:rFonts w:asciiTheme="minorHAnsi" w:hAnsiTheme="minorHAnsi" w:cstheme="minorHAnsi"/>
                <w:szCs w:val="22"/>
              </w:rPr>
              <w:t>Montant cumulé comptabilisé à l'actif net au 31 décembre </w:t>
            </w:r>
          </w:p>
        </w:tc>
        <w:tc>
          <w:tcPr>
            <w:tcW w:w="1672" w:type="dxa"/>
            <w:tcBorders>
              <w:top w:val="nil"/>
              <w:left w:val="single" w:sz="4" w:space="0" w:color="auto"/>
              <w:bottom w:val="single" w:sz="4" w:space="0" w:color="auto"/>
              <w:right w:val="single" w:sz="4" w:space="0" w:color="auto"/>
            </w:tcBorders>
          </w:tcPr>
          <w:p w14:paraId="2084243A" w14:textId="35D35106" w:rsidR="00EB3373" w:rsidRPr="00236418"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lang w:eastAsia="zh-CN"/>
              </w:rPr>
              <w:t>270 389</w:t>
            </w:r>
          </w:p>
        </w:tc>
        <w:tc>
          <w:tcPr>
            <w:tcW w:w="1672" w:type="dxa"/>
            <w:tcBorders>
              <w:top w:val="nil"/>
              <w:left w:val="single" w:sz="4" w:space="0" w:color="auto"/>
              <w:bottom w:val="single" w:sz="4" w:space="0" w:color="auto"/>
              <w:right w:val="single" w:sz="4" w:space="0" w:color="auto"/>
            </w:tcBorders>
          </w:tcPr>
          <w:p w14:paraId="086E7780" w14:textId="6FC7CADA" w:rsidR="00EB3373" w:rsidRPr="00236418"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236418">
              <w:rPr>
                <w:rFonts w:asciiTheme="minorHAnsi" w:hAnsiTheme="minorHAnsi" w:cstheme="minorHAnsi"/>
                <w:color w:val="000000"/>
                <w:sz w:val="22"/>
                <w:szCs w:val="22"/>
              </w:rPr>
              <w:t>282 427</w:t>
            </w:r>
          </w:p>
        </w:tc>
      </w:tr>
    </w:tbl>
    <w:p w14:paraId="0BBA9380" w14:textId="0D76576F" w:rsidR="00DF6159" w:rsidRPr="00236418" w:rsidRDefault="00DF6159" w:rsidP="009B3D24">
      <w:pPr>
        <w:spacing w:before="240" w:after="120"/>
      </w:pPr>
      <w:r w:rsidRPr="00236418">
        <w:t xml:space="preserve">Le tableau ci-dessous </w:t>
      </w:r>
      <w:r w:rsidR="000E7708" w:rsidRPr="00236418">
        <w:t>présente une analyse des charges et produits enregistrés au compte de pertes et profits à la fin de l'exercice.</w:t>
      </w:r>
    </w:p>
    <w:tbl>
      <w:tblPr>
        <w:tblStyle w:val="TableGrid"/>
        <w:tblW w:w="0" w:type="auto"/>
        <w:jc w:val="center"/>
        <w:tblLook w:val="04A0" w:firstRow="1" w:lastRow="0" w:firstColumn="1" w:lastColumn="0" w:noHBand="0" w:noVBand="1"/>
        <w:tblCaption w:val="M"/>
      </w:tblPr>
      <w:tblGrid>
        <w:gridCol w:w="5864"/>
        <w:gridCol w:w="1672"/>
        <w:gridCol w:w="1672"/>
      </w:tblGrid>
      <w:tr w:rsidR="00DF6159" w:rsidRPr="00236418" w14:paraId="2C30D842" w14:textId="77777777" w:rsidTr="00A82302">
        <w:trPr>
          <w:jc w:val="center"/>
        </w:trPr>
        <w:tc>
          <w:tcPr>
            <w:tcW w:w="5864" w:type="dxa"/>
            <w:tcBorders>
              <w:bottom w:val="single" w:sz="4" w:space="0" w:color="auto"/>
            </w:tcBorders>
            <w:vAlign w:val="center"/>
          </w:tcPr>
          <w:p w14:paraId="43203603" w14:textId="77777777" w:rsidR="00DF6159" w:rsidRPr="00236418" w:rsidRDefault="00DF6159" w:rsidP="000E3616">
            <w:pPr>
              <w:pStyle w:val="Tablehead"/>
              <w:keepNext/>
              <w:keepLines/>
              <w:spacing w:before="40" w:afterLines="40" w:after="96"/>
              <w:jc w:val="left"/>
              <w:rPr>
                <w:bCs/>
                <w:color w:val="000000"/>
              </w:rPr>
            </w:pPr>
            <w:r w:rsidRPr="00236418">
              <w:rPr>
                <w:bCs/>
                <w:color w:val="000000"/>
              </w:rPr>
              <w:lastRenderedPageBreak/>
              <w:t>Montants comptabilisés dans l'état de la performance financière</w:t>
            </w:r>
          </w:p>
        </w:tc>
        <w:tc>
          <w:tcPr>
            <w:tcW w:w="3344" w:type="dxa"/>
            <w:gridSpan w:val="2"/>
            <w:tcBorders>
              <w:bottom w:val="single" w:sz="4" w:space="0" w:color="auto"/>
            </w:tcBorders>
            <w:vAlign w:val="center"/>
          </w:tcPr>
          <w:p w14:paraId="45C4DBCB" w14:textId="77777777" w:rsidR="00DF6159" w:rsidRPr="00236418" w:rsidRDefault="00DF6159" w:rsidP="009B3D24">
            <w:pPr>
              <w:keepNext/>
              <w:keepLines/>
              <w:snapToGrid w:val="0"/>
              <w:spacing w:before="40" w:afterLines="40" w:after="96"/>
              <w:jc w:val="center"/>
              <w:rPr>
                <w:rFonts w:asciiTheme="minorHAnsi" w:hAnsiTheme="minorHAnsi"/>
                <w:b/>
                <w:bCs/>
                <w:i/>
                <w:iCs/>
                <w:color w:val="000000"/>
              </w:rPr>
            </w:pPr>
            <w:r w:rsidRPr="00236418">
              <w:rPr>
                <w:rFonts w:asciiTheme="minorHAnsi" w:hAnsiTheme="minorHAnsi"/>
                <w:b/>
                <w:bCs/>
                <w:i/>
                <w:iCs/>
                <w:color w:val="000000"/>
                <w:sz w:val="22"/>
              </w:rPr>
              <w:t>En milliers de CHF</w:t>
            </w:r>
          </w:p>
        </w:tc>
      </w:tr>
      <w:tr w:rsidR="00DF6159" w:rsidRPr="00236418" w14:paraId="0C43703E" w14:textId="77777777" w:rsidTr="006538EB">
        <w:trPr>
          <w:jc w:val="center"/>
        </w:trPr>
        <w:tc>
          <w:tcPr>
            <w:tcW w:w="5864" w:type="dxa"/>
            <w:tcBorders>
              <w:bottom w:val="nil"/>
            </w:tcBorders>
          </w:tcPr>
          <w:p w14:paraId="68E529D3" w14:textId="77777777" w:rsidR="00DF6159" w:rsidRPr="00236418" w:rsidRDefault="00DF6159" w:rsidP="009B3D24">
            <w:pPr>
              <w:keepNext/>
              <w:keepLines/>
              <w:spacing w:before="40" w:afterLines="40" w:after="96"/>
            </w:pPr>
          </w:p>
        </w:tc>
        <w:tc>
          <w:tcPr>
            <w:tcW w:w="1672" w:type="dxa"/>
            <w:tcBorders>
              <w:bottom w:val="single" w:sz="4" w:space="0" w:color="auto"/>
            </w:tcBorders>
            <w:vAlign w:val="bottom"/>
          </w:tcPr>
          <w:p w14:paraId="3A82794A" w14:textId="0FA0092F" w:rsidR="00DF6159" w:rsidRPr="00236418" w:rsidRDefault="00DF6159" w:rsidP="009B3D24">
            <w:pPr>
              <w:pStyle w:val="Tablehead"/>
            </w:pPr>
            <w:r w:rsidRPr="00236418">
              <w:t>31.12.201</w:t>
            </w:r>
            <w:r w:rsidR="00EB3373" w:rsidRPr="00236418">
              <w:t>9</w:t>
            </w:r>
          </w:p>
        </w:tc>
        <w:tc>
          <w:tcPr>
            <w:tcW w:w="1672" w:type="dxa"/>
            <w:tcBorders>
              <w:bottom w:val="single" w:sz="4" w:space="0" w:color="auto"/>
            </w:tcBorders>
          </w:tcPr>
          <w:p w14:paraId="3A73EC77" w14:textId="098CFAA3" w:rsidR="00DF6159" w:rsidRPr="00236418" w:rsidRDefault="00DF6159" w:rsidP="009B3D24">
            <w:pPr>
              <w:pStyle w:val="Tablehead"/>
            </w:pPr>
            <w:r w:rsidRPr="00236418">
              <w:t>31.12.201</w:t>
            </w:r>
            <w:r w:rsidR="00EB3373" w:rsidRPr="00236418">
              <w:t>8</w:t>
            </w:r>
          </w:p>
        </w:tc>
      </w:tr>
      <w:tr w:rsidR="00DF6159" w:rsidRPr="00236418" w14:paraId="280D02DB" w14:textId="77777777" w:rsidTr="006538EB">
        <w:trPr>
          <w:jc w:val="center"/>
        </w:trPr>
        <w:tc>
          <w:tcPr>
            <w:tcW w:w="5864" w:type="dxa"/>
            <w:tcBorders>
              <w:top w:val="nil"/>
              <w:left w:val="single" w:sz="4" w:space="0" w:color="auto"/>
              <w:bottom w:val="nil"/>
              <w:right w:val="single" w:sz="4" w:space="0" w:color="auto"/>
            </w:tcBorders>
          </w:tcPr>
          <w:p w14:paraId="1235BA4A" w14:textId="77777777" w:rsidR="00DF6159" w:rsidRPr="00236418" w:rsidRDefault="00DF6159" w:rsidP="009B3D24">
            <w:pPr>
              <w:pStyle w:val="Tabletext"/>
            </w:pPr>
            <w:r w:rsidRPr="00236418">
              <w:t>Mise à jour des engagements et montant des contributions de l'exercice</w:t>
            </w:r>
          </w:p>
        </w:tc>
        <w:tc>
          <w:tcPr>
            <w:tcW w:w="1672" w:type="dxa"/>
            <w:tcBorders>
              <w:top w:val="single" w:sz="4" w:space="0" w:color="auto"/>
              <w:left w:val="single" w:sz="4" w:space="0" w:color="auto"/>
              <w:bottom w:val="nil"/>
              <w:right w:val="single" w:sz="4" w:space="0" w:color="auto"/>
            </w:tcBorders>
            <w:vAlign w:val="center"/>
          </w:tcPr>
          <w:p w14:paraId="32387277" w14:textId="77777777" w:rsidR="00DF6159" w:rsidRPr="00236418" w:rsidRDefault="00DF6159" w:rsidP="009B3D24">
            <w:pPr>
              <w:pStyle w:val="Tabletext"/>
              <w:jc w:val="right"/>
            </w:pPr>
          </w:p>
        </w:tc>
        <w:tc>
          <w:tcPr>
            <w:tcW w:w="1672" w:type="dxa"/>
            <w:tcBorders>
              <w:top w:val="single" w:sz="4" w:space="0" w:color="auto"/>
              <w:left w:val="single" w:sz="4" w:space="0" w:color="auto"/>
              <w:bottom w:val="nil"/>
              <w:right w:val="single" w:sz="4" w:space="0" w:color="auto"/>
            </w:tcBorders>
            <w:vAlign w:val="center"/>
          </w:tcPr>
          <w:p w14:paraId="3A8C00F1" w14:textId="77777777" w:rsidR="00DF6159" w:rsidRPr="00236418" w:rsidRDefault="00DF6159" w:rsidP="009B3D24">
            <w:pPr>
              <w:pStyle w:val="Tabletext"/>
              <w:jc w:val="right"/>
            </w:pPr>
          </w:p>
        </w:tc>
      </w:tr>
      <w:tr w:rsidR="00EB3373" w:rsidRPr="00236418" w14:paraId="7F143ACB" w14:textId="77777777" w:rsidTr="006538EB">
        <w:trPr>
          <w:jc w:val="center"/>
        </w:trPr>
        <w:tc>
          <w:tcPr>
            <w:tcW w:w="5864" w:type="dxa"/>
            <w:tcBorders>
              <w:top w:val="nil"/>
              <w:left w:val="single" w:sz="4" w:space="0" w:color="auto"/>
              <w:bottom w:val="nil"/>
              <w:right w:val="single" w:sz="4" w:space="0" w:color="auto"/>
            </w:tcBorders>
            <w:vAlign w:val="bottom"/>
          </w:tcPr>
          <w:p w14:paraId="16335537" w14:textId="77777777" w:rsidR="00EB3373" w:rsidRPr="00236418" w:rsidRDefault="00EB3373" w:rsidP="009B3D24">
            <w:pPr>
              <w:pStyle w:val="Tabletext"/>
            </w:pPr>
            <w:r w:rsidRPr="00236418">
              <w:t>Coût des prestations au titre des services rendus</w:t>
            </w:r>
          </w:p>
        </w:tc>
        <w:tc>
          <w:tcPr>
            <w:tcW w:w="1672" w:type="dxa"/>
            <w:tcBorders>
              <w:top w:val="nil"/>
              <w:left w:val="single" w:sz="4" w:space="0" w:color="auto"/>
              <w:bottom w:val="nil"/>
              <w:right w:val="single" w:sz="4" w:space="0" w:color="auto"/>
            </w:tcBorders>
            <w:vAlign w:val="bottom"/>
          </w:tcPr>
          <w:p w14:paraId="4A58E7A9" w14:textId="75781837" w:rsidR="00EB3373" w:rsidRPr="00236418"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236418">
              <w:rPr>
                <w:bCs/>
                <w:color w:val="000000"/>
                <w:sz w:val="22"/>
              </w:rPr>
              <w:t>21 759</w:t>
            </w:r>
          </w:p>
        </w:tc>
        <w:tc>
          <w:tcPr>
            <w:tcW w:w="1672" w:type="dxa"/>
            <w:tcBorders>
              <w:top w:val="nil"/>
              <w:left w:val="single" w:sz="4" w:space="0" w:color="auto"/>
              <w:bottom w:val="nil"/>
              <w:right w:val="single" w:sz="4" w:space="0" w:color="auto"/>
            </w:tcBorders>
            <w:vAlign w:val="bottom"/>
          </w:tcPr>
          <w:p w14:paraId="4FBC1F93" w14:textId="44EB6222" w:rsidR="00EB3373" w:rsidRPr="00236418"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236418">
              <w:rPr>
                <w:bCs/>
                <w:color w:val="000000"/>
                <w:sz w:val="22"/>
              </w:rPr>
              <w:t>23 025</w:t>
            </w:r>
          </w:p>
        </w:tc>
      </w:tr>
      <w:tr w:rsidR="00EB3373" w:rsidRPr="00236418" w14:paraId="5812B035" w14:textId="77777777" w:rsidTr="006538EB">
        <w:trPr>
          <w:jc w:val="center"/>
        </w:trPr>
        <w:tc>
          <w:tcPr>
            <w:tcW w:w="5864" w:type="dxa"/>
            <w:tcBorders>
              <w:top w:val="nil"/>
              <w:left w:val="single" w:sz="4" w:space="0" w:color="auto"/>
              <w:bottom w:val="nil"/>
              <w:right w:val="single" w:sz="4" w:space="0" w:color="auto"/>
            </w:tcBorders>
            <w:vAlign w:val="bottom"/>
          </w:tcPr>
          <w:p w14:paraId="043DDE68" w14:textId="15C1C8D7" w:rsidR="00EB3373" w:rsidRPr="00236418" w:rsidRDefault="000E7708" w:rsidP="009B3D24">
            <w:pPr>
              <w:pStyle w:val="Tabletext"/>
            </w:pPr>
            <w:r w:rsidRPr="00236418">
              <w:t>Coûts des prestations au titre des services rendus dans le passé</w:t>
            </w:r>
          </w:p>
        </w:tc>
        <w:tc>
          <w:tcPr>
            <w:tcW w:w="1672" w:type="dxa"/>
            <w:tcBorders>
              <w:top w:val="nil"/>
              <w:left w:val="single" w:sz="4" w:space="0" w:color="auto"/>
              <w:bottom w:val="nil"/>
              <w:right w:val="single" w:sz="4" w:space="0" w:color="auto"/>
            </w:tcBorders>
            <w:vAlign w:val="bottom"/>
          </w:tcPr>
          <w:p w14:paraId="5489ECD2" w14:textId="6580E0B7" w:rsidR="00EB3373" w:rsidRPr="00236418"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236418">
              <w:rPr>
                <w:bCs/>
                <w:color w:val="000000"/>
                <w:sz w:val="22"/>
              </w:rPr>
              <w:t>50 029</w:t>
            </w:r>
          </w:p>
        </w:tc>
        <w:tc>
          <w:tcPr>
            <w:tcW w:w="1672" w:type="dxa"/>
            <w:tcBorders>
              <w:top w:val="nil"/>
              <w:left w:val="single" w:sz="4" w:space="0" w:color="auto"/>
              <w:bottom w:val="nil"/>
              <w:right w:val="single" w:sz="4" w:space="0" w:color="auto"/>
            </w:tcBorders>
            <w:vAlign w:val="bottom"/>
          </w:tcPr>
          <w:p w14:paraId="4A4F1CDA" w14:textId="77777777" w:rsidR="00EB3373" w:rsidRPr="00236418"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p>
        </w:tc>
      </w:tr>
      <w:tr w:rsidR="00EB3373" w:rsidRPr="00236418" w14:paraId="2A7E7B46" w14:textId="77777777" w:rsidTr="006538EB">
        <w:trPr>
          <w:jc w:val="center"/>
        </w:trPr>
        <w:tc>
          <w:tcPr>
            <w:tcW w:w="5864" w:type="dxa"/>
            <w:tcBorders>
              <w:top w:val="nil"/>
              <w:left w:val="single" w:sz="4" w:space="0" w:color="auto"/>
              <w:bottom w:val="nil"/>
              <w:right w:val="single" w:sz="4" w:space="0" w:color="auto"/>
            </w:tcBorders>
            <w:vAlign w:val="bottom"/>
          </w:tcPr>
          <w:p w14:paraId="46206945" w14:textId="77777777" w:rsidR="00EB3373" w:rsidRPr="00236418" w:rsidRDefault="00EB3373" w:rsidP="009B3D24">
            <w:pPr>
              <w:pStyle w:val="Tabletext"/>
            </w:pPr>
            <w:r w:rsidRPr="00236418">
              <w:t>Charge financière</w:t>
            </w:r>
          </w:p>
        </w:tc>
        <w:tc>
          <w:tcPr>
            <w:tcW w:w="1672" w:type="dxa"/>
            <w:tcBorders>
              <w:top w:val="nil"/>
              <w:left w:val="single" w:sz="4" w:space="0" w:color="auto"/>
              <w:bottom w:val="nil"/>
              <w:right w:val="single" w:sz="4" w:space="0" w:color="auto"/>
            </w:tcBorders>
            <w:vAlign w:val="bottom"/>
          </w:tcPr>
          <w:p w14:paraId="647348B7" w14:textId="6BBF7D2C" w:rsidR="00EB3373" w:rsidRPr="00236418"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236418">
              <w:rPr>
                <w:bCs/>
                <w:color w:val="000000"/>
                <w:sz w:val="22"/>
              </w:rPr>
              <w:t>6 569</w:t>
            </w:r>
          </w:p>
        </w:tc>
        <w:tc>
          <w:tcPr>
            <w:tcW w:w="1672" w:type="dxa"/>
            <w:tcBorders>
              <w:top w:val="nil"/>
              <w:left w:val="single" w:sz="4" w:space="0" w:color="auto"/>
              <w:bottom w:val="nil"/>
              <w:right w:val="single" w:sz="4" w:space="0" w:color="auto"/>
            </w:tcBorders>
            <w:vAlign w:val="bottom"/>
          </w:tcPr>
          <w:p w14:paraId="35B98DB7" w14:textId="15207989" w:rsidR="00EB3373" w:rsidRPr="00236418" w:rsidRDefault="00EB3373" w:rsidP="009B3D24">
            <w:pPr>
              <w:jc w:val="right"/>
              <w:rPr>
                <w:bCs/>
                <w:color w:val="000000"/>
                <w:sz w:val="22"/>
              </w:rPr>
            </w:pPr>
            <w:r w:rsidRPr="00236418">
              <w:rPr>
                <w:bCs/>
                <w:color w:val="000000"/>
                <w:sz w:val="22"/>
              </w:rPr>
              <w:t>5 523</w:t>
            </w:r>
          </w:p>
        </w:tc>
      </w:tr>
      <w:tr w:rsidR="00EB3373" w:rsidRPr="00236418" w14:paraId="1426D0DF" w14:textId="77777777" w:rsidTr="006538EB">
        <w:trPr>
          <w:jc w:val="center"/>
        </w:trPr>
        <w:tc>
          <w:tcPr>
            <w:tcW w:w="5864" w:type="dxa"/>
            <w:tcBorders>
              <w:top w:val="nil"/>
              <w:left w:val="single" w:sz="4" w:space="0" w:color="auto"/>
              <w:bottom w:val="nil"/>
              <w:right w:val="single" w:sz="4" w:space="0" w:color="auto"/>
            </w:tcBorders>
            <w:vAlign w:val="bottom"/>
          </w:tcPr>
          <w:p w14:paraId="514C0572" w14:textId="77777777" w:rsidR="00EB3373" w:rsidRPr="00236418" w:rsidRDefault="00EB3373" w:rsidP="009B3D24">
            <w:pPr>
              <w:pStyle w:val="Tabletext"/>
            </w:pPr>
            <w:r w:rsidRPr="00236418">
              <w:t>Rendement attendu des actifs liés au plan ASHI</w:t>
            </w:r>
          </w:p>
        </w:tc>
        <w:tc>
          <w:tcPr>
            <w:tcW w:w="1672" w:type="dxa"/>
            <w:tcBorders>
              <w:top w:val="nil"/>
              <w:left w:val="single" w:sz="4" w:space="0" w:color="auto"/>
              <w:bottom w:val="nil"/>
              <w:right w:val="single" w:sz="4" w:space="0" w:color="auto"/>
            </w:tcBorders>
            <w:vAlign w:val="bottom"/>
          </w:tcPr>
          <w:p w14:paraId="6C79B829" w14:textId="54B58892" w:rsidR="00EB3373" w:rsidRPr="00236418" w:rsidRDefault="00EB3373" w:rsidP="009B3D24">
            <w:pPr>
              <w:widowControl w:val="0"/>
              <w:tabs>
                <w:tab w:val="clear" w:pos="1701"/>
              </w:tabs>
              <w:kinsoku w:val="0"/>
              <w:spacing w:before="20"/>
              <w:ind w:right="60"/>
              <w:jc w:val="right"/>
              <w:rPr>
                <w:bCs/>
                <w:color w:val="000000"/>
                <w:sz w:val="22"/>
              </w:rPr>
            </w:pPr>
            <w:r w:rsidRPr="00236418">
              <w:rPr>
                <w:bCs/>
                <w:color w:val="000000"/>
                <w:sz w:val="22"/>
              </w:rPr>
              <w:t>0</w:t>
            </w:r>
          </w:p>
        </w:tc>
        <w:tc>
          <w:tcPr>
            <w:tcW w:w="1672" w:type="dxa"/>
            <w:tcBorders>
              <w:top w:val="nil"/>
              <w:left w:val="single" w:sz="4" w:space="0" w:color="auto"/>
              <w:bottom w:val="nil"/>
              <w:right w:val="single" w:sz="4" w:space="0" w:color="auto"/>
            </w:tcBorders>
            <w:vAlign w:val="bottom"/>
          </w:tcPr>
          <w:p w14:paraId="149ADD41" w14:textId="19E345AD" w:rsidR="00EB3373" w:rsidRPr="00236418" w:rsidRDefault="00EB3373" w:rsidP="009B3D24">
            <w:pPr>
              <w:widowControl w:val="0"/>
              <w:tabs>
                <w:tab w:val="clear" w:pos="1701"/>
              </w:tabs>
              <w:kinsoku w:val="0"/>
              <w:spacing w:before="20"/>
              <w:ind w:right="60"/>
              <w:jc w:val="right"/>
              <w:rPr>
                <w:bCs/>
                <w:color w:val="000000"/>
                <w:sz w:val="22"/>
              </w:rPr>
            </w:pPr>
            <w:r w:rsidRPr="00236418">
              <w:rPr>
                <w:bCs/>
                <w:color w:val="000000"/>
                <w:sz w:val="22"/>
              </w:rPr>
              <w:t>0</w:t>
            </w:r>
          </w:p>
        </w:tc>
      </w:tr>
      <w:tr w:rsidR="00EB3373" w:rsidRPr="00236418" w14:paraId="7E313CA5" w14:textId="77777777" w:rsidTr="006538EB">
        <w:trPr>
          <w:jc w:val="center"/>
        </w:trPr>
        <w:tc>
          <w:tcPr>
            <w:tcW w:w="5864" w:type="dxa"/>
            <w:tcBorders>
              <w:top w:val="single" w:sz="4" w:space="0" w:color="auto"/>
              <w:left w:val="single" w:sz="4" w:space="0" w:color="auto"/>
              <w:bottom w:val="single" w:sz="4" w:space="0" w:color="auto"/>
              <w:right w:val="single" w:sz="4" w:space="0" w:color="auto"/>
            </w:tcBorders>
          </w:tcPr>
          <w:p w14:paraId="3027AEB7" w14:textId="77777777" w:rsidR="00EB3373" w:rsidRPr="00236418" w:rsidRDefault="00EB3373" w:rsidP="009B3D24">
            <w:pPr>
              <w:pStyle w:val="Tabletext"/>
            </w:pPr>
            <w:r w:rsidRPr="00236418">
              <w:t>Total</w:t>
            </w:r>
          </w:p>
        </w:tc>
        <w:tc>
          <w:tcPr>
            <w:tcW w:w="1672" w:type="dxa"/>
            <w:tcBorders>
              <w:top w:val="single" w:sz="4" w:space="0" w:color="auto"/>
              <w:left w:val="single" w:sz="4" w:space="0" w:color="auto"/>
              <w:bottom w:val="single" w:sz="4" w:space="0" w:color="auto"/>
              <w:right w:val="single" w:sz="4" w:space="0" w:color="auto"/>
            </w:tcBorders>
            <w:vAlign w:val="center"/>
          </w:tcPr>
          <w:p w14:paraId="7D6662B1" w14:textId="14254E78" w:rsidR="00EB3373" w:rsidRPr="00236418"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rPr>
              <w:t>78 357</w:t>
            </w:r>
          </w:p>
        </w:tc>
        <w:tc>
          <w:tcPr>
            <w:tcW w:w="1672" w:type="dxa"/>
            <w:tcBorders>
              <w:top w:val="single" w:sz="4" w:space="0" w:color="auto"/>
              <w:left w:val="single" w:sz="4" w:space="0" w:color="auto"/>
              <w:bottom w:val="single" w:sz="4" w:space="0" w:color="auto"/>
              <w:right w:val="single" w:sz="4" w:space="0" w:color="auto"/>
            </w:tcBorders>
            <w:vAlign w:val="center"/>
          </w:tcPr>
          <w:p w14:paraId="5BE513B0" w14:textId="3EF4CD92" w:rsidR="00EB3373" w:rsidRPr="00236418"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236418">
              <w:rPr>
                <w:rFonts w:cs="Arial"/>
                <w:color w:val="000000"/>
                <w:sz w:val="22"/>
              </w:rPr>
              <w:t>28 548</w:t>
            </w:r>
          </w:p>
        </w:tc>
      </w:tr>
    </w:tbl>
    <w:p w14:paraId="0FF65BAE" w14:textId="046319C5" w:rsidR="000E7708" w:rsidRPr="00236418" w:rsidRDefault="00BD7E0C" w:rsidP="000C0CC6">
      <w:bookmarkStart w:id="1805" w:name="_Toc395511728"/>
      <w:bookmarkStart w:id="1806" w:name="_Toc10450761"/>
      <w:r w:rsidRPr="00236418">
        <w:t xml:space="preserve">Sur la base d'une recommandation du Comité de la Convention Collective Assurance Maladie (CCAM) </w:t>
      </w:r>
      <w:r w:rsidR="00070D13" w:rsidRPr="00236418">
        <w:t>préconisant</w:t>
      </w:r>
      <w:r w:rsidRPr="00236418">
        <w:t xml:space="preserve"> de quitter </w:t>
      </w:r>
      <w:proofErr w:type="spellStart"/>
      <w:r w:rsidRPr="00236418">
        <w:t>Cigna</w:t>
      </w:r>
      <w:proofErr w:type="spellEnd"/>
      <w:r w:rsidRPr="00236418">
        <w:t xml:space="preserve"> pour rejoindre l'Assurance mutuelle contre la maladie et les accidents du personnel des Nations Unies (UNSMIS), le Secrétaire général a pris la décision d'intégrer l'UNSMIS à compter du 1er janvier 2020. Cette mutuelle regroupe plusieurs organisations et institutions spécialisées des Nations Unies basées à Genève et comprend le personnel de l'Office des Nations Unies, du HCR et de l'OMM.</w:t>
      </w:r>
      <w:r w:rsidR="00070D13" w:rsidRPr="00236418">
        <w:t xml:space="preserve"> Dans un souci de commodité, veuillez consulter le Document C20/46 qui contient le rapport annuel sur l'ASHI.</w:t>
      </w:r>
      <w:r w:rsidR="000E7708" w:rsidRPr="00236418">
        <w:t xml:space="preserve"> Il a été tenu compte de ce nouveau régime d'assurance maladie pour l'évaluation de l'ASHI pour 2019, ce qui a entraîné une réévaluation du coût des prestations au titre des services rendus.</w:t>
      </w:r>
    </w:p>
    <w:p w14:paraId="09496822" w14:textId="2A9D0D44" w:rsidR="00070D13" w:rsidRPr="00236418" w:rsidRDefault="00070D13" w:rsidP="000C0CC6">
      <w:r w:rsidRPr="00236418">
        <w:t>Pour pouvoir rejoindre le régime d'assurance maladie UNSMIS en janvier 2020, l'UIT a dû verser une contribution au fonds de réserve de ce régime à des fins d'égalisation. Cette contribution, d'un montant de 19,53 millions USD, a été versée à partir du fonds de garantie de la CCAM début 2020.</w:t>
      </w:r>
    </w:p>
    <w:p w14:paraId="68E03DDB" w14:textId="16B3DBE0" w:rsidR="00070D13" w:rsidRPr="00236418" w:rsidRDefault="00070D13" w:rsidP="000C0CC6">
      <w:r w:rsidRPr="00236418">
        <w:t xml:space="preserve">En outre, une contribution extraordinaire sera versée au fonds </w:t>
      </w:r>
      <w:r w:rsidR="00596807">
        <w:t>de réserve chaque année pendant </w:t>
      </w:r>
      <w:r w:rsidRPr="00236418">
        <w:t>13 ans, à partir de 2020. Cette contribution supplémentaire vise à compenser l'incidence de l'admission de l'ensemble des personnes assurées de l'UIT au régime d'assurance maladie et représente un montant total de 22,53 millions USD répartis sur 13 ans.</w:t>
      </w:r>
    </w:p>
    <w:p w14:paraId="41F093DB" w14:textId="2C8893F1" w:rsidR="00DF6159" w:rsidRPr="00236418" w:rsidRDefault="00DF6159" w:rsidP="009B3D24">
      <w:pPr>
        <w:pStyle w:val="Heading3"/>
        <w:rPr>
          <w:b w:val="0"/>
          <w:bCs/>
          <w:i/>
          <w:iCs/>
        </w:rPr>
      </w:pPr>
      <w:r w:rsidRPr="00236418">
        <w:rPr>
          <w:b w:val="0"/>
          <w:bCs/>
          <w:i/>
          <w:iCs/>
        </w:rPr>
        <w:t>17.2.3</w:t>
      </w:r>
      <w:r w:rsidRPr="00236418">
        <w:rPr>
          <w:b w:val="0"/>
          <w:bCs/>
          <w:i/>
          <w:iCs/>
        </w:rPr>
        <w:tab/>
        <w:t xml:space="preserve">Plan ASHI, estimations des coûts pour l'exercice </w:t>
      </w:r>
      <w:bookmarkEnd w:id="1805"/>
      <w:r w:rsidRPr="00236418">
        <w:rPr>
          <w:b w:val="0"/>
          <w:bCs/>
          <w:i/>
          <w:iCs/>
        </w:rPr>
        <w:t>201</w:t>
      </w:r>
      <w:bookmarkEnd w:id="1806"/>
      <w:r w:rsidR="00EB3373" w:rsidRPr="00236418">
        <w:rPr>
          <w:b w:val="0"/>
          <w:bCs/>
          <w:i/>
          <w:iCs/>
        </w:rPr>
        <w:t>9</w:t>
      </w:r>
    </w:p>
    <w:p w14:paraId="45651399" w14:textId="7B9A465A" w:rsidR="00DF6159" w:rsidRPr="00236418" w:rsidRDefault="00DF6159" w:rsidP="009B3D24">
      <w:r w:rsidRPr="00236418">
        <w:t>Une augmentation de 1% du taux d'évolution des soins de santé entraînerait une hausse sur les coûts et intérêts de 11,</w:t>
      </w:r>
      <w:r w:rsidR="00EB3373" w:rsidRPr="00236418">
        <w:t>8</w:t>
      </w:r>
      <w:r w:rsidRPr="00236418">
        <w:t>8</w:t>
      </w:r>
      <w:r w:rsidR="00EB3373" w:rsidRPr="00236418">
        <w:t>5</w:t>
      </w:r>
      <w:r w:rsidRPr="00236418">
        <w:t> millions CHF et un impact sur l'obligation au titre des prestations définies de 1</w:t>
      </w:r>
      <w:r w:rsidR="00EB3373" w:rsidRPr="00236418">
        <w:t>67,696</w:t>
      </w:r>
      <w:r w:rsidRPr="00236418">
        <w:t> millions CHF. Une diminution de 1% entrainerait un recul de 8,</w:t>
      </w:r>
      <w:r w:rsidR="00EB3373" w:rsidRPr="00236418">
        <w:t>454</w:t>
      </w:r>
      <w:r w:rsidRPr="00236418">
        <w:t> millions CHF des coûts et intérêts et de 1</w:t>
      </w:r>
      <w:r w:rsidR="00EB3373" w:rsidRPr="00236418">
        <w:t>27</w:t>
      </w:r>
      <w:r w:rsidRPr="00236418">
        <w:t>,</w:t>
      </w:r>
      <w:r w:rsidR="00EB3373" w:rsidRPr="00236418">
        <w:t>906</w:t>
      </w:r>
      <w:r w:rsidRPr="00236418">
        <w:t> millions CHF de l'obligation au titre des prestations définies.</w:t>
      </w:r>
    </w:p>
    <w:p w14:paraId="51ADA2A8" w14:textId="77777777" w:rsidR="00DF6159" w:rsidRPr="00236418" w:rsidRDefault="00DF6159" w:rsidP="009B3D24">
      <w:pPr>
        <w:pStyle w:val="Heading3"/>
        <w:rPr>
          <w:b w:val="0"/>
          <w:bCs/>
          <w:i/>
          <w:iCs/>
        </w:rPr>
      </w:pPr>
      <w:bookmarkStart w:id="1807" w:name="_Toc329202587"/>
      <w:bookmarkStart w:id="1808" w:name="_Toc329205019"/>
      <w:bookmarkStart w:id="1809" w:name="_Toc329206856"/>
      <w:bookmarkStart w:id="1810" w:name="_Toc395511729"/>
      <w:bookmarkStart w:id="1811" w:name="_Toc10450762"/>
      <w:r w:rsidRPr="00236418">
        <w:rPr>
          <w:b w:val="0"/>
          <w:bCs/>
          <w:i/>
          <w:iCs/>
        </w:rPr>
        <w:t>17.2.4</w:t>
      </w:r>
      <w:r w:rsidRPr="00236418">
        <w:rPr>
          <w:b w:val="0"/>
          <w:bCs/>
          <w:i/>
          <w:iCs/>
        </w:rPr>
        <w:tab/>
        <w:t>Rapatriement</w:t>
      </w:r>
      <w:bookmarkEnd w:id="1807"/>
      <w:bookmarkEnd w:id="1808"/>
      <w:bookmarkEnd w:id="1809"/>
      <w:bookmarkEnd w:id="1810"/>
      <w:bookmarkEnd w:id="1811"/>
    </w:p>
    <w:p w14:paraId="0D45EB37" w14:textId="77777777" w:rsidR="00DF6159" w:rsidRPr="00236418" w:rsidRDefault="00DF6159" w:rsidP="009B3D24">
      <w:r w:rsidRPr="00236418">
        <w:t>Ont droit, en principe, à une prime de rapatriement les fonctionnaires que l'Union est tenue de rapatrier. Les conditions et définitions concernant le droit à cette prime et les pièces requises pour attester le changement de résidence sont déterminées de façon détaillée par le Secrétaire général.</w:t>
      </w:r>
    </w:p>
    <w:p w14:paraId="4E5D4AD6" w14:textId="2784E59F" w:rsidR="00DF6159" w:rsidRPr="00236418" w:rsidRDefault="00DF6159" w:rsidP="009B3D24">
      <w:r w:rsidRPr="00236418">
        <w:t>La durée du service accomplie, le traitement de base et les éventuelles indemnités linguistiques ont été prises en compte dans le calcul du montant global de l'obligation au 31 décembre 201</w:t>
      </w:r>
      <w:r w:rsidR="00EB3373" w:rsidRPr="00236418">
        <w:t>9</w:t>
      </w:r>
      <w:r w:rsidRPr="00236418">
        <w:t xml:space="preserve">. Les hypothèses économiques retenues sont un taux d'actualisation de </w:t>
      </w:r>
      <w:r w:rsidR="00EB3373" w:rsidRPr="00236418">
        <w:t>0,6% (</w:t>
      </w:r>
      <w:r w:rsidRPr="00236418">
        <w:t>1,2% en 201</w:t>
      </w:r>
      <w:r w:rsidR="00EB3373" w:rsidRPr="00236418">
        <w:t>8</w:t>
      </w:r>
      <w:r w:rsidRPr="00236418">
        <w:t xml:space="preserve">) et un </w:t>
      </w:r>
      <w:r w:rsidRPr="00236418">
        <w:lastRenderedPageBreak/>
        <w:t>taux d'augmentation des traitements de 3% (</w:t>
      </w:r>
      <w:r w:rsidR="00EB3373" w:rsidRPr="00236418">
        <w:t>3,5% en</w:t>
      </w:r>
      <w:r w:rsidRPr="00236418">
        <w:t xml:space="preserve"> 201</w:t>
      </w:r>
      <w:r w:rsidR="00EB3373" w:rsidRPr="00236418">
        <w:t>8</w:t>
      </w:r>
      <w:r w:rsidRPr="00236418">
        <w:t>). Pour l'évaluation de 201</w:t>
      </w:r>
      <w:r w:rsidR="00EB3373" w:rsidRPr="00236418">
        <w:t>9</w:t>
      </w:r>
      <w:r w:rsidRPr="00236418">
        <w:t>, les hypothèses retenues pour l'évaluation actuarielle concernant la prime de rapatriement ont été alignées sur les hypothèses concernant l'ASHI.</w:t>
      </w:r>
    </w:p>
    <w:p w14:paraId="6C0CD3DF" w14:textId="77777777" w:rsidR="00DF6159" w:rsidRPr="00236418" w:rsidRDefault="00DF6159" w:rsidP="009B3D24">
      <w:pPr>
        <w:pStyle w:val="Heading3"/>
        <w:rPr>
          <w:b w:val="0"/>
          <w:bCs/>
          <w:i/>
          <w:iCs/>
        </w:rPr>
      </w:pPr>
      <w:bookmarkStart w:id="1812" w:name="_Toc395511730"/>
      <w:bookmarkStart w:id="1813" w:name="_Toc10450763"/>
      <w:r w:rsidRPr="00236418">
        <w:rPr>
          <w:b w:val="0"/>
          <w:bCs/>
          <w:i/>
          <w:iCs/>
        </w:rPr>
        <w:t>17.2.5</w:t>
      </w:r>
      <w:r w:rsidRPr="00236418">
        <w:rPr>
          <w:b w:val="0"/>
          <w:bCs/>
          <w:i/>
          <w:iCs/>
        </w:rPr>
        <w:tab/>
        <w:t>Paiement de la prime de rapatriement</w:t>
      </w:r>
      <w:bookmarkEnd w:id="1812"/>
      <w:bookmarkEnd w:id="1813"/>
    </w:p>
    <w:p w14:paraId="05527ED1" w14:textId="7671155D" w:rsidR="00CF0C9A" w:rsidRPr="00236418" w:rsidRDefault="00DF6159" w:rsidP="009B3D24">
      <w:r w:rsidRPr="00236418">
        <w:t>Le versement de la prime de rapatriement est régi par les conditions et définitions mentionnées dans les Statut et Règlement du personnel. En décembre 201</w:t>
      </w:r>
      <w:r w:rsidR="00EB3373" w:rsidRPr="00236418">
        <w:t>9</w:t>
      </w:r>
      <w:r w:rsidRPr="00236418">
        <w:t>, la provision se chiffrait à 1</w:t>
      </w:r>
      <w:r w:rsidR="00EB3373" w:rsidRPr="00236418">
        <w:t>3</w:t>
      </w:r>
      <w:r w:rsidRPr="00236418">
        <w:t>,</w:t>
      </w:r>
      <w:r w:rsidR="00EB3373" w:rsidRPr="00236418">
        <w:t>33</w:t>
      </w:r>
      <w:r w:rsidRPr="00236418">
        <w:t> millions CHF contre 12,</w:t>
      </w:r>
      <w:r w:rsidR="00EB3373" w:rsidRPr="00236418">
        <w:t>16</w:t>
      </w:r>
      <w:r w:rsidRPr="00236418">
        <w:t xml:space="preserve"> millions CHF en 201</w:t>
      </w:r>
      <w:r w:rsidR="00EB3373" w:rsidRPr="00236418">
        <w:t>8</w:t>
      </w:r>
      <w:r w:rsidRPr="00236418">
        <w:t xml:space="preserve">. </w:t>
      </w:r>
      <w:r w:rsidR="00CF0C9A" w:rsidRPr="00236418">
        <w:t xml:space="preserve">La hausse de cette provision pourrait s'expliquer par la baisse du taux d'actualisation, qui est passé de 1,2% à 0,6%, mais aussi par l'annulation de la réduction </w:t>
      </w:r>
      <w:r w:rsidR="00245ECD" w:rsidRPr="00236418">
        <w:t>du traitement des</w:t>
      </w:r>
      <w:r w:rsidR="00CF0C9A" w:rsidRPr="00236418">
        <w:t xml:space="preserve"> fonctionnaires de la catégorie professionnelle (6% en moyenne) en application de la Décision 4137 du Tribunal administratif de l'OIT.</w:t>
      </w:r>
    </w:p>
    <w:p w14:paraId="19EEB6D5" w14:textId="2571CB2E" w:rsidR="00DF6159" w:rsidRPr="00236418" w:rsidRDefault="00DF6159" w:rsidP="009B3D24">
      <w:pPr>
        <w:rPr>
          <w:b/>
        </w:rPr>
      </w:pPr>
      <w:r w:rsidRPr="00236418">
        <w:t>Cette provision est alimentée par un prélèvement de 1% sur la rémunération des fonctionnaires autres que ceux recrutés pour des conférences et autres périodes de courte durée.</w:t>
      </w:r>
    </w:p>
    <w:p w14:paraId="75E8B848" w14:textId="77777777" w:rsidR="00DF6159" w:rsidRPr="00236418" w:rsidRDefault="00DF6159" w:rsidP="009B3D24">
      <w:r w:rsidRPr="00236418">
        <w:t>Une évaluation actuarielle conforme aux normes IPSAS est effectuée chaque année par un bureau de consultants indépendants.</w:t>
      </w:r>
    </w:p>
    <w:p w14:paraId="7BF2971E" w14:textId="77777777" w:rsidR="00DF6159" w:rsidRPr="00236418" w:rsidRDefault="00DF6159" w:rsidP="009B3D24">
      <w:pPr>
        <w:pStyle w:val="Heading3"/>
        <w:ind w:left="1134" w:hanging="1134"/>
        <w:rPr>
          <w:b w:val="0"/>
          <w:bCs/>
          <w:i/>
          <w:iCs/>
        </w:rPr>
      </w:pPr>
      <w:bookmarkStart w:id="1814" w:name="_Toc395511731"/>
      <w:bookmarkStart w:id="1815" w:name="_Toc10450764"/>
      <w:r w:rsidRPr="00236418">
        <w:rPr>
          <w:b w:val="0"/>
          <w:bCs/>
          <w:i/>
          <w:iCs/>
        </w:rPr>
        <w:t>17.2.6</w:t>
      </w:r>
      <w:r w:rsidRPr="00236418">
        <w:rPr>
          <w:b w:val="0"/>
          <w:bCs/>
          <w:i/>
          <w:iCs/>
        </w:rPr>
        <w:tab/>
        <w:t>Avantages au personnel concernant le plan de pension du personnel des Nations Unies</w:t>
      </w:r>
      <w:bookmarkEnd w:id="1814"/>
      <w:bookmarkEnd w:id="1815"/>
    </w:p>
    <w:p w14:paraId="249C4892" w14:textId="1F7D91BA" w:rsidR="00DF6159" w:rsidRPr="00236418" w:rsidRDefault="00DF6159" w:rsidP="009B3D24">
      <w:r w:rsidRPr="00236418">
        <w:t>L'UIT est une organisation membre de la Caisse commune des pensions du personnel des Nations Unies (</w:t>
      </w:r>
      <w:r w:rsidR="00541313" w:rsidRPr="00236418">
        <w:t>la "Caisse"</w:t>
      </w:r>
      <w:r w:rsidRPr="00236418">
        <w:t>), créée par l'Assemblée générale des Nations Unies pour assurer aux employés des prestations de retraite, de décès, d'invalidité et des prestations connexes. La Caisse est un régime multi-employeurs capitalisé à prestations définies. Comme indiqué dans l'Article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p>
    <w:p w14:paraId="1A98C775" w14:textId="34CAA270" w:rsidR="00DF6159" w:rsidRPr="00236418" w:rsidRDefault="00541313" w:rsidP="009B3D24">
      <w:r w:rsidRPr="00236418">
        <w:t>La Caisse</w:t>
      </w:r>
      <w:r w:rsidR="00DF6159" w:rsidRPr="00236418">
        <w:t xml:space="preserve">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w:t>
      </w:r>
      <w:r w:rsidRPr="00236418">
        <w:t>à la Caisse</w:t>
      </w:r>
      <w:r w:rsidR="00DF6159" w:rsidRPr="00236418">
        <w:t xml:space="preserve">. L'UIT et la </w:t>
      </w:r>
      <w:r w:rsidRPr="00236418">
        <w:t>Caisse</w:t>
      </w:r>
      <w:r w:rsidR="00DF6159" w:rsidRPr="00236418">
        <w:t>, tout comme les autres organisations affiliées à la Caisse, ne sont pas en mesure de déterminer la quote-part de l'</w:t>
      </w:r>
      <w:r w:rsidRPr="00236418">
        <w:t>UIT</w:t>
      </w:r>
      <w:r w:rsidR="00DF6159" w:rsidRPr="00236418">
        <w:t xml:space="preserve"> dans les engagements au titre des prestations définies, les actifs du régime et les coûts associés au régime de façon suffisamment fiable aux fins de comptabilisation. En conséquence, l'</w:t>
      </w:r>
      <w:r w:rsidRPr="00236418">
        <w:t>UIT</w:t>
      </w:r>
      <w:r w:rsidR="00DF6159" w:rsidRPr="00236418">
        <w:t xml:space="preserve"> assimile ce régime à un régime à cotisations définies, conformément aux dispositions de la norme IPSAS 39 sur </w:t>
      </w:r>
      <w:r w:rsidR="00DF6159" w:rsidRPr="00236418">
        <w:rPr>
          <w:color w:val="000000"/>
        </w:rPr>
        <w:t>les avantages du personnel</w:t>
      </w:r>
      <w:r w:rsidR="00DF6159" w:rsidRPr="00236418">
        <w:t>. Les cotisations de l'</w:t>
      </w:r>
      <w:r w:rsidRPr="00236418">
        <w:t>UIT</w:t>
      </w:r>
      <w:r w:rsidR="00DF6159" w:rsidRPr="00236418">
        <w:t xml:space="preserve"> </w:t>
      </w:r>
      <w:r w:rsidRPr="00236418">
        <w:t>à la Caisse</w:t>
      </w:r>
      <w:r w:rsidR="00DF6159" w:rsidRPr="00236418">
        <w:t xml:space="preserve"> pendant l'exercice sont comptabilisées en charges dans l'état de la performance financière.</w:t>
      </w:r>
    </w:p>
    <w:p w14:paraId="1992688E" w14:textId="77777777" w:rsidR="00DF6159" w:rsidRPr="00236418" w:rsidRDefault="00DF6159" w:rsidP="009B3D24">
      <w:r w:rsidRPr="00236418">
        <w:t>Les Statuts de la Caisse disposent que le Comité mixte fait procéder par l'actuaire-conseil à une évaluation actuarielle de la Caisse au moins une fois tous les trois ans. En pratique, le Comité mixte fait réaliser une évaluation actuarielle tous les deux ans en utilisant la méthode des agrégats avec entrants. Ces évaluations ont essentiellement pour objectif de déterminer si les actifs actuels et le montant estimatif des actifs futurs de la Caisse seront suffisants pour lui permettre de faire face à ses obligations.</w:t>
      </w:r>
    </w:p>
    <w:p w14:paraId="20C1C7DC" w14:textId="77777777" w:rsidR="00DF6159" w:rsidRPr="00236418" w:rsidRDefault="00DF6159" w:rsidP="009B3D24">
      <w:r w:rsidRPr="00236418">
        <w:t xml:space="preserve">L'obligation financière de l'UIT à l'égard de la Caisse consiste à verser la cotisation statutaire au taux établi par l'Assemblée générale des Nations Unies (ce taux est actuellement de 7,9% pour les participants et de 15,8% pour les organisations affiliées), ainsi qu'une part des paiements qui seraient à faire pour couvrir tout déficit constaté à la suite de l'évaluation actuarielle </w:t>
      </w:r>
      <w:r w:rsidRPr="00236418">
        <w:lastRenderedPageBreak/>
        <w:t>conformément à l'Article 26 des Statuts de la Caisse des pensions. Ces paiements n'interviennent que si et dans le cas où l'Assemblée générale des Nations Unies invoque les dispositions de l'Article 26, après avoir déterminé que les avoirs de la Caisse ne sont pas suffisants pour couvrir ses engagements à la date de l'évaluation. Pour couvrir ce déficit, chaque organisation affiliée doit apporter un montant proportionnel au total des contributions qu'elle a versées au cours des trois années précédant la date de l'évaluation.</w:t>
      </w:r>
    </w:p>
    <w:p w14:paraId="451D0635" w14:textId="7C3BEE94" w:rsidR="00DF6159" w:rsidRPr="00236418" w:rsidRDefault="00A210BB" w:rsidP="009B3D24">
      <w:r w:rsidRPr="00236418">
        <w:t>L</w:t>
      </w:r>
      <w:r w:rsidR="00DF6159" w:rsidRPr="00236418">
        <w:t>'évaluation actuarielle</w:t>
      </w:r>
      <w:r w:rsidRPr="00236418">
        <w:t xml:space="preserve"> de la Caisse la plus récente a été</w:t>
      </w:r>
      <w:r w:rsidR="00DF6159" w:rsidRPr="00236418">
        <w:t xml:space="preserve"> arrêtée au 31 décembre 201</w:t>
      </w:r>
      <w:r w:rsidRPr="00236418">
        <w:t>7 et l'évaluation au 31 décembre 2019 est en cours</w:t>
      </w:r>
      <w:r w:rsidR="00DF6159" w:rsidRPr="00236418">
        <w:t xml:space="preserve">. </w:t>
      </w:r>
      <w:r w:rsidRPr="00236418">
        <w:t>L</w:t>
      </w:r>
      <w:r w:rsidR="00DF6159" w:rsidRPr="00236418">
        <w:t>a Caisse a utilisé les données relatives à la participation au 31 décembre 201</w:t>
      </w:r>
      <w:r w:rsidR="00EB53D7" w:rsidRPr="00236418">
        <w:t>7</w:t>
      </w:r>
      <w:r w:rsidR="00DF6159" w:rsidRPr="00236418">
        <w:t xml:space="preserve"> plutôt que celles au 31 décembre 201</w:t>
      </w:r>
      <w:r w:rsidR="00EB53D7" w:rsidRPr="00236418">
        <w:t>8</w:t>
      </w:r>
      <w:r w:rsidR="00DF6159" w:rsidRPr="00236418">
        <w:t xml:space="preserve"> pour établir les états financiers de 201</w:t>
      </w:r>
      <w:r w:rsidR="00EB53D7" w:rsidRPr="00236418">
        <w:t>8</w:t>
      </w:r>
      <w:r w:rsidR="00DF6159" w:rsidRPr="00236418">
        <w:t>.</w:t>
      </w:r>
    </w:p>
    <w:p w14:paraId="0583FD71" w14:textId="11D55092" w:rsidR="00DF6159" w:rsidRPr="00236418" w:rsidRDefault="00DF6159" w:rsidP="009B3D24">
      <w:r w:rsidRPr="00236418">
        <w:t>L'évaluation actuarielle arrêtée au 31 décembre 2017 a eu pour résultat un taux de couverture des passifs par les actifs de 139,2</w:t>
      </w:r>
      <w:r w:rsidR="000E3616" w:rsidRPr="00236418">
        <w:t>%</w:t>
      </w:r>
      <w:r w:rsidRPr="00236418">
        <w:t>, dans l'hypothèse d'aucun ajustement futur des pensions. Ce taux était de 102,7</w:t>
      </w:r>
      <w:r w:rsidR="000E3616" w:rsidRPr="00236418">
        <w:t>%</w:t>
      </w:r>
      <w:r w:rsidR="00EB53D7" w:rsidRPr="00236418">
        <w:t xml:space="preserve"> </w:t>
      </w:r>
      <w:r w:rsidRPr="00236418">
        <w:t>en tenant compte du système actuel d'ajustement des pensions.</w:t>
      </w:r>
    </w:p>
    <w:p w14:paraId="339E97E4" w14:textId="77777777" w:rsidR="00DF6159" w:rsidRPr="00236418" w:rsidRDefault="00DF6159" w:rsidP="009B3D24">
      <w:r w:rsidRPr="00236418">
        <w:t>Après avoir évalué l'équilibre actuariel de la Caisse des pensions au regard de ses obligations, l'actuaire-conseil a conclu qu'au 31 décembre 2017 une couverture des déficits au titre de l'Article 26 des Statuts de la Caisse n'était pas nécessaire étant donné que la valeur actuarielle de l'actif excédait la valeur actuarielle de toutes les charges à payer dans le cadre du plan. En outre, la valeur de marché des actifs excédait également la valeur actuarielle de tous les passifs cumulés à la date de l'évaluation. Au moment de l'établissement du présent rapport, l'Assemblée générale des Nations Unies n'avait pas invoqué les dispositions de l'Article 26.</w:t>
      </w:r>
    </w:p>
    <w:p w14:paraId="6635D660" w14:textId="16A3DAF2" w:rsidR="00DF6159" w:rsidRPr="00236418" w:rsidRDefault="00DF6159" w:rsidP="009B3D24">
      <w:r w:rsidRPr="00236418">
        <w:t>Si l'Article 26 devait être invoqué en raison d'un déficit constaté à la suite de l'évaluation actuarielle, soit au cours de l'opération en cours soit en raison de la fin de la C</w:t>
      </w:r>
      <w:r w:rsidR="007A0694" w:rsidRPr="00236418">
        <w:t>aisse</w:t>
      </w:r>
      <w:r w:rsidRPr="00236418">
        <w:t xml:space="preserve">, les paiements exigés de chaque organisation membre pour couvrir le déficit seraient définis en fonction de la part des cotisations de ces organisations par rapport aux cotisations totales versées à la CCPPNU au cours des trois années précédant la date de l'évaluation. Le montant total des cotisations versées à la </w:t>
      </w:r>
      <w:r w:rsidR="007A0694" w:rsidRPr="00236418">
        <w:t>Caisse</w:t>
      </w:r>
      <w:r w:rsidRPr="00236418">
        <w:t xml:space="preserve"> au cours des trois dernières années (2016</w:t>
      </w:r>
      <w:r w:rsidR="00EB53D7" w:rsidRPr="00236418">
        <w:t>,</w:t>
      </w:r>
      <w:r w:rsidRPr="00236418">
        <w:t xml:space="preserve"> 2017</w:t>
      </w:r>
      <w:r w:rsidR="00EB53D7" w:rsidRPr="00236418">
        <w:t xml:space="preserve"> et 2018</w:t>
      </w:r>
      <w:r w:rsidRPr="00236418">
        <w:t xml:space="preserve">) s'élève à </w:t>
      </w:r>
      <w:r w:rsidR="00EB53D7" w:rsidRPr="00236418">
        <w:t>7</w:t>
      </w:r>
      <w:r w:rsidRPr="00236418">
        <w:t> </w:t>
      </w:r>
      <w:r w:rsidR="00EB53D7" w:rsidRPr="00236418">
        <w:t>131</w:t>
      </w:r>
      <w:r w:rsidRPr="00236418">
        <w:t>,</w:t>
      </w:r>
      <w:r w:rsidR="00EB53D7" w:rsidRPr="00236418">
        <w:t>56</w:t>
      </w:r>
      <w:r w:rsidR="00F14866" w:rsidRPr="00236418">
        <w:t> </w:t>
      </w:r>
      <w:r w:rsidRPr="00236418">
        <w:t xml:space="preserve">millions USD, auquel l'UIT a contribué à hauteur de </w:t>
      </w:r>
      <w:r w:rsidR="00EB53D7" w:rsidRPr="00236418">
        <w:t>0,35</w:t>
      </w:r>
      <w:r w:rsidRPr="00236418">
        <w:t>%.</w:t>
      </w:r>
    </w:p>
    <w:p w14:paraId="3A6E04D4" w14:textId="6735900E" w:rsidR="00DF6159" w:rsidRPr="00236418" w:rsidRDefault="00DF6159" w:rsidP="009B3D24">
      <w:r w:rsidRPr="00236418">
        <w:t>Au cours de l'année 201</w:t>
      </w:r>
      <w:r w:rsidR="00EB53D7" w:rsidRPr="00236418">
        <w:t>9</w:t>
      </w:r>
      <w:r w:rsidRPr="00236418">
        <w:t>, les contributions versées à la C</w:t>
      </w:r>
      <w:r w:rsidR="007A0694" w:rsidRPr="00236418">
        <w:t>aisse</w:t>
      </w:r>
      <w:r w:rsidRPr="00236418">
        <w:t xml:space="preserve"> se sont élevées à 2</w:t>
      </w:r>
      <w:r w:rsidR="00EB53D7" w:rsidRPr="00236418">
        <w:t>5</w:t>
      </w:r>
      <w:r w:rsidRPr="00236418">
        <w:t>,</w:t>
      </w:r>
      <w:r w:rsidR="00EB53D7" w:rsidRPr="00236418">
        <w:t>1</w:t>
      </w:r>
      <w:r w:rsidRPr="00236418">
        <w:t xml:space="preserve"> millions USD (contre 23,</w:t>
      </w:r>
      <w:r w:rsidR="00EB53D7" w:rsidRPr="00236418">
        <w:t>7</w:t>
      </w:r>
      <w:r w:rsidRPr="00236418">
        <w:t xml:space="preserve"> millions USD en 201</w:t>
      </w:r>
      <w:r w:rsidR="00EB53D7" w:rsidRPr="00236418">
        <w:t>8</w:t>
      </w:r>
      <w:r w:rsidRPr="00236418">
        <w:t>). Le montant des cotisations dues en 20</w:t>
      </w:r>
      <w:r w:rsidR="00EB53D7" w:rsidRPr="00236418">
        <w:t>20</w:t>
      </w:r>
      <w:r w:rsidRPr="00236418">
        <w:t xml:space="preserve"> devrait être d'environ 2</w:t>
      </w:r>
      <w:r w:rsidR="00EB53D7" w:rsidRPr="00236418">
        <w:t>5</w:t>
      </w:r>
      <w:r w:rsidRPr="00236418">
        <w:t> millions USD.</w:t>
      </w:r>
    </w:p>
    <w:p w14:paraId="29BC1EB2" w14:textId="77777777" w:rsidR="00DF6159" w:rsidRPr="00236418" w:rsidRDefault="00DF6159" w:rsidP="009B3D24">
      <w:r w:rsidRPr="00236418">
        <w:t>L'affiliation à la Caisse peut être résiliée sur décision de l'Assemblée générale des Nations Unies, sur recommandation affirmative du Comité mixte. Une part proportionnelle du total des actifs de la Caisse à la date de résiliation de l'affiliation devra être versée à l'ancienne organisation membre, au bénéfice exclusif des membres de son personnel qui étaient affiliés à la Caisse à cette date, conformément à un accord conclu entre l'organisation et la Caisse. Le montant est défini par le Comité mixte de la CCPPNU à partir d'une évaluation actuarielle des actifs et des passifs de la Caisse à la date de résiliation de l'affiliation; l'établissement de ce montant ne tient pas compte des actifs en excès par rapport au passif.</w:t>
      </w:r>
    </w:p>
    <w:p w14:paraId="30F258CC" w14:textId="447E6176" w:rsidR="00DF6159" w:rsidRPr="00236418" w:rsidRDefault="00DF6159" w:rsidP="009B3D24">
      <w:pPr>
        <w:keepNext/>
        <w:keepLines/>
      </w:pPr>
      <w:r w:rsidRPr="00236418">
        <w:t xml:space="preserve">Le Comité des commissaires aux comptes de l'ONU procède à un audit annuel de la Caisse et rend compte chaque année de ses travaux au Comité mixte de la Caisse commune des pensions et à l'Assemblée générale des Nations Unies. La Caisse publie des rapports trimestriels sur ses placements, qui peuvent être consultés à l'adresse </w:t>
      </w:r>
      <w:hyperlink r:id="rId44" w:history="1">
        <w:r w:rsidRPr="00236418">
          <w:rPr>
            <w:rFonts w:eastAsia="Calibri"/>
            <w:color w:val="0000FF"/>
            <w:u w:val="single"/>
          </w:rPr>
          <w:t>www.unjspf.org</w:t>
        </w:r>
      </w:hyperlink>
      <w:r w:rsidRPr="00236418">
        <w:t>.</w:t>
      </w:r>
    </w:p>
    <w:p w14:paraId="6D2F31EA" w14:textId="3CE12C39" w:rsidR="00DF6159" w:rsidRPr="00236418" w:rsidRDefault="00DF6159" w:rsidP="009B3D24">
      <w:r w:rsidRPr="00236418">
        <w:t xml:space="preserve">Les chiffres ci-dessous </w:t>
      </w:r>
      <w:r w:rsidR="00D82645" w:rsidRPr="00236418">
        <w:t>sont tirés</w:t>
      </w:r>
      <w:r w:rsidRPr="00236418">
        <w:t xml:space="preserve"> des dossiers et de la comptabilité de l'Union.</w:t>
      </w:r>
    </w:p>
    <w:p w14:paraId="469ABCCB" w14:textId="2ADF220B" w:rsidR="00DF6159" w:rsidRPr="00236418" w:rsidRDefault="00DF6159" w:rsidP="009B3D24">
      <w:pPr>
        <w:pStyle w:val="Tabletitle"/>
        <w:keepLines/>
        <w:spacing w:before="360" w:after="40"/>
        <w:rPr>
          <w:rFonts w:cs="Times New Roman Bold"/>
        </w:rPr>
      </w:pPr>
      <w:r w:rsidRPr="00236418">
        <w:lastRenderedPageBreak/>
        <w:t>État au 31 décembre 201</w:t>
      </w:r>
      <w:r w:rsidR="00EB53D7" w:rsidRPr="00236418">
        <w:t>9</w:t>
      </w:r>
    </w:p>
    <w:p w14:paraId="3949890B" w14:textId="55160C46" w:rsidR="00DF6159" w:rsidRPr="00236418" w:rsidRDefault="00DF6159" w:rsidP="009B3D24">
      <w:pPr>
        <w:pStyle w:val="Tabletitle"/>
        <w:keepLines/>
        <w:spacing w:after="240"/>
        <w:rPr>
          <w:szCs w:val="24"/>
        </w:rPr>
      </w:pPr>
      <w:r w:rsidRPr="00236418">
        <w:rPr>
          <w:color w:val="000000"/>
          <w:szCs w:val="24"/>
        </w:rPr>
        <w:t>Nombre d'affiliés au 31 décembre 201</w:t>
      </w:r>
      <w:r w:rsidR="00EB53D7" w:rsidRPr="00236418">
        <w:rPr>
          <w:color w:val="000000"/>
          <w:szCs w:val="24"/>
        </w:rPr>
        <w:t>9</w:t>
      </w:r>
    </w:p>
    <w:tbl>
      <w:tblPr>
        <w:tblW w:w="5000" w:type="pct"/>
        <w:jc w:val="center"/>
        <w:tblLook w:val="04A0" w:firstRow="1" w:lastRow="0" w:firstColumn="1" w:lastColumn="0" w:noHBand="0" w:noVBand="1"/>
        <w:tblCaption w:val="Etat au 31 décembre 2015 Nombre de participants au 31 décembre 2015"/>
      </w:tblPr>
      <w:tblGrid>
        <w:gridCol w:w="1608"/>
        <w:gridCol w:w="1603"/>
        <w:gridCol w:w="1603"/>
        <w:gridCol w:w="1605"/>
        <w:gridCol w:w="1603"/>
        <w:gridCol w:w="1601"/>
      </w:tblGrid>
      <w:tr w:rsidR="00DF6159" w:rsidRPr="00236418" w14:paraId="65FF6E28" w14:textId="77777777" w:rsidTr="006538EB">
        <w:trPr>
          <w:cantSplit/>
          <w:jc w:val="center"/>
        </w:trPr>
        <w:tc>
          <w:tcPr>
            <w:tcW w:w="835" w:type="pct"/>
            <w:vMerge w:val="restart"/>
            <w:tcBorders>
              <w:top w:val="single" w:sz="6" w:space="0" w:color="auto"/>
              <w:left w:val="single" w:sz="6" w:space="0" w:color="auto"/>
              <w:right w:val="single" w:sz="6" w:space="0" w:color="auto"/>
            </w:tcBorders>
            <w:vAlign w:val="center"/>
            <w:hideMark/>
          </w:tcPr>
          <w:p w14:paraId="551B47E8" w14:textId="0658FACB" w:rsidR="00DF6159" w:rsidRPr="00236418" w:rsidRDefault="00DF6159" w:rsidP="009B3D24">
            <w:pPr>
              <w:pStyle w:val="Tablehead"/>
              <w:keepNext/>
              <w:keepLines/>
              <w:spacing w:before="20" w:after="20"/>
              <w:rPr>
                <w:szCs w:val="22"/>
              </w:rPr>
            </w:pPr>
            <w:r w:rsidRPr="00236418">
              <w:rPr>
                <w:szCs w:val="22"/>
              </w:rPr>
              <w:t>Nombre d'affiliés au 31.12.201</w:t>
            </w:r>
            <w:r w:rsidR="00EB53D7" w:rsidRPr="00236418">
              <w:rPr>
                <w:szCs w:val="22"/>
              </w:rPr>
              <w:t>8</w:t>
            </w:r>
          </w:p>
        </w:tc>
        <w:tc>
          <w:tcPr>
            <w:tcW w:w="833" w:type="pct"/>
            <w:vMerge w:val="restart"/>
            <w:tcBorders>
              <w:top w:val="single" w:sz="6" w:space="0" w:color="auto"/>
              <w:left w:val="single" w:sz="6" w:space="0" w:color="auto"/>
              <w:right w:val="single" w:sz="6" w:space="0" w:color="auto"/>
            </w:tcBorders>
            <w:vAlign w:val="center"/>
            <w:hideMark/>
          </w:tcPr>
          <w:p w14:paraId="12A2721D" w14:textId="77777777" w:rsidR="00DF6159" w:rsidRPr="00236418" w:rsidRDefault="00DF6159" w:rsidP="009B3D24">
            <w:pPr>
              <w:pStyle w:val="Tablehead"/>
              <w:keepNext/>
              <w:keepLines/>
              <w:spacing w:before="20" w:after="20"/>
              <w:rPr>
                <w:szCs w:val="22"/>
              </w:rPr>
            </w:pPr>
            <w:r w:rsidRPr="00236418">
              <w:rPr>
                <w:szCs w:val="22"/>
              </w:rPr>
              <w:t>Nouveaux affiliés</w:t>
            </w:r>
          </w:p>
        </w:tc>
        <w:tc>
          <w:tcPr>
            <w:tcW w:w="1667" w:type="pct"/>
            <w:gridSpan w:val="2"/>
            <w:tcBorders>
              <w:top w:val="single" w:sz="6" w:space="0" w:color="auto"/>
              <w:left w:val="single" w:sz="6" w:space="0" w:color="auto"/>
              <w:bottom w:val="single" w:sz="6" w:space="0" w:color="auto"/>
              <w:right w:val="single" w:sz="6" w:space="0" w:color="auto"/>
            </w:tcBorders>
            <w:vAlign w:val="center"/>
            <w:hideMark/>
          </w:tcPr>
          <w:p w14:paraId="7D008C69" w14:textId="77777777" w:rsidR="00DF6159" w:rsidRPr="00236418" w:rsidRDefault="00DF6159" w:rsidP="009B3D24">
            <w:pPr>
              <w:pStyle w:val="Tablehead"/>
              <w:keepNext/>
              <w:keepLines/>
              <w:spacing w:before="20" w:after="20"/>
              <w:rPr>
                <w:szCs w:val="22"/>
              </w:rPr>
            </w:pPr>
            <w:r w:rsidRPr="00236418">
              <w:rPr>
                <w:szCs w:val="22"/>
              </w:rPr>
              <w:t>Mutations</w:t>
            </w:r>
          </w:p>
        </w:tc>
        <w:tc>
          <w:tcPr>
            <w:tcW w:w="833" w:type="pct"/>
            <w:vMerge w:val="restart"/>
            <w:tcBorders>
              <w:top w:val="single" w:sz="6" w:space="0" w:color="auto"/>
              <w:left w:val="single" w:sz="6" w:space="0" w:color="auto"/>
              <w:right w:val="single" w:sz="6" w:space="0" w:color="auto"/>
            </w:tcBorders>
            <w:vAlign w:val="center"/>
          </w:tcPr>
          <w:p w14:paraId="19179C19" w14:textId="77777777" w:rsidR="00DF6159" w:rsidRPr="00236418" w:rsidRDefault="00DF6159" w:rsidP="009B3D24">
            <w:pPr>
              <w:pStyle w:val="Tablehead"/>
              <w:keepNext/>
              <w:keepLines/>
              <w:spacing w:before="20" w:after="20"/>
              <w:rPr>
                <w:szCs w:val="22"/>
              </w:rPr>
            </w:pPr>
            <w:r w:rsidRPr="00236418">
              <w:rPr>
                <w:szCs w:val="22"/>
              </w:rPr>
              <w:t>Cessation d'activité</w:t>
            </w:r>
          </w:p>
        </w:tc>
        <w:tc>
          <w:tcPr>
            <w:tcW w:w="833" w:type="pct"/>
            <w:vMerge w:val="restart"/>
            <w:tcBorders>
              <w:top w:val="single" w:sz="6" w:space="0" w:color="auto"/>
              <w:left w:val="single" w:sz="6" w:space="0" w:color="auto"/>
              <w:right w:val="single" w:sz="6" w:space="0" w:color="auto"/>
            </w:tcBorders>
            <w:vAlign w:val="center"/>
            <w:hideMark/>
          </w:tcPr>
          <w:p w14:paraId="39CC199D" w14:textId="5A8D5727" w:rsidR="00DF6159" w:rsidRPr="00236418" w:rsidRDefault="00DF6159" w:rsidP="009B3D24">
            <w:pPr>
              <w:pStyle w:val="Tablehead"/>
              <w:keepNext/>
              <w:keepLines/>
              <w:spacing w:before="20" w:after="20"/>
              <w:rPr>
                <w:szCs w:val="22"/>
              </w:rPr>
            </w:pPr>
            <w:r w:rsidRPr="00236418">
              <w:rPr>
                <w:szCs w:val="22"/>
              </w:rPr>
              <w:t>Participants affiliés</w:t>
            </w:r>
            <w:r w:rsidRPr="00236418">
              <w:rPr>
                <w:szCs w:val="22"/>
              </w:rPr>
              <w:br/>
              <w:t>au 31.12.201</w:t>
            </w:r>
            <w:r w:rsidR="00EB53D7" w:rsidRPr="00236418">
              <w:rPr>
                <w:szCs w:val="22"/>
              </w:rPr>
              <w:t>9</w:t>
            </w:r>
          </w:p>
        </w:tc>
      </w:tr>
      <w:tr w:rsidR="00DF6159" w:rsidRPr="00236418" w14:paraId="2D42B5E8" w14:textId="77777777" w:rsidTr="006538EB">
        <w:trPr>
          <w:cantSplit/>
          <w:jc w:val="center"/>
        </w:trPr>
        <w:tc>
          <w:tcPr>
            <w:tcW w:w="835" w:type="pct"/>
            <w:vMerge/>
            <w:tcBorders>
              <w:left w:val="single" w:sz="6" w:space="0" w:color="auto"/>
              <w:bottom w:val="single" w:sz="6" w:space="0" w:color="auto"/>
              <w:right w:val="single" w:sz="6" w:space="0" w:color="auto"/>
            </w:tcBorders>
            <w:vAlign w:val="center"/>
            <w:hideMark/>
          </w:tcPr>
          <w:p w14:paraId="1331D15F" w14:textId="77777777" w:rsidR="00DF6159" w:rsidRPr="00236418" w:rsidRDefault="00DF6159" w:rsidP="009B3D24">
            <w:pPr>
              <w:pStyle w:val="Tablehead"/>
              <w:keepNext/>
              <w:keepLines/>
              <w:rPr>
                <w:szCs w:val="22"/>
              </w:rPr>
            </w:pPr>
          </w:p>
        </w:tc>
        <w:tc>
          <w:tcPr>
            <w:tcW w:w="833" w:type="pct"/>
            <w:vMerge/>
            <w:tcBorders>
              <w:left w:val="single" w:sz="6" w:space="0" w:color="auto"/>
              <w:bottom w:val="single" w:sz="6" w:space="0" w:color="auto"/>
              <w:right w:val="single" w:sz="6" w:space="0" w:color="auto"/>
            </w:tcBorders>
            <w:vAlign w:val="center"/>
          </w:tcPr>
          <w:p w14:paraId="7939DF02" w14:textId="77777777" w:rsidR="00DF6159" w:rsidRPr="00236418" w:rsidRDefault="00DF6159" w:rsidP="009B3D24">
            <w:pPr>
              <w:pStyle w:val="Tablehead"/>
              <w:keepNext/>
              <w:keepLines/>
              <w:rPr>
                <w:szCs w:val="22"/>
              </w:rPr>
            </w:pPr>
          </w:p>
        </w:tc>
        <w:tc>
          <w:tcPr>
            <w:tcW w:w="833" w:type="pct"/>
            <w:tcBorders>
              <w:top w:val="single" w:sz="6" w:space="0" w:color="auto"/>
              <w:left w:val="single" w:sz="6" w:space="0" w:color="auto"/>
              <w:bottom w:val="single" w:sz="6" w:space="0" w:color="auto"/>
              <w:right w:val="single" w:sz="6" w:space="0" w:color="auto"/>
            </w:tcBorders>
            <w:vAlign w:val="center"/>
            <w:hideMark/>
          </w:tcPr>
          <w:p w14:paraId="3C2D4417" w14:textId="2075171F" w:rsidR="00DF6159" w:rsidRPr="00236418" w:rsidRDefault="000406A5" w:rsidP="009B3D24">
            <w:pPr>
              <w:pStyle w:val="Tablehead"/>
              <w:keepNext/>
              <w:keepLines/>
              <w:spacing w:before="20" w:after="20"/>
              <w:rPr>
                <w:szCs w:val="22"/>
              </w:rPr>
            </w:pPr>
            <w:r w:rsidRPr="00236418">
              <w:rPr>
                <w:szCs w:val="22"/>
              </w:rPr>
              <w:t>À</w:t>
            </w:r>
            <w:r w:rsidR="00DF6159" w:rsidRPr="00236418">
              <w:rPr>
                <w:szCs w:val="22"/>
              </w:rPr>
              <w:t xml:space="preserve"> l'UIT</w:t>
            </w:r>
          </w:p>
        </w:tc>
        <w:tc>
          <w:tcPr>
            <w:tcW w:w="834" w:type="pct"/>
            <w:tcBorders>
              <w:top w:val="single" w:sz="6" w:space="0" w:color="auto"/>
              <w:left w:val="single" w:sz="6" w:space="0" w:color="auto"/>
              <w:bottom w:val="single" w:sz="6" w:space="0" w:color="auto"/>
              <w:right w:val="single" w:sz="6" w:space="0" w:color="auto"/>
            </w:tcBorders>
            <w:vAlign w:val="center"/>
            <w:hideMark/>
          </w:tcPr>
          <w:p w14:paraId="2F9A03A4" w14:textId="77777777" w:rsidR="00DF6159" w:rsidRPr="00236418" w:rsidRDefault="00DF6159" w:rsidP="009B3D24">
            <w:pPr>
              <w:pStyle w:val="Tablehead"/>
              <w:keepNext/>
              <w:keepLines/>
              <w:spacing w:before="20" w:after="20"/>
              <w:rPr>
                <w:szCs w:val="22"/>
              </w:rPr>
            </w:pPr>
            <w:r w:rsidRPr="00236418">
              <w:rPr>
                <w:szCs w:val="22"/>
              </w:rPr>
              <w:t>À une autre organisation</w:t>
            </w:r>
          </w:p>
        </w:tc>
        <w:tc>
          <w:tcPr>
            <w:tcW w:w="833" w:type="pct"/>
            <w:vMerge/>
            <w:tcBorders>
              <w:left w:val="single" w:sz="6" w:space="0" w:color="auto"/>
              <w:bottom w:val="single" w:sz="6" w:space="0" w:color="auto"/>
              <w:right w:val="single" w:sz="6" w:space="0" w:color="auto"/>
            </w:tcBorders>
            <w:hideMark/>
          </w:tcPr>
          <w:p w14:paraId="428A89E3" w14:textId="77777777" w:rsidR="00DF6159" w:rsidRPr="00236418" w:rsidRDefault="00DF6159" w:rsidP="009B3D24">
            <w:pPr>
              <w:pStyle w:val="Tablehead"/>
              <w:keepNext/>
              <w:keepLines/>
              <w:rPr>
                <w:szCs w:val="22"/>
              </w:rPr>
            </w:pPr>
          </w:p>
        </w:tc>
        <w:tc>
          <w:tcPr>
            <w:tcW w:w="833" w:type="pct"/>
            <w:vMerge/>
            <w:tcBorders>
              <w:left w:val="single" w:sz="6" w:space="0" w:color="auto"/>
              <w:bottom w:val="single" w:sz="6" w:space="0" w:color="auto"/>
              <w:right w:val="single" w:sz="6" w:space="0" w:color="auto"/>
            </w:tcBorders>
            <w:hideMark/>
          </w:tcPr>
          <w:p w14:paraId="57D8A51A" w14:textId="77777777" w:rsidR="00DF6159" w:rsidRPr="00236418" w:rsidRDefault="00DF6159" w:rsidP="009B3D24">
            <w:pPr>
              <w:pStyle w:val="Tablehead"/>
              <w:keepNext/>
              <w:keepLines/>
              <w:rPr>
                <w:szCs w:val="22"/>
              </w:rPr>
            </w:pPr>
          </w:p>
        </w:tc>
      </w:tr>
      <w:tr w:rsidR="00DF6159" w:rsidRPr="00236418" w14:paraId="7B594BEC" w14:textId="77777777" w:rsidTr="006538EB">
        <w:trPr>
          <w:cantSplit/>
          <w:jc w:val="center"/>
        </w:trPr>
        <w:tc>
          <w:tcPr>
            <w:tcW w:w="835" w:type="pct"/>
            <w:tcBorders>
              <w:top w:val="single" w:sz="6" w:space="0" w:color="auto"/>
              <w:left w:val="single" w:sz="6" w:space="0" w:color="auto"/>
              <w:bottom w:val="single" w:sz="6" w:space="0" w:color="auto"/>
              <w:right w:val="single" w:sz="6" w:space="0" w:color="auto"/>
            </w:tcBorders>
            <w:vAlign w:val="center"/>
          </w:tcPr>
          <w:p w14:paraId="7349487D" w14:textId="798D2643" w:rsidR="00DF6159" w:rsidRPr="00236418" w:rsidRDefault="00DF6159" w:rsidP="009B3D24">
            <w:pPr>
              <w:pStyle w:val="TableText0"/>
              <w:keepNext/>
              <w:keepLines/>
              <w:jc w:val="center"/>
              <w:rPr>
                <w:rFonts w:ascii="Calibri" w:hAnsi="Calibri"/>
                <w:szCs w:val="22"/>
              </w:rPr>
            </w:pPr>
            <w:r w:rsidRPr="00236418">
              <w:rPr>
                <w:rFonts w:ascii="Calibri" w:hAnsi="Calibri"/>
                <w:szCs w:val="22"/>
              </w:rPr>
              <w:t>6</w:t>
            </w:r>
            <w:r w:rsidR="00EB53D7" w:rsidRPr="00236418">
              <w:rPr>
                <w:rFonts w:ascii="Calibri" w:hAnsi="Calibri"/>
                <w:szCs w:val="22"/>
              </w:rPr>
              <w:t>95</w:t>
            </w:r>
          </w:p>
        </w:tc>
        <w:tc>
          <w:tcPr>
            <w:tcW w:w="833" w:type="pct"/>
            <w:tcBorders>
              <w:top w:val="single" w:sz="6" w:space="0" w:color="auto"/>
              <w:left w:val="single" w:sz="6" w:space="0" w:color="auto"/>
              <w:bottom w:val="single" w:sz="6" w:space="0" w:color="auto"/>
              <w:right w:val="single" w:sz="6" w:space="0" w:color="auto"/>
            </w:tcBorders>
            <w:vAlign w:val="center"/>
          </w:tcPr>
          <w:p w14:paraId="5D6EE0FD" w14:textId="5DF9B183" w:rsidR="00DF6159" w:rsidRPr="00236418" w:rsidRDefault="00EB53D7" w:rsidP="009B3D24">
            <w:pPr>
              <w:pStyle w:val="TableText0"/>
              <w:keepNext/>
              <w:keepLines/>
              <w:jc w:val="center"/>
              <w:rPr>
                <w:rFonts w:ascii="Calibri" w:hAnsi="Calibri"/>
                <w:szCs w:val="22"/>
              </w:rPr>
            </w:pPr>
            <w:r w:rsidRPr="00236418">
              <w:rPr>
                <w:rFonts w:ascii="Calibri" w:hAnsi="Calibri"/>
                <w:szCs w:val="22"/>
              </w:rPr>
              <w:t>4</w:t>
            </w:r>
            <w:r w:rsidR="00DF6159" w:rsidRPr="00236418">
              <w:rPr>
                <w:rFonts w:ascii="Calibri" w:hAnsi="Calibri"/>
                <w:szCs w:val="22"/>
              </w:rPr>
              <w:t>7</w:t>
            </w:r>
          </w:p>
        </w:tc>
        <w:tc>
          <w:tcPr>
            <w:tcW w:w="833" w:type="pct"/>
            <w:tcBorders>
              <w:top w:val="single" w:sz="6" w:space="0" w:color="auto"/>
              <w:left w:val="single" w:sz="6" w:space="0" w:color="auto"/>
              <w:bottom w:val="single" w:sz="6" w:space="0" w:color="auto"/>
              <w:right w:val="single" w:sz="6" w:space="0" w:color="auto"/>
            </w:tcBorders>
            <w:vAlign w:val="center"/>
          </w:tcPr>
          <w:p w14:paraId="01BA343D" w14:textId="7C03E62B" w:rsidR="00DF6159" w:rsidRPr="00236418" w:rsidRDefault="00EB53D7" w:rsidP="009B3D24">
            <w:pPr>
              <w:pStyle w:val="TableText0"/>
              <w:keepNext/>
              <w:keepLines/>
              <w:jc w:val="center"/>
              <w:rPr>
                <w:rFonts w:ascii="Calibri" w:hAnsi="Calibri"/>
                <w:szCs w:val="22"/>
              </w:rPr>
            </w:pPr>
            <w:r w:rsidRPr="00236418">
              <w:rPr>
                <w:rFonts w:ascii="Calibri" w:hAnsi="Calibri"/>
                <w:szCs w:val="22"/>
              </w:rPr>
              <w:t>0</w:t>
            </w:r>
          </w:p>
        </w:tc>
        <w:tc>
          <w:tcPr>
            <w:tcW w:w="834" w:type="pct"/>
            <w:tcBorders>
              <w:top w:val="single" w:sz="6" w:space="0" w:color="auto"/>
              <w:left w:val="single" w:sz="6" w:space="0" w:color="auto"/>
              <w:bottom w:val="single" w:sz="6" w:space="0" w:color="auto"/>
              <w:right w:val="single" w:sz="6" w:space="0" w:color="auto"/>
            </w:tcBorders>
            <w:vAlign w:val="center"/>
          </w:tcPr>
          <w:p w14:paraId="5F72B1F8" w14:textId="77777777" w:rsidR="00DF6159" w:rsidRPr="00236418" w:rsidRDefault="00DF6159" w:rsidP="009B3D24">
            <w:pPr>
              <w:pStyle w:val="TableText0"/>
              <w:keepNext/>
              <w:keepLines/>
              <w:jc w:val="center"/>
              <w:rPr>
                <w:rFonts w:ascii="Calibri" w:hAnsi="Calibri"/>
                <w:szCs w:val="22"/>
              </w:rPr>
            </w:pPr>
            <w:r w:rsidRPr="00236418">
              <w:rPr>
                <w:rFonts w:ascii="Calibri" w:hAnsi="Calibri"/>
                <w:szCs w:val="22"/>
              </w:rPr>
              <w:t>1</w:t>
            </w:r>
          </w:p>
        </w:tc>
        <w:tc>
          <w:tcPr>
            <w:tcW w:w="833" w:type="pct"/>
            <w:tcBorders>
              <w:top w:val="single" w:sz="6" w:space="0" w:color="auto"/>
              <w:left w:val="single" w:sz="6" w:space="0" w:color="auto"/>
              <w:bottom w:val="single" w:sz="6" w:space="0" w:color="auto"/>
              <w:right w:val="single" w:sz="6" w:space="0" w:color="auto"/>
            </w:tcBorders>
            <w:vAlign w:val="center"/>
          </w:tcPr>
          <w:p w14:paraId="4E225E92" w14:textId="74A33580" w:rsidR="00DF6159" w:rsidRPr="00236418" w:rsidRDefault="00EB53D7" w:rsidP="009B3D24">
            <w:pPr>
              <w:pStyle w:val="TableText0"/>
              <w:keepNext/>
              <w:keepLines/>
              <w:jc w:val="center"/>
              <w:rPr>
                <w:rFonts w:ascii="Calibri" w:hAnsi="Calibri"/>
                <w:szCs w:val="22"/>
              </w:rPr>
            </w:pPr>
            <w:r w:rsidRPr="00236418">
              <w:rPr>
                <w:rFonts w:ascii="Calibri" w:hAnsi="Calibri"/>
                <w:szCs w:val="22"/>
              </w:rPr>
              <w:t>26</w:t>
            </w:r>
          </w:p>
        </w:tc>
        <w:tc>
          <w:tcPr>
            <w:tcW w:w="833" w:type="pct"/>
            <w:tcBorders>
              <w:top w:val="single" w:sz="6" w:space="0" w:color="auto"/>
              <w:left w:val="single" w:sz="6" w:space="0" w:color="auto"/>
              <w:bottom w:val="single" w:sz="6" w:space="0" w:color="auto"/>
              <w:right w:val="single" w:sz="6" w:space="0" w:color="auto"/>
            </w:tcBorders>
            <w:vAlign w:val="center"/>
          </w:tcPr>
          <w:p w14:paraId="1792F1F7" w14:textId="00096D61" w:rsidR="00DF6159" w:rsidRPr="00236418" w:rsidRDefault="00EB53D7" w:rsidP="009B3D24">
            <w:pPr>
              <w:pStyle w:val="TableText0"/>
              <w:keepNext/>
              <w:keepLines/>
              <w:jc w:val="center"/>
              <w:rPr>
                <w:rFonts w:ascii="Calibri" w:hAnsi="Calibri"/>
                <w:szCs w:val="22"/>
              </w:rPr>
            </w:pPr>
            <w:r w:rsidRPr="00236418">
              <w:rPr>
                <w:rFonts w:ascii="Calibri" w:hAnsi="Calibri"/>
                <w:szCs w:val="22"/>
              </w:rPr>
              <w:t>715</w:t>
            </w:r>
          </w:p>
        </w:tc>
      </w:tr>
    </w:tbl>
    <w:p w14:paraId="2BC2899B" w14:textId="6F223035" w:rsidR="00DF6159" w:rsidRPr="00236418" w:rsidRDefault="00DF6159" w:rsidP="009B3D24">
      <w:pPr>
        <w:pStyle w:val="Tabletitle"/>
        <w:spacing w:before="240" w:after="240"/>
      </w:pPr>
      <w:bookmarkStart w:id="1816" w:name="_Toc329178794"/>
      <w:bookmarkStart w:id="1817" w:name="_Toc329181767"/>
      <w:r w:rsidRPr="00236418">
        <w:t xml:space="preserve">Nombre de prestations servies au cours de l'exercice financier </w:t>
      </w:r>
      <w:r w:rsidRPr="00236418">
        <w:br/>
        <w:t xml:space="preserve">se terminant au 31 décembre </w:t>
      </w:r>
      <w:bookmarkEnd w:id="1816"/>
      <w:bookmarkEnd w:id="1817"/>
      <w:r w:rsidRPr="00236418">
        <w:t>201</w:t>
      </w:r>
      <w:r w:rsidR="00EB53D7" w:rsidRPr="00236418">
        <w:t>9</w:t>
      </w:r>
    </w:p>
    <w:tbl>
      <w:tblPr>
        <w:tblW w:w="5000" w:type="pct"/>
        <w:jc w:val="center"/>
        <w:tblCellMar>
          <w:left w:w="79" w:type="dxa"/>
          <w:right w:w="79" w:type="dxa"/>
        </w:tblCellMar>
        <w:tblLook w:val="04A0" w:firstRow="1" w:lastRow="0" w:firstColumn="1" w:lastColumn="0" w:noHBand="0" w:noVBand="1"/>
        <w:tblCaption w:val="Nombre de prestations servies au cours de l'exercice financier se terminant au 31 décembre 2015"/>
      </w:tblPr>
      <w:tblGrid>
        <w:gridCol w:w="1539"/>
        <w:gridCol w:w="1372"/>
        <w:gridCol w:w="1372"/>
        <w:gridCol w:w="1372"/>
        <w:gridCol w:w="1372"/>
        <w:gridCol w:w="1303"/>
        <w:gridCol w:w="1293"/>
      </w:tblGrid>
      <w:tr w:rsidR="00DF6159" w:rsidRPr="00236418" w14:paraId="192A6B05" w14:textId="77777777" w:rsidTr="006538EB">
        <w:trPr>
          <w:cantSplit/>
          <w:jc w:val="center"/>
        </w:trPr>
        <w:tc>
          <w:tcPr>
            <w:tcW w:w="799" w:type="pct"/>
            <w:vMerge w:val="restart"/>
            <w:tcBorders>
              <w:top w:val="single" w:sz="6" w:space="0" w:color="auto"/>
              <w:left w:val="single" w:sz="6" w:space="0" w:color="auto"/>
              <w:right w:val="single" w:sz="6" w:space="0" w:color="auto"/>
            </w:tcBorders>
            <w:vAlign w:val="center"/>
            <w:hideMark/>
          </w:tcPr>
          <w:p w14:paraId="6125D64C" w14:textId="77777777" w:rsidR="00DF6159" w:rsidRPr="00236418" w:rsidRDefault="00DF6159" w:rsidP="009B3D24">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de retraite</w:t>
            </w:r>
          </w:p>
        </w:tc>
        <w:tc>
          <w:tcPr>
            <w:tcW w:w="713" w:type="pct"/>
            <w:vMerge w:val="restart"/>
            <w:tcBorders>
              <w:top w:val="single" w:sz="6" w:space="0" w:color="auto"/>
              <w:left w:val="single" w:sz="6" w:space="0" w:color="auto"/>
              <w:right w:val="single" w:sz="6" w:space="0" w:color="auto"/>
            </w:tcBorders>
            <w:vAlign w:val="center"/>
            <w:hideMark/>
          </w:tcPr>
          <w:p w14:paraId="039B1D65" w14:textId="77777777" w:rsidR="00DF6159" w:rsidRPr="00236418" w:rsidRDefault="00DF6159" w:rsidP="009B3D24">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d'invalidité</w:t>
            </w:r>
          </w:p>
        </w:tc>
        <w:tc>
          <w:tcPr>
            <w:tcW w:w="713" w:type="pct"/>
            <w:vMerge w:val="restart"/>
            <w:tcBorders>
              <w:top w:val="single" w:sz="6" w:space="0" w:color="auto"/>
              <w:left w:val="single" w:sz="6" w:space="0" w:color="auto"/>
              <w:right w:val="single" w:sz="6" w:space="0" w:color="auto"/>
            </w:tcBorders>
            <w:vAlign w:val="center"/>
            <w:hideMark/>
          </w:tcPr>
          <w:p w14:paraId="70C361DD" w14:textId="77777777" w:rsidR="00DF6159" w:rsidRPr="00236418" w:rsidRDefault="00DF6159" w:rsidP="009B3D24">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de réversion</w:t>
            </w:r>
          </w:p>
        </w:tc>
        <w:tc>
          <w:tcPr>
            <w:tcW w:w="713" w:type="pct"/>
            <w:vMerge w:val="restart"/>
            <w:tcBorders>
              <w:top w:val="single" w:sz="6" w:space="0" w:color="auto"/>
              <w:left w:val="single" w:sz="6" w:space="0" w:color="auto"/>
              <w:right w:val="single" w:sz="6" w:space="0" w:color="auto"/>
            </w:tcBorders>
            <w:vAlign w:val="center"/>
            <w:hideMark/>
          </w:tcPr>
          <w:p w14:paraId="128E41A4" w14:textId="77777777" w:rsidR="00DF6159" w:rsidRPr="00236418" w:rsidRDefault="00DF6159" w:rsidP="009B3D24">
            <w:pPr>
              <w:pStyle w:val="TableHead0"/>
              <w:keepNext w:val="0"/>
              <w:spacing w:before="20" w:after="20"/>
              <w:rPr>
                <w:rFonts w:ascii="Calibri" w:hAnsi="Calibri"/>
                <w:bCs/>
                <w:szCs w:val="22"/>
              </w:rPr>
            </w:pPr>
            <w:r w:rsidRPr="00236418">
              <w:rPr>
                <w:rFonts w:ascii="Calibri" w:hAnsi="Calibri"/>
                <w:bCs/>
                <w:szCs w:val="22"/>
              </w:rPr>
              <w:t>Pensions</w:t>
            </w:r>
            <w:r w:rsidRPr="00236418">
              <w:rPr>
                <w:rFonts w:ascii="Calibri" w:hAnsi="Calibri"/>
                <w:bCs/>
                <w:szCs w:val="22"/>
              </w:rPr>
              <w:br/>
              <w:t>d'enfant</w:t>
            </w:r>
          </w:p>
        </w:tc>
        <w:tc>
          <w:tcPr>
            <w:tcW w:w="713" w:type="pct"/>
            <w:vMerge w:val="restart"/>
            <w:tcBorders>
              <w:top w:val="single" w:sz="6" w:space="0" w:color="auto"/>
              <w:left w:val="single" w:sz="6" w:space="0" w:color="auto"/>
              <w:right w:val="single" w:sz="6" w:space="0" w:color="auto"/>
            </w:tcBorders>
            <w:vAlign w:val="center"/>
            <w:hideMark/>
          </w:tcPr>
          <w:p w14:paraId="7678E8D9" w14:textId="77777777" w:rsidR="00DF6159" w:rsidRPr="00236418" w:rsidRDefault="00DF6159" w:rsidP="009B3D24">
            <w:pPr>
              <w:pStyle w:val="TableHead0"/>
              <w:keepNext w:val="0"/>
              <w:spacing w:before="20" w:after="20"/>
              <w:rPr>
                <w:rFonts w:ascii="Calibri" w:hAnsi="Calibri"/>
                <w:bCs/>
                <w:szCs w:val="22"/>
              </w:rPr>
            </w:pPr>
            <w:r w:rsidRPr="00236418">
              <w:rPr>
                <w:rFonts w:ascii="Calibri" w:hAnsi="Calibri"/>
                <w:bCs/>
                <w:szCs w:val="22"/>
              </w:rPr>
              <w:t>Autres</w:t>
            </w:r>
            <w:r w:rsidRPr="00236418">
              <w:rPr>
                <w:rFonts w:ascii="Calibri" w:hAnsi="Calibri"/>
                <w:bCs/>
                <w:szCs w:val="22"/>
              </w:rPr>
              <w:br/>
              <w:t>prestations</w:t>
            </w:r>
          </w:p>
        </w:tc>
        <w:tc>
          <w:tcPr>
            <w:tcW w:w="1348" w:type="pct"/>
            <w:gridSpan w:val="2"/>
            <w:tcBorders>
              <w:top w:val="single" w:sz="6" w:space="0" w:color="auto"/>
              <w:left w:val="single" w:sz="6" w:space="0" w:color="auto"/>
              <w:bottom w:val="single" w:sz="6" w:space="0" w:color="auto"/>
              <w:right w:val="single" w:sz="6" w:space="0" w:color="auto"/>
            </w:tcBorders>
          </w:tcPr>
          <w:p w14:paraId="1789B67C" w14:textId="77777777" w:rsidR="00DF6159" w:rsidRPr="00236418" w:rsidRDefault="00DF6159" w:rsidP="009B3D24">
            <w:pPr>
              <w:pStyle w:val="TableHead0"/>
              <w:spacing w:before="0"/>
              <w:rPr>
                <w:rFonts w:ascii="Calibri" w:hAnsi="Calibri"/>
                <w:bCs/>
                <w:szCs w:val="22"/>
              </w:rPr>
            </w:pPr>
          </w:p>
        </w:tc>
      </w:tr>
      <w:tr w:rsidR="00DF6159" w:rsidRPr="00236418" w14:paraId="494C70D6" w14:textId="77777777" w:rsidTr="006538EB">
        <w:trPr>
          <w:cantSplit/>
          <w:jc w:val="center"/>
        </w:trPr>
        <w:tc>
          <w:tcPr>
            <w:tcW w:w="799" w:type="pct"/>
            <w:vMerge/>
            <w:tcBorders>
              <w:left w:val="single" w:sz="6" w:space="0" w:color="auto"/>
              <w:bottom w:val="single" w:sz="6" w:space="0" w:color="auto"/>
              <w:right w:val="single" w:sz="6" w:space="0" w:color="auto"/>
            </w:tcBorders>
          </w:tcPr>
          <w:p w14:paraId="0B586C98" w14:textId="77777777" w:rsidR="00DF6159" w:rsidRPr="00236418"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5A4ACB86" w14:textId="77777777" w:rsidR="00DF6159" w:rsidRPr="00236418"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026EB863" w14:textId="77777777" w:rsidR="00DF6159" w:rsidRPr="00236418"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6CA4663C" w14:textId="77777777" w:rsidR="00DF6159" w:rsidRPr="00236418"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79F2F572" w14:textId="77777777" w:rsidR="00DF6159" w:rsidRPr="00236418" w:rsidRDefault="00DF6159" w:rsidP="009B3D24">
            <w:pPr>
              <w:pStyle w:val="TableHead0"/>
              <w:spacing w:before="0"/>
              <w:rPr>
                <w:rFonts w:ascii="Calibri" w:hAnsi="Calibri"/>
                <w:bCs/>
                <w:szCs w:val="22"/>
              </w:rPr>
            </w:pPr>
          </w:p>
        </w:tc>
        <w:tc>
          <w:tcPr>
            <w:tcW w:w="677" w:type="pct"/>
            <w:tcBorders>
              <w:top w:val="single" w:sz="6" w:space="0" w:color="auto"/>
              <w:left w:val="single" w:sz="6" w:space="0" w:color="auto"/>
              <w:bottom w:val="single" w:sz="6" w:space="0" w:color="auto"/>
              <w:right w:val="single" w:sz="6" w:space="0" w:color="auto"/>
            </w:tcBorders>
            <w:vAlign w:val="center"/>
            <w:hideMark/>
          </w:tcPr>
          <w:p w14:paraId="78BF0BAC" w14:textId="77777777" w:rsidR="00DF6159" w:rsidRPr="00236418" w:rsidRDefault="00DF6159" w:rsidP="009B3D24">
            <w:pPr>
              <w:pStyle w:val="TableHead0"/>
              <w:keepNext w:val="0"/>
              <w:spacing w:before="20" w:after="20"/>
              <w:rPr>
                <w:rFonts w:ascii="Calibri" w:hAnsi="Calibri"/>
                <w:bCs/>
                <w:szCs w:val="22"/>
              </w:rPr>
            </w:pPr>
            <w:r w:rsidRPr="00236418">
              <w:rPr>
                <w:rFonts w:ascii="Calibri" w:hAnsi="Calibri"/>
                <w:bCs/>
                <w:szCs w:val="22"/>
              </w:rPr>
              <w:t>Rentes différées</w:t>
            </w:r>
          </w:p>
        </w:tc>
        <w:tc>
          <w:tcPr>
            <w:tcW w:w="672" w:type="pct"/>
            <w:tcBorders>
              <w:top w:val="single" w:sz="6" w:space="0" w:color="auto"/>
              <w:left w:val="single" w:sz="6" w:space="0" w:color="auto"/>
              <w:bottom w:val="single" w:sz="6" w:space="0" w:color="auto"/>
              <w:right w:val="single" w:sz="6" w:space="0" w:color="auto"/>
            </w:tcBorders>
            <w:vAlign w:val="center"/>
            <w:hideMark/>
          </w:tcPr>
          <w:p w14:paraId="542FD007" w14:textId="77777777" w:rsidR="00DF6159" w:rsidRPr="00236418" w:rsidRDefault="00DF6159" w:rsidP="009B3D24">
            <w:pPr>
              <w:pStyle w:val="TableHead0"/>
              <w:keepNext w:val="0"/>
              <w:spacing w:before="20" w:after="20"/>
              <w:rPr>
                <w:rFonts w:ascii="Calibri" w:hAnsi="Calibri"/>
                <w:bCs/>
                <w:szCs w:val="22"/>
              </w:rPr>
            </w:pPr>
            <w:r w:rsidRPr="00236418">
              <w:rPr>
                <w:rFonts w:ascii="Calibri" w:hAnsi="Calibri"/>
                <w:bCs/>
                <w:szCs w:val="22"/>
              </w:rPr>
              <w:t>TOTAL</w:t>
            </w:r>
          </w:p>
        </w:tc>
      </w:tr>
      <w:tr w:rsidR="00DF6159" w:rsidRPr="00236418" w14:paraId="063B7B2C" w14:textId="77777777" w:rsidTr="006538EB">
        <w:trPr>
          <w:cantSplit/>
          <w:jc w:val="center"/>
        </w:trPr>
        <w:tc>
          <w:tcPr>
            <w:tcW w:w="799" w:type="pct"/>
            <w:tcBorders>
              <w:top w:val="single" w:sz="6" w:space="0" w:color="auto"/>
              <w:left w:val="single" w:sz="6" w:space="0" w:color="auto"/>
              <w:bottom w:val="single" w:sz="6" w:space="0" w:color="auto"/>
              <w:right w:val="single" w:sz="6" w:space="0" w:color="auto"/>
            </w:tcBorders>
            <w:vAlign w:val="center"/>
          </w:tcPr>
          <w:p w14:paraId="1491A8D9" w14:textId="3B0F6E6F" w:rsidR="00DF6159" w:rsidRPr="00236418" w:rsidRDefault="00DF6159" w:rsidP="009B3D24">
            <w:pPr>
              <w:pStyle w:val="TableText0"/>
              <w:jc w:val="center"/>
              <w:rPr>
                <w:rFonts w:ascii="Calibri" w:hAnsi="Calibri"/>
                <w:szCs w:val="22"/>
              </w:rPr>
            </w:pPr>
            <w:r w:rsidRPr="00236418">
              <w:rPr>
                <w:rFonts w:ascii="Calibri" w:hAnsi="Calibri"/>
                <w:szCs w:val="22"/>
              </w:rPr>
              <w:t>8</w:t>
            </w:r>
            <w:r w:rsidR="00EB53D7" w:rsidRPr="00236418">
              <w:rPr>
                <w:rFonts w:ascii="Calibri" w:hAnsi="Calibri"/>
                <w:szCs w:val="22"/>
              </w:rPr>
              <w:t>17</w:t>
            </w:r>
          </w:p>
        </w:tc>
        <w:tc>
          <w:tcPr>
            <w:tcW w:w="713" w:type="pct"/>
            <w:tcBorders>
              <w:top w:val="single" w:sz="6" w:space="0" w:color="auto"/>
              <w:left w:val="single" w:sz="6" w:space="0" w:color="auto"/>
              <w:bottom w:val="single" w:sz="6" w:space="0" w:color="auto"/>
              <w:right w:val="single" w:sz="6" w:space="0" w:color="auto"/>
            </w:tcBorders>
            <w:vAlign w:val="center"/>
          </w:tcPr>
          <w:p w14:paraId="33073DE9" w14:textId="1B42431B" w:rsidR="00DF6159" w:rsidRPr="00236418" w:rsidRDefault="00EB53D7" w:rsidP="009B3D24">
            <w:pPr>
              <w:pStyle w:val="TableText0"/>
              <w:jc w:val="center"/>
              <w:rPr>
                <w:rFonts w:ascii="Calibri" w:hAnsi="Calibri"/>
                <w:szCs w:val="22"/>
              </w:rPr>
            </w:pPr>
            <w:r w:rsidRPr="00236418">
              <w:rPr>
                <w:rFonts w:ascii="Calibri" w:hAnsi="Calibri"/>
                <w:szCs w:val="22"/>
              </w:rPr>
              <w:t>37</w:t>
            </w:r>
          </w:p>
        </w:tc>
        <w:tc>
          <w:tcPr>
            <w:tcW w:w="713" w:type="pct"/>
            <w:tcBorders>
              <w:top w:val="single" w:sz="6" w:space="0" w:color="auto"/>
              <w:left w:val="single" w:sz="6" w:space="0" w:color="auto"/>
              <w:bottom w:val="single" w:sz="6" w:space="0" w:color="auto"/>
              <w:right w:val="single" w:sz="6" w:space="0" w:color="auto"/>
            </w:tcBorders>
            <w:vAlign w:val="center"/>
          </w:tcPr>
          <w:p w14:paraId="37DEEC83" w14:textId="3CA5B8F3" w:rsidR="00DF6159" w:rsidRPr="00236418" w:rsidRDefault="00DF6159" w:rsidP="009B3D24">
            <w:pPr>
              <w:pStyle w:val="TableText0"/>
              <w:jc w:val="center"/>
              <w:rPr>
                <w:rFonts w:ascii="Calibri" w:hAnsi="Calibri"/>
                <w:szCs w:val="22"/>
              </w:rPr>
            </w:pPr>
            <w:r w:rsidRPr="00236418">
              <w:rPr>
                <w:rFonts w:ascii="Calibri" w:hAnsi="Calibri"/>
                <w:szCs w:val="22"/>
              </w:rPr>
              <w:t>20</w:t>
            </w:r>
            <w:r w:rsidR="00EB53D7" w:rsidRPr="00236418">
              <w:rPr>
                <w:rFonts w:ascii="Calibri" w:hAnsi="Calibri"/>
                <w:szCs w:val="22"/>
              </w:rPr>
              <w:t>3</w:t>
            </w:r>
          </w:p>
        </w:tc>
        <w:tc>
          <w:tcPr>
            <w:tcW w:w="713" w:type="pct"/>
            <w:tcBorders>
              <w:top w:val="single" w:sz="6" w:space="0" w:color="auto"/>
              <w:left w:val="single" w:sz="6" w:space="0" w:color="auto"/>
              <w:bottom w:val="single" w:sz="6" w:space="0" w:color="auto"/>
              <w:right w:val="single" w:sz="6" w:space="0" w:color="auto"/>
            </w:tcBorders>
            <w:vAlign w:val="center"/>
          </w:tcPr>
          <w:p w14:paraId="7E242165" w14:textId="6A3BD558" w:rsidR="00DF6159" w:rsidRPr="00236418" w:rsidRDefault="00EB53D7" w:rsidP="009B3D24">
            <w:pPr>
              <w:pStyle w:val="TableText0"/>
              <w:jc w:val="center"/>
              <w:rPr>
                <w:rFonts w:ascii="Calibri" w:hAnsi="Calibri"/>
                <w:szCs w:val="22"/>
              </w:rPr>
            </w:pPr>
            <w:r w:rsidRPr="00236418">
              <w:rPr>
                <w:rFonts w:ascii="Calibri" w:hAnsi="Calibri"/>
                <w:szCs w:val="22"/>
              </w:rPr>
              <w:t>66</w:t>
            </w:r>
          </w:p>
        </w:tc>
        <w:tc>
          <w:tcPr>
            <w:tcW w:w="713" w:type="pct"/>
            <w:tcBorders>
              <w:top w:val="single" w:sz="6" w:space="0" w:color="auto"/>
              <w:left w:val="single" w:sz="6" w:space="0" w:color="auto"/>
              <w:bottom w:val="single" w:sz="6" w:space="0" w:color="auto"/>
              <w:right w:val="single" w:sz="6" w:space="0" w:color="auto"/>
            </w:tcBorders>
            <w:vAlign w:val="center"/>
          </w:tcPr>
          <w:p w14:paraId="4B222EA7" w14:textId="77777777" w:rsidR="00DF6159" w:rsidRPr="00236418" w:rsidRDefault="00DF6159" w:rsidP="009B3D24">
            <w:pPr>
              <w:pStyle w:val="TableText0"/>
              <w:jc w:val="center"/>
              <w:rPr>
                <w:rFonts w:ascii="Calibri" w:hAnsi="Calibri"/>
                <w:szCs w:val="22"/>
              </w:rPr>
            </w:pPr>
            <w:r w:rsidRPr="00236418">
              <w:rPr>
                <w:rFonts w:ascii="Calibri" w:hAnsi="Calibri"/>
                <w:szCs w:val="22"/>
              </w:rPr>
              <w:t>0</w:t>
            </w:r>
          </w:p>
        </w:tc>
        <w:tc>
          <w:tcPr>
            <w:tcW w:w="677" w:type="pct"/>
            <w:tcBorders>
              <w:top w:val="single" w:sz="6" w:space="0" w:color="auto"/>
              <w:left w:val="single" w:sz="6" w:space="0" w:color="auto"/>
              <w:bottom w:val="single" w:sz="6" w:space="0" w:color="auto"/>
              <w:right w:val="single" w:sz="6" w:space="0" w:color="auto"/>
            </w:tcBorders>
            <w:vAlign w:val="center"/>
          </w:tcPr>
          <w:p w14:paraId="7964AC62" w14:textId="7A9D48F1" w:rsidR="00DF6159" w:rsidRPr="00236418" w:rsidRDefault="00DF6159" w:rsidP="009B3D24">
            <w:pPr>
              <w:pStyle w:val="TableText0"/>
              <w:jc w:val="center"/>
              <w:rPr>
                <w:rFonts w:ascii="Calibri" w:hAnsi="Calibri"/>
                <w:szCs w:val="22"/>
              </w:rPr>
            </w:pPr>
            <w:r w:rsidRPr="00236418">
              <w:rPr>
                <w:rFonts w:ascii="Calibri" w:hAnsi="Calibri"/>
                <w:szCs w:val="22"/>
              </w:rPr>
              <w:t>1</w:t>
            </w:r>
            <w:r w:rsidR="00EB53D7" w:rsidRPr="00236418">
              <w:rPr>
                <w:rFonts w:ascii="Calibri" w:hAnsi="Calibri"/>
                <w:szCs w:val="22"/>
              </w:rPr>
              <w:t>07</w:t>
            </w:r>
          </w:p>
        </w:tc>
        <w:tc>
          <w:tcPr>
            <w:tcW w:w="672" w:type="pct"/>
            <w:tcBorders>
              <w:top w:val="single" w:sz="6" w:space="0" w:color="auto"/>
              <w:left w:val="single" w:sz="6" w:space="0" w:color="auto"/>
              <w:bottom w:val="single" w:sz="6" w:space="0" w:color="auto"/>
              <w:right w:val="single" w:sz="6" w:space="0" w:color="auto"/>
            </w:tcBorders>
            <w:vAlign w:val="center"/>
          </w:tcPr>
          <w:p w14:paraId="26362523" w14:textId="40039502" w:rsidR="00DF6159" w:rsidRPr="00236418" w:rsidRDefault="00DF6159" w:rsidP="009B3D24">
            <w:pPr>
              <w:pStyle w:val="TableText0"/>
              <w:jc w:val="center"/>
              <w:rPr>
                <w:rFonts w:ascii="Calibri" w:hAnsi="Calibri"/>
                <w:szCs w:val="22"/>
              </w:rPr>
            </w:pPr>
            <w:r w:rsidRPr="00236418">
              <w:rPr>
                <w:rFonts w:ascii="Calibri" w:hAnsi="Calibri"/>
                <w:szCs w:val="22"/>
              </w:rPr>
              <w:t>1 2</w:t>
            </w:r>
            <w:r w:rsidR="00EB53D7" w:rsidRPr="00236418">
              <w:rPr>
                <w:rFonts w:ascii="Calibri" w:hAnsi="Calibri"/>
                <w:szCs w:val="22"/>
              </w:rPr>
              <w:t>30</w:t>
            </w:r>
          </w:p>
        </w:tc>
      </w:tr>
    </w:tbl>
    <w:p w14:paraId="32F0F717" w14:textId="72FCF2C3" w:rsidR="00DF6159" w:rsidRPr="00236418" w:rsidRDefault="00DF6159" w:rsidP="009B3D24">
      <w:pPr>
        <w:pStyle w:val="Tabletitle"/>
        <w:spacing w:before="360" w:after="40"/>
      </w:pPr>
      <w:r w:rsidRPr="00236418">
        <w:t xml:space="preserve">Récapitulation des contributions versées à la Caisse pour la période </w:t>
      </w:r>
      <w:r w:rsidRPr="00236418">
        <w:br/>
        <w:t>comprise entre le 1er janvier et le 31 décembre 201</w:t>
      </w:r>
      <w:r w:rsidR="00EB53D7" w:rsidRPr="00236418">
        <w:t>9</w:t>
      </w:r>
    </w:p>
    <w:p w14:paraId="6143F85B" w14:textId="728957E3" w:rsidR="00DF6159" w:rsidRPr="00236418" w:rsidRDefault="00DF6159" w:rsidP="009B3D24">
      <w:pPr>
        <w:keepNext/>
        <w:spacing w:before="0" w:after="240"/>
        <w:jc w:val="center"/>
        <w:rPr>
          <w:b/>
          <w:bCs/>
          <w:szCs w:val="24"/>
        </w:rPr>
      </w:pPr>
      <w:r w:rsidRPr="00236418">
        <w:rPr>
          <w:b/>
          <w:bCs/>
          <w:szCs w:val="24"/>
        </w:rPr>
        <w:t>Dollars des États</w:t>
      </w:r>
      <w:r w:rsidR="0020662C" w:rsidRPr="00236418">
        <w:rPr>
          <w:b/>
          <w:bCs/>
          <w:szCs w:val="24"/>
        </w:rPr>
        <w:t>-</w:t>
      </w:r>
      <w:r w:rsidRPr="00236418">
        <w:rPr>
          <w:b/>
          <w:bCs/>
          <w:szCs w:val="24"/>
        </w:rPr>
        <w:t>Unis</w:t>
      </w:r>
    </w:p>
    <w:tbl>
      <w:tblPr>
        <w:tblW w:w="4998" w:type="pct"/>
        <w:jc w:val="center"/>
        <w:tblCellMar>
          <w:left w:w="107" w:type="dxa"/>
          <w:right w:w="107" w:type="dxa"/>
        </w:tblCellMar>
        <w:tblLook w:val="04A0" w:firstRow="1" w:lastRow="0" w:firstColumn="1" w:lastColumn="0" w:noHBand="0" w:noVBand="1"/>
        <w:tblCaption w:val="N"/>
      </w:tblPr>
      <w:tblGrid>
        <w:gridCol w:w="2949"/>
        <w:gridCol w:w="1720"/>
        <w:gridCol w:w="1704"/>
        <w:gridCol w:w="1624"/>
        <w:gridCol w:w="1622"/>
      </w:tblGrid>
      <w:tr w:rsidR="00EB53D7" w:rsidRPr="00236418" w14:paraId="7589568F" w14:textId="77777777" w:rsidTr="00EB53D7">
        <w:trPr>
          <w:cantSplit/>
          <w:jc w:val="center"/>
        </w:trPr>
        <w:tc>
          <w:tcPr>
            <w:tcW w:w="1533" w:type="pct"/>
            <w:tcBorders>
              <w:top w:val="single" w:sz="6" w:space="0" w:color="auto"/>
              <w:left w:val="single" w:sz="6" w:space="0" w:color="auto"/>
              <w:bottom w:val="single" w:sz="6" w:space="0" w:color="auto"/>
              <w:right w:val="single" w:sz="6" w:space="0" w:color="auto"/>
            </w:tcBorders>
            <w:hideMark/>
          </w:tcPr>
          <w:p w14:paraId="079BB472" w14:textId="77777777" w:rsidR="00EB53D7" w:rsidRPr="00236418" w:rsidRDefault="00EB53D7" w:rsidP="009B3D24">
            <w:pPr>
              <w:pStyle w:val="Tablehead"/>
              <w:spacing w:before="20" w:after="20"/>
            </w:pPr>
            <w:r w:rsidRPr="00236418">
              <w:t>Nature des contributions</w:t>
            </w:r>
          </w:p>
        </w:tc>
        <w:tc>
          <w:tcPr>
            <w:tcW w:w="894" w:type="pct"/>
            <w:tcBorders>
              <w:top w:val="single" w:sz="6" w:space="0" w:color="auto"/>
              <w:left w:val="single" w:sz="6" w:space="0" w:color="auto"/>
              <w:bottom w:val="single" w:sz="6" w:space="0" w:color="auto"/>
              <w:right w:val="single" w:sz="6" w:space="0" w:color="auto"/>
            </w:tcBorders>
            <w:hideMark/>
          </w:tcPr>
          <w:p w14:paraId="7B6636C7" w14:textId="77777777" w:rsidR="00EB53D7" w:rsidRPr="00236418" w:rsidRDefault="00EB53D7" w:rsidP="009B3D24">
            <w:pPr>
              <w:pStyle w:val="Tablehead"/>
              <w:spacing w:before="20" w:after="20"/>
            </w:pPr>
            <w:r w:rsidRPr="00236418">
              <w:t>Contributions normales</w:t>
            </w:r>
          </w:p>
        </w:tc>
        <w:tc>
          <w:tcPr>
            <w:tcW w:w="886" w:type="pct"/>
            <w:tcBorders>
              <w:top w:val="single" w:sz="6" w:space="0" w:color="auto"/>
              <w:left w:val="single" w:sz="6" w:space="0" w:color="auto"/>
              <w:bottom w:val="single" w:sz="6" w:space="0" w:color="auto"/>
              <w:right w:val="single" w:sz="6" w:space="0" w:color="auto"/>
            </w:tcBorders>
            <w:hideMark/>
          </w:tcPr>
          <w:p w14:paraId="1B50676E" w14:textId="77777777" w:rsidR="00EB53D7" w:rsidRPr="00236418" w:rsidRDefault="00EB53D7" w:rsidP="009B3D24">
            <w:pPr>
              <w:pStyle w:val="Tablehead"/>
              <w:spacing w:before="20" w:after="20"/>
            </w:pPr>
            <w:r w:rsidRPr="00236418">
              <w:t xml:space="preserve">Contributions </w:t>
            </w:r>
            <w:r w:rsidRPr="00236418">
              <w:br/>
              <w:t xml:space="preserve">pour validation </w:t>
            </w:r>
            <w:r w:rsidRPr="00236418">
              <w:br/>
              <w:t>de service</w:t>
            </w:r>
          </w:p>
        </w:tc>
        <w:tc>
          <w:tcPr>
            <w:tcW w:w="844" w:type="pct"/>
            <w:tcBorders>
              <w:top w:val="single" w:sz="6" w:space="0" w:color="auto"/>
              <w:left w:val="single" w:sz="6" w:space="0" w:color="auto"/>
              <w:bottom w:val="single" w:sz="6" w:space="0" w:color="auto"/>
              <w:right w:val="single" w:sz="6" w:space="0" w:color="auto"/>
            </w:tcBorders>
          </w:tcPr>
          <w:p w14:paraId="1855BF2D" w14:textId="559907DB" w:rsidR="00EB53D7" w:rsidRPr="00236418" w:rsidRDefault="007A0694" w:rsidP="009B3D24">
            <w:pPr>
              <w:pStyle w:val="Tablehead"/>
              <w:spacing w:before="20" w:after="20"/>
            </w:pPr>
            <w:r w:rsidRPr="00236418">
              <w:rPr>
                <w:bCs/>
              </w:rPr>
              <w:t>Contributions volontaires</w:t>
            </w:r>
          </w:p>
        </w:tc>
        <w:tc>
          <w:tcPr>
            <w:tcW w:w="843" w:type="pct"/>
            <w:tcBorders>
              <w:top w:val="single" w:sz="6" w:space="0" w:color="auto"/>
              <w:left w:val="single" w:sz="6" w:space="0" w:color="auto"/>
              <w:bottom w:val="single" w:sz="6" w:space="0" w:color="auto"/>
              <w:right w:val="single" w:sz="6" w:space="0" w:color="auto"/>
            </w:tcBorders>
            <w:hideMark/>
          </w:tcPr>
          <w:p w14:paraId="769CB99B" w14:textId="74706EC0" w:rsidR="00EB53D7" w:rsidRPr="00236418" w:rsidRDefault="00EB53D7" w:rsidP="009B3D24">
            <w:pPr>
              <w:pStyle w:val="Tablehead"/>
              <w:spacing w:before="20" w:after="20"/>
            </w:pPr>
            <w:r w:rsidRPr="00236418">
              <w:t>Total</w:t>
            </w:r>
          </w:p>
        </w:tc>
      </w:tr>
      <w:tr w:rsidR="00EB53D7" w:rsidRPr="00236418" w14:paraId="0D0F5C62" w14:textId="77777777" w:rsidTr="00EB53D7">
        <w:trPr>
          <w:cantSplit/>
          <w:trHeight w:val="168"/>
          <w:jc w:val="center"/>
        </w:trPr>
        <w:tc>
          <w:tcPr>
            <w:tcW w:w="1533" w:type="pct"/>
            <w:tcBorders>
              <w:top w:val="single" w:sz="6" w:space="0" w:color="auto"/>
              <w:left w:val="single" w:sz="6" w:space="0" w:color="auto"/>
              <w:bottom w:val="single" w:sz="6" w:space="0" w:color="auto"/>
              <w:right w:val="single" w:sz="6" w:space="0" w:color="auto"/>
            </w:tcBorders>
            <w:hideMark/>
          </w:tcPr>
          <w:p w14:paraId="30CA917A" w14:textId="77777777" w:rsidR="00EB53D7" w:rsidRPr="00236418" w:rsidRDefault="00EB53D7" w:rsidP="009B3D24">
            <w:pPr>
              <w:pStyle w:val="TableText0"/>
              <w:rPr>
                <w:rFonts w:asciiTheme="minorHAnsi" w:hAnsiTheme="minorHAnsi"/>
              </w:rPr>
            </w:pPr>
            <w:r w:rsidRPr="00236418">
              <w:rPr>
                <w:rFonts w:asciiTheme="minorHAnsi" w:hAnsiTheme="minorHAnsi"/>
              </w:rPr>
              <w:t>Contributions des participants</w:t>
            </w:r>
          </w:p>
        </w:tc>
        <w:tc>
          <w:tcPr>
            <w:tcW w:w="894" w:type="pct"/>
            <w:tcBorders>
              <w:top w:val="single" w:sz="6" w:space="0" w:color="auto"/>
              <w:left w:val="single" w:sz="6" w:space="0" w:color="auto"/>
              <w:bottom w:val="single" w:sz="6" w:space="0" w:color="auto"/>
              <w:right w:val="single" w:sz="6" w:space="0" w:color="auto"/>
            </w:tcBorders>
            <w:vAlign w:val="center"/>
          </w:tcPr>
          <w:p w14:paraId="663BD3F4" w14:textId="62735E59"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236418">
              <w:rPr>
                <w:bCs/>
                <w:sz w:val="20"/>
              </w:rPr>
              <w:t>8 332 114</w:t>
            </w:r>
          </w:p>
        </w:tc>
        <w:tc>
          <w:tcPr>
            <w:tcW w:w="886" w:type="pct"/>
            <w:tcBorders>
              <w:top w:val="single" w:sz="6" w:space="0" w:color="auto"/>
              <w:left w:val="single" w:sz="6" w:space="0" w:color="auto"/>
              <w:bottom w:val="single" w:sz="6" w:space="0" w:color="auto"/>
              <w:right w:val="single" w:sz="6" w:space="0" w:color="auto"/>
            </w:tcBorders>
            <w:vAlign w:val="center"/>
          </w:tcPr>
          <w:p w14:paraId="203F214B" w14:textId="57103A03"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236418">
              <w:rPr>
                <w:bCs/>
                <w:sz w:val="20"/>
              </w:rPr>
              <w:t>15 185</w:t>
            </w:r>
          </w:p>
        </w:tc>
        <w:tc>
          <w:tcPr>
            <w:tcW w:w="844" w:type="pct"/>
            <w:tcBorders>
              <w:top w:val="single" w:sz="6" w:space="0" w:color="auto"/>
              <w:left w:val="single" w:sz="6" w:space="0" w:color="auto"/>
              <w:bottom w:val="single" w:sz="6" w:space="0" w:color="auto"/>
              <w:right w:val="single" w:sz="6" w:space="0" w:color="auto"/>
            </w:tcBorders>
            <w:vAlign w:val="center"/>
          </w:tcPr>
          <w:p w14:paraId="41CDCC7E" w14:textId="2340245E"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236418">
              <w:rPr>
                <w:bCs/>
                <w:sz w:val="20"/>
              </w:rPr>
              <w:t>98 158</w:t>
            </w:r>
          </w:p>
        </w:tc>
        <w:tc>
          <w:tcPr>
            <w:tcW w:w="843" w:type="pct"/>
            <w:tcBorders>
              <w:top w:val="single" w:sz="6" w:space="0" w:color="auto"/>
              <w:left w:val="single" w:sz="6" w:space="0" w:color="auto"/>
              <w:bottom w:val="single" w:sz="6" w:space="0" w:color="auto"/>
              <w:right w:val="single" w:sz="6" w:space="0" w:color="auto"/>
            </w:tcBorders>
            <w:vAlign w:val="center"/>
          </w:tcPr>
          <w:p w14:paraId="30ECF212" w14:textId="515CC21D"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236418">
              <w:rPr>
                <w:bCs/>
                <w:sz w:val="20"/>
              </w:rPr>
              <w:t>8 445 458</w:t>
            </w:r>
          </w:p>
        </w:tc>
      </w:tr>
      <w:tr w:rsidR="00EB53D7" w:rsidRPr="00236418" w14:paraId="43ED1845" w14:textId="77777777" w:rsidTr="00EB53D7">
        <w:trPr>
          <w:cantSplit/>
          <w:jc w:val="center"/>
        </w:trPr>
        <w:tc>
          <w:tcPr>
            <w:tcW w:w="1533" w:type="pct"/>
            <w:tcBorders>
              <w:top w:val="single" w:sz="6" w:space="0" w:color="auto"/>
              <w:left w:val="single" w:sz="6" w:space="0" w:color="auto"/>
              <w:bottom w:val="single" w:sz="6" w:space="0" w:color="auto"/>
              <w:right w:val="single" w:sz="6" w:space="0" w:color="auto"/>
            </w:tcBorders>
            <w:hideMark/>
          </w:tcPr>
          <w:p w14:paraId="2157C5CA" w14:textId="77777777" w:rsidR="00EB53D7" w:rsidRPr="00236418" w:rsidRDefault="00EB53D7" w:rsidP="009B3D24">
            <w:pPr>
              <w:pStyle w:val="TableText0"/>
              <w:rPr>
                <w:rFonts w:asciiTheme="minorHAnsi" w:hAnsiTheme="minorHAnsi"/>
              </w:rPr>
            </w:pPr>
            <w:r w:rsidRPr="00236418">
              <w:rPr>
                <w:rFonts w:asciiTheme="minorHAnsi" w:hAnsiTheme="minorHAnsi"/>
              </w:rPr>
              <w:t>Contributions de l'Union</w:t>
            </w:r>
          </w:p>
        </w:tc>
        <w:tc>
          <w:tcPr>
            <w:tcW w:w="894" w:type="pct"/>
            <w:tcBorders>
              <w:top w:val="single" w:sz="6" w:space="0" w:color="auto"/>
              <w:left w:val="single" w:sz="6" w:space="0" w:color="auto"/>
              <w:bottom w:val="single" w:sz="6" w:space="0" w:color="auto"/>
              <w:right w:val="single" w:sz="6" w:space="0" w:color="auto"/>
            </w:tcBorders>
            <w:vAlign w:val="center"/>
          </w:tcPr>
          <w:p w14:paraId="3F4B93F9" w14:textId="24DC67AE"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236418">
              <w:rPr>
                <w:bCs/>
                <w:sz w:val="20"/>
              </w:rPr>
              <w:t>16 664 229</w:t>
            </w:r>
          </w:p>
        </w:tc>
        <w:tc>
          <w:tcPr>
            <w:tcW w:w="886" w:type="pct"/>
            <w:tcBorders>
              <w:top w:val="single" w:sz="6" w:space="0" w:color="auto"/>
              <w:left w:val="single" w:sz="6" w:space="0" w:color="auto"/>
              <w:bottom w:val="single" w:sz="6" w:space="0" w:color="auto"/>
              <w:right w:val="single" w:sz="6" w:space="0" w:color="auto"/>
            </w:tcBorders>
            <w:vAlign w:val="center"/>
          </w:tcPr>
          <w:p w14:paraId="51789D22" w14:textId="6422DC68"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236418">
              <w:rPr>
                <w:bCs/>
                <w:sz w:val="20"/>
              </w:rPr>
              <w:t>30 370</w:t>
            </w:r>
          </w:p>
        </w:tc>
        <w:tc>
          <w:tcPr>
            <w:tcW w:w="844" w:type="pct"/>
            <w:tcBorders>
              <w:top w:val="single" w:sz="6" w:space="0" w:color="auto"/>
              <w:left w:val="single" w:sz="6" w:space="0" w:color="auto"/>
              <w:bottom w:val="single" w:sz="6" w:space="0" w:color="auto"/>
              <w:right w:val="single" w:sz="6" w:space="0" w:color="auto"/>
            </w:tcBorders>
            <w:vAlign w:val="center"/>
          </w:tcPr>
          <w:p w14:paraId="790EBA2C" w14:textId="77777777"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p>
        </w:tc>
        <w:tc>
          <w:tcPr>
            <w:tcW w:w="843" w:type="pct"/>
            <w:tcBorders>
              <w:top w:val="single" w:sz="6" w:space="0" w:color="auto"/>
              <w:left w:val="single" w:sz="6" w:space="0" w:color="auto"/>
              <w:bottom w:val="single" w:sz="6" w:space="0" w:color="auto"/>
              <w:right w:val="single" w:sz="6" w:space="0" w:color="auto"/>
            </w:tcBorders>
            <w:vAlign w:val="center"/>
          </w:tcPr>
          <w:p w14:paraId="1B310DDA" w14:textId="6DF3BFA3"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236418">
              <w:rPr>
                <w:bCs/>
                <w:sz w:val="20"/>
              </w:rPr>
              <w:t>16 694 599</w:t>
            </w:r>
          </w:p>
        </w:tc>
      </w:tr>
      <w:tr w:rsidR="00EB53D7" w:rsidRPr="00236418" w14:paraId="519DB061" w14:textId="77777777" w:rsidTr="00EB53D7">
        <w:trPr>
          <w:cantSplit/>
          <w:jc w:val="center"/>
        </w:trPr>
        <w:tc>
          <w:tcPr>
            <w:tcW w:w="1533" w:type="pct"/>
            <w:tcBorders>
              <w:top w:val="single" w:sz="6" w:space="0" w:color="auto"/>
              <w:left w:val="single" w:sz="6" w:space="0" w:color="auto"/>
              <w:bottom w:val="single" w:sz="4" w:space="0" w:color="auto"/>
              <w:right w:val="single" w:sz="6" w:space="0" w:color="auto"/>
            </w:tcBorders>
            <w:hideMark/>
          </w:tcPr>
          <w:p w14:paraId="79C8F21E" w14:textId="77777777" w:rsidR="00EB53D7" w:rsidRPr="00236418" w:rsidRDefault="00EB53D7" w:rsidP="009B3D24">
            <w:pPr>
              <w:pStyle w:val="TableText0"/>
              <w:rPr>
                <w:rFonts w:asciiTheme="minorHAnsi" w:hAnsiTheme="minorHAnsi"/>
                <w:b/>
                <w:bCs/>
              </w:rPr>
            </w:pPr>
            <w:r w:rsidRPr="00236418">
              <w:rPr>
                <w:rFonts w:asciiTheme="minorHAnsi" w:hAnsiTheme="minorHAnsi"/>
                <w:b/>
                <w:bCs/>
              </w:rPr>
              <w:t>Total</w:t>
            </w:r>
          </w:p>
        </w:tc>
        <w:tc>
          <w:tcPr>
            <w:tcW w:w="894" w:type="pct"/>
            <w:tcBorders>
              <w:top w:val="single" w:sz="6" w:space="0" w:color="auto"/>
              <w:left w:val="single" w:sz="6" w:space="0" w:color="auto"/>
              <w:bottom w:val="single" w:sz="4" w:space="0" w:color="auto"/>
              <w:right w:val="single" w:sz="6" w:space="0" w:color="auto"/>
            </w:tcBorders>
            <w:vAlign w:val="center"/>
          </w:tcPr>
          <w:p w14:paraId="2CFD6E0C" w14:textId="14EEB682"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236418">
              <w:rPr>
                <w:b/>
                <w:sz w:val="20"/>
              </w:rPr>
              <w:t>24 996 343</w:t>
            </w:r>
          </w:p>
        </w:tc>
        <w:tc>
          <w:tcPr>
            <w:tcW w:w="886" w:type="pct"/>
            <w:tcBorders>
              <w:top w:val="single" w:sz="6" w:space="0" w:color="auto"/>
              <w:left w:val="single" w:sz="6" w:space="0" w:color="auto"/>
              <w:bottom w:val="single" w:sz="4" w:space="0" w:color="auto"/>
              <w:right w:val="single" w:sz="6" w:space="0" w:color="auto"/>
            </w:tcBorders>
            <w:vAlign w:val="center"/>
          </w:tcPr>
          <w:p w14:paraId="117393A9" w14:textId="349CA356"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236418">
              <w:rPr>
                <w:b/>
                <w:sz w:val="20"/>
              </w:rPr>
              <w:t>45 555</w:t>
            </w:r>
          </w:p>
        </w:tc>
        <w:tc>
          <w:tcPr>
            <w:tcW w:w="844" w:type="pct"/>
            <w:tcBorders>
              <w:top w:val="single" w:sz="6" w:space="0" w:color="auto"/>
              <w:left w:val="single" w:sz="6" w:space="0" w:color="auto"/>
              <w:bottom w:val="single" w:sz="4" w:space="0" w:color="auto"/>
              <w:right w:val="single" w:sz="6" w:space="0" w:color="auto"/>
            </w:tcBorders>
            <w:vAlign w:val="center"/>
          </w:tcPr>
          <w:p w14:paraId="07F56F9B" w14:textId="53F35A49"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236418">
              <w:rPr>
                <w:b/>
                <w:sz w:val="20"/>
              </w:rPr>
              <w:t>98 158</w:t>
            </w:r>
          </w:p>
        </w:tc>
        <w:tc>
          <w:tcPr>
            <w:tcW w:w="843" w:type="pct"/>
            <w:tcBorders>
              <w:top w:val="single" w:sz="6" w:space="0" w:color="auto"/>
              <w:left w:val="single" w:sz="6" w:space="0" w:color="auto"/>
              <w:bottom w:val="single" w:sz="4" w:space="0" w:color="auto"/>
              <w:right w:val="single" w:sz="6" w:space="0" w:color="auto"/>
            </w:tcBorders>
            <w:vAlign w:val="center"/>
          </w:tcPr>
          <w:p w14:paraId="19F470F2" w14:textId="01FBE968" w:rsidR="00EB53D7" w:rsidRPr="00236418"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236418">
              <w:rPr>
                <w:b/>
                <w:sz w:val="20"/>
              </w:rPr>
              <w:t>25 140 056</w:t>
            </w:r>
          </w:p>
        </w:tc>
      </w:tr>
    </w:tbl>
    <w:p w14:paraId="2984697C" w14:textId="77777777" w:rsidR="00DF6159" w:rsidRPr="00236418" w:rsidRDefault="00DF6159" w:rsidP="009B3D24">
      <w:pPr>
        <w:pStyle w:val="Normalaftertitle"/>
        <w:rPr>
          <w:u w:val="single"/>
        </w:rPr>
      </w:pPr>
      <w:r w:rsidRPr="00236418">
        <w:rPr>
          <w:u w:val="single"/>
        </w:rPr>
        <w:t>Engagements concernant les autres avantages du personnel</w:t>
      </w:r>
    </w:p>
    <w:p w14:paraId="57CF7145" w14:textId="77777777" w:rsidR="00DF6159" w:rsidRPr="00236418" w:rsidRDefault="00DF6159" w:rsidP="009B3D24">
      <w:r w:rsidRPr="00236418">
        <w:t>Avant la constitution de la Caisse commune des pensions du personnel des Nations Unies et de la Caisse d'assurance pour la protection de la santé du personnel et son affiliation à ces caisses, l'UIT avait créé des fonds pour fournir les prestations de retraite, de décès, d'invalidité ou d'assurance-maladie aux membres de son personnel. Ces fonds fonctionnent en caisse fermée depuis l'affiliation de l'UIT aux Caisses susmentionnées. Les engagements sont indiqués dans les passifs à long terme. Des conventions ont été établies entre l'UIT et les fonds de l'UIT afin d'assurer le financement de ces derniers.</w:t>
      </w:r>
    </w:p>
    <w:p w14:paraId="4C3938E3" w14:textId="24B0481F" w:rsidR="00DF6159" w:rsidRPr="00236418" w:rsidRDefault="00DF6159" w:rsidP="009B3D24">
      <w:pPr>
        <w:rPr>
          <w:sz w:val="22"/>
          <w:lang w:eastAsia="zh-CN"/>
        </w:rPr>
      </w:pPr>
      <w:r w:rsidRPr="00236418">
        <w:t>En 201</w:t>
      </w:r>
      <w:r w:rsidR="00EB53D7" w:rsidRPr="00236418">
        <w:t>9</w:t>
      </w:r>
      <w:r w:rsidRPr="00236418">
        <w:t>, l'Union n'a pas jugé utile de demander une nouvelle étude actuarielle pour la Caisse d'assurance du personnel de l'UIT. Au 31 décembre 201</w:t>
      </w:r>
      <w:r w:rsidR="00EB53D7" w:rsidRPr="00236418">
        <w:t>9</w:t>
      </w:r>
      <w:r w:rsidRPr="00236418">
        <w:t>, la provision pour les engagements résultant des rentes en cours des anciens fonctionnaires affiliés à la Caisse d'assurance du personnel, comptabilisée en 2010 pour un montant de 54 000 CHF, reste inchangée.</w:t>
      </w:r>
    </w:p>
    <w:p w14:paraId="4A48279E" w14:textId="77777777" w:rsidR="00DF6159" w:rsidRPr="00236418" w:rsidRDefault="00DF6159" w:rsidP="00081C96">
      <w:pPr>
        <w:pStyle w:val="Heading1"/>
        <w:spacing w:before="240" w:after="120"/>
        <w:rPr>
          <w:sz w:val="24"/>
          <w:szCs w:val="24"/>
        </w:rPr>
      </w:pPr>
      <w:bookmarkStart w:id="1818" w:name="_Toc268007555"/>
      <w:bookmarkStart w:id="1819" w:name="_Toc329178795"/>
      <w:bookmarkStart w:id="1820" w:name="_Toc329181768"/>
      <w:bookmarkStart w:id="1821" w:name="_Toc329202588"/>
      <w:bookmarkStart w:id="1822" w:name="_Toc329205020"/>
      <w:bookmarkStart w:id="1823" w:name="_Toc329206857"/>
      <w:bookmarkStart w:id="1824" w:name="_Toc358379940"/>
      <w:bookmarkStart w:id="1825" w:name="_Toc358380483"/>
      <w:bookmarkStart w:id="1826" w:name="_Toc452139850"/>
      <w:bookmarkStart w:id="1827" w:name="_Toc452140724"/>
      <w:bookmarkStart w:id="1828" w:name="_Toc482801512"/>
      <w:bookmarkStart w:id="1829" w:name="_Toc511649484"/>
      <w:bookmarkStart w:id="1830" w:name="_Toc511649854"/>
      <w:bookmarkStart w:id="1831" w:name="_Toc511649970"/>
      <w:bookmarkStart w:id="1832" w:name="_Toc511651230"/>
      <w:bookmarkStart w:id="1833" w:name="_Toc511724093"/>
      <w:bookmarkStart w:id="1834" w:name="_Toc511739082"/>
      <w:bookmarkStart w:id="1835" w:name="_Toc511741253"/>
      <w:bookmarkStart w:id="1836" w:name="_Toc10450766"/>
      <w:bookmarkStart w:id="1837" w:name="_Toc41566359"/>
      <w:bookmarkStart w:id="1838" w:name="_Toc41567366"/>
      <w:bookmarkStart w:id="1839" w:name="_Toc41567869"/>
      <w:bookmarkStart w:id="1840" w:name="_Toc41814963"/>
      <w:r w:rsidRPr="00236418">
        <w:rPr>
          <w:sz w:val="24"/>
          <w:szCs w:val="24"/>
        </w:rPr>
        <w:lastRenderedPageBreak/>
        <w:t>Note 18</w:t>
      </w:r>
      <w:r w:rsidRPr="00236418">
        <w:rPr>
          <w:sz w:val="24"/>
          <w:szCs w:val="24"/>
        </w:rPr>
        <w:tab/>
        <w:t>Provisions</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4D24B95B" w14:textId="77777777" w:rsidR="00DF6159" w:rsidRPr="00236418" w:rsidRDefault="00DF6159" w:rsidP="009B3D24">
      <w:pPr>
        <w:pStyle w:val="Normalaftertitle"/>
        <w:keepNext/>
        <w:keepLines/>
        <w:spacing w:before="120"/>
        <w:rPr>
          <w:bCs/>
        </w:rPr>
      </w:pPr>
      <w:r w:rsidRPr="00236418">
        <w:t>Les provisions pour risques et charges se composent de la provision pour litiges qui représente l'évaluation à la date de clôture des obligations futures liées à un évènement passé au titre de divers litiges auxquels l'UIT est partie prenante ainsi que du coût moyen pour les frais administratifs de chaque cas présenté au tribunal.</w:t>
      </w:r>
    </w:p>
    <w:p w14:paraId="14E7B38D" w14:textId="2952954F" w:rsidR="00DF6159" w:rsidRPr="00236418" w:rsidRDefault="00DF6159" w:rsidP="009B3D24">
      <w:pPr>
        <w:spacing w:after="240"/>
        <w:rPr>
          <w:bCs/>
        </w:rPr>
      </w:pPr>
      <w:r w:rsidRPr="00236418">
        <w:rPr>
          <w:bCs/>
        </w:rPr>
        <w:t>La provision pour les fiches de notification des réseaux à satellite (SNF) constitue le montant que les Administrations peuvent demander au titre de la gratuité de leur demande de publication au cours d'une année. Cette provision a été entièrement utilisée au cours de l'exercice.</w:t>
      </w:r>
    </w:p>
    <w:tbl>
      <w:tblPr>
        <w:tblStyle w:val="TableGrid"/>
        <w:tblW w:w="0" w:type="auto"/>
        <w:tblLook w:val="04A0" w:firstRow="1" w:lastRow="0" w:firstColumn="1" w:lastColumn="0" w:noHBand="0" w:noVBand="1"/>
        <w:tblCaption w:val="E"/>
      </w:tblPr>
      <w:tblGrid>
        <w:gridCol w:w="3541"/>
        <w:gridCol w:w="1841"/>
        <w:gridCol w:w="1984"/>
        <w:gridCol w:w="1843"/>
      </w:tblGrid>
      <w:tr w:rsidR="00DF6159" w:rsidRPr="00236418" w14:paraId="72D0498D" w14:textId="77777777" w:rsidTr="0020662C">
        <w:tc>
          <w:tcPr>
            <w:tcW w:w="3541" w:type="dxa"/>
          </w:tcPr>
          <w:p w14:paraId="17DFD362" w14:textId="77777777" w:rsidR="00DF6159" w:rsidRPr="00236418" w:rsidRDefault="00DF6159" w:rsidP="009B3D24">
            <w:pPr>
              <w:pStyle w:val="Tablehead"/>
              <w:spacing w:before="0" w:after="0"/>
              <w:rPr>
                <w:sz w:val="20"/>
                <w:lang w:eastAsia="zh-CN"/>
              </w:rPr>
            </w:pPr>
          </w:p>
        </w:tc>
        <w:tc>
          <w:tcPr>
            <w:tcW w:w="5668" w:type="dxa"/>
            <w:gridSpan w:val="3"/>
          </w:tcPr>
          <w:p w14:paraId="00BD220F" w14:textId="77777777" w:rsidR="00DF6159" w:rsidRPr="00236418" w:rsidRDefault="00DF6159" w:rsidP="009B3D24">
            <w:pPr>
              <w:pStyle w:val="Tablehead"/>
              <w:spacing w:before="0" w:after="0"/>
              <w:rPr>
                <w:sz w:val="20"/>
                <w:lang w:eastAsia="zh-CN"/>
              </w:rPr>
            </w:pPr>
            <w:r w:rsidRPr="00236418">
              <w:rPr>
                <w:sz w:val="20"/>
                <w:lang w:eastAsia="zh-CN"/>
              </w:rPr>
              <w:t>Provisions</w:t>
            </w:r>
          </w:p>
        </w:tc>
      </w:tr>
      <w:tr w:rsidR="00DF6159" w:rsidRPr="00236418" w14:paraId="5C02050D" w14:textId="77777777" w:rsidTr="0020662C">
        <w:tc>
          <w:tcPr>
            <w:tcW w:w="3541" w:type="dxa"/>
            <w:hideMark/>
          </w:tcPr>
          <w:p w14:paraId="3BA29797" w14:textId="77777777" w:rsidR="00DF6159" w:rsidRPr="00236418" w:rsidRDefault="00DF6159" w:rsidP="009B3D24">
            <w:pPr>
              <w:pStyle w:val="Tablehead"/>
              <w:spacing w:before="0" w:after="0"/>
              <w:rPr>
                <w:sz w:val="20"/>
                <w:lang w:eastAsia="zh-CN"/>
              </w:rPr>
            </w:pPr>
            <w:r w:rsidRPr="00236418">
              <w:rPr>
                <w:sz w:val="20"/>
                <w:lang w:eastAsia="zh-CN"/>
              </w:rPr>
              <w:t>En milliers de CHF</w:t>
            </w:r>
          </w:p>
        </w:tc>
        <w:tc>
          <w:tcPr>
            <w:tcW w:w="1841" w:type="dxa"/>
            <w:hideMark/>
          </w:tcPr>
          <w:p w14:paraId="679E5A7D" w14:textId="77777777" w:rsidR="00DF6159" w:rsidRPr="00236418" w:rsidRDefault="00DF6159" w:rsidP="009B3D24">
            <w:pPr>
              <w:pStyle w:val="Tablehead"/>
              <w:spacing w:before="0" w:after="0"/>
              <w:rPr>
                <w:sz w:val="20"/>
                <w:lang w:eastAsia="zh-CN"/>
              </w:rPr>
            </w:pPr>
            <w:r w:rsidRPr="00236418">
              <w:rPr>
                <w:sz w:val="20"/>
                <w:lang w:eastAsia="zh-CN"/>
              </w:rPr>
              <w:t>SNF</w:t>
            </w:r>
          </w:p>
        </w:tc>
        <w:tc>
          <w:tcPr>
            <w:tcW w:w="1984" w:type="dxa"/>
            <w:hideMark/>
          </w:tcPr>
          <w:p w14:paraId="4102570F" w14:textId="77777777" w:rsidR="00DF6159" w:rsidRPr="00236418" w:rsidRDefault="00DF6159" w:rsidP="009B3D24">
            <w:pPr>
              <w:pStyle w:val="Tablehead"/>
              <w:spacing w:before="0" w:after="0"/>
              <w:rPr>
                <w:sz w:val="20"/>
                <w:lang w:eastAsia="zh-CN"/>
              </w:rPr>
            </w:pPr>
            <w:r w:rsidRPr="00236418">
              <w:rPr>
                <w:sz w:val="20"/>
                <w:lang w:eastAsia="zh-CN"/>
              </w:rPr>
              <w:t>Litiges</w:t>
            </w:r>
          </w:p>
        </w:tc>
        <w:tc>
          <w:tcPr>
            <w:tcW w:w="1843" w:type="dxa"/>
            <w:hideMark/>
          </w:tcPr>
          <w:p w14:paraId="11D2B8A3" w14:textId="77777777" w:rsidR="00DF6159" w:rsidRPr="00236418" w:rsidRDefault="00DF6159" w:rsidP="009B3D24">
            <w:pPr>
              <w:pStyle w:val="Tablehead"/>
              <w:spacing w:before="0" w:after="0"/>
              <w:rPr>
                <w:sz w:val="20"/>
                <w:lang w:eastAsia="zh-CN"/>
              </w:rPr>
            </w:pPr>
            <w:r w:rsidRPr="00236418">
              <w:rPr>
                <w:sz w:val="20"/>
                <w:lang w:eastAsia="zh-CN"/>
              </w:rPr>
              <w:t>TOTAL</w:t>
            </w:r>
          </w:p>
        </w:tc>
      </w:tr>
      <w:tr w:rsidR="00DF6159" w:rsidRPr="00236418" w14:paraId="21084C6F" w14:textId="77777777" w:rsidTr="0020662C">
        <w:tc>
          <w:tcPr>
            <w:tcW w:w="3541" w:type="dxa"/>
            <w:hideMark/>
          </w:tcPr>
          <w:p w14:paraId="5488BAA2" w14:textId="77777777" w:rsidR="00DF6159" w:rsidRPr="00236418" w:rsidRDefault="00DF6159" w:rsidP="009B3D24">
            <w:pPr>
              <w:pStyle w:val="Tabletext"/>
              <w:spacing w:before="0" w:after="0"/>
              <w:rPr>
                <w:b/>
                <w:bCs/>
                <w:sz w:val="20"/>
                <w:lang w:eastAsia="zh-CN"/>
              </w:rPr>
            </w:pPr>
            <w:r w:rsidRPr="00236418">
              <w:rPr>
                <w:b/>
                <w:bCs/>
                <w:sz w:val="20"/>
                <w:lang w:eastAsia="zh-CN"/>
              </w:rPr>
              <w:t xml:space="preserve">Solde d'ouverture </w:t>
            </w:r>
          </w:p>
        </w:tc>
        <w:tc>
          <w:tcPr>
            <w:tcW w:w="1841" w:type="dxa"/>
          </w:tcPr>
          <w:p w14:paraId="1C6CBCCF" w14:textId="4420E516" w:rsidR="00DF6159" w:rsidRPr="00236418" w:rsidRDefault="00EB53D7" w:rsidP="009B3D24">
            <w:pPr>
              <w:pStyle w:val="Tabletext"/>
              <w:spacing w:before="0" w:after="0"/>
              <w:jc w:val="right"/>
              <w:rPr>
                <w:b/>
                <w:bCs/>
                <w:sz w:val="20"/>
                <w:lang w:eastAsia="zh-CN"/>
              </w:rPr>
            </w:pPr>
            <w:r w:rsidRPr="00236418">
              <w:rPr>
                <w:b/>
                <w:bCs/>
                <w:sz w:val="20"/>
                <w:lang w:eastAsia="zh-CN"/>
              </w:rPr>
              <w:t>604</w:t>
            </w:r>
          </w:p>
        </w:tc>
        <w:tc>
          <w:tcPr>
            <w:tcW w:w="1984" w:type="dxa"/>
          </w:tcPr>
          <w:p w14:paraId="12941084" w14:textId="0210F859" w:rsidR="00DF6159" w:rsidRPr="00236418" w:rsidRDefault="00EB53D7" w:rsidP="009B3D24">
            <w:pPr>
              <w:pStyle w:val="Tabletext"/>
              <w:spacing w:before="0" w:after="0"/>
              <w:jc w:val="right"/>
              <w:rPr>
                <w:b/>
                <w:bCs/>
                <w:sz w:val="20"/>
                <w:lang w:eastAsia="zh-CN"/>
              </w:rPr>
            </w:pPr>
            <w:r w:rsidRPr="00236418">
              <w:rPr>
                <w:b/>
                <w:bCs/>
                <w:sz w:val="20"/>
                <w:lang w:eastAsia="zh-CN"/>
              </w:rPr>
              <w:t>6 228</w:t>
            </w:r>
          </w:p>
        </w:tc>
        <w:tc>
          <w:tcPr>
            <w:tcW w:w="1843" w:type="dxa"/>
          </w:tcPr>
          <w:p w14:paraId="554A5E16" w14:textId="1EEDF935" w:rsidR="00DF6159" w:rsidRPr="00236418" w:rsidRDefault="00EB53D7" w:rsidP="009B3D24">
            <w:pPr>
              <w:pStyle w:val="Tabletext"/>
              <w:spacing w:before="0" w:after="0"/>
              <w:jc w:val="right"/>
              <w:rPr>
                <w:b/>
                <w:bCs/>
                <w:sz w:val="20"/>
                <w:lang w:eastAsia="zh-CN"/>
              </w:rPr>
            </w:pPr>
            <w:r w:rsidRPr="00236418">
              <w:rPr>
                <w:b/>
                <w:bCs/>
                <w:sz w:val="20"/>
                <w:lang w:eastAsia="zh-CN"/>
              </w:rPr>
              <w:t>6 832</w:t>
            </w:r>
          </w:p>
        </w:tc>
      </w:tr>
      <w:tr w:rsidR="00DF6159" w:rsidRPr="00236418" w14:paraId="6CB2AC72" w14:textId="77777777" w:rsidTr="0020662C">
        <w:tc>
          <w:tcPr>
            <w:tcW w:w="3541" w:type="dxa"/>
          </w:tcPr>
          <w:p w14:paraId="5668FB04" w14:textId="77777777" w:rsidR="00DF6159" w:rsidRPr="00236418" w:rsidRDefault="00DF6159" w:rsidP="009B3D24">
            <w:pPr>
              <w:pStyle w:val="Tabletext"/>
              <w:spacing w:before="0" w:after="0"/>
              <w:rPr>
                <w:sz w:val="20"/>
                <w:lang w:eastAsia="zh-CN"/>
              </w:rPr>
            </w:pPr>
            <w:r w:rsidRPr="00236418">
              <w:rPr>
                <w:sz w:val="20"/>
                <w:lang w:eastAsia="zh-CN"/>
              </w:rPr>
              <w:t>Augmentation</w:t>
            </w:r>
          </w:p>
        </w:tc>
        <w:tc>
          <w:tcPr>
            <w:tcW w:w="1841" w:type="dxa"/>
          </w:tcPr>
          <w:p w14:paraId="1472A73E" w14:textId="7852EFED" w:rsidR="00DF6159" w:rsidRPr="00236418" w:rsidRDefault="00EB53D7" w:rsidP="009B3D24">
            <w:pPr>
              <w:pStyle w:val="Tabletext"/>
              <w:spacing w:before="0" w:after="0"/>
              <w:jc w:val="right"/>
              <w:rPr>
                <w:sz w:val="20"/>
                <w:lang w:eastAsia="zh-CN"/>
              </w:rPr>
            </w:pPr>
            <w:r w:rsidRPr="00236418">
              <w:rPr>
                <w:sz w:val="20"/>
                <w:lang w:eastAsia="zh-CN"/>
              </w:rPr>
              <w:t>545</w:t>
            </w:r>
          </w:p>
        </w:tc>
        <w:tc>
          <w:tcPr>
            <w:tcW w:w="1984" w:type="dxa"/>
          </w:tcPr>
          <w:p w14:paraId="0D86A063" w14:textId="60ED59E0" w:rsidR="00DF6159" w:rsidRPr="00236418" w:rsidRDefault="00EB53D7" w:rsidP="009B3D24">
            <w:pPr>
              <w:pStyle w:val="Tabletext"/>
              <w:spacing w:before="0" w:after="0"/>
              <w:jc w:val="right"/>
              <w:rPr>
                <w:sz w:val="20"/>
                <w:lang w:eastAsia="zh-CN"/>
              </w:rPr>
            </w:pPr>
            <w:r w:rsidRPr="00236418">
              <w:rPr>
                <w:sz w:val="20"/>
                <w:lang w:eastAsia="zh-CN"/>
              </w:rPr>
              <w:t>29</w:t>
            </w:r>
          </w:p>
        </w:tc>
        <w:tc>
          <w:tcPr>
            <w:tcW w:w="1843" w:type="dxa"/>
          </w:tcPr>
          <w:p w14:paraId="00C3A58C" w14:textId="0363B99E" w:rsidR="00DF6159" w:rsidRPr="00236418" w:rsidRDefault="00EB53D7" w:rsidP="009B3D24">
            <w:pPr>
              <w:pStyle w:val="Tabletext"/>
              <w:spacing w:before="0" w:after="0"/>
              <w:jc w:val="right"/>
              <w:rPr>
                <w:sz w:val="20"/>
                <w:lang w:eastAsia="zh-CN"/>
              </w:rPr>
            </w:pPr>
            <w:r w:rsidRPr="00236418">
              <w:rPr>
                <w:sz w:val="20"/>
                <w:lang w:eastAsia="zh-CN"/>
              </w:rPr>
              <w:t>573</w:t>
            </w:r>
          </w:p>
        </w:tc>
      </w:tr>
      <w:tr w:rsidR="00DF6159" w:rsidRPr="00236418" w14:paraId="4B52AB6B" w14:textId="77777777" w:rsidTr="0020662C">
        <w:tc>
          <w:tcPr>
            <w:tcW w:w="3541" w:type="dxa"/>
          </w:tcPr>
          <w:p w14:paraId="1D8E8149" w14:textId="77777777" w:rsidR="00DF6159" w:rsidRPr="00236418" w:rsidRDefault="00DF6159" w:rsidP="009B3D24">
            <w:pPr>
              <w:pStyle w:val="Tabletext"/>
              <w:spacing w:before="0" w:after="0"/>
              <w:rPr>
                <w:sz w:val="20"/>
                <w:lang w:eastAsia="zh-CN"/>
              </w:rPr>
            </w:pPr>
            <w:r w:rsidRPr="00236418">
              <w:rPr>
                <w:sz w:val="20"/>
                <w:lang w:eastAsia="zh-CN"/>
              </w:rPr>
              <w:t>Utilisé en cours d'exercice</w:t>
            </w:r>
          </w:p>
        </w:tc>
        <w:tc>
          <w:tcPr>
            <w:tcW w:w="1841" w:type="dxa"/>
          </w:tcPr>
          <w:p w14:paraId="7F0293E0" w14:textId="47506438" w:rsidR="00DF6159" w:rsidRPr="00236418" w:rsidRDefault="00DF6159" w:rsidP="009B3D24">
            <w:pPr>
              <w:pStyle w:val="Tabletext"/>
              <w:spacing w:before="0" w:after="0"/>
              <w:jc w:val="right"/>
              <w:rPr>
                <w:sz w:val="20"/>
                <w:lang w:eastAsia="zh-CN"/>
              </w:rPr>
            </w:pPr>
            <w:r w:rsidRPr="00236418">
              <w:rPr>
                <w:sz w:val="20"/>
                <w:lang w:eastAsia="zh-CN"/>
              </w:rPr>
              <w:t>–</w:t>
            </w:r>
            <w:r w:rsidR="00EB53D7" w:rsidRPr="00236418">
              <w:rPr>
                <w:sz w:val="20"/>
                <w:lang w:eastAsia="zh-CN"/>
              </w:rPr>
              <w:t>162</w:t>
            </w:r>
          </w:p>
        </w:tc>
        <w:tc>
          <w:tcPr>
            <w:tcW w:w="1984" w:type="dxa"/>
          </w:tcPr>
          <w:p w14:paraId="20EFE7B8" w14:textId="6E9F1DD2" w:rsidR="00DF6159" w:rsidRPr="00236418" w:rsidRDefault="00DF6159" w:rsidP="009B3D24">
            <w:pPr>
              <w:pStyle w:val="Tabletext"/>
              <w:spacing w:before="0" w:after="0"/>
              <w:jc w:val="right"/>
              <w:rPr>
                <w:sz w:val="20"/>
                <w:lang w:eastAsia="zh-CN"/>
              </w:rPr>
            </w:pPr>
            <w:r w:rsidRPr="00236418">
              <w:rPr>
                <w:sz w:val="20"/>
                <w:lang w:eastAsia="zh-CN"/>
              </w:rPr>
              <w:t>–</w:t>
            </w:r>
            <w:r w:rsidR="00EB53D7" w:rsidRPr="00236418">
              <w:rPr>
                <w:sz w:val="20"/>
                <w:lang w:eastAsia="zh-CN"/>
              </w:rPr>
              <w:t>3 857</w:t>
            </w:r>
          </w:p>
        </w:tc>
        <w:tc>
          <w:tcPr>
            <w:tcW w:w="1843" w:type="dxa"/>
          </w:tcPr>
          <w:p w14:paraId="2E9954B0" w14:textId="5860FD16" w:rsidR="00DF6159" w:rsidRPr="00236418" w:rsidRDefault="00DF6159" w:rsidP="009B3D24">
            <w:pPr>
              <w:pStyle w:val="Tabletext"/>
              <w:spacing w:before="0" w:after="0"/>
              <w:jc w:val="right"/>
              <w:rPr>
                <w:sz w:val="20"/>
                <w:lang w:eastAsia="zh-CN"/>
              </w:rPr>
            </w:pPr>
            <w:r w:rsidRPr="00236418">
              <w:rPr>
                <w:sz w:val="20"/>
                <w:lang w:eastAsia="zh-CN"/>
              </w:rPr>
              <w:t>–</w:t>
            </w:r>
            <w:r w:rsidR="007B49DD" w:rsidRPr="00236418">
              <w:rPr>
                <w:sz w:val="20"/>
                <w:lang w:eastAsia="zh-CN"/>
              </w:rPr>
              <w:t>4 018</w:t>
            </w:r>
          </w:p>
        </w:tc>
      </w:tr>
      <w:tr w:rsidR="00DF6159" w:rsidRPr="00236418" w14:paraId="16B7CDA9" w14:textId="77777777" w:rsidTr="0020662C">
        <w:tc>
          <w:tcPr>
            <w:tcW w:w="3541" w:type="dxa"/>
          </w:tcPr>
          <w:p w14:paraId="3D870CA6" w14:textId="77777777" w:rsidR="00DF6159" w:rsidRPr="00236418" w:rsidRDefault="00DF6159" w:rsidP="009B3D24">
            <w:pPr>
              <w:pStyle w:val="Tabletext"/>
              <w:spacing w:before="0" w:after="0"/>
              <w:rPr>
                <w:sz w:val="20"/>
                <w:lang w:eastAsia="zh-CN"/>
              </w:rPr>
            </w:pPr>
            <w:r w:rsidRPr="00236418">
              <w:rPr>
                <w:sz w:val="20"/>
                <w:lang w:eastAsia="zh-CN"/>
              </w:rPr>
              <w:t>Débloqué</w:t>
            </w:r>
          </w:p>
        </w:tc>
        <w:tc>
          <w:tcPr>
            <w:tcW w:w="1841" w:type="dxa"/>
          </w:tcPr>
          <w:p w14:paraId="00FD21E9" w14:textId="012D19CF" w:rsidR="00DF6159" w:rsidRPr="00236418" w:rsidRDefault="00DF6159" w:rsidP="009B3D24">
            <w:pPr>
              <w:pStyle w:val="Tabletext"/>
              <w:spacing w:before="0" w:after="0"/>
              <w:jc w:val="right"/>
              <w:rPr>
                <w:sz w:val="20"/>
                <w:lang w:eastAsia="zh-CN"/>
              </w:rPr>
            </w:pPr>
            <w:r w:rsidRPr="00236418">
              <w:rPr>
                <w:sz w:val="20"/>
                <w:lang w:eastAsia="zh-CN"/>
              </w:rPr>
              <w:t>–</w:t>
            </w:r>
            <w:r w:rsidR="00EB53D7" w:rsidRPr="00236418">
              <w:rPr>
                <w:sz w:val="20"/>
                <w:lang w:eastAsia="zh-CN"/>
              </w:rPr>
              <w:t>443</w:t>
            </w:r>
          </w:p>
        </w:tc>
        <w:tc>
          <w:tcPr>
            <w:tcW w:w="1984" w:type="dxa"/>
          </w:tcPr>
          <w:p w14:paraId="0A0AA6D0" w14:textId="2F022D9B" w:rsidR="00DF6159" w:rsidRPr="00236418" w:rsidRDefault="00DF6159" w:rsidP="009B3D24">
            <w:pPr>
              <w:pStyle w:val="Tabletext"/>
              <w:spacing w:before="0" w:after="0"/>
              <w:jc w:val="right"/>
              <w:rPr>
                <w:sz w:val="20"/>
                <w:lang w:eastAsia="zh-CN"/>
              </w:rPr>
            </w:pPr>
            <w:r w:rsidRPr="00236418">
              <w:rPr>
                <w:sz w:val="20"/>
                <w:lang w:eastAsia="zh-CN"/>
              </w:rPr>
              <w:t>–</w:t>
            </w:r>
            <w:r w:rsidR="00EB53D7" w:rsidRPr="00236418">
              <w:rPr>
                <w:sz w:val="20"/>
                <w:lang w:eastAsia="zh-CN"/>
              </w:rPr>
              <w:t>2 218</w:t>
            </w:r>
          </w:p>
        </w:tc>
        <w:tc>
          <w:tcPr>
            <w:tcW w:w="1843" w:type="dxa"/>
          </w:tcPr>
          <w:p w14:paraId="55AE31C2" w14:textId="489F9E18" w:rsidR="00DF6159" w:rsidRPr="00236418" w:rsidRDefault="00DF6159" w:rsidP="009B3D24">
            <w:pPr>
              <w:pStyle w:val="Tabletext"/>
              <w:spacing w:before="0" w:after="0"/>
              <w:jc w:val="right"/>
              <w:rPr>
                <w:sz w:val="20"/>
                <w:lang w:eastAsia="zh-CN"/>
              </w:rPr>
            </w:pPr>
            <w:r w:rsidRPr="00236418">
              <w:rPr>
                <w:sz w:val="20"/>
                <w:lang w:eastAsia="zh-CN"/>
              </w:rPr>
              <w:t>–</w:t>
            </w:r>
            <w:r w:rsidR="007B49DD" w:rsidRPr="00236418">
              <w:rPr>
                <w:sz w:val="20"/>
                <w:lang w:eastAsia="zh-CN"/>
              </w:rPr>
              <w:t>2 661</w:t>
            </w:r>
          </w:p>
        </w:tc>
      </w:tr>
      <w:tr w:rsidR="00F14866" w:rsidRPr="00236418" w14:paraId="235C61C7" w14:textId="77777777" w:rsidTr="0020662C">
        <w:tc>
          <w:tcPr>
            <w:tcW w:w="3541" w:type="dxa"/>
          </w:tcPr>
          <w:p w14:paraId="24599706" w14:textId="77777777" w:rsidR="00F14866" w:rsidRPr="00236418" w:rsidRDefault="00F14866" w:rsidP="009B3D24">
            <w:pPr>
              <w:pStyle w:val="Tabletext"/>
              <w:spacing w:before="0" w:after="0"/>
              <w:rPr>
                <w:sz w:val="20"/>
                <w:lang w:eastAsia="zh-CN"/>
              </w:rPr>
            </w:pPr>
            <w:r w:rsidRPr="00236418">
              <w:rPr>
                <w:sz w:val="20"/>
                <w:lang w:eastAsia="zh-CN"/>
              </w:rPr>
              <w:t>Mutation</w:t>
            </w:r>
          </w:p>
        </w:tc>
        <w:tc>
          <w:tcPr>
            <w:tcW w:w="1841" w:type="dxa"/>
            <w:vAlign w:val="bottom"/>
          </w:tcPr>
          <w:p w14:paraId="1C0397B9" w14:textId="57AB6EA1" w:rsidR="00F14866" w:rsidRPr="00236418" w:rsidRDefault="00F14866" w:rsidP="009B3D24">
            <w:pPr>
              <w:pStyle w:val="Tabletext"/>
              <w:spacing w:before="0" w:after="0"/>
              <w:jc w:val="right"/>
              <w:rPr>
                <w:sz w:val="20"/>
                <w:szCs w:val="20"/>
                <w:lang w:eastAsia="zh-CN"/>
              </w:rPr>
            </w:pPr>
            <w:r w:rsidRPr="00236418">
              <w:rPr>
                <w:rFonts w:cs="Arial"/>
                <w:color w:val="000000"/>
                <w:sz w:val="20"/>
                <w:szCs w:val="20"/>
                <w:lang w:eastAsia="zh-CN"/>
              </w:rPr>
              <w:t> </w:t>
            </w:r>
          </w:p>
        </w:tc>
        <w:tc>
          <w:tcPr>
            <w:tcW w:w="1984" w:type="dxa"/>
            <w:vAlign w:val="bottom"/>
          </w:tcPr>
          <w:p w14:paraId="50E0662E" w14:textId="66C00D8C" w:rsidR="00F14866" w:rsidRPr="00236418" w:rsidRDefault="00F14866" w:rsidP="009B3D24">
            <w:pPr>
              <w:pStyle w:val="Tabletext"/>
              <w:spacing w:before="0" w:after="0"/>
              <w:jc w:val="right"/>
              <w:rPr>
                <w:sz w:val="20"/>
                <w:szCs w:val="20"/>
                <w:lang w:eastAsia="zh-CN"/>
              </w:rPr>
            </w:pPr>
            <w:r w:rsidRPr="00236418">
              <w:rPr>
                <w:rFonts w:cs="Arial"/>
                <w:color w:val="000000"/>
                <w:sz w:val="20"/>
                <w:szCs w:val="20"/>
                <w:lang w:eastAsia="zh-CN"/>
              </w:rPr>
              <w:t> </w:t>
            </w:r>
          </w:p>
        </w:tc>
        <w:tc>
          <w:tcPr>
            <w:tcW w:w="1843" w:type="dxa"/>
            <w:vAlign w:val="bottom"/>
          </w:tcPr>
          <w:p w14:paraId="4BBCC19C" w14:textId="70D4A5BF" w:rsidR="00F14866" w:rsidRPr="00236418" w:rsidRDefault="00F14866" w:rsidP="009B3D24">
            <w:pPr>
              <w:pStyle w:val="Tabletext"/>
              <w:spacing w:before="0" w:after="0"/>
              <w:jc w:val="right"/>
              <w:rPr>
                <w:sz w:val="20"/>
                <w:szCs w:val="20"/>
                <w:lang w:eastAsia="zh-CN"/>
              </w:rPr>
            </w:pPr>
            <w:r w:rsidRPr="00236418">
              <w:rPr>
                <w:rFonts w:cs="Arial"/>
                <w:color w:val="000000"/>
                <w:sz w:val="20"/>
                <w:szCs w:val="20"/>
                <w:lang w:eastAsia="zh-CN"/>
              </w:rPr>
              <w:t> </w:t>
            </w:r>
          </w:p>
        </w:tc>
      </w:tr>
      <w:tr w:rsidR="00F14866" w:rsidRPr="00236418" w14:paraId="66E0FB76" w14:textId="77777777" w:rsidTr="0020662C">
        <w:tc>
          <w:tcPr>
            <w:tcW w:w="3541" w:type="dxa"/>
          </w:tcPr>
          <w:p w14:paraId="2A1FDC8C" w14:textId="77777777" w:rsidR="00F14866" w:rsidRPr="00236418" w:rsidRDefault="00F14866" w:rsidP="009B3D24">
            <w:pPr>
              <w:pStyle w:val="Tabletext"/>
              <w:spacing w:before="0" w:after="0"/>
              <w:rPr>
                <w:sz w:val="20"/>
                <w:lang w:eastAsia="zh-CN"/>
              </w:rPr>
            </w:pPr>
            <w:r w:rsidRPr="00236418">
              <w:rPr>
                <w:sz w:val="20"/>
                <w:lang w:eastAsia="zh-CN"/>
              </w:rPr>
              <w:t>Gains de change non réalisés</w:t>
            </w:r>
          </w:p>
        </w:tc>
        <w:tc>
          <w:tcPr>
            <w:tcW w:w="1841" w:type="dxa"/>
            <w:vAlign w:val="bottom"/>
          </w:tcPr>
          <w:p w14:paraId="235CA4C1" w14:textId="28E79430" w:rsidR="00F14866" w:rsidRPr="00236418" w:rsidRDefault="00F14866" w:rsidP="009B3D24">
            <w:pPr>
              <w:pStyle w:val="Tabletext"/>
              <w:spacing w:before="0" w:after="0"/>
              <w:jc w:val="right"/>
              <w:rPr>
                <w:sz w:val="20"/>
                <w:szCs w:val="20"/>
                <w:lang w:eastAsia="zh-CN"/>
              </w:rPr>
            </w:pPr>
            <w:r w:rsidRPr="00236418">
              <w:rPr>
                <w:rFonts w:cs="Arial"/>
                <w:color w:val="000000"/>
                <w:sz w:val="20"/>
                <w:szCs w:val="20"/>
                <w:lang w:eastAsia="zh-CN"/>
              </w:rPr>
              <w:t> </w:t>
            </w:r>
          </w:p>
        </w:tc>
        <w:tc>
          <w:tcPr>
            <w:tcW w:w="1984" w:type="dxa"/>
            <w:vAlign w:val="bottom"/>
          </w:tcPr>
          <w:p w14:paraId="342934F0" w14:textId="572CBC65" w:rsidR="00F14866" w:rsidRPr="00236418" w:rsidRDefault="00F14866" w:rsidP="009B3D24">
            <w:pPr>
              <w:pStyle w:val="Tabletext"/>
              <w:spacing w:before="0" w:after="0"/>
              <w:jc w:val="right"/>
              <w:rPr>
                <w:sz w:val="20"/>
                <w:szCs w:val="20"/>
                <w:lang w:eastAsia="zh-CN"/>
              </w:rPr>
            </w:pPr>
            <w:r w:rsidRPr="00236418">
              <w:rPr>
                <w:rFonts w:cs="Arial"/>
                <w:color w:val="000000"/>
                <w:sz w:val="20"/>
                <w:szCs w:val="20"/>
                <w:lang w:eastAsia="zh-CN"/>
              </w:rPr>
              <w:t> </w:t>
            </w:r>
          </w:p>
        </w:tc>
        <w:tc>
          <w:tcPr>
            <w:tcW w:w="1843" w:type="dxa"/>
            <w:vAlign w:val="bottom"/>
          </w:tcPr>
          <w:p w14:paraId="2BE0B733" w14:textId="6A44490D" w:rsidR="00F14866" w:rsidRPr="00236418" w:rsidRDefault="00F14866" w:rsidP="009B3D24">
            <w:pPr>
              <w:pStyle w:val="Tabletext"/>
              <w:spacing w:before="0" w:after="0"/>
              <w:jc w:val="right"/>
              <w:rPr>
                <w:sz w:val="20"/>
                <w:szCs w:val="20"/>
                <w:lang w:eastAsia="zh-CN"/>
              </w:rPr>
            </w:pPr>
            <w:r w:rsidRPr="00236418">
              <w:rPr>
                <w:rFonts w:cs="Arial"/>
                <w:color w:val="000000"/>
                <w:sz w:val="20"/>
                <w:szCs w:val="20"/>
                <w:lang w:eastAsia="zh-CN"/>
              </w:rPr>
              <w:t> </w:t>
            </w:r>
          </w:p>
        </w:tc>
      </w:tr>
      <w:tr w:rsidR="00DF6159" w:rsidRPr="00236418" w14:paraId="19D72A69" w14:textId="77777777" w:rsidTr="0020662C">
        <w:tc>
          <w:tcPr>
            <w:tcW w:w="3541" w:type="dxa"/>
            <w:hideMark/>
          </w:tcPr>
          <w:p w14:paraId="601BD933" w14:textId="77777777" w:rsidR="00DF6159" w:rsidRPr="00236418" w:rsidRDefault="00DF6159" w:rsidP="009B3D24">
            <w:pPr>
              <w:pStyle w:val="Tabletext"/>
              <w:spacing w:before="0" w:after="0"/>
              <w:rPr>
                <w:b/>
                <w:bCs/>
                <w:sz w:val="20"/>
              </w:rPr>
            </w:pPr>
            <w:r w:rsidRPr="00236418">
              <w:rPr>
                <w:b/>
                <w:bCs/>
                <w:sz w:val="20"/>
                <w:lang w:eastAsia="zh-CN"/>
              </w:rPr>
              <w:t>Solde de clôture</w:t>
            </w:r>
            <w:r w:rsidRPr="00236418">
              <w:rPr>
                <w:b/>
                <w:bCs/>
                <w:sz w:val="20"/>
              </w:rPr>
              <w:t xml:space="preserve"> </w:t>
            </w:r>
          </w:p>
        </w:tc>
        <w:tc>
          <w:tcPr>
            <w:tcW w:w="1841" w:type="dxa"/>
          </w:tcPr>
          <w:p w14:paraId="2768529E" w14:textId="21E5FCA8" w:rsidR="00DF6159" w:rsidRPr="00236418" w:rsidRDefault="00EB53D7" w:rsidP="009B3D24">
            <w:pPr>
              <w:pStyle w:val="Tabletext"/>
              <w:spacing w:before="0" w:after="0"/>
              <w:jc w:val="right"/>
              <w:rPr>
                <w:b/>
                <w:bCs/>
                <w:sz w:val="20"/>
                <w:lang w:eastAsia="zh-CN"/>
              </w:rPr>
            </w:pPr>
            <w:r w:rsidRPr="00236418">
              <w:rPr>
                <w:b/>
                <w:bCs/>
                <w:sz w:val="20"/>
                <w:lang w:eastAsia="zh-CN"/>
              </w:rPr>
              <w:t>545</w:t>
            </w:r>
          </w:p>
        </w:tc>
        <w:tc>
          <w:tcPr>
            <w:tcW w:w="1984" w:type="dxa"/>
          </w:tcPr>
          <w:p w14:paraId="6836501D" w14:textId="07DFA016" w:rsidR="00DF6159" w:rsidRPr="00236418" w:rsidRDefault="00EB53D7" w:rsidP="009B3D24">
            <w:pPr>
              <w:pStyle w:val="Tabletext"/>
              <w:spacing w:before="0" w:after="0"/>
              <w:jc w:val="right"/>
              <w:rPr>
                <w:b/>
                <w:bCs/>
                <w:sz w:val="20"/>
                <w:lang w:eastAsia="zh-CN"/>
              </w:rPr>
            </w:pPr>
            <w:r w:rsidRPr="00236418">
              <w:rPr>
                <w:b/>
                <w:bCs/>
                <w:sz w:val="20"/>
                <w:lang w:eastAsia="zh-CN"/>
              </w:rPr>
              <w:t>182</w:t>
            </w:r>
          </w:p>
        </w:tc>
        <w:tc>
          <w:tcPr>
            <w:tcW w:w="1843" w:type="dxa"/>
          </w:tcPr>
          <w:p w14:paraId="06AC44C7" w14:textId="24711950" w:rsidR="00DF6159" w:rsidRPr="00236418" w:rsidRDefault="007B49DD" w:rsidP="009B3D24">
            <w:pPr>
              <w:pStyle w:val="Tabletext"/>
              <w:spacing w:before="0" w:after="0"/>
              <w:jc w:val="right"/>
              <w:rPr>
                <w:b/>
                <w:bCs/>
                <w:sz w:val="20"/>
                <w:lang w:eastAsia="zh-CN"/>
              </w:rPr>
            </w:pPr>
            <w:r w:rsidRPr="00236418">
              <w:rPr>
                <w:b/>
                <w:bCs/>
                <w:sz w:val="20"/>
                <w:lang w:eastAsia="zh-CN"/>
              </w:rPr>
              <w:t>727</w:t>
            </w:r>
          </w:p>
        </w:tc>
      </w:tr>
    </w:tbl>
    <w:p w14:paraId="2A0F8DF7" w14:textId="77777777" w:rsidR="00DF6159" w:rsidRPr="00236418" w:rsidRDefault="00DF6159" w:rsidP="00081C96">
      <w:pPr>
        <w:pStyle w:val="Heading1"/>
        <w:spacing w:before="240" w:after="120"/>
        <w:rPr>
          <w:sz w:val="24"/>
          <w:szCs w:val="24"/>
        </w:rPr>
      </w:pPr>
      <w:bookmarkStart w:id="1841" w:name="_Toc329178796"/>
      <w:bookmarkStart w:id="1842" w:name="_Toc329181769"/>
      <w:bookmarkStart w:id="1843" w:name="_Toc329202589"/>
      <w:bookmarkStart w:id="1844" w:name="_Toc329205021"/>
      <w:bookmarkStart w:id="1845" w:name="_Toc329206858"/>
      <w:bookmarkStart w:id="1846" w:name="_Toc358379941"/>
      <w:bookmarkStart w:id="1847" w:name="_Toc358380484"/>
      <w:bookmarkStart w:id="1848" w:name="_Toc452139851"/>
      <w:bookmarkStart w:id="1849" w:name="_Toc452140725"/>
      <w:bookmarkStart w:id="1850" w:name="_Toc482801513"/>
      <w:bookmarkStart w:id="1851" w:name="_Toc511649485"/>
      <w:bookmarkStart w:id="1852" w:name="_Toc511649855"/>
      <w:bookmarkStart w:id="1853" w:name="_Toc511649971"/>
      <w:bookmarkStart w:id="1854" w:name="_Toc511651231"/>
      <w:bookmarkStart w:id="1855" w:name="_Toc511724094"/>
      <w:bookmarkStart w:id="1856" w:name="_Toc511739083"/>
      <w:bookmarkStart w:id="1857" w:name="_Toc511741254"/>
      <w:bookmarkStart w:id="1858" w:name="_Toc10450767"/>
      <w:bookmarkStart w:id="1859" w:name="_Toc41566360"/>
      <w:bookmarkStart w:id="1860" w:name="_Toc41567367"/>
      <w:bookmarkStart w:id="1861" w:name="_Toc41567870"/>
      <w:bookmarkStart w:id="1862" w:name="_Toc41814964"/>
      <w:r w:rsidRPr="00236418">
        <w:rPr>
          <w:sz w:val="24"/>
          <w:szCs w:val="24"/>
        </w:rPr>
        <w:t>Note 19</w:t>
      </w:r>
      <w:r w:rsidRPr="00236418">
        <w:rPr>
          <w:sz w:val="24"/>
          <w:szCs w:val="24"/>
        </w:rPr>
        <w:tab/>
        <w:t>Autres dettes</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tbl>
      <w:tblPr>
        <w:tblW w:w="8500" w:type="dxa"/>
        <w:jc w:val="center"/>
        <w:tblLayout w:type="fixed"/>
        <w:tblLook w:val="04A0" w:firstRow="1" w:lastRow="0" w:firstColumn="1" w:lastColumn="0" w:noHBand="0" w:noVBand="1"/>
        <w:tblCaption w:val="E"/>
      </w:tblPr>
      <w:tblGrid>
        <w:gridCol w:w="3539"/>
        <w:gridCol w:w="2552"/>
        <w:gridCol w:w="2409"/>
      </w:tblGrid>
      <w:tr w:rsidR="00DF6159" w:rsidRPr="00236418" w14:paraId="0082DCD3" w14:textId="77777777" w:rsidTr="0020662C">
        <w:trPr>
          <w:trHeight w:val="499"/>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0AE2" w14:textId="77777777" w:rsidR="00DF6159" w:rsidRPr="00236418" w:rsidRDefault="00DF6159" w:rsidP="009B3D24">
            <w:pPr>
              <w:pStyle w:val="Tablehead"/>
              <w:spacing w:before="0" w:after="0"/>
              <w:jc w:val="left"/>
              <w:rPr>
                <w:sz w:val="20"/>
                <w:lang w:eastAsia="zh-CN"/>
              </w:rPr>
            </w:pPr>
            <w:r w:rsidRPr="00236418">
              <w:rPr>
                <w:sz w:val="20"/>
                <w:lang w:eastAsia="zh-CN"/>
              </w:rPr>
              <w:t>En milliers de CHF</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59C44E3" w14:textId="2908DAD0" w:rsidR="00DF6159" w:rsidRPr="00236418" w:rsidRDefault="00DF6159" w:rsidP="009B3D24">
            <w:pPr>
              <w:pStyle w:val="Tablehead"/>
              <w:spacing w:before="0" w:after="0"/>
              <w:rPr>
                <w:sz w:val="20"/>
                <w:lang w:eastAsia="zh-CN"/>
              </w:rPr>
            </w:pPr>
            <w:r w:rsidRPr="00236418">
              <w:rPr>
                <w:sz w:val="20"/>
                <w:lang w:eastAsia="zh-CN"/>
              </w:rPr>
              <w:t>31.12.201</w:t>
            </w:r>
            <w:r w:rsidR="007B49DD" w:rsidRPr="00236418">
              <w:rPr>
                <w:sz w:val="20"/>
                <w:lang w:eastAsia="zh-CN"/>
              </w:rPr>
              <w:t>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70B8891" w14:textId="646AB963" w:rsidR="00DF6159" w:rsidRPr="00236418" w:rsidRDefault="00DF6159" w:rsidP="009B3D24">
            <w:pPr>
              <w:pStyle w:val="Tablehead"/>
              <w:spacing w:before="0" w:after="0"/>
              <w:rPr>
                <w:sz w:val="20"/>
                <w:lang w:eastAsia="zh-CN"/>
              </w:rPr>
            </w:pPr>
            <w:r w:rsidRPr="00236418">
              <w:rPr>
                <w:sz w:val="20"/>
                <w:lang w:eastAsia="zh-CN"/>
              </w:rPr>
              <w:t>31.12.201</w:t>
            </w:r>
            <w:r w:rsidR="007B49DD" w:rsidRPr="00236418">
              <w:rPr>
                <w:sz w:val="20"/>
                <w:lang w:eastAsia="zh-CN"/>
              </w:rPr>
              <w:t>8</w:t>
            </w:r>
          </w:p>
        </w:tc>
      </w:tr>
      <w:tr w:rsidR="007B49DD" w:rsidRPr="00236418" w14:paraId="7F518196" w14:textId="77777777" w:rsidTr="0020662C">
        <w:trPr>
          <w:trHeight w:val="255"/>
          <w:jc w:val="center"/>
        </w:trPr>
        <w:tc>
          <w:tcPr>
            <w:tcW w:w="3539" w:type="dxa"/>
            <w:tcBorders>
              <w:top w:val="single" w:sz="4" w:space="0" w:color="auto"/>
              <w:left w:val="single" w:sz="4" w:space="0" w:color="auto"/>
              <w:bottom w:val="nil"/>
              <w:right w:val="single" w:sz="4" w:space="0" w:color="auto"/>
            </w:tcBorders>
            <w:shd w:val="clear" w:color="auto" w:fill="auto"/>
            <w:noWrap/>
            <w:vAlign w:val="bottom"/>
          </w:tcPr>
          <w:p w14:paraId="375E3C55" w14:textId="77777777" w:rsidR="007B49DD" w:rsidRPr="00236418" w:rsidRDefault="007B49DD" w:rsidP="009B3D24">
            <w:pPr>
              <w:pStyle w:val="Tabletext"/>
              <w:spacing w:before="0" w:after="0"/>
              <w:rPr>
                <w:sz w:val="20"/>
                <w:lang w:eastAsia="zh-CN"/>
              </w:rPr>
            </w:pPr>
            <w:r w:rsidRPr="00236418">
              <w:rPr>
                <w:sz w:val="20"/>
                <w:lang w:eastAsia="zh-CN"/>
              </w:rPr>
              <w:t>Passifs transitoires</w:t>
            </w:r>
          </w:p>
        </w:tc>
        <w:tc>
          <w:tcPr>
            <w:tcW w:w="2552" w:type="dxa"/>
            <w:tcBorders>
              <w:top w:val="single" w:sz="4" w:space="0" w:color="auto"/>
              <w:left w:val="nil"/>
              <w:bottom w:val="nil"/>
              <w:right w:val="single" w:sz="4" w:space="0" w:color="auto"/>
            </w:tcBorders>
            <w:shd w:val="clear" w:color="auto" w:fill="auto"/>
            <w:noWrap/>
            <w:vAlign w:val="bottom"/>
          </w:tcPr>
          <w:p w14:paraId="353D4CC4" w14:textId="78353B94" w:rsidR="007B49DD" w:rsidRPr="00236418" w:rsidRDefault="007B49DD" w:rsidP="009B3D24">
            <w:pPr>
              <w:pStyle w:val="Tabletext"/>
              <w:spacing w:before="0" w:after="0"/>
              <w:jc w:val="right"/>
              <w:rPr>
                <w:sz w:val="20"/>
                <w:lang w:eastAsia="zh-CN"/>
              </w:rPr>
            </w:pPr>
            <w:r w:rsidRPr="00236418">
              <w:rPr>
                <w:sz w:val="20"/>
                <w:lang w:eastAsia="zh-CN"/>
              </w:rPr>
              <w:t>4 156</w:t>
            </w:r>
          </w:p>
        </w:tc>
        <w:tc>
          <w:tcPr>
            <w:tcW w:w="2409" w:type="dxa"/>
            <w:tcBorders>
              <w:top w:val="single" w:sz="4" w:space="0" w:color="auto"/>
              <w:left w:val="nil"/>
              <w:bottom w:val="nil"/>
              <w:right w:val="single" w:sz="4" w:space="0" w:color="auto"/>
            </w:tcBorders>
            <w:shd w:val="clear" w:color="auto" w:fill="auto"/>
            <w:noWrap/>
            <w:vAlign w:val="bottom"/>
          </w:tcPr>
          <w:p w14:paraId="0BB6CFE0" w14:textId="316EF92C" w:rsidR="007B49DD" w:rsidRPr="00236418" w:rsidRDefault="007B49DD" w:rsidP="009B3D24">
            <w:pPr>
              <w:pStyle w:val="Tabletext"/>
              <w:spacing w:before="0" w:after="0"/>
              <w:jc w:val="right"/>
              <w:rPr>
                <w:sz w:val="20"/>
                <w:lang w:eastAsia="zh-CN"/>
              </w:rPr>
            </w:pPr>
            <w:r w:rsidRPr="00236418">
              <w:rPr>
                <w:sz w:val="20"/>
                <w:lang w:eastAsia="zh-CN"/>
              </w:rPr>
              <w:t>2 511</w:t>
            </w:r>
          </w:p>
        </w:tc>
      </w:tr>
      <w:tr w:rsidR="007B49DD" w:rsidRPr="00236418" w14:paraId="0F001B85" w14:textId="77777777" w:rsidTr="0020662C">
        <w:trPr>
          <w:trHeight w:val="20"/>
          <w:jc w:val="center"/>
        </w:trPr>
        <w:tc>
          <w:tcPr>
            <w:tcW w:w="3539" w:type="dxa"/>
            <w:tcBorders>
              <w:left w:val="single" w:sz="4" w:space="0" w:color="auto"/>
              <w:right w:val="single" w:sz="4" w:space="0" w:color="auto"/>
            </w:tcBorders>
            <w:shd w:val="clear" w:color="auto" w:fill="auto"/>
            <w:noWrap/>
            <w:vAlign w:val="center"/>
          </w:tcPr>
          <w:p w14:paraId="74E5670D" w14:textId="77777777" w:rsidR="007B49DD" w:rsidRPr="00236418" w:rsidRDefault="007B49DD" w:rsidP="009B3D24">
            <w:pPr>
              <w:pStyle w:val="Tabletext"/>
              <w:spacing w:before="0" w:after="0"/>
              <w:rPr>
                <w:sz w:val="20"/>
                <w:lang w:eastAsia="zh-CN"/>
              </w:rPr>
            </w:pPr>
            <w:r w:rsidRPr="00236418">
              <w:rPr>
                <w:sz w:val="20"/>
                <w:lang w:eastAsia="zh-CN"/>
              </w:rPr>
              <w:t>Divers personnel</w:t>
            </w:r>
          </w:p>
        </w:tc>
        <w:tc>
          <w:tcPr>
            <w:tcW w:w="2552" w:type="dxa"/>
            <w:tcBorders>
              <w:left w:val="nil"/>
              <w:right w:val="single" w:sz="4" w:space="0" w:color="auto"/>
            </w:tcBorders>
            <w:shd w:val="clear" w:color="auto" w:fill="auto"/>
            <w:noWrap/>
            <w:vAlign w:val="bottom"/>
          </w:tcPr>
          <w:p w14:paraId="1FAF5ED4" w14:textId="3C4A7F50" w:rsidR="007B49DD" w:rsidRPr="00236418" w:rsidRDefault="007B49DD" w:rsidP="009B3D24">
            <w:pPr>
              <w:pStyle w:val="Tabletext"/>
              <w:spacing w:before="0" w:after="0"/>
              <w:jc w:val="right"/>
              <w:rPr>
                <w:sz w:val="20"/>
                <w:lang w:eastAsia="zh-CN"/>
              </w:rPr>
            </w:pPr>
            <w:r w:rsidRPr="00236418">
              <w:rPr>
                <w:sz w:val="20"/>
                <w:lang w:eastAsia="zh-CN"/>
              </w:rPr>
              <w:t>754</w:t>
            </w:r>
          </w:p>
        </w:tc>
        <w:tc>
          <w:tcPr>
            <w:tcW w:w="2409" w:type="dxa"/>
            <w:tcBorders>
              <w:left w:val="nil"/>
              <w:right w:val="single" w:sz="4" w:space="0" w:color="auto"/>
            </w:tcBorders>
            <w:shd w:val="clear" w:color="auto" w:fill="auto"/>
            <w:noWrap/>
            <w:vAlign w:val="bottom"/>
          </w:tcPr>
          <w:p w14:paraId="25D59D4B" w14:textId="0959DE5C" w:rsidR="007B49DD" w:rsidRPr="00236418" w:rsidRDefault="007B49DD" w:rsidP="009B3D24">
            <w:pPr>
              <w:pStyle w:val="Tabletext"/>
              <w:spacing w:before="0" w:after="0"/>
              <w:jc w:val="right"/>
              <w:rPr>
                <w:sz w:val="20"/>
                <w:lang w:eastAsia="zh-CN"/>
              </w:rPr>
            </w:pPr>
            <w:r w:rsidRPr="00236418">
              <w:rPr>
                <w:sz w:val="20"/>
                <w:lang w:eastAsia="zh-CN"/>
              </w:rPr>
              <w:t>651</w:t>
            </w:r>
          </w:p>
        </w:tc>
      </w:tr>
      <w:tr w:rsidR="007B49DD" w:rsidRPr="00236418" w14:paraId="75C40926" w14:textId="77777777" w:rsidTr="0020662C">
        <w:trPr>
          <w:trHeight w:val="20"/>
          <w:jc w:val="center"/>
        </w:trPr>
        <w:tc>
          <w:tcPr>
            <w:tcW w:w="3539" w:type="dxa"/>
            <w:tcBorders>
              <w:left w:val="single" w:sz="4" w:space="0" w:color="auto"/>
              <w:right w:val="single" w:sz="4" w:space="0" w:color="auto"/>
            </w:tcBorders>
            <w:shd w:val="clear" w:color="auto" w:fill="auto"/>
            <w:noWrap/>
            <w:vAlign w:val="center"/>
          </w:tcPr>
          <w:p w14:paraId="122C658E" w14:textId="77777777" w:rsidR="007B49DD" w:rsidRPr="00236418" w:rsidRDefault="007B49DD" w:rsidP="009B3D24">
            <w:pPr>
              <w:pStyle w:val="Tabletext"/>
              <w:spacing w:before="0" w:after="0"/>
              <w:rPr>
                <w:sz w:val="20"/>
                <w:lang w:eastAsia="zh-CN"/>
              </w:rPr>
            </w:pPr>
            <w:r w:rsidRPr="00236418">
              <w:rPr>
                <w:sz w:val="20"/>
                <w:lang w:eastAsia="zh-CN"/>
              </w:rPr>
              <w:t>Biens/factures reçues</w:t>
            </w:r>
          </w:p>
        </w:tc>
        <w:tc>
          <w:tcPr>
            <w:tcW w:w="2552" w:type="dxa"/>
            <w:tcBorders>
              <w:left w:val="nil"/>
              <w:right w:val="single" w:sz="4" w:space="0" w:color="auto"/>
            </w:tcBorders>
            <w:shd w:val="clear" w:color="auto" w:fill="auto"/>
            <w:noWrap/>
            <w:vAlign w:val="bottom"/>
          </w:tcPr>
          <w:p w14:paraId="4C40C0D1" w14:textId="3776C468" w:rsidR="007B49DD" w:rsidRPr="00236418" w:rsidRDefault="007B49DD" w:rsidP="009B3D24">
            <w:pPr>
              <w:pStyle w:val="Tabletext"/>
              <w:spacing w:before="0" w:after="0"/>
              <w:jc w:val="right"/>
              <w:rPr>
                <w:sz w:val="20"/>
                <w:lang w:eastAsia="zh-CN"/>
              </w:rPr>
            </w:pPr>
            <w:r w:rsidRPr="00236418">
              <w:rPr>
                <w:sz w:val="20"/>
                <w:lang w:eastAsia="zh-CN"/>
              </w:rPr>
              <w:t>21</w:t>
            </w:r>
          </w:p>
        </w:tc>
        <w:tc>
          <w:tcPr>
            <w:tcW w:w="2409" w:type="dxa"/>
            <w:tcBorders>
              <w:left w:val="nil"/>
              <w:right w:val="single" w:sz="4" w:space="0" w:color="auto"/>
            </w:tcBorders>
            <w:shd w:val="clear" w:color="auto" w:fill="auto"/>
            <w:noWrap/>
            <w:vAlign w:val="bottom"/>
          </w:tcPr>
          <w:p w14:paraId="6B31EFA9" w14:textId="57B42CF0" w:rsidR="007B49DD" w:rsidRPr="00236418" w:rsidRDefault="007B49DD" w:rsidP="009B3D24">
            <w:pPr>
              <w:pStyle w:val="Tabletext"/>
              <w:spacing w:before="0" w:after="0"/>
              <w:jc w:val="right"/>
              <w:rPr>
                <w:sz w:val="20"/>
                <w:lang w:eastAsia="zh-CN"/>
              </w:rPr>
            </w:pPr>
            <w:r w:rsidRPr="00236418">
              <w:rPr>
                <w:sz w:val="20"/>
                <w:lang w:eastAsia="zh-CN"/>
              </w:rPr>
              <w:t>21</w:t>
            </w:r>
          </w:p>
        </w:tc>
      </w:tr>
      <w:tr w:rsidR="007B49DD" w:rsidRPr="00236418" w14:paraId="7096AAC2" w14:textId="77777777" w:rsidTr="0020662C">
        <w:trPr>
          <w:trHeight w:val="20"/>
          <w:jc w:val="center"/>
        </w:trPr>
        <w:tc>
          <w:tcPr>
            <w:tcW w:w="3539" w:type="dxa"/>
            <w:tcBorders>
              <w:left w:val="single" w:sz="4" w:space="0" w:color="auto"/>
              <w:bottom w:val="single" w:sz="4" w:space="0" w:color="auto"/>
              <w:right w:val="single" w:sz="4" w:space="0" w:color="auto"/>
            </w:tcBorders>
            <w:shd w:val="clear" w:color="auto" w:fill="auto"/>
            <w:noWrap/>
            <w:vAlign w:val="center"/>
          </w:tcPr>
          <w:p w14:paraId="7C9FE03A" w14:textId="77777777" w:rsidR="007B49DD" w:rsidRPr="00236418" w:rsidRDefault="007B49DD" w:rsidP="009B3D24">
            <w:pPr>
              <w:pStyle w:val="Tabletext"/>
              <w:spacing w:before="0" w:after="0"/>
              <w:rPr>
                <w:sz w:val="20"/>
                <w:lang w:eastAsia="zh-CN"/>
              </w:rPr>
            </w:pPr>
            <w:r w:rsidRPr="00236418">
              <w:rPr>
                <w:sz w:val="20"/>
                <w:lang w:eastAsia="zh-CN"/>
              </w:rPr>
              <w:t>PNUD</w:t>
            </w:r>
          </w:p>
        </w:tc>
        <w:tc>
          <w:tcPr>
            <w:tcW w:w="2552" w:type="dxa"/>
            <w:tcBorders>
              <w:left w:val="nil"/>
              <w:bottom w:val="single" w:sz="4" w:space="0" w:color="auto"/>
              <w:right w:val="single" w:sz="4" w:space="0" w:color="auto"/>
            </w:tcBorders>
            <w:shd w:val="clear" w:color="auto" w:fill="auto"/>
            <w:noWrap/>
            <w:vAlign w:val="bottom"/>
          </w:tcPr>
          <w:p w14:paraId="1C6A00CA" w14:textId="62598D24" w:rsidR="007B49DD" w:rsidRPr="00236418" w:rsidRDefault="007B49DD" w:rsidP="009B3D24">
            <w:pPr>
              <w:pStyle w:val="Tabletext"/>
              <w:spacing w:before="0" w:after="0"/>
              <w:jc w:val="right"/>
              <w:rPr>
                <w:sz w:val="20"/>
                <w:lang w:eastAsia="zh-CN"/>
              </w:rPr>
            </w:pPr>
            <w:r w:rsidRPr="00236418">
              <w:rPr>
                <w:sz w:val="20"/>
                <w:lang w:eastAsia="zh-CN"/>
              </w:rPr>
              <w:t>–</w:t>
            </w:r>
          </w:p>
        </w:tc>
        <w:tc>
          <w:tcPr>
            <w:tcW w:w="2409" w:type="dxa"/>
            <w:tcBorders>
              <w:left w:val="nil"/>
              <w:bottom w:val="single" w:sz="4" w:space="0" w:color="auto"/>
              <w:right w:val="single" w:sz="4" w:space="0" w:color="auto"/>
            </w:tcBorders>
            <w:shd w:val="clear" w:color="auto" w:fill="auto"/>
            <w:noWrap/>
            <w:vAlign w:val="bottom"/>
          </w:tcPr>
          <w:p w14:paraId="29AD18A1" w14:textId="362CD1E6" w:rsidR="007B49DD" w:rsidRPr="00236418" w:rsidRDefault="007B49DD" w:rsidP="009B3D24">
            <w:pPr>
              <w:pStyle w:val="Tabletext"/>
              <w:spacing w:before="0" w:after="0"/>
              <w:jc w:val="right"/>
              <w:rPr>
                <w:sz w:val="20"/>
                <w:lang w:eastAsia="zh-CN"/>
              </w:rPr>
            </w:pPr>
            <w:r w:rsidRPr="00236418">
              <w:rPr>
                <w:sz w:val="20"/>
                <w:lang w:eastAsia="zh-CN"/>
              </w:rPr>
              <w:t>12</w:t>
            </w:r>
          </w:p>
        </w:tc>
      </w:tr>
      <w:tr w:rsidR="007B49DD" w:rsidRPr="00236418" w14:paraId="526D22E6" w14:textId="77777777" w:rsidTr="0020662C">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1BF3F" w14:textId="77777777" w:rsidR="007B49DD" w:rsidRPr="00236418" w:rsidRDefault="007B49DD" w:rsidP="009B3D24">
            <w:pPr>
              <w:pStyle w:val="Tabletext"/>
              <w:spacing w:before="0" w:after="0"/>
              <w:rPr>
                <w:b/>
                <w:sz w:val="20"/>
                <w:lang w:eastAsia="zh-CN"/>
              </w:rPr>
            </w:pPr>
            <w:r w:rsidRPr="00236418">
              <w:rPr>
                <w:b/>
                <w:sz w:val="20"/>
                <w:lang w:eastAsia="zh-CN"/>
              </w:rPr>
              <w:t>Autres dettes</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2CB2CDF2" w14:textId="7BBCCB45" w:rsidR="007B49DD" w:rsidRPr="00236418" w:rsidRDefault="007B49DD" w:rsidP="009B3D24">
            <w:pPr>
              <w:pStyle w:val="Tabletext"/>
              <w:spacing w:before="0" w:after="0"/>
              <w:jc w:val="right"/>
              <w:rPr>
                <w:b/>
                <w:sz w:val="20"/>
                <w:lang w:eastAsia="zh-CN"/>
              </w:rPr>
            </w:pPr>
            <w:r w:rsidRPr="00236418">
              <w:rPr>
                <w:b/>
                <w:sz w:val="20"/>
                <w:lang w:eastAsia="zh-CN"/>
              </w:rPr>
              <w:t>4 931</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29392A1" w14:textId="707D2ECE" w:rsidR="007B49DD" w:rsidRPr="00236418" w:rsidRDefault="007B49DD" w:rsidP="009B3D24">
            <w:pPr>
              <w:pStyle w:val="Tabletext"/>
              <w:spacing w:before="0" w:after="0"/>
              <w:jc w:val="right"/>
              <w:rPr>
                <w:b/>
                <w:sz w:val="20"/>
                <w:lang w:eastAsia="zh-CN"/>
              </w:rPr>
            </w:pPr>
            <w:r w:rsidRPr="00236418">
              <w:rPr>
                <w:b/>
                <w:sz w:val="20"/>
                <w:lang w:eastAsia="zh-CN"/>
              </w:rPr>
              <w:t>3 195</w:t>
            </w:r>
          </w:p>
        </w:tc>
      </w:tr>
    </w:tbl>
    <w:p w14:paraId="3FE0A76C" w14:textId="77777777" w:rsidR="00DF6159" w:rsidRPr="00236418" w:rsidRDefault="00DF6159" w:rsidP="00081C96">
      <w:pPr>
        <w:pStyle w:val="Heading1"/>
        <w:spacing w:before="240" w:after="120"/>
        <w:rPr>
          <w:sz w:val="24"/>
          <w:szCs w:val="24"/>
        </w:rPr>
      </w:pPr>
      <w:bookmarkStart w:id="1863" w:name="_Toc329178797"/>
      <w:bookmarkStart w:id="1864" w:name="_Toc329181770"/>
      <w:bookmarkStart w:id="1865" w:name="_Toc329202590"/>
      <w:bookmarkStart w:id="1866" w:name="_Toc329205022"/>
      <w:bookmarkStart w:id="1867" w:name="_Toc329206859"/>
      <w:bookmarkStart w:id="1868" w:name="_Toc358379942"/>
      <w:bookmarkStart w:id="1869" w:name="_Toc358380485"/>
      <w:bookmarkStart w:id="1870" w:name="_Toc452139852"/>
      <w:bookmarkStart w:id="1871" w:name="_Toc452140726"/>
      <w:bookmarkStart w:id="1872" w:name="_Toc482801514"/>
      <w:bookmarkStart w:id="1873" w:name="_Toc511649486"/>
      <w:bookmarkStart w:id="1874" w:name="_Toc511649856"/>
      <w:bookmarkStart w:id="1875" w:name="_Toc511649972"/>
      <w:bookmarkStart w:id="1876" w:name="_Toc511651232"/>
      <w:bookmarkStart w:id="1877" w:name="_Toc511724095"/>
      <w:bookmarkStart w:id="1878" w:name="_Toc511739084"/>
      <w:bookmarkStart w:id="1879" w:name="_Toc511741255"/>
      <w:bookmarkStart w:id="1880" w:name="_Toc10450768"/>
      <w:bookmarkStart w:id="1881" w:name="_Toc41566361"/>
      <w:bookmarkStart w:id="1882" w:name="_Toc41567368"/>
      <w:bookmarkStart w:id="1883" w:name="_Toc41567871"/>
      <w:bookmarkStart w:id="1884" w:name="_Toc41814965"/>
      <w:bookmarkStart w:id="1885" w:name="_Toc268007556"/>
      <w:r w:rsidRPr="00236418">
        <w:rPr>
          <w:sz w:val="24"/>
          <w:szCs w:val="24"/>
        </w:rPr>
        <w:t>Note 20</w:t>
      </w:r>
      <w:r w:rsidRPr="00236418">
        <w:rPr>
          <w:sz w:val="24"/>
          <w:szCs w:val="24"/>
        </w:rPr>
        <w:tab/>
        <w:t>Fonds extrabudgétaires affectés et non affectés</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14:paraId="2883BA38" w14:textId="77777777" w:rsidR="00DF6159" w:rsidRPr="00236418" w:rsidRDefault="00DF6159" w:rsidP="009B3D24">
      <w:pPr>
        <w:spacing w:after="120"/>
      </w:pPr>
      <w:r w:rsidRPr="00236418">
        <w:t>Conformément à la norme IPSAS 23, le solde des fonds à la date de clôture représente les financements qui ont été reçus et n'ont pas encore été dépensés. Des soldes sont présentés dans la ligne de bilan correspondante et les mouvements de ces fonds sont illustrés dans le tableau ci</w:t>
      </w:r>
      <w:r w:rsidRPr="00236418">
        <w:noBreakHyphen/>
        <w:t>dessous en précisant si ces financements sont affectés ou non à un projet financé par des fonds de tiers ou par l'UIT.</w:t>
      </w:r>
    </w:p>
    <w:tbl>
      <w:tblPr>
        <w:tblStyle w:val="TableGrid"/>
        <w:tblW w:w="0" w:type="auto"/>
        <w:tblLook w:val="04A0" w:firstRow="1" w:lastRow="0" w:firstColumn="1" w:lastColumn="0" w:noHBand="0" w:noVBand="1"/>
      </w:tblPr>
      <w:tblGrid>
        <w:gridCol w:w="2835"/>
        <w:gridCol w:w="1418"/>
        <w:gridCol w:w="1984"/>
        <w:gridCol w:w="1433"/>
        <w:gridCol w:w="1959"/>
      </w:tblGrid>
      <w:tr w:rsidR="00DF6159" w:rsidRPr="00236418" w14:paraId="1E106E8D" w14:textId="77777777" w:rsidTr="00927AB5">
        <w:tc>
          <w:tcPr>
            <w:tcW w:w="2835" w:type="dxa"/>
            <w:tcBorders>
              <w:top w:val="single" w:sz="4" w:space="0" w:color="auto"/>
              <w:left w:val="single" w:sz="4" w:space="0" w:color="auto"/>
            </w:tcBorders>
            <w:vAlign w:val="center"/>
          </w:tcPr>
          <w:p w14:paraId="608BC3F8" w14:textId="039492C8" w:rsidR="00DF6159" w:rsidRPr="00236418" w:rsidRDefault="00927AB5" w:rsidP="00927AB5">
            <w:pPr>
              <w:pStyle w:val="Tablehead"/>
              <w:spacing w:before="0" w:after="0"/>
              <w:jc w:val="left"/>
              <w:rPr>
                <w:sz w:val="20"/>
                <w:lang w:eastAsia="zh-CN"/>
              </w:rPr>
            </w:pPr>
            <w:bookmarkStart w:id="1886" w:name="_MON_1396444744"/>
            <w:bookmarkEnd w:id="1886"/>
            <w:r w:rsidRPr="00236418">
              <w:rPr>
                <w:sz w:val="20"/>
                <w:lang w:eastAsia="zh-CN"/>
              </w:rPr>
              <w:t>En milliers de CHF</w:t>
            </w:r>
          </w:p>
        </w:tc>
        <w:tc>
          <w:tcPr>
            <w:tcW w:w="1418" w:type="dxa"/>
            <w:tcBorders>
              <w:top w:val="single" w:sz="4" w:space="0" w:color="auto"/>
            </w:tcBorders>
            <w:vAlign w:val="center"/>
          </w:tcPr>
          <w:p w14:paraId="6CE9E1D3"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236418">
              <w:rPr>
                <w:b/>
                <w:sz w:val="20"/>
                <w:lang w:eastAsia="zh-CN"/>
              </w:rPr>
              <w:t>Fonds de tiers affecté</w:t>
            </w:r>
          </w:p>
        </w:tc>
        <w:tc>
          <w:tcPr>
            <w:tcW w:w="1984" w:type="dxa"/>
            <w:tcBorders>
              <w:top w:val="single" w:sz="4" w:space="0" w:color="auto"/>
            </w:tcBorders>
            <w:vAlign w:val="center"/>
          </w:tcPr>
          <w:p w14:paraId="63894899"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236418">
              <w:rPr>
                <w:b/>
                <w:sz w:val="20"/>
                <w:lang w:eastAsia="zh-CN"/>
              </w:rPr>
              <w:t xml:space="preserve">Fonds de tiers </w:t>
            </w:r>
            <w:r w:rsidRPr="00236418">
              <w:rPr>
                <w:b/>
                <w:sz w:val="20"/>
                <w:lang w:eastAsia="zh-CN"/>
              </w:rPr>
              <w:br/>
              <w:t>en attente d'affectation</w:t>
            </w:r>
          </w:p>
        </w:tc>
        <w:tc>
          <w:tcPr>
            <w:tcW w:w="1433" w:type="dxa"/>
            <w:tcBorders>
              <w:top w:val="single" w:sz="4" w:space="0" w:color="auto"/>
            </w:tcBorders>
            <w:vAlign w:val="center"/>
          </w:tcPr>
          <w:p w14:paraId="24B2F39E"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236418">
              <w:rPr>
                <w:b/>
                <w:sz w:val="20"/>
                <w:lang w:eastAsia="zh-CN"/>
              </w:rPr>
              <w:t xml:space="preserve">Total fonds </w:t>
            </w:r>
            <w:r w:rsidRPr="00236418">
              <w:rPr>
                <w:b/>
                <w:sz w:val="20"/>
                <w:lang w:eastAsia="zh-CN"/>
              </w:rPr>
              <w:br/>
              <w:t>de tiers</w:t>
            </w:r>
          </w:p>
        </w:tc>
        <w:tc>
          <w:tcPr>
            <w:tcW w:w="1959" w:type="dxa"/>
            <w:tcBorders>
              <w:top w:val="single" w:sz="4" w:space="0" w:color="auto"/>
            </w:tcBorders>
            <w:vAlign w:val="center"/>
          </w:tcPr>
          <w:p w14:paraId="0038CCAB" w14:textId="7777777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236418">
              <w:rPr>
                <w:b/>
                <w:sz w:val="20"/>
                <w:lang w:eastAsia="zh-CN"/>
              </w:rPr>
              <w:t>Fonds propres affectés à des projets extrabudgétaires</w:t>
            </w:r>
          </w:p>
        </w:tc>
      </w:tr>
      <w:tr w:rsidR="00BC5CA5" w:rsidRPr="00236418" w14:paraId="1D629314" w14:textId="77777777" w:rsidTr="00D77053">
        <w:tc>
          <w:tcPr>
            <w:tcW w:w="2835" w:type="dxa"/>
            <w:tcBorders>
              <w:bottom w:val="single" w:sz="4" w:space="0" w:color="auto"/>
            </w:tcBorders>
          </w:tcPr>
          <w:p w14:paraId="776DD410" w14:textId="64EA0597" w:rsidR="00BC5CA5" w:rsidRPr="00236418" w:rsidRDefault="00BC5CA5" w:rsidP="009B3D24">
            <w:pPr>
              <w:pStyle w:val="Tabletext"/>
              <w:spacing w:before="0" w:after="0"/>
              <w:rPr>
                <w:b/>
                <w:bCs/>
                <w:sz w:val="20"/>
                <w:lang w:eastAsia="zh-CN"/>
              </w:rPr>
            </w:pPr>
            <w:r w:rsidRPr="00236418">
              <w:rPr>
                <w:b/>
                <w:bCs/>
                <w:sz w:val="20"/>
                <w:lang w:eastAsia="zh-CN"/>
              </w:rPr>
              <w:t>Solde au 31.12.2018</w:t>
            </w:r>
          </w:p>
        </w:tc>
        <w:tc>
          <w:tcPr>
            <w:tcW w:w="1418" w:type="dxa"/>
            <w:tcBorders>
              <w:bottom w:val="single" w:sz="4" w:space="0" w:color="auto"/>
            </w:tcBorders>
            <w:tcMar>
              <w:right w:w="198" w:type="dxa"/>
            </w:tcMar>
          </w:tcPr>
          <w:p w14:paraId="4B6D64EB" w14:textId="74409F66" w:rsidR="00BC5CA5" w:rsidRPr="00236418" w:rsidRDefault="00BC5CA5" w:rsidP="009B3D24">
            <w:pPr>
              <w:pStyle w:val="Tabletext"/>
              <w:spacing w:before="0" w:after="0"/>
              <w:jc w:val="right"/>
              <w:rPr>
                <w:sz w:val="20"/>
                <w:szCs w:val="20"/>
                <w:lang w:eastAsia="zh-CN"/>
              </w:rPr>
            </w:pPr>
            <w:r w:rsidRPr="00236418">
              <w:rPr>
                <w:sz w:val="20"/>
                <w:szCs w:val="20"/>
              </w:rPr>
              <w:t>31 034</w:t>
            </w:r>
          </w:p>
        </w:tc>
        <w:tc>
          <w:tcPr>
            <w:tcW w:w="1984" w:type="dxa"/>
            <w:tcBorders>
              <w:bottom w:val="single" w:sz="4" w:space="0" w:color="auto"/>
            </w:tcBorders>
            <w:tcMar>
              <w:right w:w="198" w:type="dxa"/>
            </w:tcMar>
          </w:tcPr>
          <w:p w14:paraId="3EC575FF" w14:textId="413E211B" w:rsidR="00BC5CA5" w:rsidRPr="00236418" w:rsidRDefault="00BC5CA5" w:rsidP="009B3D24">
            <w:pPr>
              <w:pStyle w:val="Tabletext"/>
              <w:spacing w:before="0" w:after="0"/>
              <w:jc w:val="right"/>
              <w:rPr>
                <w:sz w:val="20"/>
                <w:szCs w:val="20"/>
                <w:lang w:eastAsia="zh-CN"/>
              </w:rPr>
            </w:pPr>
            <w:r w:rsidRPr="00236418">
              <w:rPr>
                <w:sz w:val="20"/>
                <w:szCs w:val="20"/>
              </w:rPr>
              <w:t>2 790</w:t>
            </w:r>
          </w:p>
        </w:tc>
        <w:tc>
          <w:tcPr>
            <w:tcW w:w="1433" w:type="dxa"/>
            <w:tcBorders>
              <w:bottom w:val="single" w:sz="4" w:space="0" w:color="auto"/>
            </w:tcBorders>
            <w:tcMar>
              <w:right w:w="198" w:type="dxa"/>
            </w:tcMar>
          </w:tcPr>
          <w:p w14:paraId="384C7D52" w14:textId="613E658A" w:rsidR="00BC5CA5" w:rsidRPr="00236418" w:rsidRDefault="00BC5CA5" w:rsidP="009B3D24">
            <w:pPr>
              <w:pStyle w:val="Tabletext"/>
              <w:spacing w:before="0" w:after="0"/>
              <w:jc w:val="right"/>
              <w:rPr>
                <w:b/>
                <w:bCs/>
                <w:sz w:val="20"/>
                <w:szCs w:val="20"/>
                <w:lang w:eastAsia="zh-CN"/>
              </w:rPr>
            </w:pPr>
            <w:r w:rsidRPr="00236418">
              <w:rPr>
                <w:b/>
                <w:bCs/>
                <w:sz w:val="20"/>
                <w:szCs w:val="20"/>
              </w:rPr>
              <w:t>33 824</w:t>
            </w:r>
          </w:p>
        </w:tc>
        <w:tc>
          <w:tcPr>
            <w:tcW w:w="1959" w:type="dxa"/>
            <w:tcBorders>
              <w:bottom w:val="single" w:sz="4" w:space="0" w:color="auto"/>
            </w:tcBorders>
            <w:tcMar>
              <w:right w:w="198" w:type="dxa"/>
            </w:tcMar>
          </w:tcPr>
          <w:p w14:paraId="697089C7" w14:textId="29A7ED8E" w:rsidR="00BC5CA5" w:rsidRPr="00236418" w:rsidRDefault="00BC5CA5" w:rsidP="009B3D24">
            <w:pPr>
              <w:pStyle w:val="Tabletext"/>
              <w:spacing w:before="0" w:after="0"/>
              <w:jc w:val="right"/>
              <w:rPr>
                <w:b/>
                <w:bCs/>
                <w:sz w:val="20"/>
                <w:szCs w:val="20"/>
                <w:lang w:eastAsia="zh-CN"/>
              </w:rPr>
            </w:pPr>
            <w:r w:rsidRPr="00236418">
              <w:rPr>
                <w:b/>
                <w:bCs/>
                <w:sz w:val="20"/>
                <w:szCs w:val="20"/>
              </w:rPr>
              <w:t>5 614</w:t>
            </w:r>
          </w:p>
        </w:tc>
      </w:tr>
      <w:tr w:rsidR="00BC5CA5" w:rsidRPr="00236418" w14:paraId="30BDBA89" w14:textId="77777777" w:rsidTr="00D77053">
        <w:tc>
          <w:tcPr>
            <w:tcW w:w="2835" w:type="dxa"/>
            <w:tcBorders>
              <w:bottom w:val="nil"/>
            </w:tcBorders>
          </w:tcPr>
          <w:p w14:paraId="69B11C70" w14:textId="77777777" w:rsidR="00BC5CA5" w:rsidRPr="00236418" w:rsidRDefault="00BC5CA5" w:rsidP="009B3D24">
            <w:pPr>
              <w:pStyle w:val="Tabletext"/>
              <w:spacing w:before="0" w:after="0"/>
              <w:rPr>
                <w:sz w:val="20"/>
                <w:lang w:eastAsia="zh-CN"/>
              </w:rPr>
            </w:pPr>
            <w:r w:rsidRPr="00236418">
              <w:rPr>
                <w:sz w:val="20"/>
                <w:lang w:eastAsia="zh-CN"/>
              </w:rPr>
              <w:t>Augmentation</w:t>
            </w:r>
          </w:p>
        </w:tc>
        <w:tc>
          <w:tcPr>
            <w:tcW w:w="1418" w:type="dxa"/>
            <w:tcBorders>
              <w:bottom w:val="nil"/>
            </w:tcBorders>
            <w:tcMar>
              <w:right w:w="198" w:type="dxa"/>
            </w:tcMar>
          </w:tcPr>
          <w:p w14:paraId="4A9CDB0A" w14:textId="4139B56B" w:rsidR="00BC5CA5" w:rsidRPr="00236418" w:rsidRDefault="00BC5CA5" w:rsidP="009B3D24">
            <w:pPr>
              <w:pStyle w:val="Tabletext"/>
              <w:spacing w:before="0" w:after="0"/>
              <w:jc w:val="right"/>
              <w:rPr>
                <w:sz w:val="20"/>
                <w:szCs w:val="20"/>
                <w:lang w:eastAsia="zh-CN"/>
              </w:rPr>
            </w:pPr>
            <w:r w:rsidRPr="00236418">
              <w:rPr>
                <w:sz w:val="20"/>
                <w:szCs w:val="20"/>
              </w:rPr>
              <w:t>13 139</w:t>
            </w:r>
          </w:p>
        </w:tc>
        <w:tc>
          <w:tcPr>
            <w:tcW w:w="1984" w:type="dxa"/>
            <w:tcBorders>
              <w:bottom w:val="nil"/>
            </w:tcBorders>
            <w:tcMar>
              <w:right w:w="198" w:type="dxa"/>
            </w:tcMar>
          </w:tcPr>
          <w:p w14:paraId="7E8BED1D" w14:textId="27A5A069" w:rsidR="00BC5CA5" w:rsidRPr="00236418" w:rsidRDefault="00BC5CA5" w:rsidP="009B3D24">
            <w:pPr>
              <w:pStyle w:val="Tabletext"/>
              <w:spacing w:before="0" w:after="0"/>
              <w:jc w:val="right"/>
              <w:rPr>
                <w:sz w:val="20"/>
                <w:szCs w:val="20"/>
                <w:lang w:eastAsia="zh-CN"/>
              </w:rPr>
            </w:pPr>
            <w:r w:rsidRPr="00236418">
              <w:rPr>
                <w:sz w:val="20"/>
                <w:szCs w:val="20"/>
              </w:rPr>
              <w:t>1 125</w:t>
            </w:r>
          </w:p>
        </w:tc>
        <w:tc>
          <w:tcPr>
            <w:tcW w:w="1433" w:type="dxa"/>
            <w:tcBorders>
              <w:bottom w:val="nil"/>
            </w:tcBorders>
            <w:tcMar>
              <w:right w:w="198" w:type="dxa"/>
            </w:tcMar>
          </w:tcPr>
          <w:p w14:paraId="5914739C" w14:textId="39B88EEF" w:rsidR="00BC5CA5" w:rsidRPr="00236418" w:rsidRDefault="00BC5CA5" w:rsidP="009B3D24">
            <w:pPr>
              <w:pStyle w:val="Tabletext"/>
              <w:spacing w:before="0" w:after="0"/>
              <w:jc w:val="right"/>
              <w:rPr>
                <w:b/>
                <w:bCs/>
                <w:sz w:val="20"/>
                <w:szCs w:val="20"/>
                <w:lang w:eastAsia="zh-CN"/>
              </w:rPr>
            </w:pPr>
            <w:r w:rsidRPr="00236418">
              <w:rPr>
                <w:b/>
                <w:bCs/>
                <w:sz w:val="20"/>
                <w:szCs w:val="20"/>
              </w:rPr>
              <w:t>14 264</w:t>
            </w:r>
          </w:p>
        </w:tc>
        <w:tc>
          <w:tcPr>
            <w:tcW w:w="1959" w:type="dxa"/>
            <w:tcBorders>
              <w:bottom w:val="nil"/>
            </w:tcBorders>
            <w:tcMar>
              <w:right w:w="198" w:type="dxa"/>
            </w:tcMar>
          </w:tcPr>
          <w:p w14:paraId="00A40E1A" w14:textId="07B44ADD" w:rsidR="00BC5CA5" w:rsidRPr="00236418" w:rsidRDefault="00BC5CA5" w:rsidP="009B3D24">
            <w:pPr>
              <w:pStyle w:val="Tabletext"/>
              <w:spacing w:before="0" w:after="0"/>
              <w:jc w:val="right"/>
              <w:rPr>
                <w:b/>
                <w:bCs/>
                <w:sz w:val="20"/>
                <w:szCs w:val="20"/>
                <w:lang w:eastAsia="zh-CN"/>
              </w:rPr>
            </w:pPr>
            <w:r w:rsidRPr="00236418">
              <w:rPr>
                <w:sz w:val="20"/>
                <w:szCs w:val="20"/>
              </w:rPr>
              <w:t>1 510</w:t>
            </w:r>
          </w:p>
        </w:tc>
      </w:tr>
      <w:tr w:rsidR="00BC5CA5" w:rsidRPr="00236418" w14:paraId="3DBC807A" w14:textId="77777777" w:rsidTr="00D77053">
        <w:tc>
          <w:tcPr>
            <w:tcW w:w="2835" w:type="dxa"/>
            <w:tcBorders>
              <w:top w:val="nil"/>
              <w:bottom w:val="nil"/>
            </w:tcBorders>
          </w:tcPr>
          <w:p w14:paraId="79A9F15C" w14:textId="77777777" w:rsidR="00BC5CA5" w:rsidRPr="00236418" w:rsidRDefault="00BC5CA5" w:rsidP="009B3D24">
            <w:pPr>
              <w:pStyle w:val="Tabletext"/>
              <w:spacing w:before="0" w:after="0"/>
              <w:rPr>
                <w:sz w:val="20"/>
                <w:lang w:eastAsia="zh-CN"/>
              </w:rPr>
            </w:pPr>
            <w:r w:rsidRPr="00236418">
              <w:rPr>
                <w:sz w:val="20"/>
                <w:lang w:eastAsia="zh-CN"/>
              </w:rPr>
              <w:t>Diminution</w:t>
            </w:r>
          </w:p>
        </w:tc>
        <w:tc>
          <w:tcPr>
            <w:tcW w:w="1418" w:type="dxa"/>
            <w:tcBorders>
              <w:top w:val="nil"/>
              <w:bottom w:val="nil"/>
            </w:tcBorders>
            <w:tcMar>
              <w:right w:w="198" w:type="dxa"/>
            </w:tcMar>
          </w:tcPr>
          <w:p w14:paraId="079D48BB" w14:textId="1919DAB1" w:rsidR="00BC5CA5" w:rsidRPr="00236418" w:rsidRDefault="00BC5CA5" w:rsidP="009B3D24">
            <w:pPr>
              <w:pStyle w:val="Tabletext"/>
              <w:spacing w:before="0" w:after="0"/>
              <w:jc w:val="right"/>
              <w:rPr>
                <w:sz w:val="20"/>
                <w:szCs w:val="20"/>
                <w:lang w:eastAsia="zh-CN"/>
              </w:rPr>
            </w:pPr>
            <w:r w:rsidRPr="00236418">
              <w:rPr>
                <w:sz w:val="20"/>
              </w:rPr>
              <w:t>–</w:t>
            </w:r>
            <w:r w:rsidRPr="00236418">
              <w:rPr>
                <w:sz w:val="20"/>
                <w:szCs w:val="20"/>
              </w:rPr>
              <w:t>9 033</w:t>
            </w:r>
          </w:p>
        </w:tc>
        <w:tc>
          <w:tcPr>
            <w:tcW w:w="1984" w:type="dxa"/>
            <w:tcBorders>
              <w:top w:val="nil"/>
              <w:bottom w:val="nil"/>
            </w:tcBorders>
            <w:tcMar>
              <w:right w:w="198" w:type="dxa"/>
            </w:tcMar>
          </w:tcPr>
          <w:p w14:paraId="37FBD1D3" w14:textId="1E1448DF" w:rsidR="00BC5CA5" w:rsidRPr="00236418" w:rsidRDefault="00BC5CA5" w:rsidP="009B3D24">
            <w:pPr>
              <w:pStyle w:val="Tabletext"/>
              <w:spacing w:before="0" w:after="0"/>
              <w:jc w:val="right"/>
              <w:rPr>
                <w:sz w:val="20"/>
                <w:szCs w:val="20"/>
                <w:lang w:eastAsia="zh-CN"/>
              </w:rPr>
            </w:pPr>
            <w:r w:rsidRPr="00236418">
              <w:rPr>
                <w:sz w:val="20"/>
              </w:rPr>
              <w:t>–</w:t>
            </w:r>
            <w:r w:rsidRPr="00236418">
              <w:rPr>
                <w:sz w:val="20"/>
                <w:szCs w:val="20"/>
              </w:rPr>
              <w:t>731</w:t>
            </w:r>
          </w:p>
        </w:tc>
        <w:tc>
          <w:tcPr>
            <w:tcW w:w="1433" w:type="dxa"/>
            <w:tcBorders>
              <w:top w:val="nil"/>
              <w:bottom w:val="nil"/>
            </w:tcBorders>
            <w:tcMar>
              <w:right w:w="198" w:type="dxa"/>
            </w:tcMar>
          </w:tcPr>
          <w:p w14:paraId="52AD65B7" w14:textId="3A6E8430" w:rsidR="00BC5CA5" w:rsidRPr="00236418" w:rsidRDefault="00BC5CA5" w:rsidP="009B3D24">
            <w:pPr>
              <w:pStyle w:val="Tabletext"/>
              <w:spacing w:before="0" w:after="0"/>
              <w:jc w:val="right"/>
              <w:rPr>
                <w:b/>
                <w:bCs/>
                <w:sz w:val="20"/>
                <w:szCs w:val="20"/>
                <w:lang w:eastAsia="zh-CN"/>
              </w:rPr>
            </w:pPr>
            <w:r w:rsidRPr="00236418">
              <w:rPr>
                <w:b/>
                <w:bCs/>
                <w:sz w:val="20"/>
              </w:rPr>
              <w:t>–</w:t>
            </w:r>
            <w:r w:rsidRPr="00236418">
              <w:rPr>
                <w:b/>
                <w:bCs/>
                <w:sz w:val="20"/>
                <w:szCs w:val="20"/>
              </w:rPr>
              <w:t>9 764</w:t>
            </w:r>
          </w:p>
        </w:tc>
        <w:tc>
          <w:tcPr>
            <w:tcW w:w="1959" w:type="dxa"/>
            <w:tcBorders>
              <w:top w:val="nil"/>
              <w:bottom w:val="nil"/>
            </w:tcBorders>
            <w:tcMar>
              <w:right w:w="198" w:type="dxa"/>
            </w:tcMar>
          </w:tcPr>
          <w:p w14:paraId="6124040E" w14:textId="22B4EC28" w:rsidR="00BC5CA5" w:rsidRPr="00236418" w:rsidRDefault="00BC5CA5" w:rsidP="009B3D24">
            <w:pPr>
              <w:pStyle w:val="Tabletext"/>
              <w:spacing w:before="0" w:after="0"/>
              <w:jc w:val="right"/>
              <w:rPr>
                <w:b/>
                <w:bCs/>
                <w:sz w:val="20"/>
                <w:szCs w:val="20"/>
                <w:lang w:eastAsia="zh-CN"/>
              </w:rPr>
            </w:pPr>
            <w:r w:rsidRPr="00236418">
              <w:rPr>
                <w:sz w:val="20"/>
              </w:rPr>
              <w:t>–</w:t>
            </w:r>
            <w:r w:rsidRPr="00236418">
              <w:rPr>
                <w:sz w:val="20"/>
                <w:szCs w:val="20"/>
              </w:rPr>
              <w:t>1 789</w:t>
            </w:r>
          </w:p>
        </w:tc>
      </w:tr>
      <w:tr w:rsidR="00BC5CA5" w:rsidRPr="00236418" w14:paraId="0E9E9A10" w14:textId="77777777" w:rsidTr="00D77053">
        <w:tc>
          <w:tcPr>
            <w:tcW w:w="2835" w:type="dxa"/>
            <w:tcBorders>
              <w:top w:val="nil"/>
            </w:tcBorders>
          </w:tcPr>
          <w:p w14:paraId="039997AC" w14:textId="77777777" w:rsidR="00BC5CA5" w:rsidRPr="00236418" w:rsidRDefault="00BC5CA5" w:rsidP="009B3D24">
            <w:pPr>
              <w:pStyle w:val="Tabletext"/>
              <w:spacing w:before="0" w:after="0"/>
              <w:rPr>
                <w:sz w:val="20"/>
                <w:lang w:eastAsia="zh-CN"/>
              </w:rPr>
            </w:pPr>
          </w:p>
        </w:tc>
        <w:tc>
          <w:tcPr>
            <w:tcW w:w="1418" w:type="dxa"/>
            <w:tcBorders>
              <w:top w:val="nil"/>
            </w:tcBorders>
            <w:tcMar>
              <w:right w:w="198" w:type="dxa"/>
            </w:tcMar>
          </w:tcPr>
          <w:p w14:paraId="365C62AC" w14:textId="47A6BE1B" w:rsidR="00BC5CA5" w:rsidRPr="00236418" w:rsidRDefault="00BC5CA5" w:rsidP="009B3D24">
            <w:pPr>
              <w:pStyle w:val="Tabletext"/>
              <w:spacing w:before="0" w:after="0"/>
              <w:jc w:val="right"/>
              <w:rPr>
                <w:sz w:val="20"/>
                <w:szCs w:val="20"/>
                <w:lang w:eastAsia="zh-CN"/>
              </w:rPr>
            </w:pPr>
            <w:r w:rsidRPr="00236418">
              <w:rPr>
                <w:sz w:val="20"/>
                <w:szCs w:val="20"/>
              </w:rPr>
              <w:t> </w:t>
            </w:r>
          </w:p>
        </w:tc>
        <w:tc>
          <w:tcPr>
            <w:tcW w:w="1984" w:type="dxa"/>
            <w:tcBorders>
              <w:top w:val="nil"/>
            </w:tcBorders>
            <w:tcMar>
              <w:right w:w="198" w:type="dxa"/>
            </w:tcMar>
          </w:tcPr>
          <w:p w14:paraId="11423B60" w14:textId="62D7E068" w:rsidR="00BC5CA5" w:rsidRPr="00236418" w:rsidRDefault="00BC5CA5" w:rsidP="009B3D24">
            <w:pPr>
              <w:pStyle w:val="Tabletext"/>
              <w:spacing w:before="0" w:after="0"/>
              <w:jc w:val="right"/>
              <w:rPr>
                <w:sz w:val="20"/>
                <w:szCs w:val="20"/>
                <w:lang w:eastAsia="zh-CN"/>
              </w:rPr>
            </w:pPr>
            <w:r w:rsidRPr="00236418">
              <w:rPr>
                <w:sz w:val="20"/>
                <w:szCs w:val="20"/>
              </w:rPr>
              <w:t> </w:t>
            </w:r>
          </w:p>
        </w:tc>
        <w:tc>
          <w:tcPr>
            <w:tcW w:w="1433" w:type="dxa"/>
            <w:tcBorders>
              <w:top w:val="nil"/>
            </w:tcBorders>
            <w:tcMar>
              <w:right w:w="198" w:type="dxa"/>
            </w:tcMar>
          </w:tcPr>
          <w:p w14:paraId="34EC9204" w14:textId="0EC8E461" w:rsidR="00BC5CA5" w:rsidRPr="00236418" w:rsidRDefault="00BC5CA5" w:rsidP="009B3D24">
            <w:pPr>
              <w:pStyle w:val="Tabletext"/>
              <w:spacing w:before="0" w:after="0"/>
              <w:jc w:val="right"/>
              <w:rPr>
                <w:b/>
                <w:bCs/>
                <w:sz w:val="20"/>
                <w:szCs w:val="20"/>
                <w:lang w:eastAsia="zh-CN"/>
              </w:rPr>
            </w:pPr>
            <w:r w:rsidRPr="00236418">
              <w:rPr>
                <w:b/>
                <w:bCs/>
                <w:sz w:val="20"/>
                <w:szCs w:val="20"/>
              </w:rPr>
              <w:t> </w:t>
            </w:r>
          </w:p>
        </w:tc>
        <w:tc>
          <w:tcPr>
            <w:tcW w:w="1959" w:type="dxa"/>
            <w:tcBorders>
              <w:top w:val="nil"/>
            </w:tcBorders>
            <w:tcMar>
              <w:right w:w="198" w:type="dxa"/>
            </w:tcMar>
          </w:tcPr>
          <w:p w14:paraId="72AA6982" w14:textId="4BEE149C" w:rsidR="00BC5CA5" w:rsidRPr="00236418" w:rsidRDefault="00BC5CA5" w:rsidP="009B3D24">
            <w:pPr>
              <w:pStyle w:val="Tabletext"/>
              <w:spacing w:before="0" w:after="0"/>
              <w:jc w:val="right"/>
              <w:rPr>
                <w:b/>
                <w:bCs/>
                <w:sz w:val="20"/>
                <w:szCs w:val="20"/>
                <w:lang w:eastAsia="zh-CN"/>
              </w:rPr>
            </w:pPr>
            <w:r w:rsidRPr="00236418">
              <w:rPr>
                <w:b/>
                <w:bCs/>
                <w:sz w:val="20"/>
                <w:szCs w:val="20"/>
              </w:rPr>
              <w:t> </w:t>
            </w:r>
          </w:p>
        </w:tc>
      </w:tr>
      <w:tr w:rsidR="00BC5CA5" w:rsidRPr="00236418" w14:paraId="36516C14" w14:textId="77777777" w:rsidTr="00D77053">
        <w:tc>
          <w:tcPr>
            <w:tcW w:w="2835" w:type="dxa"/>
          </w:tcPr>
          <w:p w14:paraId="758918C6" w14:textId="7BD16C94" w:rsidR="00BC5CA5" w:rsidRPr="00236418" w:rsidRDefault="00BC5CA5" w:rsidP="009B3D24">
            <w:pPr>
              <w:pStyle w:val="Tabletext"/>
              <w:spacing w:before="0" w:after="0"/>
              <w:rPr>
                <w:b/>
                <w:bCs/>
                <w:sz w:val="20"/>
                <w:lang w:eastAsia="zh-CN"/>
              </w:rPr>
            </w:pPr>
            <w:r w:rsidRPr="00236418">
              <w:rPr>
                <w:b/>
                <w:bCs/>
                <w:sz w:val="20"/>
                <w:lang w:eastAsia="zh-CN"/>
              </w:rPr>
              <w:t>Solde de clôture au 31.12.2019</w:t>
            </w:r>
          </w:p>
        </w:tc>
        <w:tc>
          <w:tcPr>
            <w:tcW w:w="1418" w:type="dxa"/>
            <w:tcMar>
              <w:right w:w="198" w:type="dxa"/>
            </w:tcMar>
          </w:tcPr>
          <w:p w14:paraId="27885047" w14:textId="3B60CB80" w:rsidR="00BC5CA5" w:rsidRPr="00236418" w:rsidRDefault="00BC5CA5" w:rsidP="009B3D24">
            <w:pPr>
              <w:pStyle w:val="Tabletext"/>
              <w:spacing w:before="0" w:after="0"/>
              <w:jc w:val="right"/>
              <w:rPr>
                <w:sz w:val="20"/>
                <w:szCs w:val="20"/>
                <w:lang w:eastAsia="zh-CN"/>
              </w:rPr>
            </w:pPr>
            <w:r w:rsidRPr="00236418">
              <w:rPr>
                <w:sz w:val="20"/>
                <w:szCs w:val="20"/>
              </w:rPr>
              <w:t>35 141</w:t>
            </w:r>
          </w:p>
        </w:tc>
        <w:tc>
          <w:tcPr>
            <w:tcW w:w="1984" w:type="dxa"/>
            <w:tcMar>
              <w:right w:w="198" w:type="dxa"/>
            </w:tcMar>
          </w:tcPr>
          <w:p w14:paraId="337C8072" w14:textId="7AA3D8CD" w:rsidR="00BC5CA5" w:rsidRPr="00236418" w:rsidRDefault="00BC5CA5" w:rsidP="009B3D24">
            <w:pPr>
              <w:pStyle w:val="Tabletext"/>
              <w:spacing w:before="0" w:after="0"/>
              <w:jc w:val="right"/>
              <w:rPr>
                <w:sz w:val="20"/>
                <w:szCs w:val="20"/>
                <w:lang w:eastAsia="zh-CN"/>
              </w:rPr>
            </w:pPr>
            <w:r w:rsidRPr="00236418">
              <w:rPr>
                <w:sz w:val="20"/>
                <w:szCs w:val="20"/>
              </w:rPr>
              <w:t>3 184</w:t>
            </w:r>
          </w:p>
        </w:tc>
        <w:tc>
          <w:tcPr>
            <w:tcW w:w="1433" w:type="dxa"/>
            <w:tcMar>
              <w:right w:w="198" w:type="dxa"/>
            </w:tcMar>
          </w:tcPr>
          <w:p w14:paraId="4A586849" w14:textId="5F189A04" w:rsidR="00BC5CA5" w:rsidRPr="00236418" w:rsidRDefault="00BC5CA5" w:rsidP="009B3D24">
            <w:pPr>
              <w:pStyle w:val="Tabletext"/>
              <w:spacing w:before="0" w:after="0"/>
              <w:jc w:val="right"/>
              <w:rPr>
                <w:b/>
                <w:bCs/>
                <w:sz w:val="20"/>
                <w:szCs w:val="20"/>
                <w:lang w:eastAsia="zh-CN"/>
              </w:rPr>
            </w:pPr>
            <w:r w:rsidRPr="00236418">
              <w:rPr>
                <w:b/>
                <w:bCs/>
                <w:sz w:val="20"/>
                <w:szCs w:val="20"/>
              </w:rPr>
              <w:t>38 325</w:t>
            </w:r>
          </w:p>
        </w:tc>
        <w:tc>
          <w:tcPr>
            <w:tcW w:w="1959" w:type="dxa"/>
            <w:tcMar>
              <w:right w:w="198" w:type="dxa"/>
            </w:tcMar>
          </w:tcPr>
          <w:p w14:paraId="3CA58E50" w14:textId="1E398CA4" w:rsidR="00BC5CA5" w:rsidRPr="00236418" w:rsidRDefault="00BC5CA5" w:rsidP="009B3D24">
            <w:pPr>
              <w:pStyle w:val="Tabletext"/>
              <w:spacing w:before="0" w:after="0"/>
              <w:jc w:val="right"/>
              <w:rPr>
                <w:b/>
                <w:bCs/>
                <w:sz w:val="20"/>
                <w:szCs w:val="20"/>
                <w:lang w:eastAsia="zh-CN"/>
              </w:rPr>
            </w:pPr>
            <w:r w:rsidRPr="00236418">
              <w:rPr>
                <w:b/>
                <w:bCs/>
                <w:sz w:val="20"/>
                <w:szCs w:val="20"/>
              </w:rPr>
              <w:t>5 335</w:t>
            </w:r>
          </w:p>
        </w:tc>
      </w:tr>
    </w:tbl>
    <w:p w14:paraId="6CAC0D03" w14:textId="49C11788" w:rsidR="00DF6159" w:rsidRPr="00236418" w:rsidRDefault="00DF6159" w:rsidP="009B3D24">
      <w:pPr>
        <w:spacing w:before="240"/>
      </w:pPr>
      <w:r w:rsidRPr="00236418">
        <w:t>On observe une augmentation des fonds de tiers affectés</w:t>
      </w:r>
      <w:r w:rsidR="00FC5872" w:rsidRPr="00236418">
        <w:t xml:space="preserve"> depuis l'</w:t>
      </w:r>
      <w:r w:rsidRPr="00236418">
        <w:t>augmentation des contributions externes ayant découlé de la signature de plusieurs accords en 201</w:t>
      </w:r>
      <w:r w:rsidR="00BC5CA5" w:rsidRPr="00236418">
        <w:t>9</w:t>
      </w:r>
      <w:r w:rsidRPr="00236418">
        <w:t xml:space="preserve">. On observe </w:t>
      </w:r>
      <w:r w:rsidR="00FC5872" w:rsidRPr="00236418">
        <w:t xml:space="preserve">en outre </w:t>
      </w:r>
      <w:r w:rsidRPr="00236418">
        <w:t xml:space="preserve">une légère </w:t>
      </w:r>
      <w:r w:rsidR="00E95B5A" w:rsidRPr="00236418">
        <w:t>hausse</w:t>
      </w:r>
      <w:r w:rsidRPr="00236418">
        <w:t xml:space="preserve"> concernant le niveau de mise en œuvre </w:t>
      </w:r>
      <w:r w:rsidR="00FC5872" w:rsidRPr="00236418">
        <w:t xml:space="preserve">globale </w:t>
      </w:r>
      <w:r w:rsidRPr="00236418">
        <w:t>de projets spécifiques.</w:t>
      </w:r>
    </w:p>
    <w:p w14:paraId="337B97EA" w14:textId="77777777" w:rsidR="00596807" w:rsidRDefault="00596807" w:rsidP="009B3D24">
      <w:r>
        <w:br w:type="page"/>
      </w:r>
    </w:p>
    <w:p w14:paraId="1F7C0C73" w14:textId="3C5C1417" w:rsidR="00DF6159" w:rsidRPr="00236418" w:rsidRDefault="00DF6159" w:rsidP="009B3D24">
      <w:pPr>
        <w:rPr>
          <w:color w:val="000000"/>
        </w:rPr>
      </w:pPr>
      <w:r w:rsidRPr="00236418">
        <w:lastRenderedPageBreak/>
        <w:t xml:space="preserve">La </w:t>
      </w:r>
      <w:r w:rsidR="00811E74" w:rsidRPr="00236418">
        <w:t>hausse</w:t>
      </w:r>
      <w:r w:rsidRPr="00236418">
        <w:t xml:space="preserve"> des fonds de tiers en attente de se voir affecter de nouveaux crédits est due principalement à </w:t>
      </w:r>
      <w:r w:rsidR="00811E74" w:rsidRPr="00236418">
        <w:t>la clôture de divers projets et aux</w:t>
      </w:r>
      <w:r w:rsidRPr="00236418">
        <w:t xml:space="preserve"> transferts </w:t>
      </w:r>
      <w:r w:rsidR="00811E74" w:rsidRPr="00236418">
        <w:t>des soldes</w:t>
      </w:r>
      <w:r w:rsidRPr="00236418">
        <w:t xml:space="preserve"> vers de</w:t>
      </w:r>
      <w:r w:rsidR="00811E74" w:rsidRPr="00236418">
        <w:t>s</w:t>
      </w:r>
      <w:r w:rsidRPr="00236418">
        <w:t xml:space="preserve"> </w:t>
      </w:r>
      <w:r w:rsidR="00811E74" w:rsidRPr="00236418">
        <w:t>comptes temporaires</w:t>
      </w:r>
      <w:r w:rsidRPr="00236418">
        <w:rPr>
          <w:color w:val="000000" w:themeColor="text1"/>
        </w:rPr>
        <w:t xml:space="preserve">. </w:t>
      </w:r>
      <w:r w:rsidR="00CE5F33" w:rsidRPr="00236418">
        <w:t>Par conséquent</w:t>
      </w:r>
      <w:r w:rsidRPr="00236418">
        <w:t>, le montant total des fonds de tiers a augmenté en 201</w:t>
      </w:r>
      <w:r w:rsidR="00BC5CA5" w:rsidRPr="00236418">
        <w:t>9</w:t>
      </w:r>
      <w:r w:rsidRPr="00236418">
        <w:t xml:space="preserve"> (38</w:t>
      </w:r>
      <w:r w:rsidR="00F14866" w:rsidRPr="00236418">
        <w:t> </w:t>
      </w:r>
      <w:r w:rsidR="00BC5CA5" w:rsidRPr="00236418">
        <w:t>325</w:t>
      </w:r>
      <w:r w:rsidR="00F14866" w:rsidRPr="00236418">
        <w:t> </w:t>
      </w:r>
      <w:r w:rsidRPr="00236418">
        <w:t>CHF) par rapport à 201</w:t>
      </w:r>
      <w:r w:rsidR="00BC5CA5" w:rsidRPr="00236418">
        <w:t>8</w:t>
      </w:r>
      <w:r w:rsidRPr="00236418">
        <w:t xml:space="preserve"> (</w:t>
      </w:r>
      <w:r w:rsidR="00BC5CA5" w:rsidRPr="00236418">
        <w:t>33</w:t>
      </w:r>
      <w:r w:rsidRPr="00236418">
        <w:t xml:space="preserve"> </w:t>
      </w:r>
      <w:r w:rsidR="00BC5CA5" w:rsidRPr="00236418">
        <w:t>824</w:t>
      </w:r>
      <w:r w:rsidRPr="00236418">
        <w:t xml:space="preserve"> CHF).</w:t>
      </w:r>
    </w:p>
    <w:p w14:paraId="0F746302" w14:textId="0A64FFA4" w:rsidR="00F8005E" w:rsidRPr="00236418" w:rsidRDefault="00F8005E" w:rsidP="009B3D24">
      <w:pPr>
        <w:spacing w:before="240"/>
        <w:rPr>
          <w:color w:val="000000"/>
        </w:rPr>
      </w:pPr>
      <w:r w:rsidRPr="00236418">
        <w:rPr>
          <w:color w:val="000000"/>
        </w:rPr>
        <w:t>On observe une légère baisse du total des fonds propres de l'UIT affectés à des projets. De nombreux projets ont été clôturés en 2019 et les fonds transférés vers différents comptes temporaires. En outre, des affectations de fonds provenant du FDTIC et du budget ordinaire de l'UIT ont été faites.</w:t>
      </w:r>
    </w:p>
    <w:p w14:paraId="2B1BA6F9" w14:textId="77777777" w:rsidR="00DF6159" w:rsidRPr="00236418" w:rsidRDefault="00DF6159" w:rsidP="00081C96">
      <w:pPr>
        <w:pStyle w:val="Heading1"/>
        <w:spacing w:before="240" w:after="120"/>
        <w:rPr>
          <w:sz w:val="24"/>
          <w:szCs w:val="24"/>
        </w:rPr>
      </w:pPr>
      <w:bookmarkStart w:id="1887" w:name="_Toc329202593"/>
      <w:bookmarkStart w:id="1888" w:name="_Toc329205025"/>
      <w:bookmarkStart w:id="1889" w:name="_Toc329206862"/>
      <w:bookmarkStart w:id="1890" w:name="_Toc358379943"/>
      <w:bookmarkStart w:id="1891" w:name="_Toc358380486"/>
      <w:bookmarkStart w:id="1892" w:name="_Toc387166660"/>
      <w:bookmarkStart w:id="1893" w:name="_Toc395260945"/>
      <w:bookmarkStart w:id="1894" w:name="_Toc395511732"/>
      <w:bookmarkStart w:id="1895" w:name="_Toc452138634"/>
      <w:bookmarkStart w:id="1896" w:name="_Toc452139083"/>
      <w:bookmarkStart w:id="1897" w:name="_Toc452139447"/>
      <w:bookmarkStart w:id="1898" w:name="_Toc452139853"/>
      <w:bookmarkStart w:id="1899" w:name="_Toc452140727"/>
      <w:bookmarkStart w:id="1900" w:name="_Toc482801515"/>
      <w:bookmarkStart w:id="1901" w:name="_Toc511649487"/>
      <w:bookmarkStart w:id="1902" w:name="_Toc511649857"/>
      <w:bookmarkStart w:id="1903" w:name="_Toc511649973"/>
      <w:bookmarkStart w:id="1904" w:name="_Toc511651233"/>
      <w:bookmarkStart w:id="1905" w:name="_Toc511724096"/>
      <w:bookmarkStart w:id="1906" w:name="_Toc511739085"/>
      <w:bookmarkStart w:id="1907" w:name="_Toc511741256"/>
      <w:bookmarkStart w:id="1908" w:name="_Toc10450769"/>
      <w:bookmarkStart w:id="1909" w:name="_Toc41566362"/>
      <w:bookmarkStart w:id="1910" w:name="_Toc41567369"/>
      <w:bookmarkStart w:id="1911" w:name="_Toc41567872"/>
      <w:bookmarkStart w:id="1912" w:name="_Toc41814966"/>
      <w:bookmarkStart w:id="1913" w:name="_Toc268007557"/>
      <w:bookmarkEnd w:id="1885"/>
      <w:r w:rsidRPr="00236418">
        <w:rPr>
          <w:sz w:val="24"/>
          <w:szCs w:val="24"/>
        </w:rPr>
        <w:t>Note 21</w:t>
      </w:r>
      <w:r w:rsidRPr="00236418">
        <w:rPr>
          <w:sz w:val="24"/>
          <w:szCs w:val="24"/>
        </w:rPr>
        <w:tab/>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sidRPr="00236418">
        <w:rPr>
          <w:sz w:val="24"/>
          <w:szCs w:val="24"/>
        </w:rPr>
        <w:t>Contributions mises en recouvrement</w:t>
      </w:r>
      <w:bookmarkEnd w:id="1908"/>
      <w:bookmarkEnd w:id="1909"/>
      <w:bookmarkEnd w:id="1910"/>
      <w:bookmarkEnd w:id="1911"/>
      <w:bookmarkEnd w:id="1912"/>
    </w:p>
    <w:p w14:paraId="5EE15ED2" w14:textId="7AC5668A" w:rsidR="00DF6159" w:rsidRPr="00236418" w:rsidRDefault="00DF6159" w:rsidP="009B3D24">
      <w:pPr>
        <w:spacing w:after="120"/>
      </w:pPr>
      <w:r w:rsidRPr="00236418">
        <w:t>Le tableau suivant présente les contributions effectivement mises en compte au cours de l'exercice 201</w:t>
      </w:r>
      <w:r w:rsidR="00BC5CA5" w:rsidRPr="00236418">
        <w:t>9</w:t>
      </w:r>
      <w:r w:rsidRPr="00236418">
        <w:t>.</w:t>
      </w:r>
    </w:p>
    <w:tbl>
      <w:tblPr>
        <w:tblW w:w="9521" w:type="dxa"/>
        <w:jc w:val="center"/>
        <w:tblLook w:val="04A0" w:firstRow="1" w:lastRow="0" w:firstColumn="1" w:lastColumn="0" w:noHBand="0" w:noVBand="1"/>
        <w:tblCaption w:val="E"/>
      </w:tblPr>
      <w:tblGrid>
        <w:gridCol w:w="6493"/>
        <w:gridCol w:w="1514"/>
        <w:gridCol w:w="1514"/>
      </w:tblGrid>
      <w:tr w:rsidR="00DF6159" w:rsidRPr="00236418" w14:paraId="4FB00F49" w14:textId="77777777" w:rsidTr="006538EB">
        <w:trPr>
          <w:trHeight w:val="499"/>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7941" w14:textId="77777777" w:rsidR="00DF6159" w:rsidRPr="00236418" w:rsidRDefault="00DF6159" w:rsidP="009B3D24">
            <w:pPr>
              <w:pStyle w:val="Tablehead"/>
              <w:spacing w:before="0" w:after="0"/>
              <w:jc w:val="left"/>
              <w:rPr>
                <w:szCs w:val="22"/>
                <w:lang w:eastAsia="zh-CN"/>
              </w:rPr>
            </w:pPr>
            <w:r w:rsidRPr="00236418">
              <w:rPr>
                <w:szCs w:val="22"/>
                <w:lang w:eastAsia="zh-CN"/>
              </w:rPr>
              <w:t>En milliers de CHF</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79B9" w14:textId="3124849C" w:rsidR="00DF6159" w:rsidRPr="00236418" w:rsidRDefault="00DF6159" w:rsidP="009B3D24">
            <w:pPr>
              <w:pStyle w:val="Tablehead"/>
              <w:spacing w:before="0" w:after="0"/>
              <w:rPr>
                <w:szCs w:val="22"/>
                <w:lang w:eastAsia="zh-CN"/>
              </w:rPr>
            </w:pPr>
            <w:r w:rsidRPr="00236418">
              <w:rPr>
                <w:szCs w:val="22"/>
                <w:lang w:eastAsia="zh-CN"/>
              </w:rPr>
              <w:t>31.12.201</w:t>
            </w:r>
            <w:r w:rsidR="00BC5CA5" w:rsidRPr="00236418">
              <w:rPr>
                <w:szCs w:val="22"/>
                <w:lang w:eastAsia="zh-CN"/>
              </w:rPr>
              <w:t>9</w:t>
            </w:r>
          </w:p>
        </w:tc>
        <w:tc>
          <w:tcPr>
            <w:tcW w:w="1514" w:type="dxa"/>
            <w:tcBorders>
              <w:top w:val="single" w:sz="4" w:space="0" w:color="auto"/>
              <w:left w:val="nil"/>
              <w:bottom w:val="single" w:sz="4" w:space="0" w:color="auto"/>
              <w:right w:val="single" w:sz="4" w:space="0" w:color="auto"/>
            </w:tcBorders>
            <w:vAlign w:val="center"/>
          </w:tcPr>
          <w:p w14:paraId="2BD97025" w14:textId="600AD47F" w:rsidR="00DF6159" w:rsidRPr="00236418" w:rsidRDefault="00DF6159" w:rsidP="009B3D24">
            <w:pPr>
              <w:pStyle w:val="Tablehead"/>
              <w:spacing w:before="0" w:after="0"/>
              <w:rPr>
                <w:szCs w:val="22"/>
                <w:lang w:eastAsia="zh-CN"/>
              </w:rPr>
            </w:pPr>
            <w:r w:rsidRPr="00236418">
              <w:rPr>
                <w:szCs w:val="22"/>
                <w:lang w:eastAsia="zh-CN"/>
              </w:rPr>
              <w:t>31.12.201</w:t>
            </w:r>
            <w:r w:rsidR="00BC5CA5" w:rsidRPr="00236418">
              <w:rPr>
                <w:szCs w:val="22"/>
                <w:lang w:eastAsia="zh-CN"/>
              </w:rPr>
              <w:t>8</w:t>
            </w:r>
          </w:p>
        </w:tc>
      </w:tr>
      <w:tr w:rsidR="00BC5CA5" w:rsidRPr="00236418" w14:paraId="026258F7" w14:textId="77777777" w:rsidTr="006538EB">
        <w:trPr>
          <w:trHeight w:val="255"/>
          <w:jc w:val="center"/>
        </w:trPr>
        <w:tc>
          <w:tcPr>
            <w:tcW w:w="6493" w:type="dxa"/>
            <w:tcBorders>
              <w:top w:val="single" w:sz="4" w:space="0" w:color="auto"/>
              <w:left w:val="single" w:sz="4" w:space="0" w:color="auto"/>
              <w:bottom w:val="nil"/>
              <w:right w:val="single" w:sz="4" w:space="0" w:color="auto"/>
            </w:tcBorders>
            <w:shd w:val="clear" w:color="auto" w:fill="auto"/>
            <w:noWrap/>
            <w:vAlign w:val="bottom"/>
          </w:tcPr>
          <w:p w14:paraId="3047472D" w14:textId="77777777" w:rsidR="00BC5CA5" w:rsidRPr="00236418" w:rsidRDefault="00BC5CA5" w:rsidP="009B3D24">
            <w:pPr>
              <w:pStyle w:val="Tabletext"/>
              <w:spacing w:before="0" w:after="0"/>
              <w:rPr>
                <w:szCs w:val="22"/>
                <w:lang w:eastAsia="zh-CN"/>
              </w:rPr>
            </w:pPr>
            <w:r w:rsidRPr="00236418">
              <w:rPr>
                <w:szCs w:val="22"/>
                <w:lang w:eastAsia="zh-CN"/>
              </w:rPr>
              <w:t>Contributions des États Membres</w:t>
            </w:r>
          </w:p>
        </w:tc>
        <w:tc>
          <w:tcPr>
            <w:tcW w:w="1514" w:type="dxa"/>
            <w:tcBorders>
              <w:top w:val="single" w:sz="4" w:space="0" w:color="auto"/>
              <w:left w:val="single" w:sz="4" w:space="0" w:color="auto"/>
              <w:bottom w:val="nil"/>
              <w:right w:val="single" w:sz="4" w:space="0" w:color="auto"/>
            </w:tcBorders>
            <w:shd w:val="clear" w:color="auto" w:fill="auto"/>
            <w:noWrap/>
          </w:tcPr>
          <w:p w14:paraId="39825327" w14:textId="4713FE8D" w:rsidR="00BC5CA5" w:rsidRPr="00236418" w:rsidRDefault="00BC5CA5" w:rsidP="009B3D24">
            <w:pPr>
              <w:pStyle w:val="Tabletext"/>
              <w:spacing w:before="0" w:after="0"/>
              <w:jc w:val="right"/>
              <w:rPr>
                <w:szCs w:val="22"/>
                <w:lang w:eastAsia="zh-CN"/>
              </w:rPr>
            </w:pPr>
            <w:r w:rsidRPr="00236418">
              <w:rPr>
                <w:szCs w:val="22"/>
                <w:lang w:eastAsia="zh-CN"/>
              </w:rPr>
              <w:t>109 869</w:t>
            </w:r>
          </w:p>
        </w:tc>
        <w:tc>
          <w:tcPr>
            <w:tcW w:w="1514" w:type="dxa"/>
            <w:tcBorders>
              <w:top w:val="single" w:sz="4" w:space="0" w:color="auto"/>
              <w:left w:val="nil"/>
              <w:bottom w:val="nil"/>
              <w:right w:val="single" w:sz="4" w:space="0" w:color="auto"/>
            </w:tcBorders>
          </w:tcPr>
          <w:p w14:paraId="57BCD5C9" w14:textId="1A28924B" w:rsidR="00BC5CA5" w:rsidRPr="00236418" w:rsidRDefault="00BC5CA5" w:rsidP="009B3D24">
            <w:pPr>
              <w:pStyle w:val="Tabletext"/>
              <w:spacing w:before="0" w:after="0"/>
              <w:jc w:val="right"/>
              <w:rPr>
                <w:szCs w:val="22"/>
                <w:lang w:eastAsia="zh-CN"/>
              </w:rPr>
            </w:pPr>
            <w:r w:rsidRPr="00236418">
              <w:rPr>
                <w:szCs w:val="22"/>
                <w:lang w:eastAsia="zh-CN"/>
              </w:rPr>
              <w:t>108 597</w:t>
            </w:r>
          </w:p>
        </w:tc>
      </w:tr>
      <w:tr w:rsidR="00BC5CA5" w:rsidRPr="00236418" w14:paraId="222F8F41" w14:textId="77777777" w:rsidTr="006538EB">
        <w:trPr>
          <w:trHeight w:val="20"/>
          <w:jc w:val="center"/>
        </w:trPr>
        <w:tc>
          <w:tcPr>
            <w:tcW w:w="6493" w:type="dxa"/>
            <w:tcBorders>
              <w:left w:val="single" w:sz="4" w:space="0" w:color="auto"/>
              <w:right w:val="single" w:sz="4" w:space="0" w:color="auto"/>
            </w:tcBorders>
            <w:shd w:val="clear" w:color="auto" w:fill="auto"/>
            <w:noWrap/>
            <w:vAlign w:val="center"/>
          </w:tcPr>
          <w:p w14:paraId="11FBA026" w14:textId="77777777" w:rsidR="00BC5CA5" w:rsidRPr="00236418" w:rsidRDefault="00BC5CA5" w:rsidP="009B3D24">
            <w:pPr>
              <w:pStyle w:val="Tabletext"/>
              <w:spacing w:before="0" w:after="0"/>
              <w:rPr>
                <w:szCs w:val="22"/>
                <w:lang w:eastAsia="zh-CN"/>
              </w:rPr>
            </w:pPr>
            <w:r w:rsidRPr="00236418">
              <w:rPr>
                <w:szCs w:val="22"/>
                <w:lang w:eastAsia="zh-CN"/>
              </w:rPr>
              <w:t>Contributions des Membres des Secteurs</w:t>
            </w:r>
          </w:p>
        </w:tc>
        <w:tc>
          <w:tcPr>
            <w:tcW w:w="1514" w:type="dxa"/>
            <w:tcBorders>
              <w:left w:val="single" w:sz="4" w:space="0" w:color="auto"/>
              <w:right w:val="single" w:sz="4" w:space="0" w:color="auto"/>
            </w:tcBorders>
            <w:shd w:val="clear" w:color="auto" w:fill="auto"/>
            <w:noWrap/>
          </w:tcPr>
          <w:p w14:paraId="7D3B8FEB" w14:textId="4D0CB8D6" w:rsidR="00BC5CA5" w:rsidRPr="00236418" w:rsidRDefault="00BC5CA5" w:rsidP="009B3D24">
            <w:pPr>
              <w:pStyle w:val="Tabletext"/>
              <w:spacing w:before="0" w:after="0"/>
              <w:jc w:val="right"/>
              <w:rPr>
                <w:szCs w:val="22"/>
                <w:lang w:eastAsia="zh-CN"/>
              </w:rPr>
            </w:pPr>
            <w:r w:rsidRPr="00236418">
              <w:rPr>
                <w:szCs w:val="22"/>
                <w:lang w:eastAsia="zh-CN"/>
              </w:rPr>
              <w:t>14 173</w:t>
            </w:r>
          </w:p>
        </w:tc>
        <w:tc>
          <w:tcPr>
            <w:tcW w:w="1514" w:type="dxa"/>
            <w:tcBorders>
              <w:left w:val="nil"/>
              <w:right w:val="single" w:sz="4" w:space="0" w:color="auto"/>
            </w:tcBorders>
          </w:tcPr>
          <w:p w14:paraId="710D3177" w14:textId="2180F5EE" w:rsidR="00BC5CA5" w:rsidRPr="00236418" w:rsidRDefault="00BC5CA5" w:rsidP="009B3D24">
            <w:pPr>
              <w:pStyle w:val="Tabletext"/>
              <w:spacing w:before="0" w:after="0"/>
              <w:jc w:val="right"/>
              <w:rPr>
                <w:szCs w:val="22"/>
                <w:lang w:eastAsia="zh-CN"/>
              </w:rPr>
            </w:pPr>
            <w:r w:rsidRPr="00236418">
              <w:rPr>
                <w:szCs w:val="22"/>
                <w:lang w:eastAsia="zh-CN"/>
              </w:rPr>
              <w:t>14 219</w:t>
            </w:r>
          </w:p>
        </w:tc>
      </w:tr>
      <w:tr w:rsidR="00BC5CA5" w:rsidRPr="00236418" w14:paraId="03678623" w14:textId="77777777" w:rsidTr="006538EB">
        <w:trPr>
          <w:trHeight w:val="20"/>
          <w:jc w:val="center"/>
        </w:trPr>
        <w:tc>
          <w:tcPr>
            <w:tcW w:w="6493" w:type="dxa"/>
            <w:tcBorders>
              <w:left w:val="single" w:sz="4" w:space="0" w:color="auto"/>
              <w:right w:val="single" w:sz="4" w:space="0" w:color="auto"/>
            </w:tcBorders>
            <w:shd w:val="clear" w:color="auto" w:fill="auto"/>
            <w:noWrap/>
            <w:vAlign w:val="center"/>
          </w:tcPr>
          <w:p w14:paraId="15976F2E" w14:textId="77777777" w:rsidR="00BC5CA5" w:rsidRPr="00236418" w:rsidRDefault="00BC5CA5" w:rsidP="009B3D24">
            <w:pPr>
              <w:pStyle w:val="Tabletext"/>
              <w:spacing w:before="0" w:after="0"/>
              <w:rPr>
                <w:szCs w:val="22"/>
                <w:lang w:eastAsia="zh-CN"/>
              </w:rPr>
            </w:pPr>
            <w:r w:rsidRPr="00236418">
              <w:rPr>
                <w:szCs w:val="22"/>
                <w:lang w:eastAsia="zh-CN"/>
              </w:rPr>
              <w:t>Contributions des Associés</w:t>
            </w:r>
          </w:p>
        </w:tc>
        <w:tc>
          <w:tcPr>
            <w:tcW w:w="1514" w:type="dxa"/>
            <w:tcBorders>
              <w:left w:val="single" w:sz="4" w:space="0" w:color="auto"/>
              <w:right w:val="single" w:sz="4" w:space="0" w:color="auto"/>
            </w:tcBorders>
            <w:shd w:val="clear" w:color="auto" w:fill="auto"/>
            <w:noWrap/>
          </w:tcPr>
          <w:p w14:paraId="6D9104E2" w14:textId="2F1568EE" w:rsidR="00BC5CA5" w:rsidRPr="00236418" w:rsidRDefault="00BC5CA5" w:rsidP="009B3D24">
            <w:pPr>
              <w:pStyle w:val="Tabletext"/>
              <w:spacing w:before="0" w:after="0"/>
              <w:jc w:val="right"/>
              <w:rPr>
                <w:szCs w:val="22"/>
                <w:lang w:eastAsia="zh-CN"/>
              </w:rPr>
            </w:pPr>
            <w:r w:rsidRPr="00236418">
              <w:rPr>
                <w:szCs w:val="22"/>
                <w:lang w:eastAsia="zh-CN"/>
              </w:rPr>
              <w:t>2 054</w:t>
            </w:r>
          </w:p>
        </w:tc>
        <w:tc>
          <w:tcPr>
            <w:tcW w:w="1514" w:type="dxa"/>
            <w:tcBorders>
              <w:left w:val="nil"/>
              <w:right w:val="single" w:sz="4" w:space="0" w:color="auto"/>
            </w:tcBorders>
          </w:tcPr>
          <w:p w14:paraId="6F7555BF" w14:textId="6B676527" w:rsidR="00BC5CA5" w:rsidRPr="00236418" w:rsidRDefault="00BC5CA5" w:rsidP="009B3D24">
            <w:pPr>
              <w:pStyle w:val="Tabletext"/>
              <w:spacing w:before="0" w:after="0"/>
              <w:jc w:val="right"/>
              <w:rPr>
                <w:szCs w:val="22"/>
                <w:lang w:eastAsia="zh-CN"/>
              </w:rPr>
            </w:pPr>
            <w:r w:rsidRPr="00236418">
              <w:rPr>
                <w:szCs w:val="22"/>
                <w:lang w:eastAsia="zh-CN"/>
              </w:rPr>
              <w:t>1 787</w:t>
            </w:r>
          </w:p>
        </w:tc>
      </w:tr>
      <w:tr w:rsidR="00BC5CA5" w:rsidRPr="00236418" w14:paraId="00BB9C7D" w14:textId="77777777" w:rsidTr="006538EB">
        <w:trPr>
          <w:trHeight w:val="20"/>
          <w:jc w:val="center"/>
        </w:trPr>
        <w:tc>
          <w:tcPr>
            <w:tcW w:w="6493" w:type="dxa"/>
            <w:tcBorders>
              <w:left w:val="single" w:sz="4" w:space="0" w:color="auto"/>
              <w:right w:val="single" w:sz="4" w:space="0" w:color="auto"/>
            </w:tcBorders>
            <w:shd w:val="clear" w:color="auto" w:fill="auto"/>
            <w:noWrap/>
            <w:vAlign w:val="center"/>
          </w:tcPr>
          <w:p w14:paraId="3591A908" w14:textId="77777777" w:rsidR="00BC5CA5" w:rsidRPr="00236418" w:rsidRDefault="00BC5CA5" w:rsidP="009B3D24">
            <w:pPr>
              <w:pStyle w:val="Tabletext"/>
              <w:spacing w:before="0" w:after="0"/>
              <w:rPr>
                <w:szCs w:val="22"/>
                <w:lang w:eastAsia="zh-CN"/>
              </w:rPr>
            </w:pPr>
            <w:r w:rsidRPr="00236418">
              <w:rPr>
                <w:szCs w:val="22"/>
                <w:lang w:eastAsia="zh-CN"/>
              </w:rPr>
              <w:t>Contributions des établissements universitaires</w:t>
            </w:r>
          </w:p>
        </w:tc>
        <w:tc>
          <w:tcPr>
            <w:tcW w:w="1514" w:type="dxa"/>
            <w:tcBorders>
              <w:left w:val="single" w:sz="4" w:space="0" w:color="auto"/>
              <w:right w:val="single" w:sz="4" w:space="0" w:color="auto"/>
            </w:tcBorders>
            <w:shd w:val="clear" w:color="auto" w:fill="auto"/>
            <w:noWrap/>
          </w:tcPr>
          <w:p w14:paraId="300E7A37" w14:textId="2B63CAD9" w:rsidR="00BC5CA5" w:rsidRPr="00236418" w:rsidRDefault="00BC5CA5" w:rsidP="009B3D24">
            <w:pPr>
              <w:pStyle w:val="Tabletext"/>
              <w:spacing w:before="0" w:after="0"/>
              <w:jc w:val="right"/>
              <w:rPr>
                <w:szCs w:val="22"/>
                <w:lang w:eastAsia="zh-CN"/>
              </w:rPr>
            </w:pPr>
            <w:r w:rsidRPr="00236418">
              <w:rPr>
                <w:szCs w:val="22"/>
                <w:lang w:eastAsia="zh-CN"/>
              </w:rPr>
              <w:t>390</w:t>
            </w:r>
          </w:p>
        </w:tc>
        <w:tc>
          <w:tcPr>
            <w:tcW w:w="1514" w:type="dxa"/>
            <w:tcBorders>
              <w:left w:val="nil"/>
              <w:right w:val="single" w:sz="4" w:space="0" w:color="auto"/>
            </w:tcBorders>
          </w:tcPr>
          <w:p w14:paraId="36734F72" w14:textId="78A0841F" w:rsidR="00BC5CA5" w:rsidRPr="00236418" w:rsidRDefault="00BC5CA5" w:rsidP="009B3D24">
            <w:pPr>
              <w:pStyle w:val="Tabletext"/>
              <w:spacing w:before="0" w:after="0"/>
              <w:jc w:val="right"/>
              <w:rPr>
                <w:szCs w:val="22"/>
                <w:lang w:eastAsia="zh-CN"/>
              </w:rPr>
            </w:pPr>
            <w:r w:rsidRPr="00236418">
              <w:rPr>
                <w:szCs w:val="22"/>
                <w:lang w:eastAsia="zh-CN"/>
              </w:rPr>
              <w:t>358</w:t>
            </w:r>
          </w:p>
        </w:tc>
      </w:tr>
      <w:tr w:rsidR="00BC5CA5" w:rsidRPr="00236418" w14:paraId="3BC2F191" w14:textId="77777777" w:rsidTr="006538EB">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133E" w14:textId="77777777" w:rsidR="00BC5CA5" w:rsidRPr="00236418" w:rsidRDefault="00BC5CA5" w:rsidP="009B3D24">
            <w:pPr>
              <w:pStyle w:val="Tabletext"/>
              <w:spacing w:before="0" w:after="0"/>
              <w:rPr>
                <w:b/>
                <w:bCs/>
                <w:szCs w:val="22"/>
                <w:lang w:eastAsia="zh-CN"/>
              </w:rPr>
            </w:pPr>
            <w:r w:rsidRPr="00236418">
              <w:t>Contributions aux conférences</w:t>
            </w:r>
          </w:p>
        </w:tc>
        <w:tc>
          <w:tcPr>
            <w:tcW w:w="1514" w:type="dxa"/>
            <w:tcBorders>
              <w:top w:val="single" w:sz="4" w:space="0" w:color="auto"/>
              <w:left w:val="single" w:sz="4" w:space="0" w:color="auto"/>
              <w:bottom w:val="single" w:sz="4" w:space="0" w:color="auto"/>
              <w:right w:val="single" w:sz="4" w:space="0" w:color="auto"/>
            </w:tcBorders>
            <w:shd w:val="clear" w:color="auto" w:fill="auto"/>
            <w:noWrap/>
          </w:tcPr>
          <w:p w14:paraId="18421555" w14:textId="2E69AC71" w:rsidR="00BC5CA5" w:rsidRPr="00236418" w:rsidRDefault="00BC5CA5" w:rsidP="009B3D24">
            <w:pPr>
              <w:pStyle w:val="Tabletext"/>
              <w:spacing w:before="0" w:after="0"/>
              <w:jc w:val="right"/>
              <w:rPr>
                <w:szCs w:val="22"/>
                <w:lang w:eastAsia="zh-CN"/>
              </w:rPr>
            </w:pPr>
            <w:r w:rsidRPr="00236418">
              <w:rPr>
                <w:szCs w:val="22"/>
                <w:lang w:eastAsia="zh-CN"/>
              </w:rPr>
              <w:t>–</w:t>
            </w:r>
          </w:p>
        </w:tc>
        <w:tc>
          <w:tcPr>
            <w:tcW w:w="1514" w:type="dxa"/>
            <w:tcBorders>
              <w:top w:val="single" w:sz="4" w:space="0" w:color="auto"/>
              <w:left w:val="nil"/>
              <w:bottom w:val="single" w:sz="4" w:space="0" w:color="auto"/>
              <w:right w:val="single" w:sz="4" w:space="0" w:color="auto"/>
            </w:tcBorders>
          </w:tcPr>
          <w:p w14:paraId="3A391AB9" w14:textId="40F99C50" w:rsidR="00BC5CA5" w:rsidRPr="00236418" w:rsidRDefault="00BC5CA5" w:rsidP="009B3D24">
            <w:pPr>
              <w:pStyle w:val="Tabletext"/>
              <w:spacing w:before="0" w:after="0"/>
              <w:jc w:val="right"/>
              <w:rPr>
                <w:szCs w:val="22"/>
                <w:lang w:eastAsia="zh-CN"/>
              </w:rPr>
            </w:pPr>
            <w:r w:rsidRPr="00236418">
              <w:rPr>
                <w:szCs w:val="22"/>
                <w:lang w:eastAsia="zh-CN"/>
              </w:rPr>
              <w:t>230</w:t>
            </w:r>
          </w:p>
        </w:tc>
      </w:tr>
      <w:tr w:rsidR="00BC5CA5" w:rsidRPr="00236418" w14:paraId="6DB8858E" w14:textId="77777777" w:rsidTr="006538EB">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A10A8" w14:textId="77777777" w:rsidR="00BC5CA5" w:rsidRPr="00236418" w:rsidRDefault="00BC5CA5" w:rsidP="009B3D24">
            <w:pPr>
              <w:pStyle w:val="Tabletext"/>
              <w:spacing w:before="0" w:after="0"/>
              <w:rPr>
                <w:b/>
                <w:bCs/>
                <w:szCs w:val="22"/>
                <w:lang w:eastAsia="zh-CN"/>
              </w:rPr>
            </w:pPr>
            <w:r w:rsidRPr="00236418">
              <w:rPr>
                <w:b/>
                <w:bCs/>
                <w:szCs w:val="22"/>
                <w:lang w:eastAsia="zh-CN"/>
              </w:rPr>
              <w:t>Contributions mises en recouvrement</w:t>
            </w:r>
          </w:p>
        </w:tc>
        <w:tc>
          <w:tcPr>
            <w:tcW w:w="1514" w:type="dxa"/>
            <w:tcBorders>
              <w:top w:val="single" w:sz="4" w:space="0" w:color="auto"/>
              <w:left w:val="single" w:sz="4" w:space="0" w:color="auto"/>
              <w:bottom w:val="single" w:sz="4" w:space="0" w:color="auto"/>
              <w:right w:val="single" w:sz="4" w:space="0" w:color="auto"/>
            </w:tcBorders>
            <w:shd w:val="clear" w:color="auto" w:fill="auto"/>
            <w:noWrap/>
          </w:tcPr>
          <w:p w14:paraId="3D1DD3B9" w14:textId="0289AE48" w:rsidR="00BC5CA5" w:rsidRPr="00236418" w:rsidRDefault="00BC5CA5" w:rsidP="009B3D24">
            <w:pPr>
              <w:pStyle w:val="Tabletext"/>
              <w:spacing w:before="0" w:after="0"/>
              <w:jc w:val="right"/>
              <w:rPr>
                <w:b/>
                <w:bCs/>
                <w:szCs w:val="22"/>
                <w:lang w:eastAsia="zh-CN"/>
              </w:rPr>
            </w:pPr>
            <w:r w:rsidRPr="00236418">
              <w:rPr>
                <w:b/>
                <w:bCs/>
                <w:szCs w:val="22"/>
                <w:lang w:eastAsia="zh-CN"/>
              </w:rPr>
              <w:t>126 485</w:t>
            </w:r>
          </w:p>
        </w:tc>
        <w:tc>
          <w:tcPr>
            <w:tcW w:w="1514" w:type="dxa"/>
            <w:tcBorders>
              <w:top w:val="single" w:sz="4" w:space="0" w:color="auto"/>
              <w:left w:val="nil"/>
              <w:bottom w:val="single" w:sz="4" w:space="0" w:color="auto"/>
              <w:right w:val="single" w:sz="4" w:space="0" w:color="auto"/>
            </w:tcBorders>
          </w:tcPr>
          <w:p w14:paraId="3C50401E" w14:textId="42EE7710" w:rsidR="00BC5CA5" w:rsidRPr="00236418" w:rsidRDefault="00BC5CA5" w:rsidP="009B3D24">
            <w:pPr>
              <w:pStyle w:val="Tabletext"/>
              <w:spacing w:before="0" w:after="0"/>
              <w:jc w:val="right"/>
              <w:rPr>
                <w:b/>
                <w:bCs/>
                <w:szCs w:val="22"/>
                <w:lang w:eastAsia="zh-CN"/>
              </w:rPr>
            </w:pPr>
            <w:r w:rsidRPr="00236418">
              <w:rPr>
                <w:b/>
                <w:bCs/>
                <w:szCs w:val="22"/>
                <w:lang w:eastAsia="zh-CN"/>
              </w:rPr>
              <w:t>125 191</w:t>
            </w:r>
          </w:p>
        </w:tc>
      </w:tr>
    </w:tbl>
    <w:p w14:paraId="5AE87D70" w14:textId="77777777" w:rsidR="00DF6159" w:rsidRPr="00236418" w:rsidRDefault="00DF6159" w:rsidP="009B3D24">
      <w:pPr>
        <w:spacing w:before="240"/>
        <w:rPr>
          <w:color w:val="000000"/>
        </w:rPr>
      </w:pPr>
      <w:r w:rsidRPr="00236418">
        <w:t>Par la Résolution 1387 qu'il a adoptée à sa session de 2017, le Conseil a approuvé le budget de l'Union pour la période 2018-2019.</w:t>
      </w:r>
    </w:p>
    <w:p w14:paraId="24211E69" w14:textId="77777777" w:rsidR="00DF6159" w:rsidRPr="00236418" w:rsidRDefault="00DF6159" w:rsidP="009B3D24">
      <w:pPr>
        <w:rPr>
          <w:szCs w:val="24"/>
        </w:rPr>
      </w:pPr>
      <w:r w:rsidRPr="00236418">
        <w:t xml:space="preserve">Le Conseil a fixé le montant de l'unité contributive des États Membres à 318 000 CHF pour 2018 et 2019, sur la base de </w:t>
      </w:r>
      <w:r w:rsidRPr="00236418">
        <w:rPr>
          <w:rFonts w:cs="Calibri"/>
        </w:rPr>
        <w:t>334 1/2 unités</w:t>
      </w:r>
      <w:r w:rsidRPr="00236418">
        <w:t>. Dans la même Résolution, il a fixé à 63 600 CHF le montant de l'unité contributive des Membres des Secteurs pour 2016 et 2017, soit 1/5 de l'unité contributive des États Membres. La contribution financière des Associés a été fixée comme suit: 10 600 CHF pour les Associés participant aux travaux de l'UIT-R et de l'UIT-T, 3 975 CHF pour les Associés participant aux travaux de l'UIT-D, et 1 987,50 CHF pour les Associés participant aux travaux de l'UIT-D dans le cas des Associés de pays en développement.</w:t>
      </w:r>
      <w:bookmarkStart w:id="1914" w:name="_Toc269839096"/>
      <w:bookmarkStart w:id="1915" w:name="_Toc268007559"/>
      <w:bookmarkEnd w:id="1913"/>
      <w:r w:rsidRPr="00236418">
        <w:t xml:space="preserve"> La contribution financière des établissements universitaires, des universités et de leurs instituts de recherche associés a été fixée comme suit:</w:t>
      </w:r>
      <w:r w:rsidRPr="00236418">
        <w:rPr>
          <w:szCs w:val="24"/>
        </w:rPr>
        <w:t xml:space="preserve"> 3 975 CHF pour les pays développés et 1 987,50 CHF pour les pays en développement participant aux travaux des trois Secteurs.</w:t>
      </w:r>
    </w:p>
    <w:p w14:paraId="25A543F9" w14:textId="639D4390" w:rsidR="00EC390E" w:rsidRPr="00236418" w:rsidRDefault="00DF6159" w:rsidP="009B3D24">
      <w:pPr>
        <w:spacing w:before="240"/>
      </w:pPr>
      <w:r w:rsidRPr="00236418">
        <w:rPr>
          <w:rFonts w:asciiTheme="minorHAnsi" w:hAnsiTheme="minorHAnsi"/>
          <w:color w:val="000000" w:themeColor="text1"/>
        </w:rPr>
        <w:t>L'augmentation des produis provenant des contributions mises en recouvrement a été de 12</w:t>
      </w:r>
      <w:r w:rsidR="00BC5CA5" w:rsidRPr="00236418">
        <w:rPr>
          <w:rFonts w:asciiTheme="minorHAnsi" w:hAnsiTheme="minorHAnsi"/>
          <w:color w:val="000000" w:themeColor="text1"/>
        </w:rPr>
        <w:t>6</w:t>
      </w:r>
      <w:r w:rsidRPr="00236418">
        <w:rPr>
          <w:rFonts w:asciiTheme="minorHAnsi" w:hAnsiTheme="minorHAnsi"/>
          <w:color w:val="000000" w:themeColor="text1"/>
        </w:rPr>
        <w:t>,</w:t>
      </w:r>
      <w:r w:rsidR="00BC5CA5" w:rsidRPr="00236418">
        <w:rPr>
          <w:rFonts w:asciiTheme="minorHAnsi" w:hAnsiTheme="minorHAnsi"/>
          <w:color w:val="000000" w:themeColor="text1"/>
        </w:rPr>
        <w:t>48</w:t>
      </w:r>
      <w:r w:rsidRPr="00236418">
        <w:rPr>
          <w:rFonts w:asciiTheme="minorHAnsi" w:hAnsiTheme="minorHAnsi"/>
          <w:color w:val="000000" w:themeColor="text1"/>
        </w:rPr>
        <w:t> millions CHF en 201</w:t>
      </w:r>
      <w:r w:rsidR="00BC5CA5" w:rsidRPr="00236418">
        <w:rPr>
          <w:rFonts w:asciiTheme="minorHAnsi" w:hAnsiTheme="minorHAnsi"/>
          <w:color w:val="000000" w:themeColor="text1"/>
        </w:rPr>
        <w:t>9</w:t>
      </w:r>
      <w:r w:rsidRPr="00236418">
        <w:rPr>
          <w:rFonts w:asciiTheme="minorHAnsi" w:hAnsiTheme="minorHAnsi"/>
          <w:color w:val="000000" w:themeColor="text1"/>
        </w:rPr>
        <w:t xml:space="preserve"> contre 12</w:t>
      </w:r>
      <w:r w:rsidR="00BC5CA5" w:rsidRPr="00236418">
        <w:rPr>
          <w:rFonts w:asciiTheme="minorHAnsi" w:hAnsiTheme="minorHAnsi"/>
          <w:color w:val="000000" w:themeColor="text1"/>
        </w:rPr>
        <w:t>5</w:t>
      </w:r>
      <w:r w:rsidRPr="00236418">
        <w:rPr>
          <w:rFonts w:asciiTheme="minorHAnsi" w:hAnsiTheme="minorHAnsi"/>
          <w:color w:val="000000" w:themeColor="text1"/>
        </w:rPr>
        <w:t>,</w:t>
      </w:r>
      <w:r w:rsidR="00BC5CA5" w:rsidRPr="00236418">
        <w:rPr>
          <w:rFonts w:asciiTheme="minorHAnsi" w:hAnsiTheme="minorHAnsi"/>
          <w:color w:val="000000" w:themeColor="text1"/>
        </w:rPr>
        <w:t>19</w:t>
      </w:r>
      <w:r w:rsidRPr="00236418">
        <w:rPr>
          <w:rFonts w:asciiTheme="minorHAnsi" w:hAnsiTheme="minorHAnsi"/>
          <w:color w:val="000000" w:themeColor="text1"/>
        </w:rPr>
        <w:t> millions CHF en 201</w:t>
      </w:r>
      <w:r w:rsidR="00BC5CA5" w:rsidRPr="00236418">
        <w:rPr>
          <w:rFonts w:asciiTheme="minorHAnsi" w:hAnsiTheme="minorHAnsi"/>
          <w:color w:val="000000" w:themeColor="text1"/>
        </w:rPr>
        <w:t>8</w:t>
      </w:r>
      <w:r w:rsidRPr="00236418">
        <w:rPr>
          <w:rFonts w:asciiTheme="minorHAnsi" w:hAnsiTheme="minorHAnsi"/>
          <w:color w:val="000000" w:themeColor="text1"/>
        </w:rPr>
        <w:t xml:space="preserve"> et elle peut s'expliquer par les changements de classe de contribution </w:t>
      </w:r>
      <w:r w:rsidR="00EC390E" w:rsidRPr="00236418">
        <w:rPr>
          <w:rFonts w:asciiTheme="minorHAnsi" w:hAnsiTheme="minorHAnsi"/>
          <w:color w:val="000000" w:themeColor="text1"/>
        </w:rPr>
        <w:t>du</w:t>
      </w:r>
      <w:r w:rsidRPr="00236418">
        <w:rPr>
          <w:rFonts w:asciiTheme="minorHAnsi" w:hAnsiTheme="minorHAnsi"/>
          <w:color w:val="000000" w:themeColor="text1"/>
        </w:rPr>
        <w:t xml:space="preserve"> </w:t>
      </w:r>
      <w:r w:rsidR="00BC5CA5" w:rsidRPr="00236418">
        <w:rPr>
          <w:rFonts w:asciiTheme="minorHAnsi" w:hAnsiTheme="minorHAnsi"/>
          <w:color w:val="000000" w:themeColor="text1"/>
        </w:rPr>
        <w:t>Koweït</w:t>
      </w:r>
      <w:r w:rsidRPr="00236418">
        <w:rPr>
          <w:rFonts w:asciiTheme="minorHAnsi" w:hAnsiTheme="minorHAnsi"/>
          <w:color w:val="000000" w:themeColor="text1"/>
        </w:rPr>
        <w:t xml:space="preserve"> (de </w:t>
      </w:r>
      <w:r w:rsidR="00BC5CA5" w:rsidRPr="00236418">
        <w:rPr>
          <w:rFonts w:asciiTheme="minorHAnsi" w:hAnsiTheme="minorHAnsi"/>
          <w:color w:val="000000" w:themeColor="text1"/>
        </w:rPr>
        <w:t>3</w:t>
      </w:r>
      <w:r w:rsidRPr="00236418">
        <w:rPr>
          <w:rFonts w:asciiTheme="minorHAnsi" w:hAnsiTheme="minorHAnsi"/>
          <w:color w:val="000000" w:themeColor="text1"/>
        </w:rPr>
        <w:t xml:space="preserve"> à </w:t>
      </w:r>
      <w:r w:rsidR="00BC5CA5" w:rsidRPr="00236418">
        <w:rPr>
          <w:rFonts w:asciiTheme="minorHAnsi" w:hAnsiTheme="minorHAnsi"/>
          <w:color w:val="000000" w:themeColor="text1"/>
        </w:rPr>
        <w:t>5</w:t>
      </w:r>
      <w:r w:rsidRPr="00236418">
        <w:rPr>
          <w:rFonts w:asciiTheme="minorHAnsi" w:hAnsiTheme="minorHAnsi"/>
          <w:color w:val="000000" w:themeColor="text1"/>
        </w:rPr>
        <w:t xml:space="preserve"> unités), </w:t>
      </w:r>
      <w:r w:rsidR="00BC5CA5" w:rsidRPr="00236418">
        <w:rPr>
          <w:rFonts w:asciiTheme="minorHAnsi" w:hAnsiTheme="minorHAnsi"/>
          <w:color w:val="000000" w:themeColor="text1"/>
        </w:rPr>
        <w:t>de l'Iraq</w:t>
      </w:r>
      <w:r w:rsidRPr="00236418">
        <w:rPr>
          <w:rFonts w:asciiTheme="minorHAnsi" w:hAnsiTheme="minorHAnsi"/>
          <w:color w:val="000000" w:themeColor="text1"/>
        </w:rPr>
        <w:t xml:space="preserve"> (d'1</w:t>
      </w:r>
      <w:r w:rsidR="00BC5CA5" w:rsidRPr="00236418">
        <w:rPr>
          <w:rFonts w:asciiTheme="minorHAnsi" w:hAnsiTheme="minorHAnsi"/>
          <w:color w:val="000000" w:themeColor="text1"/>
        </w:rPr>
        <w:t>/4</w:t>
      </w:r>
      <w:r w:rsidRPr="00236418">
        <w:rPr>
          <w:rFonts w:asciiTheme="minorHAnsi" w:hAnsiTheme="minorHAnsi"/>
          <w:color w:val="000000" w:themeColor="text1"/>
        </w:rPr>
        <w:t xml:space="preserve"> à </w:t>
      </w:r>
      <w:r w:rsidR="00BC5CA5" w:rsidRPr="00236418">
        <w:rPr>
          <w:rFonts w:asciiTheme="minorHAnsi" w:hAnsiTheme="minorHAnsi"/>
          <w:color w:val="000000" w:themeColor="text1"/>
        </w:rPr>
        <w:t>1</w:t>
      </w:r>
      <w:r w:rsidRPr="00236418">
        <w:rPr>
          <w:rFonts w:asciiTheme="minorHAnsi" w:hAnsiTheme="minorHAnsi"/>
          <w:color w:val="000000" w:themeColor="text1"/>
        </w:rPr>
        <w:t xml:space="preserve"> unité) et du </w:t>
      </w:r>
      <w:r w:rsidR="00BC5CA5" w:rsidRPr="00236418">
        <w:rPr>
          <w:rFonts w:asciiTheme="minorHAnsi" w:hAnsiTheme="minorHAnsi"/>
          <w:color w:val="000000" w:themeColor="text1"/>
        </w:rPr>
        <w:t>Qatar</w:t>
      </w:r>
      <w:r w:rsidRPr="00236418">
        <w:rPr>
          <w:rFonts w:asciiTheme="minorHAnsi" w:hAnsiTheme="minorHAnsi"/>
          <w:color w:val="000000" w:themeColor="text1"/>
        </w:rPr>
        <w:t xml:space="preserve"> (de 1 à 2 unité</w:t>
      </w:r>
      <w:r w:rsidR="000172A4" w:rsidRPr="00236418">
        <w:rPr>
          <w:rFonts w:asciiTheme="minorHAnsi" w:hAnsiTheme="minorHAnsi"/>
          <w:color w:val="000000" w:themeColor="text1"/>
        </w:rPr>
        <w:t>s</w:t>
      </w:r>
      <w:r w:rsidRPr="00236418">
        <w:rPr>
          <w:rFonts w:asciiTheme="minorHAnsi" w:hAnsiTheme="minorHAnsi"/>
          <w:color w:val="000000" w:themeColor="text1"/>
        </w:rPr>
        <w:t>)</w:t>
      </w:r>
      <w:r w:rsidRPr="00236418">
        <w:t>.</w:t>
      </w:r>
      <w:r w:rsidR="000172A4" w:rsidRPr="00236418">
        <w:t xml:space="preserve"> </w:t>
      </w:r>
      <w:r w:rsidR="00EC390E" w:rsidRPr="00236418">
        <w:t>Il est également à noter que les contributions versées par les Associés ont augmenté de 15%.</w:t>
      </w:r>
    </w:p>
    <w:p w14:paraId="209BB6DD" w14:textId="77777777" w:rsidR="00596807" w:rsidRDefault="00596807" w:rsidP="00081C96">
      <w:pPr>
        <w:pStyle w:val="Heading1"/>
        <w:rPr>
          <w:sz w:val="24"/>
          <w:szCs w:val="24"/>
        </w:rPr>
      </w:pPr>
      <w:bookmarkStart w:id="1916" w:name="_Toc387166661"/>
      <w:bookmarkStart w:id="1917" w:name="_Toc395260946"/>
      <w:bookmarkStart w:id="1918" w:name="_Toc395511733"/>
      <w:bookmarkStart w:id="1919" w:name="_Toc452138635"/>
      <w:bookmarkStart w:id="1920" w:name="_Toc452139084"/>
      <w:bookmarkStart w:id="1921" w:name="_Toc452139448"/>
      <w:bookmarkStart w:id="1922" w:name="_Toc452139854"/>
      <w:bookmarkStart w:id="1923" w:name="_Toc452140728"/>
      <w:bookmarkStart w:id="1924" w:name="_Toc482801516"/>
      <w:bookmarkStart w:id="1925" w:name="_Toc511649488"/>
      <w:bookmarkStart w:id="1926" w:name="_Toc511649858"/>
      <w:bookmarkStart w:id="1927" w:name="_Toc511649974"/>
      <w:bookmarkStart w:id="1928" w:name="_Toc511651234"/>
      <w:bookmarkStart w:id="1929" w:name="_Toc511724097"/>
      <w:bookmarkStart w:id="1930" w:name="_Toc511739086"/>
      <w:bookmarkStart w:id="1931" w:name="_Toc511741257"/>
      <w:bookmarkStart w:id="1932" w:name="_Toc10450770"/>
      <w:bookmarkStart w:id="1933" w:name="_Toc41566363"/>
      <w:bookmarkStart w:id="1934" w:name="_Toc41567370"/>
      <w:bookmarkStart w:id="1935" w:name="_Toc41567873"/>
      <w:bookmarkStart w:id="1936" w:name="_Toc41814967"/>
      <w:bookmarkStart w:id="1937" w:name="_Toc329202594"/>
      <w:bookmarkStart w:id="1938" w:name="_Toc329205026"/>
      <w:bookmarkStart w:id="1939" w:name="_Toc329206863"/>
      <w:bookmarkStart w:id="1940" w:name="_Toc358379944"/>
      <w:bookmarkStart w:id="1941" w:name="_Toc358380487"/>
      <w:r>
        <w:rPr>
          <w:sz w:val="24"/>
          <w:szCs w:val="24"/>
        </w:rPr>
        <w:br w:type="page"/>
      </w:r>
    </w:p>
    <w:p w14:paraId="63528151" w14:textId="5B13C5E5" w:rsidR="00DF6159" w:rsidRPr="00236418" w:rsidRDefault="00DF6159" w:rsidP="00081C96">
      <w:pPr>
        <w:pStyle w:val="Heading1"/>
        <w:rPr>
          <w:sz w:val="24"/>
          <w:szCs w:val="24"/>
        </w:rPr>
      </w:pPr>
      <w:r w:rsidRPr="00236418">
        <w:rPr>
          <w:sz w:val="24"/>
          <w:szCs w:val="24"/>
        </w:rPr>
        <w:lastRenderedPageBreak/>
        <w:t>Note 22</w:t>
      </w:r>
      <w:r w:rsidRPr="00236418">
        <w:rPr>
          <w:sz w:val="24"/>
          <w:szCs w:val="24"/>
        </w:rPr>
        <w:tab/>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sidRPr="00236418">
        <w:rPr>
          <w:sz w:val="24"/>
          <w:szCs w:val="24"/>
        </w:rPr>
        <w:t>Produits</w:t>
      </w:r>
      <w:bookmarkEnd w:id="1932"/>
      <w:bookmarkEnd w:id="1933"/>
      <w:bookmarkEnd w:id="1934"/>
      <w:bookmarkEnd w:id="1935"/>
      <w:bookmarkEnd w:id="1936"/>
    </w:p>
    <w:p w14:paraId="6F37E055" w14:textId="77777777" w:rsidR="00DF6159" w:rsidRPr="00236418" w:rsidRDefault="00DF6159" w:rsidP="009B3D24">
      <w:pPr>
        <w:pStyle w:val="headingb0"/>
      </w:pPr>
      <w:bookmarkStart w:id="1942" w:name="_Toc387167486"/>
      <w:bookmarkStart w:id="1943" w:name="_Toc482888034"/>
      <w:bookmarkStart w:id="1944" w:name="_Toc482888068"/>
      <w:bookmarkStart w:id="1945" w:name="_Toc482888377"/>
      <w:bookmarkStart w:id="1946" w:name="_Toc482888774"/>
      <w:bookmarkStart w:id="1947" w:name="_Toc511649489"/>
      <w:bookmarkStart w:id="1948" w:name="_Toc511649975"/>
      <w:bookmarkStart w:id="1949" w:name="_Toc511650095"/>
      <w:bookmarkStart w:id="1950" w:name="_Toc511650589"/>
      <w:bookmarkStart w:id="1951" w:name="_Toc511651235"/>
      <w:bookmarkStart w:id="1952" w:name="_Toc511724098"/>
      <w:bookmarkStart w:id="1953" w:name="_Toc511739087"/>
      <w:bookmarkStart w:id="1954" w:name="_Toc511740822"/>
      <w:bookmarkStart w:id="1955" w:name="_Toc511741258"/>
      <w:bookmarkStart w:id="1956" w:name="_Toc10450771"/>
      <w:bookmarkStart w:id="1957" w:name="_Toc41567371"/>
      <w:r w:rsidRPr="00236418">
        <w:t>Contributions volontaires</w:t>
      </w:r>
      <w:bookmarkEnd w:id="1914"/>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bookmarkEnd w:id="1915"/>
    <w:p w14:paraId="4DA609E6" w14:textId="03FC3DEB" w:rsidR="00DF6159" w:rsidRPr="00236418" w:rsidRDefault="00DF6159" w:rsidP="009B3D24">
      <w:r w:rsidRPr="00236418">
        <w:t>Les contributions volontaires sont les sources de financement provenant de tiers pour appuyer l'Union dans la mise en œuvre de projets de développement en faveur des pays désignés par l'ONU comme pays les moins avancés. Le montant total des contributions volontaires s'élevait à </w:t>
      </w:r>
      <w:r w:rsidR="000172A4" w:rsidRPr="00236418">
        <w:t>10</w:t>
      </w:r>
      <w:r w:rsidRPr="00236418">
        <w:t>,</w:t>
      </w:r>
      <w:r w:rsidR="000172A4" w:rsidRPr="00236418">
        <w:t>4</w:t>
      </w:r>
      <w:r w:rsidRPr="00236418">
        <w:t xml:space="preserve"> millions CHF en 201</w:t>
      </w:r>
      <w:r w:rsidR="000172A4" w:rsidRPr="00236418">
        <w:t>9</w:t>
      </w:r>
      <w:r w:rsidRPr="00236418">
        <w:t xml:space="preserve"> (contre </w:t>
      </w:r>
      <w:r w:rsidR="000172A4" w:rsidRPr="00236418">
        <w:t>7</w:t>
      </w:r>
      <w:r w:rsidRPr="00236418">
        <w:t>,</w:t>
      </w:r>
      <w:r w:rsidR="000172A4" w:rsidRPr="00236418">
        <w:t>1</w:t>
      </w:r>
      <w:r w:rsidRPr="00236418">
        <w:t xml:space="preserve"> millions CHF en 201</w:t>
      </w:r>
      <w:r w:rsidR="000172A4" w:rsidRPr="00236418">
        <w:t>8</w:t>
      </w:r>
      <w:r w:rsidRPr="00236418">
        <w:t>).</w:t>
      </w:r>
    </w:p>
    <w:p w14:paraId="75D6A17B" w14:textId="77777777" w:rsidR="00DF6159" w:rsidRPr="00236418" w:rsidRDefault="00DF6159" w:rsidP="0089780D">
      <w:pPr>
        <w:pStyle w:val="headingb0"/>
        <w:spacing w:after="240"/>
      </w:pPr>
      <w:bookmarkStart w:id="1958" w:name="_Toc329202595"/>
      <w:bookmarkStart w:id="1959" w:name="_Toc329205027"/>
      <w:bookmarkStart w:id="1960" w:name="_Toc329206864"/>
      <w:bookmarkStart w:id="1961" w:name="_Toc358379945"/>
      <w:bookmarkStart w:id="1962" w:name="_Toc358380488"/>
      <w:bookmarkStart w:id="1963" w:name="_Toc387167487"/>
      <w:bookmarkStart w:id="1964" w:name="_Toc482888035"/>
      <w:bookmarkStart w:id="1965" w:name="_Toc482888069"/>
      <w:bookmarkStart w:id="1966" w:name="_Toc482888378"/>
      <w:bookmarkStart w:id="1967" w:name="_Toc482888775"/>
      <w:bookmarkStart w:id="1968" w:name="_Toc511649490"/>
      <w:bookmarkStart w:id="1969" w:name="_Toc511649976"/>
      <w:bookmarkStart w:id="1970" w:name="_Toc511650096"/>
      <w:bookmarkStart w:id="1971" w:name="_Toc511650590"/>
      <w:bookmarkStart w:id="1972" w:name="_Toc511651236"/>
      <w:bookmarkStart w:id="1973" w:name="_Toc511724099"/>
      <w:bookmarkStart w:id="1974" w:name="_Toc511739088"/>
      <w:bookmarkStart w:id="1975" w:name="_Toc511740823"/>
      <w:bookmarkStart w:id="1976" w:name="_Toc511741259"/>
      <w:bookmarkStart w:id="1977" w:name="_Toc10450772"/>
      <w:bookmarkStart w:id="1978" w:name="_Toc41567372"/>
      <w:r w:rsidRPr="00236418">
        <w:t>Autres produits d'exploitation</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tbl>
      <w:tblPr>
        <w:tblW w:w="9351" w:type="dxa"/>
        <w:jc w:val="center"/>
        <w:tblLook w:val="04A0" w:firstRow="1" w:lastRow="0" w:firstColumn="1" w:lastColumn="0" w:noHBand="0" w:noVBand="1"/>
        <w:tblCaption w:val="E"/>
      </w:tblPr>
      <w:tblGrid>
        <w:gridCol w:w="6091"/>
        <w:gridCol w:w="1701"/>
        <w:gridCol w:w="1559"/>
      </w:tblGrid>
      <w:tr w:rsidR="00DF6159" w:rsidRPr="00236418" w14:paraId="53B1108C" w14:textId="77777777" w:rsidTr="006538EB">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DF39" w14:textId="77777777" w:rsidR="00DF6159" w:rsidRPr="00236418" w:rsidRDefault="00DF6159" w:rsidP="0089780D">
            <w:pPr>
              <w:pStyle w:val="Tablehead"/>
              <w:keepNext/>
              <w:keepLines/>
              <w:spacing w:before="0" w:after="0"/>
              <w:jc w:val="left"/>
              <w:rPr>
                <w:szCs w:val="22"/>
                <w:lang w:eastAsia="zh-CN"/>
              </w:rPr>
            </w:pPr>
            <w:r w:rsidRPr="00236418">
              <w:rPr>
                <w:szCs w:val="22"/>
                <w:lang w:eastAsia="zh-CN"/>
              </w:rPr>
              <w:t>En milliers de CHF</w:t>
            </w:r>
          </w:p>
        </w:tc>
        <w:tc>
          <w:tcPr>
            <w:tcW w:w="1701" w:type="dxa"/>
            <w:tcBorders>
              <w:top w:val="single" w:sz="4" w:space="0" w:color="auto"/>
              <w:left w:val="single" w:sz="4" w:space="0" w:color="auto"/>
              <w:bottom w:val="single" w:sz="4" w:space="0" w:color="auto"/>
              <w:right w:val="single" w:sz="4" w:space="0" w:color="auto"/>
            </w:tcBorders>
            <w:vAlign w:val="center"/>
          </w:tcPr>
          <w:p w14:paraId="37696B25" w14:textId="74EAA310" w:rsidR="00DF6159" w:rsidRPr="00236418" w:rsidRDefault="00DF6159" w:rsidP="0089780D">
            <w:pPr>
              <w:pStyle w:val="Tablehead"/>
              <w:keepNext/>
              <w:keepLines/>
              <w:spacing w:before="0" w:after="0"/>
              <w:rPr>
                <w:szCs w:val="22"/>
                <w:lang w:eastAsia="zh-CN"/>
              </w:rPr>
            </w:pPr>
            <w:r w:rsidRPr="00236418">
              <w:rPr>
                <w:szCs w:val="22"/>
                <w:lang w:eastAsia="zh-CN"/>
              </w:rPr>
              <w:t>201</w:t>
            </w:r>
            <w:r w:rsidR="000172A4" w:rsidRPr="00236418">
              <w:rPr>
                <w:szCs w:val="22"/>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3152" w14:textId="5A1B8E10" w:rsidR="00DF6159" w:rsidRPr="00236418" w:rsidRDefault="00DF6159" w:rsidP="0089780D">
            <w:pPr>
              <w:pStyle w:val="Tablehead"/>
              <w:keepNext/>
              <w:keepLines/>
              <w:spacing w:before="0" w:after="0"/>
              <w:rPr>
                <w:szCs w:val="22"/>
                <w:lang w:eastAsia="zh-CN"/>
              </w:rPr>
            </w:pPr>
            <w:r w:rsidRPr="00236418">
              <w:rPr>
                <w:szCs w:val="22"/>
                <w:lang w:eastAsia="zh-CN"/>
              </w:rPr>
              <w:t>201</w:t>
            </w:r>
            <w:r w:rsidR="000172A4" w:rsidRPr="00236418">
              <w:rPr>
                <w:szCs w:val="22"/>
                <w:lang w:eastAsia="zh-CN"/>
              </w:rPr>
              <w:t>8</w:t>
            </w:r>
          </w:p>
        </w:tc>
      </w:tr>
      <w:tr w:rsidR="000172A4" w:rsidRPr="00236418" w14:paraId="28DFEC55" w14:textId="77777777" w:rsidTr="006538EB">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4AD4AB11" w14:textId="77777777" w:rsidR="000172A4" w:rsidRPr="00236418" w:rsidRDefault="000172A4" w:rsidP="0089780D">
            <w:pPr>
              <w:pStyle w:val="Tabletext"/>
              <w:keepNext/>
              <w:keepLines/>
              <w:spacing w:before="0" w:after="0"/>
              <w:rPr>
                <w:szCs w:val="22"/>
                <w:lang w:eastAsia="zh-CN"/>
              </w:rPr>
            </w:pPr>
            <w:r w:rsidRPr="00236418">
              <w:rPr>
                <w:szCs w:val="22"/>
                <w:lang w:eastAsia="zh-CN"/>
              </w:rPr>
              <w:t>Produits extrabudgétaires</w:t>
            </w:r>
          </w:p>
        </w:tc>
        <w:tc>
          <w:tcPr>
            <w:tcW w:w="1701" w:type="dxa"/>
            <w:tcBorders>
              <w:top w:val="single" w:sz="4" w:space="0" w:color="auto"/>
              <w:left w:val="single" w:sz="4" w:space="0" w:color="auto"/>
              <w:bottom w:val="nil"/>
              <w:right w:val="single" w:sz="4" w:space="0" w:color="auto"/>
            </w:tcBorders>
            <w:vAlign w:val="bottom"/>
          </w:tcPr>
          <w:p w14:paraId="5BB38DB5" w14:textId="665E19B5"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7 181</w:t>
            </w:r>
          </w:p>
        </w:tc>
        <w:tc>
          <w:tcPr>
            <w:tcW w:w="1559" w:type="dxa"/>
            <w:tcBorders>
              <w:top w:val="single" w:sz="4" w:space="0" w:color="auto"/>
              <w:left w:val="single" w:sz="4" w:space="0" w:color="auto"/>
              <w:bottom w:val="nil"/>
              <w:right w:val="single" w:sz="4" w:space="0" w:color="auto"/>
            </w:tcBorders>
            <w:shd w:val="clear" w:color="auto" w:fill="auto"/>
            <w:noWrap/>
            <w:vAlign w:val="bottom"/>
          </w:tcPr>
          <w:p w14:paraId="12502D20" w14:textId="149C8B2C"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5 844</w:t>
            </w:r>
          </w:p>
        </w:tc>
      </w:tr>
      <w:tr w:rsidR="000172A4" w:rsidRPr="00236418" w14:paraId="0CE9578F"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317A4C33" w14:textId="77777777" w:rsidR="000172A4" w:rsidRPr="00236418" w:rsidRDefault="000172A4" w:rsidP="0089780D">
            <w:pPr>
              <w:pStyle w:val="Tabletext"/>
              <w:keepNext/>
              <w:keepLines/>
              <w:spacing w:before="0" w:after="0"/>
              <w:rPr>
                <w:szCs w:val="22"/>
                <w:lang w:eastAsia="zh-CN"/>
              </w:rPr>
            </w:pPr>
            <w:r w:rsidRPr="00236418">
              <w:rPr>
                <w:szCs w:val="22"/>
                <w:lang w:eastAsia="zh-CN"/>
              </w:rPr>
              <w:t>Vente des publications</w:t>
            </w:r>
          </w:p>
        </w:tc>
        <w:tc>
          <w:tcPr>
            <w:tcW w:w="1701" w:type="dxa"/>
            <w:tcBorders>
              <w:left w:val="single" w:sz="4" w:space="0" w:color="auto"/>
              <w:right w:val="single" w:sz="4" w:space="0" w:color="auto"/>
            </w:tcBorders>
            <w:vAlign w:val="bottom"/>
          </w:tcPr>
          <w:p w14:paraId="3BCA19C4" w14:textId="1126088E"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15 614</w:t>
            </w:r>
          </w:p>
        </w:tc>
        <w:tc>
          <w:tcPr>
            <w:tcW w:w="1559" w:type="dxa"/>
            <w:tcBorders>
              <w:left w:val="single" w:sz="4" w:space="0" w:color="auto"/>
              <w:right w:val="single" w:sz="4" w:space="0" w:color="auto"/>
            </w:tcBorders>
            <w:shd w:val="clear" w:color="auto" w:fill="auto"/>
            <w:noWrap/>
            <w:vAlign w:val="bottom"/>
          </w:tcPr>
          <w:p w14:paraId="534B5ADB" w14:textId="5493C9DC"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13 865</w:t>
            </w:r>
          </w:p>
        </w:tc>
      </w:tr>
      <w:tr w:rsidR="000172A4" w:rsidRPr="00236418" w14:paraId="7A2EDA0F"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6ED0ADD0" w14:textId="77777777" w:rsidR="000172A4" w:rsidRPr="00236418" w:rsidRDefault="000172A4" w:rsidP="0089780D">
            <w:pPr>
              <w:pStyle w:val="Tabletext"/>
              <w:keepNext/>
              <w:keepLines/>
              <w:spacing w:before="0" w:after="0"/>
              <w:rPr>
                <w:szCs w:val="22"/>
                <w:lang w:eastAsia="zh-CN"/>
              </w:rPr>
            </w:pPr>
            <w:r w:rsidRPr="00236418">
              <w:rPr>
                <w:szCs w:val="22"/>
                <w:lang w:eastAsia="zh-CN"/>
              </w:rPr>
              <w:t>Notification de réseaux à satellite</w:t>
            </w:r>
          </w:p>
        </w:tc>
        <w:tc>
          <w:tcPr>
            <w:tcW w:w="1701" w:type="dxa"/>
            <w:tcBorders>
              <w:left w:val="single" w:sz="4" w:space="0" w:color="auto"/>
              <w:right w:val="single" w:sz="4" w:space="0" w:color="auto"/>
            </w:tcBorders>
            <w:vAlign w:val="bottom"/>
          </w:tcPr>
          <w:p w14:paraId="56A8EC7D" w14:textId="0D180804"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12 083</w:t>
            </w:r>
          </w:p>
        </w:tc>
        <w:tc>
          <w:tcPr>
            <w:tcW w:w="1559" w:type="dxa"/>
            <w:tcBorders>
              <w:left w:val="single" w:sz="4" w:space="0" w:color="auto"/>
              <w:right w:val="single" w:sz="4" w:space="0" w:color="auto"/>
            </w:tcBorders>
            <w:shd w:val="clear" w:color="auto" w:fill="auto"/>
            <w:noWrap/>
            <w:vAlign w:val="bottom"/>
          </w:tcPr>
          <w:p w14:paraId="29854EDA" w14:textId="44B3E393"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19 070</w:t>
            </w:r>
          </w:p>
        </w:tc>
      </w:tr>
      <w:tr w:rsidR="000172A4" w:rsidRPr="00236418" w14:paraId="10741A03"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72705B9F" w14:textId="77777777" w:rsidR="000172A4" w:rsidRPr="00236418" w:rsidRDefault="000172A4" w:rsidP="0089780D">
            <w:pPr>
              <w:pStyle w:val="Tabletext"/>
              <w:keepNext/>
              <w:keepLines/>
              <w:spacing w:before="0" w:after="0"/>
              <w:rPr>
                <w:szCs w:val="22"/>
                <w:lang w:eastAsia="zh-CN"/>
              </w:rPr>
            </w:pPr>
            <w:r w:rsidRPr="00236418">
              <w:rPr>
                <w:szCs w:val="22"/>
                <w:lang w:eastAsia="zh-CN"/>
              </w:rPr>
              <w:t>UIFN/UIPRN-UISC</w:t>
            </w:r>
          </w:p>
        </w:tc>
        <w:tc>
          <w:tcPr>
            <w:tcW w:w="1701" w:type="dxa"/>
            <w:tcBorders>
              <w:left w:val="single" w:sz="4" w:space="0" w:color="auto"/>
              <w:right w:val="single" w:sz="4" w:space="0" w:color="auto"/>
            </w:tcBorders>
            <w:vAlign w:val="bottom"/>
          </w:tcPr>
          <w:p w14:paraId="5B77CB6F" w14:textId="37BBE345"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131</w:t>
            </w:r>
          </w:p>
        </w:tc>
        <w:tc>
          <w:tcPr>
            <w:tcW w:w="1559" w:type="dxa"/>
            <w:tcBorders>
              <w:left w:val="single" w:sz="4" w:space="0" w:color="auto"/>
              <w:right w:val="single" w:sz="4" w:space="0" w:color="auto"/>
            </w:tcBorders>
            <w:shd w:val="clear" w:color="auto" w:fill="auto"/>
            <w:noWrap/>
            <w:vAlign w:val="bottom"/>
          </w:tcPr>
          <w:p w14:paraId="1DC45817" w14:textId="442E5266"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905</w:t>
            </w:r>
          </w:p>
        </w:tc>
      </w:tr>
      <w:tr w:rsidR="000172A4" w:rsidRPr="00236418" w14:paraId="123674DA"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5116ACA5" w14:textId="77777777" w:rsidR="000172A4" w:rsidRPr="00236418" w:rsidRDefault="000172A4" w:rsidP="0089780D">
            <w:pPr>
              <w:pStyle w:val="Tabletext"/>
              <w:keepNext/>
              <w:keepLines/>
              <w:spacing w:before="0" w:after="0"/>
              <w:rPr>
                <w:szCs w:val="22"/>
                <w:lang w:eastAsia="zh-CN"/>
              </w:rPr>
            </w:pPr>
            <w:r w:rsidRPr="00236418">
              <w:rPr>
                <w:szCs w:val="22"/>
                <w:lang w:eastAsia="zh-CN"/>
              </w:rPr>
              <w:t>GMPCS-</w:t>
            </w:r>
            <w:proofErr w:type="spellStart"/>
            <w:r w:rsidRPr="00236418">
              <w:rPr>
                <w:szCs w:val="22"/>
                <w:lang w:eastAsia="zh-CN"/>
              </w:rPr>
              <w:t>MoU</w:t>
            </w:r>
            <w:proofErr w:type="spellEnd"/>
          </w:p>
        </w:tc>
        <w:tc>
          <w:tcPr>
            <w:tcW w:w="1701" w:type="dxa"/>
            <w:tcBorders>
              <w:left w:val="single" w:sz="4" w:space="0" w:color="auto"/>
              <w:right w:val="single" w:sz="4" w:space="0" w:color="auto"/>
            </w:tcBorders>
            <w:vAlign w:val="bottom"/>
          </w:tcPr>
          <w:p w14:paraId="6DEA21B0" w14:textId="3E0AA522"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2</w:t>
            </w:r>
          </w:p>
        </w:tc>
        <w:tc>
          <w:tcPr>
            <w:tcW w:w="1559" w:type="dxa"/>
            <w:tcBorders>
              <w:left w:val="single" w:sz="4" w:space="0" w:color="auto"/>
              <w:right w:val="single" w:sz="4" w:space="0" w:color="auto"/>
            </w:tcBorders>
            <w:shd w:val="clear" w:color="auto" w:fill="auto"/>
            <w:noWrap/>
            <w:vAlign w:val="bottom"/>
          </w:tcPr>
          <w:p w14:paraId="4A1B3E6B" w14:textId="401BDE48" w:rsidR="000172A4" w:rsidRPr="00236418"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8</w:t>
            </w:r>
          </w:p>
        </w:tc>
      </w:tr>
      <w:tr w:rsidR="000172A4" w:rsidRPr="00236418" w14:paraId="16694F10"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4E2D8AD6" w14:textId="77777777" w:rsidR="000172A4" w:rsidRPr="00236418" w:rsidRDefault="000172A4" w:rsidP="0089780D">
            <w:pPr>
              <w:pStyle w:val="Tabletext"/>
              <w:keepLines/>
              <w:spacing w:before="0" w:after="0"/>
              <w:rPr>
                <w:szCs w:val="22"/>
                <w:lang w:eastAsia="zh-CN"/>
              </w:rPr>
            </w:pPr>
            <w:r w:rsidRPr="00236418">
              <w:rPr>
                <w:szCs w:val="22"/>
                <w:lang w:eastAsia="zh-CN"/>
              </w:rPr>
              <w:t>Recouvrement – Publications</w:t>
            </w:r>
          </w:p>
        </w:tc>
        <w:tc>
          <w:tcPr>
            <w:tcW w:w="1701" w:type="dxa"/>
            <w:tcBorders>
              <w:left w:val="single" w:sz="4" w:space="0" w:color="auto"/>
              <w:right w:val="single" w:sz="4" w:space="0" w:color="auto"/>
            </w:tcBorders>
            <w:vAlign w:val="bottom"/>
          </w:tcPr>
          <w:p w14:paraId="4434240F" w14:textId="396DE5BD" w:rsidR="000172A4" w:rsidRPr="00236418"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9</w:t>
            </w:r>
          </w:p>
        </w:tc>
        <w:tc>
          <w:tcPr>
            <w:tcW w:w="1559" w:type="dxa"/>
            <w:tcBorders>
              <w:left w:val="single" w:sz="4" w:space="0" w:color="auto"/>
              <w:right w:val="single" w:sz="4" w:space="0" w:color="auto"/>
            </w:tcBorders>
            <w:shd w:val="clear" w:color="auto" w:fill="auto"/>
            <w:noWrap/>
            <w:vAlign w:val="bottom"/>
          </w:tcPr>
          <w:p w14:paraId="1F583801" w14:textId="082B5816" w:rsidR="000172A4" w:rsidRPr="00236418"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14</w:t>
            </w:r>
          </w:p>
        </w:tc>
      </w:tr>
      <w:tr w:rsidR="000172A4" w:rsidRPr="00236418" w14:paraId="26AB9A49"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610AE457" w14:textId="77777777" w:rsidR="000172A4" w:rsidRPr="00236418" w:rsidRDefault="000172A4" w:rsidP="0089780D">
            <w:pPr>
              <w:pStyle w:val="Tabletext"/>
              <w:keepLines/>
              <w:spacing w:before="0" w:after="0"/>
              <w:rPr>
                <w:szCs w:val="22"/>
                <w:lang w:eastAsia="zh-CN"/>
              </w:rPr>
            </w:pPr>
            <w:r w:rsidRPr="00236418">
              <w:rPr>
                <w:szCs w:val="22"/>
                <w:lang w:eastAsia="zh-CN"/>
              </w:rPr>
              <w:t>Autres produits</w:t>
            </w:r>
          </w:p>
        </w:tc>
        <w:tc>
          <w:tcPr>
            <w:tcW w:w="1701" w:type="dxa"/>
            <w:tcBorders>
              <w:left w:val="single" w:sz="4" w:space="0" w:color="auto"/>
              <w:right w:val="single" w:sz="4" w:space="0" w:color="auto"/>
            </w:tcBorders>
            <w:vAlign w:val="bottom"/>
          </w:tcPr>
          <w:p w14:paraId="79E6BB0A" w14:textId="62A4E6CF" w:rsidR="000172A4" w:rsidRPr="00236418"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4 346</w:t>
            </w:r>
          </w:p>
        </w:tc>
        <w:tc>
          <w:tcPr>
            <w:tcW w:w="1559" w:type="dxa"/>
            <w:tcBorders>
              <w:left w:val="single" w:sz="4" w:space="0" w:color="auto"/>
              <w:right w:val="single" w:sz="4" w:space="0" w:color="auto"/>
            </w:tcBorders>
            <w:shd w:val="clear" w:color="auto" w:fill="auto"/>
            <w:noWrap/>
            <w:vAlign w:val="bottom"/>
          </w:tcPr>
          <w:p w14:paraId="23A25BE1" w14:textId="01DEF500" w:rsidR="000172A4" w:rsidRPr="00236418"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2 222</w:t>
            </w:r>
          </w:p>
        </w:tc>
      </w:tr>
      <w:tr w:rsidR="000172A4" w:rsidRPr="00236418" w14:paraId="4FC74888" w14:textId="77777777" w:rsidTr="006538EB">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AAA4E" w14:textId="77777777" w:rsidR="000172A4" w:rsidRPr="00236418" w:rsidRDefault="000172A4" w:rsidP="0089780D">
            <w:pPr>
              <w:pStyle w:val="Tabletext"/>
              <w:keepLines/>
              <w:spacing w:before="0" w:after="0"/>
              <w:rPr>
                <w:b/>
                <w:bCs/>
                <w:szCs w:val="22"/>
                <w:lang w:eastAsia="zh-CN"/>
              </w:rPr>
            </w:pPr>
            <w:r w:rsidRPr="00236418">
              <w:rPr>
                <w:b/>
                <w:bCs/>
                <w:szCs w:val="22"/>
                <w:lang w:eastAsia="zh-CN"/>
              </w:rPr>
              <w:t>Autres produits d'exploitation</w:t>
            </w:r>
          </w:p>
        </w:tc>
        <w:tc>
          <w:tcPr>
            <w:tcW w:w="1701" w:type="dxa"/>
            <w:tcBorders>
              <w:top w:val="single" w:sz="4" w:space="0" w:color="auto"/>
              <w:left w:val="single" w:sz="4" w:space="0" w:color="auto"/>
              <w:bottom w:val="single" w:sz="4" w:space="0" w:color="auto"/>
              <w:right w:val="single" w:sz="4" w:space="0" w:color="auto"/>
            </w:tcBorders>
            <w:vAlign w:val="center"/>
          </w:tcPr>
          <w:p w14:paraId="6B742642" w14:textId="58FA47AD" w:rsidR="000172A4" w:rsidRPr="00236418"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zh-CN"/>
              </w:rPr>
            </w:pPr>
            <w:r w:rsidRPr="00236418">
              <w:rPr>
                <w:rFonts w:cs="Calibri"/>
                <w:b/>
                <w:bCs/>
                <w:color w:val="000000"/>
                <w:sz w:val="22"/>
                <w:szCs w:val="22"/>
                <w:lang w:eastAsia="zh-CN"/>
              </w:rPr>
              <w:t>39 366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AD75" w14:textId="6169AC88" w:rsidR="000172A4" w:rsidRPr="00236418"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zh-CN"/>
              </w:rPr>
            </w:pPr>
            <w:r w:rsidRPr="00236418">
              <w:rPr>
                <w:rFonts w:cs="Calibri"/>
                <w:b/>
                <w:bCs/>
                <w:color w:val="000000"/>
                <w:sz w:val="22"/>
                <w:szCs w:val="22"/>
                <w:lang w:eastAsia="zh-CN"/>
              </w:rPr>
              <w:t>41 930</w:t>
            </w:r>
          </w:p>
        </w:tc>
      </w:tr>
    </w:tbl>
    <w:p w14:paraId="2B3659E1" w14:textId="7A1EFBFB" w:rsidR="00DF6159" w:rsidRPr="00236418" w:rsidRDefault="00DF6159" w:rsidP="009B3D24">
      <w:pPr>
        <w:pStyle w:val="Normalaftertitle"/>
      </w:pPr>
      <w:r w:rsidRPr="00236418">
        <w:t>Dans la plupart des cas, les autres produits d'exploitation concernent des activités soumises au recouvrement des coûts. Les produits et les services pour lesquels l'UIT applique le principe du recouvrement des coûts sont principalement l'enregistrement des numéros universels de libre appel international (UIFN), le mémorandum d'accord sur les communications personnelles mondiales par satellite (GMPCS-</w:t>
      </w:r>
      <w:proofErr w:type="spellStart"/>
      <w:r w:rsidRPr="00236418">
        <w:t>MoU</w:t>
      </w:r>
      <w:proofErr w:type="spellEnd"/>
      <w:r w:rsidRPr="00236418">
        <w:t>), la vente de publications. Les produits liés à l'appui aux projets sont comptabilisés avec les ajustements de consolidation afin de donner un aperçu global des résultats financiers de l'Union.</w:t>
      </w:r>
    </w:p>
    <w:p w14:paraId="44FF01A7" w14:textId="1E096266" w:rsidR="00EC390E" w:rsidRPr="00236418" w:rsidRDefault="00DF6159" w:rsidP="009B3D24">
      <w:pPr>
        <w:rPr>
          <w:rFonts w:eastAsia="SimSun"/>
        </w:rPr>
      </w:pPr>
      <w:r w:rsidRPr="00236418">
        <w:rPr>
          <w:rFonts w:eastAsia="SimSun"/>
        </w:rPr>
        <w:t xml:space="preserve">Le total des autres produits d'exploitation a diminué de 9% pour s'établir à </w:t>
      </w:r>
      <w:r w:rsidR="000172A4" w:rsidRPr="00236418">
        <w:rPr>
          <w:rFonts w:eastAsia="SimSun"/>
        </w:rPr>
        <w:t>39,3</w:t>
      </w:r>
      <w:r w:rsidRPr="00236418">
        <w:rPr>
          <w:rFonts w:eastAsia="SimSun"/>
        </w:rPr>
        <w:t xml:space="preserve"> millions CHF en 201</w:t>
      </w:r>
      <w:r w:rsidR="000172A4" w:rsidRPr="00236418">
        <w:rPr>
          <w:rFonts w:eastAsia="SimSun"/>
        </w:rPr>
        <w:t>9</w:t>
      </w:r>
      <w:r w:rsidRPr="00236418">
        <w:rPr>
          <w:rFonts w:eastAsia="SimSun"/>
        </w:rPr>
        <w:t>. Cela s'explique par la diminution des produits des ventes des publications, notamment en raison du calendrier exceptionnel de parution des publications de service (service maritime) phares de l'UIT-R</w:t>
      </w:r>
      <w:r w:rsidR="00EC390E" w:rsidRPr="00236418">
        <w:rPr>
          <w:rFonts w:eastAsia="SimSun"/>
        </w:rPr>
        <w:t xml:space="preserve">, mais aussi par la diminution de nombre de fiches de notification de réseau à satellite </w:t>
      </w:r>
      <w:r w:rsidR="00E45388" w:rsidRPr="00236418">
        <w:rPr>
          <w:rFonts w:eastAsia="SimSun"/>
        </w:rPr>
        <w:t xml:space="preserve">due à </w:t>
      </w:r>
      <w:r w:rsidR="00EC390E" w:rsidRPr="00236418">
        <w:rPr>
          <w:rFonts w:eastAsia="SimSun"/>
        </w:rPr>
        <w:t>la CMR-19, les opérateurs ayant attendu pour soumettre leurs demandes.</w:t>
      </w:r>
    </w:p>
    <w:p w14:paraId="50703A7C" w14:textId="77777777" w:rsidR="00DF6159" w:rsidRPr="00236418" w:rsidRDefault="00DF6159" w:rsidP="00081C96">
      <w:pPr>
        <w:pStyle w:val="Heading1"/>
        <w:spacing w:before="240" w:after="120"/>
        <w:rPr>
          <w:sz w:val="24"/>
          <w:szCs w:val="24"/>
        </w:rPr>
      </w:pPr>
      <w:bookmarkStart w:id="1979" w:name="_Toc329178798"/>
      <w:bookmarkStart w:id="1980" w:name="_Toc329181771"/>
      <w:bookmarkStart w:id="1981" w:name="_Toc329202596"/>
      <w:bookmarkStart w:id="1982" w:name="_Toc329205028"/>
      <w:bookmarkStart w:id="1983" w:name="_Toc329206865"/>
      <w:bookmarkStart w:id="1984" w:name="_Toc358379946"/>
      <w:bookmarkStart w:id="1985" w:name="_Toc358380489"/>
      <w:bookmarkStart w:id="1986" w:name="_Toc387166662"/>
      <w:bookmarkStart w:id="1987" w:name="_Toc387167488"/>
      <w:bookmarkStart w:id="1988" w:name="_Toc395260947"/>
      <w:bookmarkStart w:id="1989" w:name="_Toc395511734"/>
      <w:bookmarkStart w:id="1990" w:name="_Toc452138636"/>
      <w:bookmarkStart w:id="1991" w:name="_Toc452139085"/>
      <w:bookmarkStart w:id="1992" w:name="_Toc452139449"/>
      <w:bookmarkStart w:id="1993" w:name="_Toc452139855"/>
      <w:bookmarkStart w:id="1994" w:name="_Toc452140729"/>
      <w:bookmarkStart w:id="1995" w:name="_Toc482801517"/>
      <w:bookmarkStart w:id="1996" w:name="_Toc482888776"/>
      <w:bookmarkStart w:id="1997" w:name="_Toc511649491"/>
      <w:bookmarkStart w:id="1998" w:name="_Toc511649859"/>
      <w:bookmarkStart w:id="1999" w:name="_Toc511649977"/>
      <w:bookmarkStart w:id="2000" w:name="_Toc511650097"/>
      <w:bookmarkStart w:id="2001" w:name="_Toc511650591"/>
      <w:bookmarkStart w:id="2002" w:name="_Toc511651237"/>
      <w:bookmarkStart w:id="2003" w:name="_Toc511724100"/>
      <w:bookmarkStart w:id="2004" w:name="_Toc511739089"/>
      <w:bookmarkStart w:id="2005" w:name="_Toc511741260"/>
      <w:bookmarkStart w:id="2006" w:name="_Toc9605751"/>
      <w:bookmarkStart w:id="2007" w:name="_Toc10450773"/>
      <w:bookmarkStart w:id="2008" w:name="_Toc41566364"/>
      <w:bookmarkStart w:id="2009" w:name="_Toc41567373"/>
      <w:bookmarkStart w:id="2010" w:name="_Toc41567874"/>
      <w:bookmarkStart w:id="2011" w:name="_Toc41814968"/>
      <w:r w:rsidRPr="00236418">
        <w:rPr>
          <w:sz w:val="24"/>
          <w:szCs w:val="24"/>
        </w:rPr>
        <w:t>Produits financiers</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tbl>
      <w:tblPr>
        <w:tblW w:w="9209" w:type="dxa"/>
        <w:jc w:val="center"/>
        <w:tblLayout w:type="fixed"/>
        <w:tblLook w:val="04A0" w:firstRow="1" w:lastRow="0" w:firstColumn="1" w:lastColumn="0" w:noHBand="0" w:noVBand="1"/>
        <w:tblCaption w:val="E"/>
      </w:tblPr>
      <w:tblGrid>
        <w:gridCol w:w="6091"/>
        <w:gridCol w:w="1559"/>
        <w:gridCol w:w="1559"/>
      </w:tblGrid>
      <w:tr w:rsidR="00DF6159" w:rsidRPr="00236418" w14:paraId="3DE2330F" w14:textId="77777777" w:rsidTr="006538EB">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8501" w14:textId="77777777" w:rsidR="00DF6159" w:rsidRPr="00236418" w:rsidRDefault="00DF6159" w:rsidP="009B3D24">
            <w:pPr>
              <w:pStyle w:val="Tablehead"/>
              <w:spacing w:before="0" w:after="0"/>
              <w:jc w:val="left"/>
              <w:rPr>
                <w:szCs w:val="22"/>
                <w:lang w:eastAsia="zh-CN"/>
              </w:rPr>
            </w:pPr>
            <w:r w:rsidRPr="00236418">
              <w:rPr>
                <w:szCs w:val="22"/>
                <w:lang w:eastAsia="zh-CN"/>
              </w:rPr>
              <w:t>En milliers de CHF</w:t>
            </w:r>
          </w:p>
        </w:tc>
        <w:tc>
          <w:tcPr>
            <w:tcW w:w="1559" w:type="dxa"/>
            <w:tcBorders>
              <w:top w:val="single" w:sz="4" w:space="0" w:color="auto"/>
              <w:left w:val="single" w:sz="4" w:space="0" w:color="auto"/>
              <w:bottom w:val="single" w:sz="4" w:space="0" w:color="auto"/>
              <w:right w:val="single" w:sz="4" w:space="0" w:color="auto"/>
            </w:tcBorders>
            <w:vAlign w:val="center"/>
          </w:tcPr>
          <w:p w14:paraId="697B6F06" w14:textId="635FD9A6" w:rsidR="00DF6159" w:rsidRPr="00236418" w:rsidRDefault="00DF6159" w:rsidP="009B3D24">
            <w:pPr>
              <w:pStyle w:val="Tablehead"/>
              <w:spacing w:before="0" w:after="0"/>
              <w:rPr>
                <w:szCs w:val="22"/>
                <w:lang w:eastAsia="zh-CN"/>
              </w:rPr>
            </w:pPr>
            <w:r w:rsidRPr="00236418">
              <w:rPr>
                <w:szCs w:val="22"/>
                <w:lang w:eastAsia="zh-CN"/>
              </w:rPr>
              <w:t>201</w:t>
            </w:r>
            <w:r w:rsidR="00852F38" w:rsidRPr="00236418">
              <w:rPr>
                <w:szCs w:val="22"/>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F162B" w14:textId="44407470" w:rsidR="00DF6159" w:rsidRPr="00236418" w:rsidRDefault="00DF6159" w:rsidP="009B3D24">
            <w:pPr>
              <w:pStyle w:val="Tablehead"/>
              <w:spacing w:before="0" w:after="0"/>
              <w:rPr>
                <w:szCs w:val="22"/>
                <w:lang w:eastAsia="zh-CN"/>
              </w:rPr>
            </w:pPr>
            <w:r w:rsidRPr="00236418">
              <w:rPr>
                <w:szCs w:val="22"/>
                <w:lang w:eastAsia="zh-CN"/>
              </w:rPr>
              <w:t>201</w:t>
            </w:r>
            <w:r w:rsidR="00852F38" w:rsidRPr="00236418">
              <w:rPr>
                <w:szCs w:val="22"/>
                <w:lang w:eastAsia="zh-CN"/>
              </w:rPr>
              <w:t>8</w:t>
            </w:r>
          </w:p>
        </w:tc>
      </w:tr>
      <w:tr w:rsidR="00852F38" w:rsidRPr="00236418" w14:paraId="6D8536B4" w14:textId="77777777" w:rsidTr="006538EB">
        <w:trPr>
          <w:trHeight w:val="20"/>
          <w:jc w:val="center"/>
        </w:trPr>
        <w:tc>
          <w:tcPr>
            <w:tcW w:w="6091" w:type="dxa"/>
            <w:tcBorders>
              <w:top w:val="single" w:sz="4" w:space="0" w:color="auto"/>
              <w:left w:val="single" w:sz="4" w:space="0" w:color="auto"/>
              <w:right w:val="single" w:sz="4" w:space="0" w:color="auto"/>
            </w:tcBorders>
            <w:shd w:val="clear" w:color="auto" w:fill="auto"/>
            <w:noWrap/>
            <w:vAlign w:val="center"/>
          </w:tcPr>
          <w:p w14:paraId="29CD8C36" w14:textId="77777777" w:rsidR="00852F38" w:rsidRPr="00236418" w:rsidRDefault="00852F38" w:rsidP="009B3D24">
            <w:pPr>
              <w:pStyle w:val="Tabletext"/>
              <w:spacing w:before="0" w:after="0"/>
              <w:rPr>
                <w:szCs w:val="22"/>
                <w:lang w:eastAsia="zh-CN"/>
              </w:rPr>
            </w:pPr>
            <w:r w:rsidRPr="00236418">
              <w:rPr>
                <w:szCs w:val="22"/>
                <w:lang w:eastAsia="zh-CN"/>
              </w:rPr>
              <w:t>Intérêts sur les placements</w:t>
            </w:r>
          </w:p>
        </w:tc>
        <w:tc>
          <w:tcPr>
            <w:tcW w:w="1559" w:type="dxa"/>
            <w:tcBorders>
              <w:top w:val="single" w:sz="4" w:space="0" w:color="auto"/>
              <w:left w:val="single" w:sz="4" w:space="0" w:color="auto"/>
              <w:right w:val="single" w:sz="4" w:space="0" w:color="auto"/>
            </w:tcBorders>
            <w:vAlign w:val="bottom"/>
          </w:tcPr>
          <w:p w14:paraId="4D88AB37" w14:textId="407A1D14" w:rsidR="00852F38" w:rsidRPr="00236418"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926</w:t>
            </w:r>
          </w:p>
        </w:tc>
        <w:tc>
          <w:tcPr>
            <w:tcW w:w="1559" w:type="dxa"/>
            <w:tcBorders>
              <w:top w:val="single" w:sz="4" w:space="0" w:color="auto"/>
              <w:left w:val="single" w:sz="4" w:space="0" w:color="auto"/>
              <w:right w:val="single" w:sz="4" w:space="0" w:color="auto"/>
            </w:tcBorders>
            <w:shd w:val="clear" w:color="auto" w:fill="auto"/>
            <w:noWrap/>
            <w:vAlign w:val="bottom"/>
          </w:tcPr>
          <w:p w14:paraId="0F1D2E48" w14:textId="093EC921" w:rsidR="00852F38" w:rsidRPr="00236418"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748</w:t>
            </w:r>
          </w:p>
        </w:tc>
      </w:tr>
      <w:tr w:rsidR="00852F38" w:rsidRPr="00236418" w14:paraId="15228BFA"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2A907A39" w14:textId="77777777" w:rsidR="00852F38" w:rsidRPr="00236418" w:rsidRDefault="00852F38" w:rsidP="009B3D24">
            <w:pPr>
              <w:pStyle w:val="Tabletext"/>
              <w:spacing w:before="0" w:after="0"/>
              <w:rPr>
                <w:szCs w:val="22"/>
                <w:lang w:eastAsia="zh-CN"/>
              </w:rPr>
            </w:pPr>
            <w:r w:rsidRPr="00236418">
              <w:rPr>
                <w:szCs w:val="22"/>
                <w:lang w:eastAsia="zh-CN"/>
              </w:rPr>
              <w:t>Gains de change réalisés</w:t>
            </w:r>
          </w:p>
        </w:tc>
        <w:tc>
          <w:tcPr>
            <w:tcW w:w="1559" w:type="dxa"/>
            <w:tcBorders>
              <w:left w:val="single" w:sz="4" w:space="0" w:color="auto"/>
              <w:right w:val="single" w:sz="4" w:space="0" w:color="auto"/>
            </w:tcBorders>
            <w:vAlign w:val="bottom"/>
          </w:tcPr>
          <w:p w14:paraId="03ADA6AA" w14:textId="31F9B283" w:rsidR="00852F38" w:rsidRPr="00236418"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24</w:t>
            </w:r>
          </w:p>
        </w:tc>
        <w:tc>
          <w:tcPr>
            <w:tcW w:w="1559" w:type="dxa"/>
            <w:tcBorders>
              <w:left w:val="single" w:sz="4" w:space="0" w:color="auto"/>
              <w:right w:val="single" w:sz="4" w:space="0" w:color="auto"/>
            </w:tcBorders>
            <w:shd w:val="clear" w:color="auto" w:fill="auto"/>
            <w:noWrap/>
            <w:vAlign w:val="bottom"/>
          </w:tcPr>
          <w:p w14:paraId="37DF85F3" w14:textId="48B69E1A" w:rsidR="00852F38" w:rsidRPr="00236418"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23</w:t>
            </w:r>
          </w:p>
        </w:tc>
      </w:tr>
      <w:tr w:rsidR="00852F38" w:rsidRPr="00236418" w14:paraId="25A87B2D" w14:textId="77777777" w:rsidTr="006538EB">
        <w:trPr>
          <w:trHeight w:val="213"/>
          <w:jc w:val="center"/>
        </w:trPr>
        <w:tc>
          <w:tcPr>
            <w:tcW w:w="6091" w:type="dxa"/>
            <w:tcBorders>
              <w:left w:val="single" w:sz="4" w:space="0" w:color="auto"/>
              <w:bottom w:val="single" w:sz="4" w:space="0" w:color="auto"/>
              <w:right w:val="single" w:sz="4" w:space="0" w:color="auto"/>
            </w:tcBorders>
            <w:shd w:val="clear" w:color="auto" w:fill="auto"/>
            <w:noWrap/>
          </w:tcPr>
          <w:p w14:paraId="6960C159" w14:textId="77777777" w:rsidR="00852F38" w:rsidRPr="00236418" w:rsidRDefault="00852F38" w:rsidP="009B3D24">
            <w:pPr>
              <w:pStyle w:val="Tabletext"/>
              <w:spacing w:before="0" w:after="0"/>
              <w:rPr>
                <w:szCs w:val="22"/>
                <w:lang w:eastAsia="zh-CN"/>
              </w:rPr>
            </w:pPr>
            <w:r w:rsidRPr="00236418">
              <w:rPr>
                <w:szCs w:val="22"/>
                <w:lang w:eastAsia="zh-CN"/>
              </w:rPr>
              <w:t>Gains de change non réalisés</w:t>
            </w:r>
          </w:p>
        </w:tc>
        <w:tc>
          <w:tcPr>
            <w:tcW w:w="1559" w:type="dxa"/>
            <w:tcBorders>
              <w:left w:val="single" w:sz="4" w:space="0" w:color="auto"/>
              <w:bottom w:val="single" w:sz="4" w:space="0" w:color="auto"/>
              <w:right w:val="single" w:sz="4" w:space="0" w:color="auto"/>
            </w:tcBorders>
          </w:tcPr>
          <w:p w14:paraId="3FE650C5" w14:textId="7CD2ACAC" w:rsidR="00852F38" w:rsidRPr="00236418"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9 079</w:t>
            </w:r>
          </w:p>
        </w:tc>
        <w:tc>
          <w:tcPr>
            <w:tcW w:w="1559" w:type="dxa"/>
            <w:tcBorders>
              <w:left w:val="single" w:sz="4" w:space="0" w:color="auto"/>
              <w:bottom w:val="single" w:sz="4" w:space="0" w:color="auto"/>
              <w:right w:val="single" w:sz="4" w:space="0" w:color="auto"/>
            </w:tcBorders>
            <w:shd w:val="clear" w:color="auto" w:fill="auto"/>
            <w:noWrap/>
          </w:tcPr>
          <w:p w14:paraId="01B55C74" w14:textId="20DC1E3E" w:rsidR="00852F38" w:rsidRPr="00236418"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236418">
              <w:rPr>
                <w:rFonts w:cs="Calibri"/>
                <w:color w:val="000000"/>
                <w:sz w:val="22"/>
                <w:szCs w:val="22"/>
                <w:lang w:eastAsia="zh-CN"/>
              </w:rPr>
              <w:t>475</w:t>
            </w:r>
          </w:p>
        </w:tc>
      </w:tr>
      <w:tr w:rsidR="00852F38" w:rsidRPr="00236418" w14:paraId="02355565" w14:textId="77777777" w:rsidTr="006538EB">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A2732" w14:textId="77777777" w:rsidR="00852F38" w:rsidRPr="00236418" w:rsidRDefault="00852F38" w:rsidP="009B3D24">
            <w:pPr>
              <w:pStyle w:val="Tabletext"/>
              <w:spacing w:before="0" w:after="0"/>
              <w:rPr>
                <w:b/>
                <w:bCs/>
                <w:szCs w:val="22"/>
                <w:lang w:eastAsia="zh-CN"/>
              </w:rPr>
            </w:pPr>
            <w:r w:rsidRPr="00236418">
              <w:rPr>
                <w:b/>
                <w:bCs/>
                <w:szCs w:val="22"/>
                <w:lang w:eastAsia="zh-CN"/>
              </w:rPr>
              <w:t>Produits financiers</w:t>
            </w:r>
          </w:p>
        </w:tc>
        <w:tc>
          <w:tcPr>
            <w:tcW w:w="1559" w:type="dxa"/>
            <w:tcBorders>
              <w:top w:val="single" w:sz="4" w:space="0" w:color="auto"/>
              <w:left w:val="single" w:sz="4" w:space="0" w:color="auto"/>
              <w:bottom w:val="single" w:sz="4" w:space="0" w:color="auto"/>
              <w:right w:val="single" w:sz="4" w:space="0" w:color="auto"/>
            </w:tcBorders>
            <w:vAlign w:val="center"/>
          </w:tcPr>
          <w:p w14:paraId="0E0E7C56" w14:textId="7F27209E" w:rsidR="00852F38" w:rsidRPr="00236418" w:rsidRDefault="00852F38" w:rsidP="009B3D24">
            <w:pPr>
              <w:pStyle w:val="Tabletext"/>
              <w:spacing w:before="0" w:after="0"/>
              <w:jc w:val="right"/>
              <w:rPr>
                <w:b/>
                <w:bCs/>
                <w:szCs w:val="22"/>
                <w:lang w:eastAsia="zh-CN"/>
              </w:rPr>
            </w:pPr>
            <w:r w:rsidRPr="00236418">
              <w:rPr>
                <w:b/>
                <w:bCs/>
                <w:szCs w:val="22"/>
                <w:lang w:eastAsia="zh-CN"/>
              </w:rPr>
              <w:t>10 030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4BA8B" w14:textId="3780FF59" w:rsidR="00852F38" w:rsidRPr="00236418" w:rsidRDefault="00852F38" w:rsidP="009B3D24">
            <w:pPr>
              <w:pStyle w:val="Tabletext"/>
              <w:spacing w:before="0" w:after="0"/>
              <w:jc w:val="right"/>
              <w:rPr>
                <w:b/>
                <w:bCs/>
                <w:szCs w:val="22"/>
                <w:lang w:eastAsia="zh-CN"/>
              </w:rPr>
            </w:pPr>
            <w:r w:rsidRPr="00236418">
              <w:rPr>
                <w:b/>
                <w:bCs/>
                <w:szCs w:val="22"/>
                <w:lang w:eastAsia="zh-CN"/>
              </w:rPr>
              <w:t>1 245</w:t>
            </w:r>
          </w:p>
        </w:tc>
      </w:tr>
    </w:tbl>
    <w:p w14:paraId="72A9909C" w14:textId="220BE8ED" w:rsidR="00EC390E" w:rsidRPr="00236418" w:rsidRDefault="00DF6159" w:rsidP="00645922">
      <w:pPr>
        <w:pStyle w:val="Normalaftertitle"/>
        <w:spacing w:before="120"/>
        <w:rPr>
          <w:rFonts w:eastAsia="SimSun"/>
        </w:rPr>
      </w:pPr>
      <w:r w:rsidRPr="00236418">
        <w:rPr>
          <w:rFonts w:eastAsia="SimSun"/>
        </w:rPr>
        <w:t>La situation sur les marchés financiers concernant le franc suisse et l'euro s'est maintenue en 201</w:t>
      </w:r>
      <w:r w:rsidR="00852F38" w:rsidRPr="00236418">
        <w:rPr>
          <w:rFonts w:eastAsia="SimSun"/>
        </w:rPr>
        <w:t>9</w:t>
      </w:r>
      <w:r w:rsidRPr="00236418">
        <w:rPr>
          <w:rFonts w:eastAsia="SimSun"/>
        </w:rPr>
        <w:t>. Néanmoins, l'UIT a garanti tous les fonds, et aucun taux d'intérêt négatif n'a été appliqué sur la trésorerie en francs suisses. La hausse des taux en USD en 201</w:t>
      </w:r>
      <w:r w:rsidR="00852F38" w:rsidRPr="00236418">
        <w:rPr>
          <w:rFonts w:eastAsia="SimSun"/>
        </w:rPr>
        <w:t>9</w:t>
      </w:r>
      <w:r w:rsidRPr="00236418">
        <w:rPr>
          <w:rFonts w:eastAsia="SimSun"/>
        </w:rPr>
        <w:t xml:space="preserve"> a donné lieu à de meilleurs rendements des placements en USD, ce qui explique en grande partie l'augmentation des intérêts générés par les placements.</w:t>
      </w:r>
      <w:r w:rsidR="00852F38" w:rsidRPr="00236418">
        <w:rPr>
          <w:rFonts w:eastAsia="SimSun"/>
        </w:rPr>
        <w:t xml:space="preserve"> </w:t>
      </w:r>
      <w:r w:rsidR="00EC390E" w:rsidRPr="00236418">
        <w:rPr>
          <w:rFonts w:eastAsia="SimSun"/>
        </w:rPr>
        <w:t xml:space="preserve">Les gains de </w:t>
      </w:r>
      <w:proofErr w:type="gramStart"/>
      <w:r w:rsidR="00EC390E" w:rsidRPr="00236418">
        <w:rPr>
          <w:rFonts w:eastAsia="SimSun"/>
        </w:rPr>
        <w:t>change</w:t>
      </w:r>
      <w:proofErr w:type="gramEnd"/>
      <w:r w:rsidR="00EC390E" w:rsidRPr="00236418">
        <w:rPr>
          <w:rFonts w:eastAsia="SimSun"/>
        </w:rPr>
        <w:t xml:space="preserve"> non réalisés ne sont pas considérés comme un produit dans le budget mais doivent être comptabilisés dans la réévaluation du bilan en fin d'exercice.</w:t>
      </w:r>
    </w:p>
    <w:p w14:paraId="1B97C9AE" w14:textId="77777777" w:rsidR="00DF6159" w:rsidRPr="00236418" w:rsidRDefault="00DF6159" w:rsidP="00645922">
      <w:pPr>
        <w:pStyle w:val="Heading1"/>
        <w:spacing w:before="120"/>
        <w:rPr>
          <w:sz w:val="24"/>
          <w:szCs w:val="24"/>
        </w:rPr>
      </w:pPr>
      <w:bookmarkStart w:id="2012" w:name="_Toc387166663"/>
      <w:bookmarkStart w:id="2013" w:name="_Toc395260948"/>
      <w:bookmarkStart w:id="2014" w:name="_Toc395511735"/>
      <w:bookmarkStart w:id="2015" w:name="_Toc452138637"/>
      <w:bookmarkStart w:id="2016" w:name="_Toc452139086"/>
      <w:bookmarkStart w:id="2017" w:name="_Toc452139450"/>
      <w:bookmarkStart w:id="2018" w:name="_Toc452139856"/>
      <w:bookmarkStart w:id="2019" w:name="_Toc452140730"/>
      <w:bookmarkStart w:id="2020" w:name="_Toc482801518"/>
      <w:bookmarkStart w:id="2021" w:name="_Toc511649492"/>
      <w:bookmarkStart w:id="2022" w:name="_Toc511649860"/>
      <w:bookmarkStart w:id="2023" w:name="_Toc511649978"/>
      <w:bookmarkStart w:id="2024" w:name="_Toc511651238"/>
      <w:bookmarkStart w:id="2025" w:name="_Toc511724101"/>
      <w:bookmarkStart w:id="2026" w:name="_Toc511739090"/>
      <w:bookmarkStart w:id="2027" w:name="_Toc511741261"/>
      <w:bookmarkStart w:id="2028" w:name="_Toc10450774"/>
      <w:bookmarkStart w:id="2029" w:name="_Toc41566365"/>
      <w:bookmarkStart w:id="2030" w:name="_Toc41567374"/>
      <w:bookmarkStart w:id="2031" w:name="_Toc41567875"/>
      <w:bookmarkStart w:id="2032" w:name="_Toc41814969"/>
      <w:bookmarkStart w:id="2033" w:name="_Toc329202597"/>
      <w:bookmarkStart w:id="2034" w:name="_Toc329205029"/>
      <w:bookmarkStart w:id="2035" w:name="_Toc329206866"/>
      <w:bookmarkStart w:id="2036" w:name="_Toc358379947"/>
      <w:bookmarkStart w:id="2037" w:name="_Toc358380490"/>
      <w:r w:rsidRPr="00236418">
        <w:rPr>
          <w:sz w:val="24"/>
          <w:szCs w:val="24"/>
        </w:rPr>
        <w:lastRenderedPageBreak/>
        <w:t>Note 23</w:t>
      </w:r>
      <w:r w:rsidRPr="00236418">
        <w:rPr>
          <w:sz w:val="24"/>
          <w:szCs w:val="24"/>
        </w:rPr>
        <w:tab/>
      </w:r>
      <w:bookmarkEnd w:id="2012"/>
      <w:bookmarkEnd w:id="2013"/>
      <w:bookmarkEnd w:id="2014"/>
      <w:r w:rsidRPr="00236418">
        <w:rPr>
          <w:sz w:val="24"/>
          <w:szCs w:val="24"/>
        </w:rPr>
        <w:t>Charges</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2920CD43" w14:textId="77777777" w:rsidR="00DF6159" w:rsidRPr="00236418" w:rsidRDefault="00DF6159" w:rsidP="00645922">
      <w:pPr>
        <w:pStyle w:val="headingb0"/>
        <w:spacing w:before="120"/>
      </w:pPr>
      <w:bookmarkStart w:id="2038" w:name="_Toc387167490"/>
      <w:bookmarkStart w:id="2039" w:name="_Toc482888036"/>
      <w:bookmarkStart w:id="2040" w:name="_Toc482888070"/>
      <w:bookmarkStart w:id="2041" w:name="_Toc482888379"/>
      <w:bookmarkStart w:id="2042" w:name="_Toc482888778"/>
      <w:bookmarkStart w:id="2043" w:name="_Toc511649493"/>
      <w:bookmarkStart w:id="2044" w:name="_Toc511649979"/>
      <w:bookmarkStart w:id="2045" w:name="_Toc511650099"/>
      <w:bookmarkStart w:id="2046" w:name="_Toc511650593"/>
      <w:bookmarkStart w:id="2047" w:name="_Toc511651239"/>
      <w:bookmarkStart w:id="2048" w:name="_Toc511724102"/>
      <w:bookmarkStart w:id="2049" w:name="_Toc511739091"/>
      <w:bookmarkStart w:id="2050" w:name="_Toc511740824"/>
      <w:bookmarkStart w:id="2051" w:name="_Toc511741262"/>
      <w:bookmarkStart w:id="2052" w:name="_Toc10450775"/>
      <w:bookmarkStart w:id="2053" w:name="_Toc41567375"/>
      <w:r w:rsidRPr="00236418">
        <w:t>Charges de personnel</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6A6F4DE4" w14:textId="77777777" w:rsidR="00DF6159" w:rsidRPr="00236418" w:rsidRDefault="00DF6159" w:rsidP="009B3D24">
      <w:pPr>
        <w:spacing w:after="120"/>
      </w:pPr>
      <w:r w:rsidRPr="00236418">
        <w:t>Les charges de personnel couvrent toutes les rémunérations versées aux titulaires de postes permanents et à tout le personnel de conférences ou bénéficiant de contrats de courte durée, telles que traitements de base, indemnités de poste, primes pour connaissances linguistiques, indemnités de non-résident, allocations familiales et heures supplémentaires ainsi que les autres charges de personnel.</w:t>
      </w:r>
    </w:p>
    <w:tbl>
      <w:tblPr>
        <w:tblW w:w="9605" w:type="dxa"/>
        <w:jc w:val="center"/>
        <w:tblLayout w:type="fixed"/>
        <w:tblLook w:val="04A0" w:firstRow="1" w:lastRow="0" w:firstColumn="1" w:lastColumn="0" w:noHBand="0" w:noVBand="1"/>
        <w:tblCaption w:val="E"/>
      </w:tblPr>
      <w:tblGrid>
        <w:gridCol w:w="6559"/>
        <w:gridCol w:w="1523"/>
        <w:gridCol w:w="1523"/>
      </w:tblGrid>
      <w:tr w:rsidR="00DF6159" w:rsidRPr="00236418" w14:paraId="185143FB" w14:textId="77777777" w:rsidTr="006538EB">
        <w:trPr>
          <w:trHeight w:val="499"/>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19C4" w14:textId="77777777" w:rsidR="00DF6159" w:rsidRPr="00236418" w:rsidRDefault="00DF6159" w:rsidP="009B3D24">
            <w:pPr>
              <w:pStyle w:val="Tablehead"/>
              <w:keepNext/>
              <w:keepLines/>
              <w:spacing w:before="0" w:after="0"/>
              <w:jc w:val="left"/>
              <w:rPr>
                <w:szCs w:val="22"/>
                <w:lang w:eastAsia="zh-CN"/>
              </w:rPr>
            </w:pPr>
            <w:r w:rsidRPr="00236418">
              <w:rPr>
                <w:szCs w:val="22"/>
                <w:lang w:eastAsia="zh-CN"/>
              </w:rPr>
              <w:t>En milliers de CHF</w:t>
            </w:r>
          </w:p>
        </w:tc>
        <w:tc>
          <w:tcPr>
            <w:tcW w:w="1523" w:type="dxa"/>
            <w:tcBorders>
              <w:top w:val="single" w:sz="4" w:space="0" w:color="auto"/>
              <w:left w:val="single" w:sz="4" w:space="0" w:color="auto"/>
              <w:bottom w:val="single" w:sz="4" w:space="0" w:color="auto"/>
              <w:right w:val="single" w:sz="4" w:space="0" w:color="auto"/>
            </w:tcBorders>
            <w:vAlign w:val="center"/>
          </w:tcPr>
          <w:p w14:paraId="2A454A4C" w14:textId="02658E8A" w:rsidR="00DF6159" w:rsidRPr="00236418" w:rsidRDefault="00DF6159" w:rsidP="009B3D24">
            <w:pPr>
              <w:pStyle w:val="Tablehead"/>
              <w:keepNext/>
              <w:keepLines/>
              <w:spacing w:before="0" w:after="0"/>
              <w:jc w:val="right"/>
              <w:rPr>
                <w:szCs w:val="22"/>
                <w:lang w:eastAsia="zh-CN"/>
              </w:rPr>
            </w:pPr>
            <w:r w:rsidRPr="00236418">
              <w:rPr>
                <w:szCs w:val="22"/>
                <w:lang w:eastAsia="zh-CN"/>
              </w:rPr>
              <w:t>201</w:t>
            </w:r>
            <w:r w:rsidR="00852F38" w:rsidRPr="00236418">
              <w:rPr>
                <w:szCs w:val="22"/>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3F401422" w14:textId="0D19F54A" w:rsidR="00DF6159" w:rsidRPr="00236418" w:rsidRDefault="00DF6159" w:rsidP="009B3D24">
            <w:pPr>
              <w:pStyle w:val="Tablehead"/>
              <w:keepNext/>
              <w:keepLines/>
              <w:spacing w:before="0" w:after="0"/>
              <w:jc w:val="right"/>
              <w:rPr>
                <w:szCs w:val="22"/>
                <w:lang w:eastAsia="zh-CN"/>
              </w:rPr>
            </w:pPr>
            <w:r w:rsidRPr="00236418">
              <w:rPr>
                <w:szCs w:val="22"/>
                <w:lang w:eastAsia="zh-CN"/>
              </w:rPr>
              <w:t>201</w:t>
            </w:r>
            <w:r w:rsidR="00852F38" w:rsidRPr="00236418">
              <w:rPr>
                <w:szCs w:val="22"/>
                <w:lang w:eastAsia="zh-CN"/>
              </w:rPr>
              <w:t>8</w:t>
            </w:r>
          </w:p>
        </w:tc>
      </w:tr>
      <w:tr w:rsidR="00852F38" w:rsidRPr="00236418" w14:paraId="61AA1B19" w14:textId="77777777" w:rsidTr="00D77053">
        <w:trPr>
          <w:trHeight w:val="20"/>
          <w:jc w:val="center"/>
        </w:trPr>
        <w:tc>
          <w:tcPr>
            <w:tcW w:w="6559" w:type="dxa"/>
            <w:tcBorders>
              <w:top w:val="single" w:sz="4" w:space="0" w:color="auto"/>
              <w:left w:val="single" w:sz="4" w:space="0" w:color="auto"/>
              <w:right w:val="single" w:sz="4" w:space="0" w:color="auto"/>
            </w:tcBorders>
            <w:shd w:val="clear" w:color="auto" w:fill="auto"/>
            <w:noWrap/>
            <w:vAlign w:val="center"/>
          </w:tcPr>
          <w:p w14:paraId="00A9AFAE" w14:textId="77777777" w:rsidR="00852F38" w:rsidRPr="00236418" w:rsidRDefault="00852F38" w:rsidP="009B3D24">
            <w:pPr>
              <w:pStyle w:val="Tabletext"/>
              <w:keepNext/>
              <w:keepLines/>
              <w:spacing w:before="0" w:after="0"/>
              <w:rPr>
                <w:szCs w:val="22"/>
                <w:lang w:eastAsia="zh-CN"/>
              </w:rPr>
            </w:pPr>
            <w:r w:rsidRPr="00236418">
              <w:rPr>
                <w:szCs w:val="22"/>
                <w:lang w:eastAsia="zh-CN"/>
              </w:rPr>
              <w:t>Traitements et indemnités</w:t>
            </w:r>
          </w:p>
        </w:tc>
        <w:tc>
          <w:tcPr>
            <w:tcW w:w="1523" w:type="dxa"/>
            <w:tcBorders>
              <w:top w:val="single" w:sz="4" w:space="0" w:color="auto"/>
              <w:left w:val="single" w:sz="4" w:space="0" w:color="auto"/>
              <w:right w:val="single" w:sz="4" w:space="0" w:color="auto"/>
            </w:tcBorders>
            <w:vAlign w:val="bottom"/>
          </w:tcPr>
          <w:p w14:paraId="08C5623B" w14:textId="12452152"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95 756</w:t>
            </w:r>
          </w:p>
        </w:tc>
        <w:tc>
          <w:tcPr>
            <w:tcW w:w="1523" w:type="dxa"/>
            <w:tcBorders>
              <w:top w:val="single" w:sz="4" w:space="0" w:color="auto"/>
              <w:left w:val="single" w:sz="4" w:space="0" w:color="auto"/>
              <w:right w:val="single" w:sz="4" w:space="0" w:color="auto"/>
            </w:tcBorders>
          </w:tcPr>
          <w:p w14:paraId="175637DF" w14:textId="4C7E8235" w:rsidR="00852F38" w:rsidRPr="00236418" w:rsidRDefault="00852F38" w:rsidP="009B3D24">
            <w:pPr>
              <w:pStyle w:val="Tabletext"/>
              <w:keepNext/>
              <w:keepLines/>
              <w:spacing w:before="0" w:after="0"/>
              <w:jc w:val="right"/>
              <w:rPr>
                <w:sz w:val="20"/>
                <w:lang w:eastAsia="zh-CN"/>
              </w:rPr>
            </w:pPr>
            <w:r w:rsidRPr="00236418">
              <w:rPr>
                <w:sz w:val="20"/>
                <w:lang w:eastAsia="zh-CN"/>
              </w:rPr>
              <w:t xml:space="preserve">93 577 </w:t>
            </w:r>
          </w:p>
        </w:tc>
      </w:tr>
      <w:tr w:rsidR="00852F38" w:rsidRPr="00236418" w14:paraId="49F34A3D"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55DE6F4D" w14:textId="77777777" w:rsidR="00852F38" w:rsidRPr="00236418" w:rsidRDefault="00852F38" w:rsidP="009B3D24">
            <w:pPr>
              <w:pStyle w:val="Tabletext"/>
              <w:keepNext/>
              <w:keepLines/>
              <w:spacing w:before="0" w:after="0"/>
              <w:rPr>
                <w:szCs w:val="22"/>
                <w:lang w:eastAsia="zh-CN"/>
              </w:rPr>
            </w:pPr>
            <w:r w:rsidRPr="00236418">
              <w:rPr>
                <w:szCs w:val="22"/>
                <w:lang w:eastAsia="zh-CN"/>
              </w:rPr>
              <w:t>Autres charges de personnel</w:t>
            </w:r>
          </w:p>
        </w:tc>
        <w:tc>
          <w:tcPr>
            <w:tcW w:w="1523" w:type="dxa"/>
            <w:tcBorders>
              <w:left w:val="single" w:sz="4" w:space="0" w:color="auto"/>
              <w:right w:val="single" w:sz="4" w:space="0" w:color="auto"/>
            </w:tcBorders>
            <w:vAlign w:val="bottom"/>
          </w:tcPr>
          <w:p w14:paraId="5160BDA1" w14:textId="2B429E85" w:rsidR="00852F38" w:rsidRPr="00236418" w:rsidRDefault="00852F38" w:rsidP="009B3D24">
            <w:pPr>
              <w:pStyle w:val="Tabletext"/>
              <w:keepNext/>
              <w:keepLines/>
              <w:spacing w:before="0" w:after="0"/>
              <w:jc w:val="right"/>
              <w:rPr>
                <w:b/>
                <w:bCs/>
                <w:sz w:val="20"/>
                <w:lang w:eastAsia="zh-CN"/>
              </w:rPr>
            </w:pPr>
            <w:r w:rsidRPr="00236418">
              <w:rPr>
                <w:rFonts w:cs="Arial"/>
                <w:b/>
                <w:bCs/>
                <w:color w:val="000000"/>
                <w:sz w:val="20"/>
                <w:lang w:eastAsia="zh-CN"/>
              </w:rPr>
              <w:t>108 186</w:t>
            </w:r>
          </w:p>
        </w:tc>
        <w:tc>
          <w:tcPr>
            <w:tcW w:w="1523" w:type="dxa"/>
            <w:tcBorders>
              <w:left w:val="single" w:sz="4" w:space="0" w:color="auto"/>
              <w:right w:val="single" w:sz="4" w:space="0" w:color="auto"/>
            </w:tcBorders>
          </w:tcPr>
          <w:p w14:paraId="0757AF78" w14:textId="2C561474" w:rsidR="00852F38" w:rsidRPr="00236418" w:rsidRDefault="00852F38" w:rsidP="009B3D24">
            <w:pPr>
              <w:pStyle w:val="Tabletext"/>
              <w:keepNext/>
              <w:keepLines/>
              <w:spacing w:before="0" w:after="0"/>
              <w:jc w:val="right"/>
              <w:rPr>
                <w:b/>
                <w:bCs/>
                <w:sz w:val="20"/>
                <w:lang w:eastAsia="zh-CN"/>
              </w:rPr>
            </w:pPr>
            <w:r w:rsidRPr="00236418">
              <w:rPr>
                <w:b/>
                <w:bCs/>
                <w:sz w:val="20"/>
                <w:lang w:eastAsia="zh-CN"/>
              </w:rPr>
              <w:t xml:space="preserve">55 229 </w:t>
            </w:r>
          </w:p>
        </w:tc>
      </w:tr>
      <w:tr w:rsidR="00852F38" w:rsidRPr="00236418" w14:paraId="2D3E309D"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1573D01E"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Installations et rapatriement</w:t>
            </w:r>
          </w:p>
        </w:tc>
        <w:tc>
          <w:tcPr>
            <w:tcW w:w="1523" w:type="dxa"/>
            <w:tcBorders>
              <w:left w:val="single" w:sz="4" w:space="0" w:color="auto"/>
              <w:right w:val="single" w:sz="4" w:space="0" w:color="auto"/>
            </w:tcBorders>
            <w:vAlign w:val="bottom"/>
          </w:tcPr>
          <w:p w14:paraId="1703CD17" w14:textId="5AAB3CB2"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2 295</w:t>
            </w:r>
          </w:p>
        </w:tc>
        <w:tc>
          <w:tcPr>
            <w:tcW w:w="1523" w:type="dxa"/>
            <w:tcBorders>
              <w:left w:val="single" w:sz="4" w:space="0" w:color="auto"/>
              <w:right w:val="single" w:sz="4" w:space="0" w:color="auto"/>
            </w:tcBorders>
          </w:tcPr>
          <w:p w14:paraId="07DFBC0F" w14:textId="1C7CEE1B" w:rsidR="00852F38" w:rsidRPr="00236418" w:rsidRDefault="00FE36B9" w:rsidP="009B3D24">
            <w:pPr>
              <w:pStyle w:val="Tabletext"/>
              <w:keepNext/>
              <w:keepLines/>
              <w:spacing w:before="0" w:after="0"/>
              <w:jc w:val="right"/>
              <w:rPr>
                <w:sz w:val="20"/>
                <w:lang w:eastAsia="zh-CN"/>
              </w:rPr>
            </w:pPr>
            <w:r w:rsidRPr="00236418">
              <w:rPr>
                <w:rFonts w:cs="Arial"/>
                <w:color w:val="000000"/>
                <w:szCs w:val="22"/>
                <w:lang w:eastAsia="zh-CN"/>
              </w:rPr>
              <w:t>519</w:t>
            </w:r>
          </w:p>
        </w:tc>
      </w:tr>
      <w:tr w:rsidR="00852F38" w:rsidRPr="00236418" w14:paraId="359659B5"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45DBD479"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Indemnité pour frais d'étude</w:t>
            </w:r>
          </w:p>
        </w:tc>
        <w:tc>
          <w:tcPr>
            <w:tcW w:w="1523" w:type="dxa"/>
            <w:tcBorders>
              <w:left w:val="single" w:sz="4" w:space="0" w:color="auto"/>
              <w:right w:val="single" w:sz="4" w:space="0" w:color="auto"/>
            </w:tcBorders>
            <w:vAlign w:val="bottom"/>
          </w:tcPr>
          <w:p w14:paraId="1D72ECD7" w14:textId="3900AF4D"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3 201</w:t>
            </w:r>
          </w:p>
        </w:tc>
        <w:tc>
          <w:tcPr>
            <w:tcW w:w="1523" w:type="dxa"/>
            <w:tcBorders>
              <w:left w:val="single" w:sz="4" w:space="0" w:color="auto"/>
              <w:right w:val="single" w:sz="4" w:space="0" w:color="auto"/>
            </w:tcBorders>
          </w:tcPr>
          <w:p w14:paraId="5CF4C780" w14:textId="0AF45C21" w:rsidR="00852F38" w:rsidRPr="00236418" w:rsidRDefault="00852F38" w:rsidP="009B3D24">
            <w:pPr>
              <w:pStyle w:val="Tabletext"/>
              <w:keepNext/>
              <w:keepLines/>
              <w:spacing w:before="0" w:after="0"/>
              <w:jc w:val="right"/>
              <w:rPr>
                <w:sz w:val="20"/>
                <w:lang w:eastAsia="zh-CN"/>
              </w:rPr>
            </w:pPr>
            <w:r w:rsidRPr="00236418">
              <w:rPr>
                <w:sz w:val="20"/>
                <w:lang w:eastAsia="zh-CN"/>
              </w:rPr>
              <w:t xml:space="preserve">3 </w:t>
            </w:r>
            <w:r w:rsidR="00FE36B9" w:rsidRPr="00236418">
              <w:rPr>
                <w:rFonts w:cs="Arial"/>
                <w:color w:val="000000"/>
                <w:szCs w:val="22"/>
                <w:lang w:eastAsia="zh-CN"/>
              </w:rPr>
              <w:t>443</w:t>
            </w:r>
            <w:r w:rsidRPr="00236418">
              <w:rPr>
                <w:sz w:val="20"/>
                <w:lang w:eastAsia="zh-CN"/>
              </w:rPr>
              <w:t xml:space="preserve"> </w:t>
            </w:r>
          </w:p>
        </w:tc>
      </w:tr>
      <w:tr w:rsidR="00852F38" w:rsidRPr="00236418" w14:paraId="4D5DDC17"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63FC5748"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Congés dans les foyers</w:t>
            </w:r>
          </w:p>
        </w:tc>
        <w:tc>
          <w:tcPr>
            <w:tcW w:w="1523" w:type="dxa"/>
            <w:tcBorders>
              <w:left w:val="single" w:sz="4" w:space="0" w:color="auto"/>
              <w:right w:val="single" w:sz="4" w:space="0" w:color="auto"/>
            </w:tcBorders>
            <w:vAlign w:val="bottom"/>
          </w:tcPr>
          <w:p w14:paraId="62AD5FE3" w14:textId="61EA0419"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1 000</w:t>
            </w:r>
          </w:p>
        </w:tc>
        <w:tc>
          <w:tcPr>
            <w:tcW w:w="1523" w:type="dxa"/>
            <w:tcBorders>
              <w:left w:val="single" w:sz="4" w:space="0" w:color="auto"/>
              <w:right w:val="single" w:sz="4" w:space="0" w:color="auto"/>
            </w:tcBorders>
          </w:tcPr>
          <w:p w14:paraId="30447589" w14:textId="19D2ACC7" w:rsidR="00852F38" w:rsidRPr="00236418" w:rsidRDefault="00E52355" w:rsidP="009B3D24">
            <w:pPr>
              <w:pStyle w:val="Tabletext"/>
              <w:keepNext/>
              <w:keepLines/>
              <w:spacing w:before="0" w:after="0"/>
              <w:jc w:val="right"/>
              <w:rPr>
                <w:sz w:val="20"/>
                <w:lang w:eastAsia="zh-CN"/>
              </w:rPr>
            </w:pPr>
            <w:r w:rsidRPr="00236418">
              <w:rPr>
                <w:rFonts w:cs="Arial"/>
                <w:color w:val="000000"/>
                <w:szCs w:val="22"/>
                <w:lang w:eastAsia="zh-CN"/>
              </w:rPr>
              <w:t>1 056</w:t>
            </w:r>
          </w:p>
        </w:tc>
      </w:tr>
      <w:tr w:rsidR="00852F38" w:rsidRPr="00236418" w14:paraId="10FDE2F5"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24D13799"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Congés accumulés</w:t>
            </w:r>
          </w:p>
        </w:tc>
        <w:tc>
          <w:tcPr>
            <w:tcW w:w="1523" w:type="dxa"/>
            <w:tcBorders>
              <w:left w:val="single" w:sz="4" w:space="0" w:color="auto"/>
              <w:right w:val="single" w:sz="4" w:space="0" w:color="auto"/>
            </w:tcBorders>
            <w:vAlign w:val="bottom"/>
          </w:tcPr>
          <w:p w14:paraId="094EA8E0" w14:textId="0DD68D98"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1 208</w:t>
            </w:r>
          </w:p>
        </w:tc>
        <w:tc>
          <w:tcPr>
            <w:tcW w:w="1523" w:type="dxa"/>
            <w:tcBorders>
              <w:left w:val="single" w:sz="4" w:space="0" w:color="auto"/>
              <w:right w:val="single" w:sz="4" w:space="0" w:color="auto"/>
            </w:tcBorders>
          </w:tcPr>
          <w:p w14:paraId="29B14702" w14:textId="1B81FF2E" w:rsidR="00852F38" w:rsidRPr="00236418" w:rsidRDefault="00E52355" w:rsidP="009B3D24">
            <w:pPr>
              <w:pStyle w:val="Tabletext"/>
              <w:keepNext/>
              <w:keepLines/>
              <w:spacing w:before="0" w:after="0"/>
              <w:jc w:val="right"/>
              <w:rPr>
                <w:sz w:val="20"/>
                <w:lang w:eastAsia="zh-CN"/>
              </w:rPr>
            </w:pPr>
            <w:r w:rsidRPr="00236418">
              <w:rPr>
                <w:rFonts w:cs="Arial"/>
                <w:color w:val="000000"/>
                <w:szCs w:val="22"/>
                <w:lang w:eastAsia="zh-CN"/>
              </w:rPr>
              <w:t>702</w:t>
            </w:r>
          </w:p>
        </w:tc>
      </w:tr>
      <w:tr w:rsidR="00852F38" w:rsidRPr="00236418" w14:paraId="31F98FDD"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76F89290"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Assurance maladie et assurance accident</w:t>
            </w:r>
          </w:p>
        </w:tc>
        <w:tc>
          <w:tcPr>
            <w:tcW w:w="1523" w:type="dxa"/>
            <w:tcBorders>
              <w:left w:val="single" w:sz="4" w:space="0" w:color="auto"/>
              <w:right w:val="single" w:sz="4" w:space="0" w:color="auto"/>
            </w:tcBorders>
            <w:vAlign w:val="bottom"/>
          </w:tcPr>
          <w:p w14:paraId="391B9C0B" w14:textId="2FA39D22"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10 934</w:t>
            </w:r>
          </w:p>
        </w:tc>
        <w:tc>
          <w:tcPr>
            <w:tcW w:w="1523" w:type="dxa"/>
            <w:tcBorders>
              <w:left w:val="single" w:sz="4" w:space="0" w:color="auto"/>
              <w:right w:val="single" w:sz="4" w:space="0" w:color="auto"/>
            </w:tcBorders>
          </w:tcPr>
          <w:p w14:paraId="733E240A" w14:textId="1F6F3E1F" w:rsidR="00852F38" w:rsidRPr="00236418" w:rsidRDefault="00E52355" w:rsidP="009B3D24">
            <w:pPr>
              <w:pStyle w:val="Tabletext"/>
              <w:keepNext/>
              <w:keepLines/>
              <w:spacing w:before="0" w:after="0"/>
              <w:jc w:val="right"/>
              <w:rPr>
                <w:sz w:val="20"/>
                <w:lang w:eastAsia="zh-CN"/>
              </w:rPr>
            </w:pPr>
            <w:r w:rsidRPr="00236418">
              <w:rPr>
                <w:sz w:val="20"/>
                <w:lang w:eastAsia="zh-CN"/>
              </w:rPr>
              <w:t>11 181</w:t>
            </w:r>
            <w:r w:rsidR="00852F38" w:rsidRPr="00236418">
              <w:rPr>
                <w:sz w:val="20"/>
                <w:lang w:eastAsia="zh-CN"/>
              </w:rPr>
              <w:t xml:space="preserve"> </w:t>
            </w:r>
          </w:p>
        </w:tc>
      </w:tr>
      <w:tr w:rsidR="00852F38" w:rsidRPr="00236418" w14:paraId="749D2454"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4E10F16B"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Contribution à la CCPPNU</w:t>
            </w:r>
          </w:p>
        </w:tc>
        <w:tc>
          <w:tcPr>
            <w:tcW w:w="1523" w:type="dxa"/>
            <w:tcBorders>
              <w:left w:val="single" w:sz="4" w:space="0" w:color="auto"/>
              <w:right w:val="single" w:sz="4" w:space="0" w:color="auto"/>
            </w:tcBorders>
            <w:vAlign w:val="bottom"/>
          </w:tcPr>
          <w:p w14:paraId="7B0A716E" w14:textId="6E7FE882"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17 259</w:t>
            </w:r>
          </w:p>
        </w:tc>
        <w:tc>
          <w:tcPr>
            <w:tcW w:w="1523" w:type="dxa"/>
            <w:tcBorders>
              <w:left w:val="single" w:sz="4" w:space="0" w:color="auto"/>
              <w:right w:val="single" w:sz="4" w:space="0" w:color="auto"/>
            </w:tcBorders>
          </w:tcPr>
          <w:p w14:paraId="5AAE87D0" w14:textId="3B49E76E" w:rsidR="00852F38" w:rsidRPr="00236418" w:rsidRDefault="00852F38" w:rsidP="009B3D24">
            <w:pPr>
              <w:pStyle w:val="Tabletext"/>
              <w:keepNext/>
              <w:keepLines/>
              <w:spacing w:before="0" w:after="0"/>
              <w:jc w:val="right"/>
              <w:rPr>
                <w:sz w:val="20"/>
                <w:lang w:eastAsia="zh-CN"/>
              </w:rPr>
            </w:pPr>
            <w:r w:rsidRPr="00236418">
              <w:rPr>
                <w:sz w:val="20"/>
                <w:lang w:eastAsia="zh-CN"/>
              </w:rPr>
              <w:t xml:space="preserve">15 </w:t>
            </w:r>
            <w:r w:rsidR="00E52355" w:rsidRPr="00236418">
              <w:rPr>
                <w:sz w:val="20"/>
                <w:lang w:eastAsia="zh-CN"/>
              </w:rPr>
              <w:t>994</w:t>
            </w:r>
            <w:r w:rsidRPr="00236418">
              <w:rPr>
                <w:sz w:val="20"/>
                <w:lang w:eastAsia="zh-CN"/>
              </w:rPr>
              <w:t xml:space="preserve"> </w:t>
            </w:r>
          </w:p>
        </w:tc>
      </w:tr>
      <w:tr w:rsidR="00852F38" w:rsidRPr="00236418" w14:paraId="51A7EBF1"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4B87AEB0"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Autres charges</w:t>
            </w:r>
          </w:p>
        </w:tc>
        <w:tc>
          <w:tcPr>
            <w:tcW w:w="1523" w:type="dxa"/>
            <w:tcBorders>
              <w:left w:val="single" w:sz="4" w:space="0" w:color="auto"/>
              <w:right w:val="single" w:sz="4" w:space="0" w:color="auto"/>
            </w:tcBorders>
            <w:vAlign w:val="bottom"/>
          </w:tcPr>
          <w:p w14:paraId="2F457FAA" w14:textId="2C155E17"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596</w:t>
            </w:r>
          </w:p>
        </w:tc>
        <w:tc>
          <w:tcPr>
            <w:tcW w:w="1523" w:type="dxa"/>
            <w:tcBorders>
              <w:left w:val="single" w:sz="4" w:space="0" w:color="auto"/>
              <w:right w:val="single" w:sz="4" w:space="0" w:color="auto"/>
            </w:tcBorders>
          </w:tcPr>
          <w:p w14:paraId="183F5B8D" w14:textId="035AC4A0" w:rsidR="00852F38" w:rsidRPr="00236418" w:rsidRDefault="00E52355" w:rsidP="009B3D24">
            <w:pPr>
              <w:pStyle w:val="Tabletext"/>
              <w:keepNext/>
              <w:keepLines/>
              <w:spacing w:before="0" w:after="0"/>
              <w:jc w:val="right"/>
              <w:rPr>
                <w:sz w:val="20"/>
                <w:lang w:eastAsia="zh-CN"/>
              </w:rPr>
            </w:pPr>
            <w:r w:rsidRPr="00236418">
              <w:rPr>
                <w:sz w:val="20"/>
                <w:lang w:eastAsia="zh-CN"/>
              </w:rPr>
              <w:t>3 985</w:t>
            </w:r>
            <w:r w:rsidR="00852F38" w:rsidRPr="00236418">
              <w:rPr>
                <w:sz w:val="20"/>
                <w:lang w:eastAsia="zh-CN"/>
              </w:rPr>
              <w:t xml:space="preserve"> </w:t>
            </w:r>
          </w:p>
        </w:tc>
      </w:tr>
      <w:tr w:rsidR="00852F38" w:rsidRPr="00236418" w14:paraId="47FEC36D" w14:textId="77777777" w:rsidTr="00D77053">
        <w:trPr>
          <w:trHeight w:val="20"/>
          <w:jc w:val="center"/>
        </w:trPr>
        <w:tc>
          <w:tcPr>
            <w:tcW w:w="6559" w:type="dxa"/>
            <w:tcBorders>
              <w:left w:val="single" w:sz="4" w:space="0" w:color="auto"/>
              <w:bottom w:val="single" w:sz="4" w:space="0" w:color="auto"/>
              <w:right w:val="single" w:sz="4" w:space="0" w:color="auto"/>
            </w:tcBorders>
            <w:shd w:val="clear" w:color="auto" w:fill="auto"/>
            <w:noWrap/>
            <w:vAlign w:val="center"/>
          </w:tcPr>
          <w:p w14:paraId="32134D79" w14:textId="77777777" w:rsidR="00852F38" w:rsidRPr="00236418" w:rsidRDefault="00852F38" w:rsidP="009B3D24">
            <w:pPr>
              <w:pStyle w:val="Tabletext"/>
              <w:keepNext/>
              <w:keepLines/>
              <w:spacing w:before="0" w:after="0"/>
              <w:rPr>
                <w:szCs w:val="22"/>
                <w:lang w:eastAsia="zh-CN"/>
              </w:rPr>
            </w:pPr>
            <w:r w:rsidRPr="00236418">
              <w:rPr>
                <w:szCs w:val="22"/>
                <w:lang w:eastAsia="zh-CN"/>
              </w:rPr>
              <w:tab/>
              <w:t>Ajustement de l'ASHI</w:t>
            </w:r>
          </w:p>
        </w:tc>
        <w:tc>
          <w:tcPr>
            <w:tcW w:w="1523" w:type="dxa"/>
            <w:tcBorders>
              <w:left w:val="single" w:sz="4" w:space="0" w:color="auto"/>
              <w:bottom w:val="single" w:sz="4" w:space="0" w:color="auto"/>
              <w:right w:val="single" w:sz="4" w:space="0" w:color="auto"/>
            </w:tcBorders>
            <w:vAlign w:val="bottom"/>
          </w:tcPr>
          <w:p w14:paraId="298FFB64" w14:textId="0CE7927E" w:rsidR="00852F38" w:rsidRPr="00236418" w:rsidRDefault="00852F38" w:rsidP="009B3D24">
            <w:pPr>
              <w:pStyle w:val="Tabletext"/>
              <w:keepNext/>
              <w:keepLines/>
              <w:spacing w:before="0" w:after="0"/>
              <w:jc w:val="right"/>
              <w:rPr>
                <w:sz w:val="20"/>
                <w:lang w:eastAsia="zh-CN"/>
              </w:rPr>
            </w:pPr>
            <w:r w:rsidRPr="00236418">
              <w:rPr>
                <w:rFonts w:cs="Arial"/>
                <w:color w:val="000000"/>
                <w:sz w:val="20"/>
                <w:lang w:eastAsia="zh-CN"/>
              </w:rPr>
              <w:t>71 694</w:t>
            </w:r>
          </w:p>
        </w:tc>
        <w:tc>
          <w:tcPr>
            <w:tcW w:w="1523" w:type="dxa"/>
            <w:tcBorders>
              <w:left w:val="single" w:sz="4" w:space="0" w:color="auto"/>
              <w:bottom w:val="single" w:sz="4" w:space="0" w:color="auto"/>
              <w:right w:val="single" w:sz="4" w:space="0" w:color="auto"/>
            </w:tcBorders>
          </w:tcPr>
          <w:p w14:paraId="13ABFC67" w14:textId="5F2F4BAD" w:rsidR="00852F38" w:rsidRPr="00236418" w:rsidRDefault="00E52355" w:rsidP="009B3D24">
            <w:pPr>
              <w:pStyle w:val="Tabletext"/>
              <w:keepNext/>
              <w:keepLines/>
              <w:spacing w:before="0" w:after="0"/>
              <w:jc w:val="right"/>
              <w:rPr>
                <w:sz w:val="20"/>
                <w:lang w:eastAsia="zh-CN"/>
              </w:rPr>
            </w:pPr>
            <w:r w:rsidRPr="00236418">
              <w:rPr>
                <w:sz w:val="20"/>
                <w:lang w:eastAsia="zh-CN"/>
              </w:rPr>
              <w:t>18 214</w:t>
            </w:r>
            <w:r w:rsidR="00852F38" w:rsidRPr="00236418">
              <w:rPr>
                <w:sz w:val="20"/>
                <w:lang w:eastAsia="zh-CN"/>
              </w:rPr>
              <w:t xml:space="preserve"> </w:t>
            </w:r>
          </w:p>
        </w:tc>
      </w:tr>
      <w:tr w:rsidR="00852F38" w:rsidRPr="00236418" w14:paraId="3EE5BDC3" w14:textId="77777777" w:rsidTr="00D77053">
        <w:trPr>
          <w:trHeight w:val="20"/>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F56E" w14:textId="77777777" w:rsidR="00852F38" w:rsidRPr="00236418" w:rsidRDefault="00852F38" w:rsidP="009B3D24">
            <w:pPr>
              <w:pStyle w:val="Tabletext"/>
              <w:keepNext/>
              <w:keepLines/>
              <w:spacing w:before="0" w:after="0"/>
              <w:rPr>
                <w:b/>
                <w:bCs/>
                <w:szCs w:val="22"/>
                <w:lang w:eastAsia="zh-CN"/>
              </w:rPr>
            </w:pPr>
            <w:r w:rsidRPr="00236418">
              <w:rPr>
                <w:b/>
                <w:bCs/>
                <w:szCs w:val="22"/>
                <w:lang w:eastAsia="zh-CN"/>
              </w:rPr>
              <w:t>Charges du personnel</w:t>
            </w:r>
          </w:p>
        </w:tc>
        <w:tc>
          <w:tcPr>
            <w:tcW w:w="1523" w:type="dxa"/>
            <w:tcBorders>
              <w:top w:val="single" w:sz="4" w:space="0" w:color="auto"/>
              <w:left w:val="single" w:sz="4" w:space="0" w:color="auto"/>
              <w:bottom w:val="single" w:sz="4" w:space="0" w:color="auto"/>
              <w:right w:val="single" w:sz="4" w:space="0" w:color="auto"/>
            </w:tcBorders>
            <w:vAlign w:val="center"/>
          </w:tcPr>
          <w:p w14:paraId="612345B7" w14:textId="2D6B7EDD" w:rsidR="00852F38" w:rsidRPr="00236418" w:rsidRDefault="00852F38" w:rsidP="009B3D24">
            <w:pPr>
              <w:pStyle w:val="Tabletext"/>
              <w:keepNext/>
              <w:keepLines/>
              <w:spacing w:before="0" w:after="0"/>
              <w:jc w:val="right"/>
              <w:rPr>
                <w:b/>
                <w:bCs/>
                <w:sz w:val="20"/>
                <w:lang w:eastAsia="zh-CN"/>
              </w:rPr>
            </w:pPr>
            <w:r w:rsidRPr="00236418">
              <w:rPr>
                <w:rFonts w:cs="Arial"/>
                <w:b/>
                <w:bCs/>
                <w:color w:val="000000"/>
                <w:sz w:val="20"/>
                <w:lang w:eastAsia="zh-CN"/>
              </w:rPr>
              <w:t>203 942</w:t>
            </w:r>
          </w:p>
        </w:tc>
        <w:tc>
          <w:tcPr>
            <w:tcW w:w="1523" w:type="dxa"/>
            <w:tcBorders>
              <w:top w:val="single" w:sz="4" w:space="0" w:color="auto"/>
              <w:left w:val="single" w:sz="4" w:space="0" w:color="auto"/>
              <w:bottom w:val="single" w:sz="4" w:space="0" w:color="auto"/>
              <w:right w:val="single" w:sz="4" w:space="0" w:color="auto"/>
            </w:tcBorders>
          </w:tcPr>
          <w:p w14:paraId="213665A2" w14:textId="76594F29" w:rsidR="00852F38" w:rsidRPr="00236418" w:rsidRDefault="00852F38" w:rsidP="009B3D24">
            <w:pPr>
              <w:pStyle w:val="Tabletext"/>
              <w:keepNext/>
              <w:keepLines/>
              <w:spacing w:before="0" w:after="0"/>
              <w:jc w:val="right"/>
              <w:rPr>
                <w:b/>
                <w:bCs/>
                <w:sz w:val="20"/>
                <w:lang w:eastAsia="zh-CN"/>
              </w:rPr>
            </w:pPr>
            <w:r w:rsidRPr="00236418">
              <w:rPr>
                <w:b/>
                <w:bCs/>
                <w:sz w:val="20"/>
                <w:lang w:eastAsia="zh-CN"/>
              </w:rPr>
              <w:t xml:space="preserve">148 806 </w:t>
            </w:r>
          </w:p>
        </w:tc>
      </w:tr>
    </w:tbl>
    <w:p w14:paraId="05E903B8" w14:textId="408D2C23" w:rsidR="005C70A0" w:rsidRPr="00236418" w:rsidRDefault="005C70A0" w:rsidP="009B3D24">
      <w:pPr>
        <w:pStyle w:val="Normalaftertitle"/>
      </w:pPr>
      <w:r w:rsidRPr="00236418">
        <w:t>La</w:t>
      </w:r>
      <w:r w:rsidR="00DF6159" w:rsidRPr="00236418">
        <w:t xml:space="preserve"> baisse générale des charges de personnel </w:t>
      </w:r>
      <w:r w:rsidRPr="00236418">
        <w:t xml:space="preserve">est </w:t>
      </w:r>
      <w:r w:rsidR="00DF6159" w:rsidRPr="00236418">
        <w:t>due</w:t>
      </w:r>
      <w:r w:rsidRPr="00236418">
        <w:t xml:space="preserve"> principalement</w:t>
      </w:r>
      <w:r w:rsidR="00DF6159" w:rsidRPr="00236418">
        <w:t xml:space="preserve"> à l'ajustement de l'ASHI</w:t>
      </w:r>
      <w:r w:rsidRPr="00236418">
        <w:t xml:space="preserve">. Il est à noter que les traitements et indemnités ont connu une augmentation de 3% qui peut s'expliquer par la Décision 4137 du Tribunal administratif de l'OIT qui a annulé la réduction </w:t>
      </w:r>
      <w:r w:rsidR="00F424BA" w:rsidRPr="00236418">
        <w:t>du</w:t>
      </w:r>
      <w:r w:rsidRPr="00236418">
        <w:t xml:space="preserve"> </w:t>
      </w:r>
      <w:r w:rsidR="00F424BA" w:rsidRPr="00236418">
        <w:t>traitement</w:t>
      </w:r>
      <w:r w:rsidRPr="00236418">
        <w:t xml:space="preserve"> des fonctionnaires de la catégorie professionnelle. Jusqu'en août 2019, la provision faite en 2018 a été utilisée pour payer la partie rétroactive des traitements et à compter de septembre 2019, le nouveau barème des traitements a été appliqué dans le budget. Le budget 2019 a été mis à jour afin d'intégrer le nouveau barème des traitements via la provision faite en 2018.</w:t>
      </w:r>
    </w:p>
    <w:p w14:paraId="36FAD6EE" w14:textId="52E833F3" w:rsidR="00DF6159" w:rsidRPr="00236418" w:rsidRDefault="00DF6159" w:rsidP="009B3D24">
      <w:pPr>
        <w:pStyle w:val="headingb0"/>
      </w:pPr>
      <w:bookmarkStart w:id="2054" w:name="_Toc329202598"/>
      <w:bookmarkStart w:id="2055" w:name="_Toc329205030"/>
      <w:bookmarkStart w:id="2056" w:name="_Toc329206867"/>
      <w:bookmarkStart w:id="2057" w:name="_Toc358379948"/>
      <w:bookmarkStart w:id="2058" w:name="_Toc358380491"/>
      <w:bookmarkStart w:id="2059" w:name="_Toc387167491"/>
      <w:bookmarkStart w:id="2060" w:name="_Toc482888037"/>
      <w:bookmarkStart w:id="2061" w:name="_Toc482888071"/>
      <w:bookmarkStart w:id="2062" w:name="_Toc482888380"/>
      <w:bookmarkStart w:id="2063" w:name="_Toc482888779"/>
      <w:bookmarkStart w:id="2064" w:name="_Toc511649494"/>
      <w:bookmarkStart w:id="2065" w:name="_Toc511649980"/>
      <w:bookmarkStart w:id="2066" w:name="_Toc511650100"/>
      <w:bookmarkStart w:id="2067" w:name="_Toc511650594"/>
      <w:bookmarkStart w:id="2068" w:name="_Toc511651240"/>
      <w:bookmarkStart w:id="2069" w:name="_Toc511724103"/>
      <w:bookmarkStart w:id="2070" w:name="_Toc511739092"/>
      <w:bookmarkStart w:id="2071" w:name="_Toc511740825"/>
      <w:bookmarkStart w:id="2072" w:name="_Toc511741263"/>
      <w:bookmarkStart w:id="2073" w:name="_Toc10450776"/>
      <w:bookmarkStart w:id="2074" w:name="_Toc41567376"/>
      <w:r w:rsidRPr="00236418">
        <w:t>Frais de mission</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5014461F" w14:textId="5FDAC016" w:rsidR="00DF6159" w:rsidRPr="00236418" w:rsidRDefault="00DF6159" w:rsidP="009B3D24">
      <w:pPr>
        <w:rPr>
          <w:color w:val="000000"/>
        </w:rPr>
      </w:pPr>
      <w:r w:rsidRPr="00236418">
        <w:t xml:space="preserve">Les frais de mission regroupent les déplacements des experts et des fonctionnaires envoyés en mission ou participant à des conférences ou des réunions. Les frais de mission </w:t>
      </w:r>
      <w:r w:rsidR="008B59DE" w:rsidRPr="00236418">
        <w:t>ont augmenté et sont passés de</w:t>
      </w:r>
      <w:r w:rsidR="002D6995" w:rsidRPr="00236418">
        <w:t xml:space="preserve"> 6,7 millions </w:t>
      </w:r>
      <w:r w:rsidR="008B59DE" w:rsidRPr="00236418">
        <w:t xml:space="preserve">CHF </w:t>
      </w:r>
      <w:r w:rsidR="002D6995" w:rsidRPr="00236418">
        <w:t xml:space="preserve">en 2018 à 7,7 millions en 2019. </w:t>
      </w:r>
      <w:r w:rsidR="008B59DE" w:rsidRPr="00236418">
        <w:t>Cette augmentation peut s'expliquer par la hausse de 17% du nombre de missions</w:t>
      </w:r>
      <w:r w:rsidR="00531B4B" w:rsidRPr="00236418">
        <w:t xml:space="preserve"> effectuées</w:t>
      </w:r>
      <w:r w:rsidR="008B59DE" w:rsidRPr="00236418">
        <w:t xml:space="preserve"> </w:t>
      </w:r>
      <w:r w:rsidR="002D6995" w:rsidRPr="00236418">
        <w:t xml:space="preserve">(2 737 </w:t>
      </w:r>
      <w:r w:rsidR="008B59DE" w:rsidRPr="00236418">
        <w:t>en</w:t>
      </w:r>
      <w:r w:rsidR="002D6995" w:rsidRPr="00236418">
        <w:t xml:space="preserve"> 2019 </w:t>
      </w:r>
      <w:r w:rsidR="008B59DE" w:rsidRPr="00236418">
        <w:t>contre</w:t>
      </w:r>
      <w:r w:rsidR="002D6995" w:rsidRPr="00236418">
        <w:t xml:space="preserve"> 2</w:t>
      </w:r>
      <w:r w:rsidR="00F14866" w:rsidRPr="00236418">
        <w:t> </w:t>
      </w:r>
      <w:r w:rsidR="002D6995" w:rsidRPr="00236418">
        <w:t>339</w:t>
      </w:r>
      <w:r w:rsidR="00F14866" w:rsidRPr="00236418">
        <w:t> </w:t>
      </w:r>
      <w:r w:rsidR="008B59DE" w:rsidRPr="00236418">
        <w:t>en</w:t>
      </w:r>
      <w:r w:rsidR="002D6995" w:rsidRPr="00236418">
        <w:t xml:space="preserve"> 2018).</w:t>
      </w:r>
    </w:p>
    <w:p w14:paraId="34D2EF0D" w14:textId="77777777" w:rsidR="00DF6159" w:rsidRPr="00236418" w:rsidRDefault="00DF6159" w:rsidP="009B3D24">
      <w:pPr>
        <w:pStyle w:val="headingb0"/>
      </w:pPr>
      <w:bookmarkStart w:id="2075" w:name="_Toc329178799"/>
      <w:bookmarkStart w:id="2076" w:name="_Toc329181772"/>
      <w:bookmarkStart w:id="2077" w:name="_Toc268007565"/>
      <w:bookmarkStart w:id="2078" w:name="_Toc329202599"/>
      <w:bookmarkStart w:id="2079" w:name="_Toc329205031"/>
      <w:bookmarkStart w:id="2080" w:name="_Toc329206868"/>
      <w:bookmarkStart w:id="2081" w:name="_Toc358379949"/>
      <w:bookmarkStart w:id="2082" w:name="_Toc358380492"/>
      <w:bookmarkStart w:id="2083" w:name="_Toc387167492"/>
      <w:bookmarkStart w:id="2084" w:name="_Toc482888038"/>
      <w:bookmarkStart w:id="2085" w:name="_Toc482888072"/>
      <w:bookmarkStart w:id="2086" w:name="_Toc482888381"/>
      <w:bookmarkStart w:id="2087" w:name="_Toc482888780"/>
      <w:bookmarkStart w:id="2088" w:name="_Toc511649495"/>
      <w:bookmarkStart w:id="2089" w:name="_Toc511649981"/>
      <w:bookmarkStart w:id="2090" w:name="_Toc511650101"/>
      <w:bookmarkStart w:id="2091" w:name="_Toc511650595"/>
      <w:bookmarkStart w:id="2092" w:name="_Toc511651241"/>
      <w:bookmarkStart w:id="2093" w:name="_Toc511724104"/>
      <w:bookmarkStart w:id="2094" w:name="_Toc511739093"/>
      <w:bookmarkStart w:id="2095" w:name="_Toc511740826"/>
      <w:bookmarkStart w:id="2096" w:name="_Toc511741264"/>
      <w:bookmarkStart w:id="2097" w:name="_Toc10450777"/>
      <w:bookmarkStart w:id="2098" w:name="_Toc41567377"/>
      <w:r w:rsidRPr="00236418">
        <w:t>Services contractuels</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1B298CC2" w14:textId="327E82B8" w:rsidR="00DF6159" w:rsidRPr="00236418" w:rsidRDefault="00DF6159" w:rsidP="009B3D24">
      <w:r w:rsidRPr="00236418">
        <w:t>Entrent dans cette catégorie tous les émoluments, honoraires et frais payés à des sociétés fournissant des consultants dans le cadre d'accords et de dispositions contractuels. Entrent également dans cette catégorie les contrats d'engagement spéciaux, les dépenses afférentes aux cours de langues dans le cadre de la formation professionnelle, tout comme les coûts des services sous-traités. Les services contractuels représentaient 1</w:t>
      </w:r>
      <w:r w:rsidR="002D6995" w:rsidRPr="00236418">
        <w:t>3</w:t>
      </w:r>
      <w:r w:rsidRPr="00236418">
        <w:t>,</w:t>
      </w:r>
      <w:r w:rsidR="002D6995" w:rsidRPr="00236418">
        <w:t>8</w:t>
      </w:r>
      <w:r w:rsidRPr="00236418">
        <w:t xml:space="preserve"> millions CHF en 201</w:t>
      </w:r>
      <w:r w:rsidR="002D6995" w:rsidRPr="00236418">
        <w:t>9</w:t>
      </w:r>
      <w:r w:rsidRPr="00236418">
        <w:t xml:space="preserve"> (contre 1</w:t>
      </w:r>
      <w:r w:rsidR="002D6995" w:rsidRPr="00236418">
        <w:t>2</w:t>
      </w:r>
      <w:r w:rsidRPr="00236418">
        <w:t>,6 millions CHF en 201</w:t>
      </w:r>
      <w:r w:rsidR="002D6995" w:rsidRPr="00236418">
        <w:t>8</w:t>
      </w:r>
      <w:r w:rsidRPr="00236418">
        <w:t>). Une situation détaillée est donnée dans la Note 24</w:t>
      </w:r>
      <w:r w:rsidRPr="00236418">
        <w:rPr>
          <w:color w:val="000000"/>
        </w:rPr>
        <w:t xml:space="preserve"> (Présentation de l'information sectorielle).</w:t>
      </w:r>
    </w:p>
    <w:p w14:paraId="2409A972" w14:textId="77777777" w:rsidR="00DF6159" w:rsidRPr="00236418" w:rsidRDefault="00DF6159" w:rsidP="009B3D24">
      <w:pPr>
        <w:pStyle w:val="headingb0"/>
      </w:pPr>
      <w:bookmarkStart w:id="2099" w:name="_Toc329178800"/>
      <w:bookmarkStart w:id="2100" w:name="_Toc329181773"/>
      <w:bookmarkStart w:id="2101" w:name="_Toc329202600"/>
      <w:bookmarkStart w:id="2102" w:name="_Toc329205032"/>
      <w:bookmarkStart w:id="2103" w:name="_Toc329206869"/>
      <w:bookmarkStart w:id="2104" w:name="_Toc358379950"/>
      <w:bookmarkStart w:id="2105" w:name="_Toc358380493"/>
      <w:bookmarkStart w:id="2106" w:name="_Toc387167493"/>
      <w:bookmarkStart w:id="2107" w:name="_Toc482888039"/>
      <w:bookmarkStart w:id="2108" w:name="_Toc482888073"/>
      <w:bookmarkStart w:id="2109" w:name="_Toc482888382"/>
      <w:bookmarkStart w:id="2110" w:name="_Toc482888781"/>
      <w:bookmarkStart w:id="2111" w:name="_Toc511649496"/>
      <w:bookmarkStart w:id="2112" w:name="_Toc511649982"/>
      <w:bookmarkStart w:id="2113" w:name="_Toc511650102"/>
      <w:bookmarkStart w:id="2114" w:name="_Toc511650596"/>
      <w:bookmarkStart w:id="2115" w:name="_Toc511651242"/>
      <w:bookmarkStart w:id="2116" w:name="_Toc511724105"/>
      <w:bookmarkStart w:id="2117" w:name="_Toc511739094"/>
      <w:bookmarkStart w:id="2118" w:name="_Toc511740827"/>
      <w:bookmarkStart w:id="2119" w:name="_Toc511741265"/>
      <w:bookmarkStart w:id="2120" w:name="_Toc10450778"/>
      <w:bookmarkStart w:id="2121" w:name="_Toc41567378"/>
      <w:bookmarkStart w:id="2122" w:name="_Toc268007566"/>
      <w:r w:rsidRPr="00236418">
        <w:lastRenderedPageBreak/>
        <w:t>Location et entretien des locaux et équipements</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14:paraId="21B65262" w14:textId="07D67E0A" w:rsidR="00DF6159" w:rsidRPr="00236418" w:rsidRDefault="00DF6159" w:rsidP="009B3D24">
      <w:r w:rsidRPr="00236418">
        <w:t>Relèvent de cette catégorie la location de salles de conférence et de salles de réunion, de lieux de stockage et de places de parking, d'équipements informatiques et d'autres machines de bureau. Sont également compris l'entretien des bâtiments, des espaces verts, des véhicules, des équipements techniques et informatiques et les assurances contre les incendies, les inondations et les dommages divers. Le montant de ces dépenses pour 201</w:t>
      </w:r>
      <w:r w:rsidR="00A35BC2" w:rsidRPr="00236418">
        <w:t>9</w:t>
      </w:r>
      <w:r w:rsidRPr="00236418">
        <w:t xml:space="preserve"> s'élevait à </w:t>
      </w:r>
      <w:r w:rsidR="00A35BC2" w:rsidRPr="00236418">
        <w:t>4</w:t>
      </w:r>
      <w:r w:rsidRPr="00236418">
        <w:t>,</w:t>
      </w:r>
      <w:r w:rsidR="00A35BC2" w:rsidRPr="00236418">
        <w:t>1</w:t>
      </w:r>
      <w:r w:rsidRPr="00236418">
        <w:t xml:space="preserve"> millions CHF (contre </w:t>
      </w:r>
      <w:r w:rsidR="00A35BC2" w:rsidRPr="00236418">
        <w:t>3</w:t>
      </w:r>
      <w:r w:rsidRPr="00236418">
        <w:t>,</w:t>
      </w:r>
      <w:r w:rsidR="00A35BC2" w:rsidRPr="00236418">
        <w:t>9</w:t>
      </w:r>
      <w:r w:rsidRPr="00236418">
        <w:t xml:space="preserve"> millions CHF en 201</w:t>
      </w:r>
      <w:r w:rsidR="00A35BC2" w:rsidRPr="00236418">
        <w:t>8</w:t>
      </w:r>
      <w:r w:rsidRPr="00236418">
        <w:t>).</w:t>
      </w:r>
      <w:bookmarkStart w:id="2123" w:name="_Toc329178801"/>
      <w:bookmarkStart w:id="2124" w:name="_Toc329181774"/>
      <w:bookmarkStart w:id="2125" w:name="_Toc329202601"/>
      <w:bookmarkStart w:id="2126" w:name="_Toc329205033"/>
      <w:bookmarkStart w:id="2127" w:name="_Toc329206870"/>
      <w:bookmarkStart w:id="2128" w:name="_Toc358379951"/>
      <w:bookmarkStart w:id="2129" w:name="_Toc358380494"/>
    </w:p>
    <w:p w14:paraId="6A833684" w14:textId="77777777" w:rsidR="00DF6159" w:rsidRPr="00236418" w:rsidRDefault="00DF6159" w:rsidP="009B3D24">
      <w:pPr>
        <w:pStyle w:val="headingb0"/>
      </w:pPr>
      <w:bookmarkStart w:id="2130" w:name="_Toc387167494"/>
      <w:bookmarkStart w:id="2131" w:name="_Toc482888040"/>
      <w:bookmarkStart w:id="2132" w:name="_Toc482888074"/>
      <w:bookmarkStart w:id="2133" w:name="_Toc482888383"/>
      <w:bookmarkStart w:id="2134" w:name="_Toc482888782"/>
      <w:bookmarkStart w:id="2135" w:name="_Toc511649497"/>
      <w:bookmarkStart w:id="2136" w:name="_Toc511649983"/>
      <w:bookmarkStart w:id="2137" w:name="_Toc511650103"/>
      <w:bookmarkStart w:id="2138" w:name="_Toc511650597"/>
      <w:bookmarkStart w:id="2139" w:name="_Toc511651243"/>
      <w:bookmarkStart w:id="2140" w:name="_Toc511724106"/>
      <w:bookmarkStart w:id="2141" w:name="_Toc511739095"/>
      <w:bookmarkStart w:id="2142" w:name="_Toc511740828"/>
      <w:bookmarkStart w:id="2143" w:name="_Toc511741266"/>
      <w:bookmarkStart w:id="2144" w:name="_Toc10450779"/>
      <w:bookmarkStart w:id="2145" w:name="_Toc41567379"/>
      <w:r w:rsidRPr="00236418">
        <w:t>Matériels et fournitures</w:t>
      </w:r>
      <w:bookmarkEnd w:id="2123"/>
      <w:bookmarkEnd w:id="2124"/>
      <w:bookmarkEnd w:id="2125"/>
      <w:bookmarkEnd w:id="2126"/>
      <w:bookmarkEnd w:id="2127"/>
      <w:bookmarkEnd w:id="2128"/>
      <w:bookmarkEnd w:id="2129"/>
      <w:r w:rsidRPr="00236418">
        <w:t>, frais d'expédition et de télécommunications et services</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46CF59A4" w14:textId="45E67FB8" w:rsidR="00DF6159" w:rsidRPr="00236418" w:rsidRDefault="00DF6159" w:rsidP="00A0337E">
      <w:pPr>
        <w:keepLines/>
      </w:pPr>
      <w:r w:rsidRPr="00236418">
        <w:t>Les matériels et fournitures comprennent les fournitures de bureau, les fournitures pour imprimantes, les formulaires, cartes, revues, livres et reliures, les fournitures informatiques et les logiciels informatiques qui ne sont pas activables.</w:t>
      </w:r>
      <w:bookmarkStart w:id="2146" w:name="_Toc329178802"/>
      <w:bookmarkStart w:id="2147" w:name="_Toc329181775"/>
      <w:bookmarkStart w:id="2148" w:name="_Toc329178803"/>
      <w:bookmarkStart w:id="2149" w:name="_Toc329181776"/>
      <w:bookmarkStart w:id="2150" w:name="_Toc329202602"/>
      <w:bookmarkStart w:id="2151" w:name="_Toc329205034"/>
      <w:bookmarkStart w:id="2152" w:name="_Toc329206871"/>
      <w:bookmarkStart w:id="2153" w:name="_Toc268007567"/>
      <w:bookmarkEnd w:id="2122"/>
      <w:bookmarkEnd w:id="2146"/>
      <w:bookmarkEnd w:id="2147"/>
      <w:r w:rsidRPr="00236418">
        <w:t xml:space="preserve"> Les dépenses de matériels et fournitures s'élevaient à </w:t>
      </w:r>
      <w:r w:rsidR="00A35BC2" w:rsidRPr="00236418">
        <w:t>3</w:t>
      </w:r>
      <w:r w:rsidRPr="00236418">
        <w:t>,</w:t>
      </w:r>
      <w:r w:rsidR="00A35BC2" w:rsidRPr="00236418">
        <w:t>8</w:t>
      </w:r>
      <w:r w:rsidRPr="00236418">
        <w:t> millions CHF en 201</w:t>
      </w:r>
      <w:r w:rsidR="00A35BC2" w:rsidRPr="00236418">
        <w:t>9</w:t>
      </w:r>
      <w:r w:rsidRPr="00236418">
        <w:t xml:space="preserve"> (contre </w:t>
      </w:r>
      <w:r w:rsidR="00A35BC2" w:rsidRPr="00236418">
        <w:t>4</w:t>
      </w:r>
      <w:r w:rsidRPr="00236418">
        <w:t>,</w:t>
      </w:r>
      <w:r w:rsidR="00A35BC2" w:rsidRPr="00236418">
        <w:t>5</w:t>
      </w:r>
      <w:r w:rsidRPr="00236418">
        <w:t xml:space="preserve"> millions CHF en 201</w:t>
      </w:r>
      <w:r w:rsidR="00A35BC2" w:rsidRPr="00236418">
        <w:t>8</w:t>
      </w:r>
      <w:r w:rsidRPr="00236418">
        <w:t>). Les dépenses afférentes aux frais d'expédition et de télécommunications et aux services se sont chiffrées à 1,</w:t>
      </w:r>
      <w:r w:rsidR="00A35BC2" w:rsidRPr="00236418">
        <w:t>6</w:t>
      </w:r>
      <w:r w:rsidRPr="00236418">
        <w:t> million CHF en 201</w:t>
      </w:r>
      <w:r w:rsidR="00A35BC2" w:rsidRPr="00236418">
        <w:t>9</w:t>
      </w:r>
      <w:r w:rsidRPr="00236418">
        <w:t xml:space="preserve"> (contre 1,</w:t>
      </w:r>
      <w:r w:rsidR="00A35BC2" w:rsidRPr="00236418">
        <w:t>7</w:t>
      </w:r>
      <w:r w:rsidRPr="00236418">
        <w:t xml:space="preserve"> million CHF en 201</w:t>
      </w:r>
      <w:r w:rsidR="00A35BC2" w:rsidRPr="00236418">
        <w:t>8</w:t>
      </w:r>
      <w:r w:rsidRPr="00236418">
        <w:t>).</w:t>
      </w:r>
    </w:p>
    <w:p w14:paraId="1BAED3CE" w14:textId="77777777" w:rsidR="00DF6159" w:rsidRPr="00236418" w:rsidRDefault="00DF6159" w:rsidP="009B3D24">
      <w:pPr>
        <w:pStyle w:val="Headingb"/>
        <w:spacing w:before="120" w:after="120"/>
      </w:pPr>
      <w:bookmarkStart w:id="2154" w:name="_MON_1401108165"/>
      <w:bookmarkStart w:id="2155" w:name="_Toc329178804"/>
      <w:bookmarkStart w:id="2156" w:name="_Toc329181777"/>
      <w:bookmarkStart w:id="2157" w:name="_Toc329202603"/>
      <w:bookmarkStart w:id="2158" w:name="_Toc329205035"/>
      <w:bookmarkStart w:id="2159" w:name="_Toc329206872"/>
      <w:bookmarkStart w:id="2160" w:name="_Toc358379953"/>
      <w:bookmarkStart w:id="2161" w:name="_Toc358380496"/>
      <w:bookmarkStart w:id="2162" w:name="_Toc387166664"/>
      <w:bookmarkStart w:id="2163" w:name="_Toc387167495"/>
      <w:bookmarkStart w:id="2164" w:name="_Toc395260949"/>
      <w:bookmarkStart w:id="2165" w:name="_Toc395511736"/>
      <w:bookmarkStart w:id="2166" w:name="_Toc452138638"/>
      <w:bookmarkStart w:id="2167" w:name="_Toc452139087"/>
      <w:bookmarkStart w:id="2168" w:name="_Toc452139451"/>
      <w:bookmarkStart w:id="2169" w:name="_Toc452139857"/>
      <w:bookmarkStart w:id="2170" w:name="_Toc452140731"/>
      <w:bookmarkStart w:id="2171" w:name="_Toc482801519"/>
      <w:bookmarkStart w:id="2172" w:name="_Toc482888783"/>
      <w:bookmarkStart w:id="2173" w:name="_Toc511649498"/>
      <w:bookmarkStart w:id="2174" w:name="_Toc511649861"/>
      <w:bookmarkStart w:id="2175" w:name="_Toc511649984"/>
      <w:bookmarkStart w:id="2176" w:name="_Toc511650104"/>
      <w:bookmarkStart w:id="2177" w:name="_Toc511650598"/>
      <w:bookmarkStart w:id="2178" w:name="_Toc511651244"/>
      <w:bookmarkStart w:id="2179" w:name="_Toc511724107"/>
      <w:bookmarkStart w:id="2180" w:name="_Toc511739096"/>
      <w:bookmarkStart w:id="2181" w:name="_Toc511741267"/>
      <w:bookmarkStart w:id="2182" w:name="_Toc9605753"/>
      <w:bookmarkStart w:id="2183" w:name="_Toc10450780"/>
      <w:bookmarkStart w:id="2184" w:name="_Toc41566366"/>
      <w:bookmarkStart w:id="2185" w:name="_Toc41814970"/>
      <w:bookmarkEnd w:id="2148"/>
      <w:bookmarkEnd w:id="2149"/>
      <w:bookmarkEnd w:id="2150"/>
      <w:bookmarkEnd w:id="2151"/>
      <w:bookmarkEnd w:id="2152"/>
      <w:bookmarkEnd w:id="2154"/>
      <w:r w:rsidRPr="00236418">
        <w:t>Autres charges</w:t>
      </w:r>
      <w:bookmarkEnd w:id="2153"/>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tbl>
      <w:tblPr>
        <w:tblW w:w="9480" w:type="dxa"/>
        <w:jc w:val="center"/>
        <w:tblLook w:val="04A0" w:firstRow="1" w:lastRow="0" w:firstColumn="1" w:lastColumn="0" w:noHBand="0" w:noVBand="1"/>
        <w:tblCaption w:val="E"/>
      </w:tblPr>
      <w:tblGrid>
        <w:gridCol w:w="6574"/>
        <w:gridCol w:w="1345"/>
        <w:gridCol w:w="1561"/>
      </w:tblGrid>
      <w:tr w:rsidR="00DF6159" w:rsidRPr="00236418" w14:paraId="16DD42AA" w14:textId="77777777" w:rsidTr="006538EB">
        <w:trPr>
          <w:trHeight w:val="499"/>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368B" w14:textId="77777777" w:rsidR="00DF6159" w:rsidRPr="00236418" w:rsidRDefault="00DF6159" w:rsidP="009B3D24">
            <w:pPr>
              <w:pStyle w:val="Tablehead"/>
              <w:keepNext/>
              <w:keepLines/>
              <w:spacing w:before="0" w:after="0"/>
              <w:jc w:val="left"/>
              <w:rPr>
                <w:szCs w:val="22"/>
                <w:lang w:eastAsia="zh-CN"/>
              </w:rPr>
            </w:pPr>
            <w:r w:rsidRPr="00236418">
              <w:rPr>
                <w:szCs w:val="22"/>
                <w:lang w:eastAsia="zh-CN"/>
              </w:rPr>
              <w:t>En milliers de CHF</w:t>
            </w:r>
          </w:p>
        </w:tc>
        <w:tc>
          <w:tcPr>
            <w:tcW w:w="1345" w:type="dxa"/>
            <w:tcBorders>
              <w:top w:val="single" w:sz="4" w:space="0" w:color="auto"/>
              <w:left w:val="single" w:sz="4" w:space="0" w:color="auto"/>
              <w:bottom w:val="single" w:sz="4" w:space="0" w:color="auto"/>
              <w:right w:val="single" w:sz="4" w:space="0" w:color="auto"/>
            </w:tcBorders>
            <w:vAlign w:val="center"/>
          </w:tcPr>
          <w:p w14:paraId="2C392885" w14:textId="1D9071E7" w:rsidR="00DF6159" w:rsidRPr="00236418" w:rsidRDefault="00DF6159" w:rsidP="009B3D24">
            <w:pPr>
              <w:pStyle w:val="Tablehead"/>
              <w:keepNext/>
              <w:keepLines/>
              <w:spacing w:before="0" w:after="0"/>
              <w:rPr>
                <w:szCs w:val="22"/>
                <w:lang w:eastAsia="zh-CN"/>
              </w:rPr>
            </w:pPr>
            <w:r w:rsidRPr="00236418">
              <w:rPr>
                <w:szCs w:val="22"/>
                <w:lang w:eastAsia="zh-CN"/>
              </w:rPr>
              <w:t>201</w:t>
            </w:r>
            <w:r w:rsidR="00A35BC2" w:rsidRPr="00236418">
              <w:rPr>
                <w:szCs w:val="22"/>
                <w:lang w:eastAsia="zh-CN"/>
              </w:rPr>
              <w:t>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4EBC" w14:textId="2AD7727A" w:rsidR="00DF6159" w:rsidRPr="00236418" w:rsidRDefault="00DF6159" w:rsidP="009B3D24">
            <w:pPr>
              <w:pStyle w:val="Tablehead"/>
              <w:keepNext/>
              <w:keepLines/>
              <w:spacing w:before="0" w:after="0"/>
              <w:rPr>
                <w:szCs w:val="22"/>
                <w:lang w:eastAsia="zh-CN"/>
              </w:rPr>
            </w:pPr>
            <w:r w:rsidRPr="00236418">
              <w:rPr>
                <w:szCs w:val="22"/>
                <w:lang w:eastAsia="zh-CN"/>
              </w:rPr>
              <w:t>201</w:t>
            </w:r>
            <w:r w:rsidR="00A35BC2" w:rsidRPr="00236418">
              <w:rPr>
                <w:szCs w:val="22"/>
                <w:lang w:eastAsia="zh-CN"/>
              </w:rPr>
              <w:t>8</w:t>
            </w:r>
          </w:p>
        </w:tc>
      </w:tr>
      <w:tr w:rsidR="00A35BC2" w:rsidRPr="00236418" w14:paraId="6B6092D0" w14:textId="77777777" w:rsidTr="006538EB">
        <w:trPr>
          <w:trHeight w:val="20"/>
          <w:jc w:val="center"/>
        </w:trPr>
        <w:tc>
          <w:tcPr>
            <w:tcW w:w="6574" w:type="dxa"/>
            <w:tcBorders>
              <w:top w:val="single" w:sz="4" w:space="0" w:color="auto"/>
              <w:left w:val="single" w:sz="4" w:space="0" w:color="auto"/>
              <w:right w:val="single" w:sz="4" w:space="0" w:color="auto"/>
            </w:tcBorders>
            <w:shd w:val="clear" w:color="auto" w:fill="auto"/>
            <w:noWrap/>
            <w:vAlign w:val="center"/>
          </w:tcPr>
          <w:p w14:paraId="4153285C" w14:textId="77777777" w:rsidR="00A35BC2" w:rsidRPr="00236418" w:rsidRDefault="00A35BC2" w:rsidP="009B3D24">
            <w:pPr>
              <w:pStyle w:val="Tabletext"/>
              <w:keepNext/>
              <w:keepLines/>
              <w:spacing w:before="0" w:after="0"/>
              <w:rPr>
                <w:szCs w:val="22"/>
                <w:lang w:eastAsia="zh-CN"/>
              </w:rPr>
            </w:pPr>
            <w:r w:rsidRPr="00236418">
              <w:rPr>
                <w:szCs w:val="22"/>
                <w:lang w:eastAsia="zh-CN"/>
              </w:rPr>
              <w:t>Frais de vérification extérieure</w:t>
            </w:r>
          </w:p>
        </w:tc>
        <w:tc>
          <w:tcPr>
            <w:tcW w:w="1345" w:type="dxa"/>
            <w:tcBorders>
              <w:top w:val="single" w:sz="4" w:space="0" w:color="auto"/>
              <w:left w:val="single" w:sz="4" w:space="0" w:color="auto"/>
              <w:right w:val="single" w:sz="4" w:space="0" w:color="auto"/>
            </w:tcBorders>
            <w:vAlign w:val="bottom"/>
          </w:tcPr>
          <w:p w14:paraId="2E401888" w14:textId="6ADC7718" w:rsidR="00A35BC2" w:rsidRPr="00236418" w:rsidRDefault="00A35BC2" w:rsidP="009B3D24">
            <w:pPr>
              <w:pStyle w:val="Tabletext"/>
              <w:keepNext/>
              <w:keepLines/>
              <w:spacing w:before="0" w:after="0"/>
              <w:jc w:val="right"/>
              <w:rPr>
                <w:sz w:val="20"/>
                <w:lang w:eastAsia="zh-CN"/>
              </w:rPr>
            </w:pPr>
            <w:r w:rsidRPr="00236418">
              <w:rPr>
                <w:rFonts w:cs="Calibri"/>
                <w:color w:val="000000"/>
                <w:sz w:val="20"/>
                <w:lang w:eastAsia="zh-CN"/>
              </w:rPr>
              <w:t>108</w:t>
            </w:r>
          </w:p>
        </w:tc>
        <w:tc>
          <w:tcPr>
            <w:tcW w:w="1561" w:type="dxa"/>
            <w:tcBorders>
              <w:top w:val="single" w:sz="4" w:space="0" w:color="auto"/>
              <w:left w:val="single" w:sz="4" w:space="0" w:color="auto"/>
              <w:right w:val="single" w:sz="4" w:space="0" w:color="auto"/>
            </w:tcBorders>
            <w:shd w:val="clear" w:color="auto" w:fill="auto"/>
            <w:noWrap/>
            <w:vAlign w:val="bottom"/>
          </w:tcPr>
          <w:p w14:paraId="6BF9DB57" w14:textId="26115B7F" w:rsidR="00A35BC2" w:rsidRPr="00236418" w:rsidRDefault="00A35BC2" w:rsidP="009B3D24">
            <w:pPr>
              <w:pStyle w:val="Tabletext"/>
              <w:keepNext/>
              <w:keepLines/>
              <w:spacing w:before="0" w:after="0"/>
              <w:jc w:val="right"/>
              <w:rPr>
                <w:sz w:val="20"/>
                <w:lang w:eastAsia="zh-CN"/>
              </w:rPr>
            </w:pPr>
            <w:r w:rsidRPr="00236418">
              <w:rPr>
                <w:sz w:val="20"/>
                <w:lang w:eastAsia="zh-CN"/>
              </w:rPr>
              <w:t>135</w:t>
            </w:r>
          </w:p>
        </w:tc>
      </w:tr>
      <w:tr w:rsidR="00A35BC2" w:rsidRPr="00236418" w14:paraId="705EA523" w14:textId="77777777" w:rsidTr="006538EB">
        <w:trPr>
          <w:trHeight w:val="20"/>
          <w:jc w:val="center"/>
        </w:trPr>
        <w:tc>
          <w:tcPr>
            <w:tcW w:w="6574" w:type="dxa"/>
            <w:tcBorders>
              <w:left w:val="single" w:sz="4" w:space="0" w:color="auto"/>
              <w:right w:val="single" w:sz="4" w:space="0" w:color="auto"/>
            </w:tcBorders>
            <w:shd w:val="clear" w:color="auto" w:fill="auto"/>
            <w:noWrap/>
            <w:vAlign w:val="center"/>
          </w:tcPr>
          <w:p w14:paraId="72ED194A" w14:textId="77777777" w:rsidR="00A35BC2" w:rsidRPr="00236418" w:rsidRDefault="00A35BC2" w:rsidP="009B3D24">
            <w:pPr>
              <w:pStyle w:val="Tabletext"/>
              <w:keepNext/>
              <w:keepLines/>
              <w:spacing w:before="0" w:after="0"/>
              <w:rPr>
                <w:szCs w:val="22"/>
                <w:lang w:eastAsia="zh-CN"/>
              </w:rPr>
            </w:pPr>
            <w:r w:rsidRPr="00236418">
              <w:rPr>
                <w:szCs w:val="22"/>
                <w:lang w:eastAsia="zh-CN"/>
              </w:rPr>
              <w:t>Participation aux frais de l'Organisation des Nations Unies</w:t>
            </w:r>
          </w:p>
        </w:tc>
        <w:tc>
          <w:tcPr>
            <w:tcW w:w="1345" w:type="dxa"/>
            <w:tcBorders>
              <w:left w:val="single" w:sz="4" w:space="0" w:color="auto"/>
              <w:right w:val="single" w:sz="4" w:space="0" w:color="auto"/>
            </w:tcBorders>
            <w:vAlign w:val="bottom"/>
          </w:tcPr>
          <w:p w14:paraId="0CF02319" w14:textId="26D1C8FC" w:rsidR="00A35BC2" w:rsidRPr="00236418" w:rsidRDefault="00A35BC2" w:rsidP="009B3D24">
            <w:pPr>
              <w:pStyle w:val="Tabletext"/>
              <w:keepNext/>
              <w:keepLines/>
              <w:spacing w:before="0" w:after="0"/>
              <w:jc w:val="right"/>
              <w:rPr>
                <w:sz w:val="20"/>
                <w:lang w:eastAsia="zh-CN"/>
              </w:rPr>
            </w:pPr>
            <w:r w:rsidRPr="00236418">
              <w:rPr>
                <w:rFonts w:cs="Calibri"/>
                <w:color w:val="000000"/>
                <w:sz w:val="20"/>
                <w:lang w:eastAsia="zh-CN"/>
              </w:rPr>
              <w:t>664</w:t>
            </w:r>
          </w:p>
        </w:tc>
        <w:tc>
          <w:tcPr>
            <w:tcW w:w="1561" w:type="dxa"/>
            <w:tcBorders>
              <w:left w:val="single" w:sz="4" w:space="0" w:color="auto"/>
              <w:right w:val="single" w:sz="4" w:space="0" w:color="auto"/>
            </w:tcBorders>
            <w:shd w:val="clear" w:color="auto" w:fill="auto"/>
            <w:noWrap/>
            <w:vAlign w:val="bottom"/>
          </w:tcPr>
          <w:p w14:paraId="737F2941" w14:textId="02EFCB4A" w:rsidR="00A35BC2" w:rsidRPr="00236418" w:rsidRDefault="00A35BC2" w:rsidP="009B3D24">
            <w:pPr>
              <w:pStyle w:val="Tabletext"/>
              <w:keepNext/>
              <w:keepLines/>
              <w:spacing w:before="0" w:after="0"/>
              <w:jc w:val="right"/>
              <w:rPr>
                <w:sz w:val="20"/>
                <w:lang w:eastAsia="zh-CN"/>
              </w:rPr>
            </w:pPr>
            <w:r w:rsidRPr="00236418">
              <w:rPr>
                <w:sz w:val="20"/>
                <w:lang w:eastAsia="zh-CN"/>
              </w:rPr>
              <w:t>660</w:t>
            </w:r>
          </w:p>
        </w:tc>
      </w:tr>
      <w:tr w:rsidR="00A35BC2" w:rsidRPr="00236418" w14:paraId="0E1550F0" w14:textId="77777777" w:rsidTr="006538EB">
        <w:trPr>
          <w:trHeight w:val="20"/>
          <w:jc w:val="center"/>
        </w:trPr>
        <w:tc>
          <w:tcPr>
            <w:tcW w:w="6574" w:type="dxa"/>
            <w:tcBorders>
              <w:left w:val="single" w:sz="4" w:space="0" w:color="auto"/>
              <w:right w:val="single" w:sz="4" w:space="0" w:color="auto"/>
            </w:tcBorders>
            <w:shd w:val="clear" w:color="auto" w:fill="auto"/>
            <w:noWrap/>
            <w:vAlign w:val="center"/>
          </w:tcPr>
          <w:p w14:paraId="79F219BC" w14:textId="77777777" w:rsidR="00A35BC2" w:rsidRPr="00236418" w:rsidRDefault="00A35BC2" w:rsidP="009B3D24">
            <w:pPr>
              <w:pStyle w:val="Tabletext"/>
              <w:keepNext/>
              <w:keepLines/>
              <w:spacing w:before="0" w:after="0"/>
              <w:rPr>
                <w:szCs w:val="22"/>
                <w:lang w:eastAsia="zh-CN"/>
              </w:rPr>
            </w:pPr>
            <w:r w:rsidRPr="00236418">
              <w:rPr>
                <w:szCs w:val="22"/>
                <w:lang w:eastAsia="zh-CN"/>
              </w:rPr>
              <w:t>Coûts juridiques</w:t>
            </w:r>
          </w:p>
        </w:tc>
        <w:tc>
          <w:tcPr>
            <w:tcW w:w="1345" w:type="dxa"/>
            <w:tcBorders>
              <w:left w:val="single" w:sz="4" w:space="0" w:color="auto"/>
              <w:right w:val="single" w:sz="4" w:space="0" w:color="auto"/>
            </w:tcBorders>
            <w:vAlign w:val="bottom"/>
          </w:tcPr>
          <w:p w14:paraId="57D24266" w14:textId="5918295D" w:rsidR="00A35BC2" w:rsidRPr="00236418" w:rsidRDefault="00A35BC2" w:rsidP="009B3D24">
            <w:pPr>
              <w:pStyle w:val="Tabletext"/>
              <w:keepNext/>
              <w:keepLines/>
              <w:spacing w:before="0" w:after="0"/>
              <w:jc w:val="right"/>
              <w:rPr>
                <w:sz w:val="20"/>
                <w:lang w:eastAsia="zh-CN"/>
              </w:rPr>
            </w:pPr>
            <w:r w:rsidRPr="00236418">
              <w:rPr>
                <w:rFonts w:cs="Calibri"/>
                <w:color w:val="000000"/>
                <w:sz w:val="20"/>
                <w:lang w:eastAsia="zh-CN"/>
              </w:rPr>
              <w:t>29</w:t>
            </w:r>
          </w:p>
        </w:tc>
        <w:tc>
          <w:tcPr>
            <w:tcW w:w="1561" w:type="dxa"/>
            <w:tcBorders>
              <w:left w:val="single" w:sz="4" w:space="0" w:color="auto"/>
              <w:right w:val="single" w:sz="4" w:space="0" w:color="auto"/>
            </w:tcBorders>
            <w:shd w:val="clear" w:color="auto" w:fill="auto"/>
            <w:noWrap/>
            <w:vAlign w:val="bottom"/>
          </w:tcPr>
          <w:p w14:paraId="384A1BB2" w14:textId="4456998B" w:rsidR="00A35BC2" w:rsidRPr="00236418" w:rsidRDefault="00A35BC2" w:rsidP="009B3D24">
            <w:pPr>
              <w:pStyle w:val="Tabletext"/>
              <w:keepNext/>
              <w:keepLines/>
              <w:spacing w:before="0" w:after="0"/>
              <w:jc w:val="right"/>
              <w:rPr>
                <w:sz w:val="20"/>
                <w:lang w:eastAsia="zh-CN"/>
              </w:rPr>
            </w:pPr>
            <w:r w:rsidRPr="00236418">
              <w:rPr>
                <w:sz w:val="20"/>
                <w:lang w:eastAsia="zh-CN"/>
              </w:rPr>
              <w:t>3 209</w:t>
            </w:r>
          </w:p>
        </w:tc>
      </w:tr>
      <w:tr w:rsidR="00A35BC2" w:rsidRPr="00236418" w14:paraId="2972B282" w14:textId="77777777" w:rsidTr="006538EB">
        <w:trPr>
          <w:trHeight w:val="20"/>
          <w:jc w:val="center"/>
        </w:trPr>
        <w:tc>
          <w:tcPr>
            <w:tcW w:w="6574" w:type="dxa"/>
            <w:tcBorders>
              <w:left w:val="single" w:sz="4" w:space="0" w:color="auto"/>
              <w:right w:val="single" w:sz="4" w:space="0" w:color="auto"/>
            </w:tcBorders>
            <w:shd w:val="clear" w:color="auto" w:fill="auto"/>
            <w:noWrap/>
            <w:vAlign w:val="center"/>
          </w:tcPr>
          <w:p w14:paraId="62CEAF6C" w14:textId="77777777" w:rsidR="00A35BC2" w:rsidRPr="00236418" w:rsidRDefault="00A35BC2" w:rsidP="009B3D24">
            <w:pPr>
              <w:pStyle w:val="Tabletext"/>
              <w:keepNext/>
              <w:keepLines/>
              <w:spacing w:before="0" w:after="0"/>
              <w:rPr>
                <w:szCs w:val="22"/>
                <w:lang w:eastAsia="zh-CN"/>
              </w:rPr>
            </w:pPr>
            <w:r w:rsidRPr="00236418">
              <w:rPr>
                <w:szCs w:val="22"/>
                <w:lang w:eastAsia="zh-CN"/>
              </w:rPr>
              <w:t>Ajustement provisions et autres charges</w:t>
            </w:r>
          </w:p>
        </w:tc>
        <w:tc>
          <w:tcPr>
            <w:tcW w:w="1345" w:type="dxa"/>
            <w:tcBorders>
              <w:left w:val="single" w:sz="4" w:space="0" w:color="auto"/>
              <w:right w:val="single" w:sz="4" w:space="0" w:color="auto"/>
            </w:tcBorders>
            <w:vAlign w:val="bottom"/>
          </w:tcPr>
          <w:p w14:paraId="2E2CB0D4" w14:textId="06A95DAF" w:rsidR="00A35BC2" w:rsidRPr="00236418" w:rsidRDefault="00A35BC2" w:rsidP="009B3D24">
            <w:pPr>
              <w:pStyle w:val="Tabletext"/>
              <w:keepNext/>
              <w:keepLines/>
              <w:spacing w:before="0" w:after="0"/>
              <w:jc w:val="right"/>
              <w:rPr>
                <w:sz w:val="20"/>
                <w:lang w:eastAsia="zh-CN"/>
              </w:rPr>
            </w:pPr>
            <w:r w:rsidRPr="00236418">
              <w:rPr>
                <w:rFonts w:cs="Calibri"/>
                <w:color w:val="000000"/>
                <w:sz w:val="20"/>
                <w:lang w:eastAsia="zh-CN"/>
              </w:rPr>
              <w:t>–390</w:t>
            </w:r>
          </w:p>
        </w:tc>
        <w:tc>
          <w:tcPr>
            <w:tcW w:w="1561" w:type="dxa"/>
            <w:tcBorders>
              <w:left w:val="single" w:sz="4" w:space="0" w:color="auto"/>
              <w:right w:val="single" w:sz="4" w:space="0" w:color="auto"/>
            </w:tcBorders>
            <w:shd w:val="clear" w:color="auto" w:fill="auto"/>
            <w:noWrap/>
            <w:vAlign w:val="bottom"/>
          </w:tcPr>
          <w:p w14:paraId="038892C1" w14:textId="494D4429" w:rsidR="00A35BC2" w:rsidRPr="00236418" w:rsidRDefault="00A35BC2" w:rsidP="009B3D24">
            <w:pPr>
              <w:pStyle w:val="Tabletext"/>
              <w:keepNext/>
              <w:keepLines/>
              <w:spacing w:before="0" w:after="0"/>
              <w:jc w:val="right"/>
              <w:rPr>
                <w:sz w:val="20"/>
                <w:lang w:eastAsia="zh-CN"/>
              </w:rPr>
            </w:pPr>
            <w:r w:rsidRPr="00236418">
              <w:rPr>
                <w:sz w:val="20"/>
                <w:lang w:eastAsia="zh-CN"/>
              </w:rPr>
              <w:t>–4 072</w:t>
            </w:r>
          </w:p>
        </w:tc>
      </w:tr>
      <w:tr w:rsidR="00A35BC2" w:rsidRPr="00236418" w14:paraId="5450A0E2" w14:textId="77777777" w:rsidTr="00D77053">
        <w:trPr>
          <w:trHeight w:val="20"/>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6E824" w14:textId="77777777" w:rsidR="00A35BC2" w:rsidRPr="00236418" w:rsidRDefault="00A35BC2" w:rsidP="009B3D24">
            <w:pPr>
              <w:pStyle w:val="Tabletext"/>
              <w:keepNext/>
              <w:keepLines/>
              <w:spacing w:before="0" w:after="0"/>
              <w:rPr>
                <w:b/>
                <w:bCs/>
                <w:szCs w:val="22"/>
                <w:lang w:eastAsia="zh-CN"/>
              </w:rPr>
            </w:pPr>
            <w:r w:rsidRPr="00236418">
              <w:rPr>
                <w:b/>
                <w:bCs/>
                <w:szCs w:val="22"/>
                <w:lang w:eastAsia="zh-CN"/>
              </w:rPr>
              <w:t>Autres charges</w:t>
            </w:r>
          </w:p>
        </w:tc>
        <w:tc>
          <w:tcPr>
            <w:tcW w:w="1345" w:type="dxa"/>
            <w:tcBorders>
              <w:top w:val="single" w:sz="4" w:space="0" w:color="auto"/>
              <w:left w:val="single" w:sz="4" w:space="0" w:color="auto"/>
              <w:bottom w:val="single" w:sz="4" w:space="0" w:color="auto"/>
              <w:right w:val="single" w:sz="4" w:space="0" w:color="auto"/>
            </w:tcBorders>
            <w:vAlign w:val="bottom"/>
          </w:tcPr>
          <w:p w14:paraId="4574686C" w14:textId="6E3858C4" w:rsidR="00A35BC2" w:rsidRPr="00236418" w:rsidRDefault="00A35BC2" w:rsidP="009B3D24">
            <w:pPr>
              <w:pStyle w:val="Tabletext"/>
              <w:keepNext/>
              <w:keepLines/>
              <w:spacing w:before="0" w:after="0"/>
              <w:jc w:val="right"/>
              <w:rPr>
                <w:b/>
                <w:bCs/>
                <w:sz w:val="20"/>
                <w:lang w:eastAsia="zh-CN"/>
              </w:rPr>
            </w:pPr>
            <w:r w:rsidRPr="00236418">
              <w:rPr>
                <w:b/>
                <w:bCs/>
                <w:sz w:val="20"/>
                <w:lang w:eastAsia="zh-CN"/>
              </w:rPr>
              <w:t>411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6CBAE" w14:textId="343CC17F" w:rsidR="00A35BC2" w:rsidRPr="00236418" w:rsidRDefault="00A35BC2" w:rsidP="009B3D24">
            <w:pPr>
              <w:pStyle w:val="Tabletext"/>
              <w:keepNext/>
              <w:keepLines/>
              <w:spacing w:before="0" w:after="0"/>
              <w:jc w:val="right"/>
              <w:rPr>
                <w:b/>
                <w:bCs/>
                <w:sz w:val="20"/>
                <w:lang w:eastAsia="zh-CN"/>
              </w:rPr>
            </w:pPr>
            <w:r w:rsidRPr="00236418">
              <w:rPr>
                <w:b/>
                <w:bCs/>
                <w:sz w:val="20"/>
                <w:lang w:eastAsia="zh-CN"/>
              </w:rPr>
              <w:t>67</w:t>
            </w:r>
          </w:p>
        </w:tc>
      </w:tr>
    </w:tbl>
    <w:p w14:paraId="3438F3AA" w14:textId="77777777" w:rsidR="00DF6159" w:rsidRPr="00236418" w:rsidRDefault="00DF6159" w:rsidP="009B3D24">
      <w:pPr>
        <w:spacing w:before="240"/>
      </w:pPr>
      <w:r w:rsidRPr="00236418">
        <w:t>Ces charges ont trait à la vérification extérieure annuelle statutaire des livres et comptes de l'UIT effectuée par la Cour des Comptes de la République italienne, ainsi qu'à la participation de l'Union aux comités et services interorganisations des Nations Unies, tels que le Corps commun d'inspection, le Comité de haut niveau des Nations Unies sur la gestion et le Bureau interorganisations pour les systèmes informatiques.</w:t>
      </w:r>
      <w:bookmarkStart w:id="2186" w:name="_MON_1395816223"/>
      <w:bookmarkStart w:id="2187" w:name="_MON_1388238516"/>
      <w:bookmarkEnd w:id="2186"/>
      <w:bookmarkEnd w:id="2187"/>
    </w:p>
    <w:p w14:paraId="07E89A60" w14:textId="0A8E9379" w:rsidR="00DF6159" w:rsidRPr="00236418" w:rsidRDefault="00DF6159" w:rsidP="009B3D24">
      <w:r w:rsidRPr="00236418">
        <w:t>Les coûts juridiques comprennent les coûts estimés de la résolution des litiges en cours ainsi que le coût moyen des frais administratifs encourus pour chaque affaire portée devant le tribunal.</w:t>
      </w:r>
    </w:p>
    <w:p w14:paraId="4FECA655" w14:textId="269ABDE4" w:rsidR="00DF6159" w:rsidRPr="00236418" w:rsidRDefault="00DF6159" w:rsidP="009B3D24">
      <w:pPr>
        <w:rPr>
          <w:bCs/>
        </w:rPr>
      </w:pPr>
      <w:r w:rsidRPr="00236418">
        <w:rPr>
          <w:bCs/>
        </w:rPr>
        <w:t>"L'ajustement provisions et autres charges" s'explique principalement par la dissolution de la provision pour créances douteuses en raison du paiement de créances en retard</w:t>
      </w:r>
      <w:r w:rsidR="00A35BC2" w:rsidRPr="00236418">
        <w:rPr>
          <w:bCs/>
        </w:rPr>
        <w:t>.</w:t>
      </w:r>
    </w:p>
    <w:p w14:paraId="44B5D7FB" w14:textId="77777777" w:rsidR="00DF6159" w:rsidRPr="00236418" w:rsidRDefault="00DF6159" w:rsidP="009B3D24">
      <w:pPr>
        <w:pStyle w:val="Headingb"/>
        <w:spacing w:before="120" w:after="120"/>
      </w:pPr>
      <w:bookmarkStart w:id="2188" w:name="_Toc329202604"/>
      <w:bookmarkStart w:id="2189" w:name="_Toc329205036"/>
      <w:bookmarkStart w:id="2190" w:name="_Toc329206873"/>
      <w:bookmarkStart w:id="2191" w:name="_Toc358379954"/>
      <w:bookmarkStart w:id="2192" w:name="_Toc358380497"/>
      <w:bookmarkStart w:id="2193" w:name="_Toc387166665"/>
      <w:bookmarkStart w:id="2194" w:name="_Toc387167496"/>
      <w:bookmarkStart w:id="2195" w:name="_Toc395260950"/>
      <w:bookmarkStart w:id="2196" w:name="_Toc395511737"/>
      <w:bookmarkStart w:id="2197" w:name="_Toc452138639"/>
      <w:bookmarkStart w:id="2198" w:name="_Toc452139088"/>
      <w:bookmarkStart w:id="2199" w:name="_Toc452139452"/>
      <w:bookmarkStart w:id="2200" w:name="_Toc452139858"/>
      <w:bookmarkStart w:id="2201" w:name="_Toc452140732"/>
      <w:bookmarkStart w:id="2202" w:name="_Toc482801520"/>
      <w:bookmarkStart w:id="2203" w:name="_Toc482888784"/>
      <w:bookmarkStart w:id="2204" w:name="_Toc511649499"/>
      <w:bookmarkStart w:id="2205" w:name="_Toc511649862"/>
      <w:bookmarkStart w:id="2206" w:name="_Toc511649985"/>
      <w:bookmarkStart w:id="2207" w:name="_Toc511650105"/>
      <w:bookmarkStart w:id="2208" w:name="_Toc511650599"/>
      <w:bookmarkStart w:id="2209" w:name="_Toc511651245"/>
      <w:bookmarkStart w:id="2210" w:name="_Toc511724108"/>
      <w:bookmarkStart w:id="2211" w:name="_Toc511739097"/>
      <w:bookmarkStart w:id="2212" w:name="_Toc511741268"/>
      <w:bookmarkStart w:id="2213" w:name="_Toc9605754"/>
      <w:bookmarkStart w:id="2214" w:name="_Toc10450781"/>
      <w:bookmarkStart w:id="2215" w:name="_Toc41566367"/>
      <w:bookmarkStart w:id="2216" w:name="_Toc41814971"/>
      <w:r w:rsidRPr="00236418">
        <w:t>Charges financières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tbl>
      <w:tblPr>
        <w:tblW w:w="9551" w:type="dxa"/>
        <w:jc w:val="center"/>
        <w:tblLayout w:type="fixed"/>
        <w:tblLook w:val="04A0" w:firstRow="1" w:lastRow="0" w:firstColumn="1" w:lastColumn="0" w:noHBand="0" w:noVBand="1"/>
        <w:tblCaption w:val="E"/>
      </w:tblPr>
      <w:tblGrid>
        <w:gridCol w:w="6505"/>
        <w:gridCol w:w="1523"/>
        <w:gridCol w:w="1523"/>
      </w:tblGrid>
      <w:tr w:rsidR="00DF6159" w:rsidRPr="00236418" w14:paraId="2CA6FB36" w14:textId="77777777" w:rsidTr="006538EB">
        <w:trPr>
          <w:trHeight w:val="499"/>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B99F8" w14:textId="77777777" w:rsidR="00DF6159" w:rsidRPr="00236418" w:rsidRDefault="00DF6159" w:rsidP="009B3D24">
            <w:pPr>
              <w:pStyle w:val="Tablehead"/>
              <w:keepNext/>
              <w:keepLines/>
              <w:spacing w:before="0" w:after="0"/>
              <w:jc w:val="left"/>
              <w:rPr>
                <w:szCs w:val="22"/>
                <w:lang w:eastAsia="zh-CN"/>
              </w:rPr>
            </w:pPr>
            <w:r w:rsidRPr="00236418">
              <w:rPr>
                <w:szCs w:val="22"/>
                <w:lang w:eastAsia="zh-CN"/>
              </w:rPr>
              <w:t>En milliers de CHF</w:t>
            </w:r>
          </w:p>
        </w:tc>
        <w:tc>
          <w:tcPr>
            <w:tcW w:w="1523" w:type="dxa"/>
            <w:tcBorders>
              <w:top w:val="single" w:sz="4" w:space="0" w:color="auto"/>
              <w:left w:val="single" w:sz="4" w:space="0" w:color="auto"/>
              <w:bottom w:val="single" w:sz="4" w:space="0" w:color="auto"/>
              <w:right w:val="single" w:sz="4" w:space="0" w:color="auto"/>
            </w:tcBorders>
            <w:vAlign w:val="center"/>
          </w:tcPr>
          <w:p w14:paraId="16BE7425" w14:textId="02A9EF87" w:rsidR="00DF6159" w:rsidRPr="00236418" w:rsidRDefault="00DF6159" w:rsidP="009B3D24">
            <w:pPr>
              <w:pStyle w:val="Tablehead"/>
              <w:keepNext/>
              <w:keepLines/>
              <w:spacing w:before="0" w:after="0"/>
              <w:rPr>
                <w:szCs w:val="22"/>
                <w:lang w:eastAsia="zh-CN"/>
              </w:rPr>
            </w:pPr>
            <w:r w:rsidRPr="00236418">
              <w:rPr>
                <w:szCs w:val="22"/>
                <w:lang w:eastAsia="zh-CN"/>
              </w:rPr>
              <w:t>201</w:t>
            </w:r>
            <w:r w:rsidR="00A35BC2" w:rsidRPr="00236418">
              <w:rPr>
                <w:szCs w:val="22"/>
                <w:lang w:eastAsia="zh-CN"/>
              </w:rPr>
              <w:t>9</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237A79FF" w14:textId="34653E5C" w:rsidR="00DF6159" w:rsidRPr="00236418" w:rsidRDefault="00DF6159" w:rsidP="009B3D24">
            <w:pPr>
              <w:pStyle w:val="Tablehead"/>
              <w:keepNext/>
              <w:keepLines/>
              <w:spacing w:before="0" w:after="0"/>
              <w:rPr>
                <w:szCs w:val="22"/>
                <w:lang w:eastAsia="zh-CN"/>
              </w:rPr>
            </w:pPr>
            <w:r w:rsidRPr="00236418">
              <w:rPr>
                <w:szCs w:val="22"/>
                <w:lang w:eastAsia="zh-CN"/>
              </w:rPr>
              <w:t>201</w:t>
            </w:r>
            <w:r w:rsidR="00A35BC2" w:rsidRPr="00236418">
              <w:rPr>
                <w:szCs w:val="22"/>
                <w:lang w:eastAsia="zh-CN"/>
              </w:rPr>
              <w:t>8</w:t>
            </w:r>
          </w:p>
        </w:tc>
      </w:tr>
      <w:tr w:rsidR="00A35BC2" w:rsidRPr="00236418" w14:paraId="18109BC0" w14:textId="77777777" w:rsidTr="006538EB">
        <w:trPr>
          <w:trHeight w:val="20"/>
          <w:jc w:val="center"/>
        </w:trPr>
        <w:tc>
          <w:tcPr>
            <w:tcW w:w="6505" w:type="dxa"/>
            <w:tcBorders>
              <w:top w:val="single" w:sz="4" w:space="0" w:color="auto"/>
              <w:left w:val="single" w:sz="4" w:space="0" w:color="auto"/>
              <w:right w:val="single" w:sz="4" w:space="0" w:color="auto"/>
            </w:tcBorders>
            <w:shd w:val="clear" w:color="auto" w:fill="auto"/>
            <w:noWrap/>
            <w:vAlign w:val="center"/>
          </w:tcPr>
          <w:p w14:paraId="1D001CB6" w14:textId="77777777" w:rsidR="00A35BC2" w:rsidRPr="00236418" w:rsidRDefault="00A35BC2" w:rsidP="009B3D24">
            <w:pPr>
              <w:pStyle w:val="Tabletext"/>
              <w:keepNext/>
              <w:keepLines/>
              <w:spacing w:before="0" w:after="0"/>
              <w:rPr>
                <w:szCs w:val="22"/>
                <w:lang w:eastAsia="zh-CN"/>
              </w:rPr>
            </w:pPr>
            <w:r w:rsidRPr="00236418">
              <w:rPr>
                <w:szCs w:val="22"/>
                <w:lang w:eastAsia="zh-CN"/>
              </w:rPr>
              <w:t>Frais bancaires</w:t>
            </w:r>
          </w:p>
        </w:tc>
        <w:tc>
          <w:tcPr>
            <w:tcW w:w="1523" w:type="dxa"/>
            <w:tcBorders>
              <w:top w:val="single" w:sz="4" w:space="0" w:color="auto"/>
              <w:left w:val="single" w:sz="4" w:space="0" w:color="auto"/>
              <w:right w:val="single" w:sz="4" w:space="0" w:color="auto"/>
            </w:tcBorders>
            <w:vAlign w:val="bottom"/>
          </w:tcPr>
          <w:p w14:paraId="285A40A5" w14:textId="3C6B2719" w:rsidR="00A35BC2" w:rsidRPr="00236418"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236418">
              <w:rPr>
                <w:rFonts w:cs="Calibri"/>
                <w:color w:val="000000"/>
                <w:sz w:val="20"/>
                <w:lang w:eastAsia="zh-CN"/>
              </w:rPr>
              <w:t>225</w:t>
            </w:r>
          </w:p>
        </w:tc>
        <w:tc>
          <w:tcPr>
            <w:tcW w:w="1523" w:type="dxa"/>
            <w:tcBorders>
              <w:top w:val="single" w:sz="4" w:space="0" w:color="auto"/>
              <w:left w:val="single" w:sz="4" w:space="0" w:color="auto"/>
              <w:right w:val="single" w:sz="4" w:space="0" w:color="auto"/>
            </w:tcBorders>
            <w:shd w:val="clear" w:color="auto" w:fill="auto"/>
            <w:noWrap/>
            <w:vAlign w:val="bottom"/>
          </w:tcPr>
          <w:p w14:paraId="296EBB35" w14:textId="3CC62088" w:rsidR="00A35BC2" w:rsidRPr="00236418"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236418">
              <w:rPr>
                <w:rFonts w:cs="Calibri"/>
                <w:color w:val="000000"/>
                <w:sz w:val="20"/>
                <w:lang w:eastAsia="zh-CN"/>
              </w:rPr>
              <w:t>207</w:t>
            </w:r>
          </w:p>
        </w:tc>
      </w:tr>
      <w:tr w:rsidR="00A35BC2" w:rsidRPr="00236418" w14:paraId="13672BED" w14:textId="77777777" w:rsidTr="006538EB">
        <w:trPr>
          <w:trHeight w:val="20"/>
          <w:jc w:val="center"/>
        </w:trPr>
        <w:tc>
          <w:tcPr>
            <w:tcW w:w="6505" w:type="dxa"/>
            <w:tcBorders>
              <w:left w:val="single" w:sz="4" w:space="0" w:color="auto"/>
              <w:right w:val="single" w:sz="4" w:space="0" w:color="auto"/>
            </w:tcBorders>
            <w:shd w:val="clear" w:color="auto" w:fill="auto"/>
            <w:noWrap/>
            <w:vAlign w:val="center"/>
          </w:tcPr>
          <w:p w14:paraId="5033D0C4" w14:textId="77777777" w:rsidR="00A35BC2" w:rsidRPr="00236418" w:rsidRDefault="00A35BC2" w:rsidP="009B3D24">
            <w:pPr>
              <w:pStyle w:val="Tabletext"/>
              <w:keepNext/>
              <w:keepLines/>
              <w:spacing w:before="0" w:after="0"/>
              <w:rPr>
                <w:szCs w:val="22"/>
                <w:lang w:eastAsia="zh-CN"/>
              </w:rPr>
            </w:pPr>
            <w:r w:rsidRPr="00236418">
              <w:rPr>
                <w:szCs w:val="22"/>
                <w:lang w:eastAsia="zh-CN"/>
              </w:rPr>
              <w:t>Pertes de change réalisées</w:t>
            </w:r>
          </w:p>
        </w:tc>
        <w:tc>
          <w:tcPr>
            <w:tcW w:w="1523" w:type="dxa"/>
            <w:tcBorders>
              <w:left w:val="single" w:sz="4" w:space="0" w:color="auto"/>
              <w:right w:val="single" w:sz="4" w:space="0" w:color="auto"/>
            </w:tcBorders>
            <w:vAlign w:val="bottom"/>
          </w:tcPr>
          <w:p w14:paraId="6EDCDBFF" w14:textId="085E4CD2" w:rsidR="00A35BC2" w:rsidRPr="00236418"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236418">
              <w:rPr>
                <w:rFonts w:cs="Calibri"/>
                <w:color w:val="000000"/>
                <w:sz w:val="20"/>
                <w:lang w:eastAsia="zh-CN"/>
              </w:rPr>
              <w:t>65</w:t>
            </w:r>
          </w:p>
        </w:tc>
        <w:tc>
          <w:tcPr>
            <w:tcW w:w="1523" w:type="dxa"/>
            <w:tcBorders>
              <w:left w:val="single" w:sz="4" w:space="0" w:color="auto"/>
              <w:right w:val="single" w:sz="4" w:space="0" w:color="auto"/>
            </w:tcBorders>
            <w:shd w:val="clear" w:color="auto" w:fill="auto"/>
            <w:noWrap/>
            <w:vAlign w:val="bottom"/>
          </w:tcPr>
          <w:p w14:paraId="29F0BBF3" w14:textId="17DAC5E5" w:rsidR="00A35BC2" w:rsidRPr="00236418"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236418">
              <w:rPr>
                <w:rFonts w:cs="Calibri"/>
                <w:color w:val="000000"/>
                <w:sz w:val="20"/>
                <w:lang w:eastAsia="zh-CN"/>
              </w:rPr>
              <w:t>84</w:t>
            </w:r>
          </w:p>
        </w:tc>
      </w:tr>
      <w:tr w:rsidR="00A35BC2" w:rsidRPr="00236418" w14:paraId="439838A3" w14:textId="77777777" w:rsidTr="006538EB">
        <w:trPr>
          <w:trHeight w:val="20"/>
          <w:jc w:val="center"/>
        </w:trPr>
        <w:tc>
          <w:tcPr>
            <w:tcW w:w="6505" w:type="dxa"/>
            <w:tcBorders>
              <w:left w:val="single" w:sz="4" w:space="0" w:color="auto"/>
              <w:right w:val="single" w:sz="4" w:space="0" w:color="auto"/>
            </w:tcBorders>
            <w:shd w:val="clear" w:color="auto" w:fill="auto"/>
            <w:noWrap/>
            <w:vAlign w:val="center"/>
          </w:tcPr>
          <w:p w14:paraId="780CE3FC" w14:textId="77777777" w:rsidR="00A35BC2" w:rsidRPr="00236418" w:rsidRDefault="00A35BC2" w:rsidP="009B3D24">
            <w:pPr>
              <w:pStyle w:val="Tabletext"/>
              <w:keepNext/>
              <w:keepLines/>
              <w:spacing w:before="0" w:after="0"/>
              <w:rPr>
                <w:szCs w:val="22"/>
                <w:lang w:eastAsia="zh-CN"/>
              </w:rPr>
            </w:pPr>
            <w:r w:rsidRPr="00236418">
              <w:rPr>
                <w:szCs w:val="22"/>
                <w:lang w:eastAsia="zh-CN"/>
              </w:rPr>
              <w:t>Pertes de change non réalisées</w:t>
            </w:r>
          </w:p>
        </w:tc>
        <w:tc>
          <w:tcPr>
            <w:tcW w:w="1523" w:type="dxa"/>
            <w:tcBorders>
              <w:left w:val="single" w:sz="4" w:space="0" w:color="auto"/>
              <w:right w:val="single" w:sz="4" w:space="0" w:color="auto"/>
            </w:tcBorders>
            <w:vAlign w:val="bottom"/>
          </w:tcPr>
          <w:p w14:paraId="21931FED" w14:textId="10B1B3BD" w:rsidR="00A35BC2" w:rsidRPr="00236418"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236418">
              <w:rPr>
                <w:rFonts w:cs="Calibri"/>
                <w:color w:val="000000"/>
                <w:sz w:val="20"/>
                <w:lang w:eastAsia="zh-CN"/>
              </w:rPr>
              <w:t>3 389</w:t>
            </w:r>
          </w:p>
        </w:tc>
        <w:tc>
          <w:tcPr>
            <w:tcW w:w="1523" w:type="dxa"/>
            <w:tcBorders>
              <w:left w:val="single" w:sz="4" w:space="0" w:color="auto"/>
              <w:right w:val="single" w:sz="4" w:space="0" w:color="auto"/>
            </w:tcBorders>
            <w:shd w:val="clear" w:color="auto" w:fill="auto"/>
            <w:noWrap/>
            <w:vAlign w:val="bottom"/>
          </w:tcPr>
          <w:p w14:paraId="243C97CC" w14:textId="3EE6966B" w:rsidR="00A35BC2" w:rsidRPr="00236418"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236418">
              <w:rPr>
                <w:rFonts w:cs="Calibri"/>
                <w:color w:val="000000"/>
                <w:sz w:val="20"/>
                <w:lang w:eastAsia="zh-CN"/>
              </w:rPr>
              <w:t>329</w:t>
            </w:r>
          </w:p>
        </w:tc>
      </w:tr>
      <w:tr w:rsidR="00A35BC2" w:rsidRPr="00236418" w14:paraId="4211509B" w14:textId="77777777" w:rsidTr="006538EB">
        <w:trPr>
          <w:trHeight w:val="20"/>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1A2A7" w14:textId="77777777" w:rsidR="00A35BC2" w:rsidRPr="00236418" w:rsidRDefault="00A35BC2" w:rsidP="009B3D24">
            <w:pPr>
              <w:pStyle w:val="Tabletext"/>
              <w:keepNext/>
              <w:keepLines/>
              <w:spacing w:before="0" w:after="0"/>
              <w:rPr>
                <w:b/>
                <w:bCs/>
                <w:szCs w:val="22"/>
                <w:lang w:eastAsia="zh-CN"/>
              </w:rPr>
            </w:pPr>
            <w:r w:rsidRPr="00236418">
              <w:rPr>
                <w:b/>
                <w:bCs/>
                <w:szCs w:val="22"/>
                <w:lang w:eastAsia="zh-CN"/>
              </w:rPr>
              <w:t>Charges financières</w:t>
            </w:r>
          </w:p>
        </w:tc>
        <w:tc>
          <w:tcPr>
            <w:tcW w:w="1523" w:type="dxa"/>
            <w:tcBorders>
              <w:top w:val="single" w:sz="4" w:space="0" w:color="auto"/>
              <w:left w:val="single" w:sz="4" w:space="0" w:color="auto"/>
              <w:bottom w:val="single" w:sz="4" w:space="0" w:color="auto"/>
              <w:right w:val="single" w:sz="4" w:space="0" w:color="auto"/>
            </w:tcBorders>
            <w:vAlign w:val="center"/>
          </w:tcPr>
          <w:p w14:paraId="3C89A78D" w14:textId="490720D8" w:rsidR="00A35BC2" w:rsidRPr="00236418" w:rsidRDefault="00A35BC2" w:rsidP="009B3D24">
            <w:pPr>
              <w:pStyle w:val="Tabletext"/>
              <w:keepNext/>
              <w:keepLines/>
              <w:spacing w:before="0" w:after="0"/>
              <w:jc w:val="right"/>
              <w:rPr>
                <w:b/>
                <w:bCs/>
                <w:sz w:val="20"/>
                <w:lang w:eastAsia="zh-CN"/>
              </w:rPr>
            </w:pPr>
            <w:r w:rsidRPr="00236418">
              <w:rPr>
                <w:b/>
                <w:bCs/>
                <w:sz w:val="20"/>
                <w:lang w:eastAsia="zh-CN"/>
              </w:rPr>
              <w:t>3 679</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D9F9F" w14:textId="2F255180" w:rsidR="00A35BC2" w:rsidRPr="00236418" w:rsidRDefault="00A35BC2" w:rsidP="009B3D24">
            <w:pPr>
              <w:pStyle w:val="Tabletext"/>
              <w:keepNext/>
              <w:keepLines/>
              <w:spacing w:before="0" w:after="0"/>
              <w:jc w:val="right"/>
              <w:rPr>
                <w:b/>
                <w:bCs/>
                <w:sz w:val="20"/>
                <w:lang w:eastAsia="zh-CN"/>
              </w:rPr>
            </w:pPr>
            <w:r w:rsidRPr="00236418">
              <w:rPr>
                <w:b/>
                <w:bCs/>
                <w:sz w:val="20"/>
                <w:lang w:eastAsia="zh-CN"/>
              </w:rPr>
              <w:t>621</w:t>
            </w:r>
          </w:p>
        </w:tc>
      </w:tr>
    </w:tbl>
    <w:p w14:paraId="2D4E2CD7" w14:textId="77777777" w:rsidR="00DF6159" w:rsidRPr="00236418" w:rsidRDefault="00DF6159" w:rsidP="009B3D24">
      <w:pPr>
        <w:pStyle w:val="Normalaftertitle"/>
        <w:rPr>
          <w:lang w:eastAsia="zh-CN"/>
        </w:rPr>
      </w:pPr>
      <w:bookmarkStart w:id="2217" w:name="_Toc329178805"/>
      <w:bookmarkStart w:id="2218" w:name="_Toc329181778"/>
      <w:r w:rsidRPr="00236418">
        <w:rPr>
          <w:lang w:eastAsia="zh-CN"/>
        </w:rPr>
        <w:t>Les pertes de change réalisées et non réalisées proviennent pour l'essentiel de la réévaluation des postes ouverts en devises au moment de la clôture annuelle.</w:t>
      </w:r>
      <w:bookmarkEnd w:id="2217"/>
      <w:bookmarkEnd w:id="2218"/>
      <w:r w:rsidRPr="00236418">
        <w:rPr>
          <w:lang w:eastAsia="zh-CN"/>
        </w:rPr>
        <w:t xml:space="preserve"> Cette réévaluation est </w:t>
      </w:r>
      <w:r w:rsidRPr="00236418">
        <w:t xml:space="preserve">annulée à compter du 1er janvier de l'année suivante. </w:t>
      </w:r>
    </w:p>
    <w:p w14:paraId="2B1B087A" w14:textId="77777777" w:rsidR="00DF6159" w:rsidRPr="00236418" w:rsidRDefault="00DF6159" w:rsidP="009B3D24"/>
    <w:p w14:paraId="4720F807" w14:textId="77777777" w:rsidR="00DF6159" w:rsidRPr="00236418" w:rsidRDefault="00DF6159" w:rsidP="009B3D24">
      <w:pPr>
        <w:sectPr w:rsidR="00DF6159" w:rsidRPr="00236418" w:rsidSect="006538EB">
          <w:headerReference w:type="even" r:id="rId45"/>
          <w:headerReference w:type="default" r:id="rId46"/>
          <w:footerReference w:type="even" r:id="rId47"/>
          <w:footerReference w:type="default" r:id="rId48"/>
          <w:footerReference w:type="first" r:id="rId49"/>
          <w:pgSz w:w="11907" w:h="16840" w:code="9"/>
          <w:pgMar w:top="1418" w:right="1134" w:bottom="1418" w:left="1134" w:header="680" w:footer="680" w:gutter="0"/>
          <w:paperSrc w:first="7" w:other="7"/>
          <w:cols w:space="720"/>
          <w:titlePg/>
          <w:docGrid w:linePitch="326"/>
        </w:sectPr>
      </w:pPr>
    </w:p>
    <w:p w14:paraId="56D7F7DD" w14:textId="66679862" w:rsidR="00DF6159" w:rsidRPr="00236418" w:rsidRDefault="00DF6159" w:rsidP="00081C96">
      <w:pPr>
        <w:pStyle w:val="Heading1"/>
        <w:spacing w:before="0" w:after="120"/>
        <w:rPr>
          <w:sz w:val="24"/>
          <w:szCs w:val="24"/>
        </w:rPr>
      </w:pPr>
      <w:bookmarkStart w:id="2219" w:name="_Toc452138640"/>
      <w:bookmarkStart w:id="2220" w:name="_Toc452139089"/>
      <w:bookmarkStart w:id="2221" w:name="_Toc452139453"/>
      <w:bookmarkStart w:id="2222" w:name="_Toc452139859"/>
      <w:bookmarkStart w:id="2223" w:name="_Toc452140733"/>
      <w:bookmarkStart w:id="2224" w:name="_Toc482801521"/>
      <w:bookmarkStart w:id="2225" w:name="_Toc511649500"/>
      <w:bookmarkStart w:id="2226" w:name="_Toc511649863"/>
      <w:bookmarkStart w:id="2227" w:name="_Toc511649986"/>
      <w:bookmarkStart w:id="2228" w:name="_Toc511651246"/>
      <w:bookmarkStart w:id="2229" w:name="_Toc511724109"/>
      <w:bookmarkStart w:id="2230" w:name="_Toc511739098"/>
      <w:bookmarkStart w:id="2231" w:name="_Toc511741269"/>
      <w:bookmarkStart w:id="2232" w:name="_Toc10450782"/>
      <w:bookmarkStart w:id="2233" w:name="_Toc41566368"/>
      <w:bookmarkStart w:id="2234" w:name="_Toc41567380"/>
      <w:bookmarkStart w:id="2235" w:name="_Toc41567876"/>
      <w:bookmarkStart w:id="2236" w:name="_Toc41814972"/>
      <w:bookmarkStart w:id="2237" w:name="_Toc329178806"/>
      <w:bookmarkStart w:id="2238" w:name="_Toc329181779"/>
      <w:bookmarkStart w:id="2239" w:name="_Toc329202605"/>
      <w:bookmarkStart w:id="2240" w:name="_Toc329205037"/>
      <w:bookmarkStart w:id="2241" w:name="_Toc329206874"/>
      <w:bookmarkStart w:id="2242" w:name="_Toc358379955"/>
      <w:bookmarkStart w:id="2243" w:name="_Toc358380498"/>
      <w:bookmarkStart w:id="2244" w:name="_Toc387166666"/>
      <w:bookmarkStart w:id="2245" w:name="_Toc395260951"/>
      <w:bookmarkStart w:id="2246" w:name="_Toc395511738"/>
      <w:r w:rsidRPr="00236418">
        <w:rPr>
          <w:sz w:val="24"/>
          <w:szCs w:val="24"/>
        </w:rPr>
        <w:lastRenderedPageBreak/>
        <w:t>Note 24</w:t>
      </w:r>
      <w:r w:rsidRPr="00236418">
        <w:rPr>
          <w:sz w:val="24"/>
          <w:szCs w:val="24"/>
        </w:rPr>
        <w:tab/>
        <w:t xml:space="preserve">Informations sectorielles – État de la performance financière </w:t>
      </w:r>
      <w:bookmarkEnd w:id="2219"/>
      <w:bookmarkEnd w:id="2220"/>
      <w:bookmarkEnd w:id="2221"/>
      <w:bookmarkEnd w:id="2222"/>
      <w:bookmarkEnd w:id="2223"/>
      <w:bookmarkEnd w:id="2224"/>
      <w:r w:rsidRPr="00236418">
        <w:rPr>
          <w:sz w:val="24"/>
          <w:szCs w:val="24"/>
        </w:rPr>
        <w:t>201</w:t>
      </w:r>
      <w:bookmarkEnd w:id="2225"/>
      <w:bookmarkEnd w:id="2226"/>
      <w:bookmarkEnd w:id="2227"/>
      <w:bookmarkEnd w:id="2228"/>
      <w:bookmarkEnd w:id="2229"/>
      <w:bookmarkEnd w:id="2230"/>
      <w:bookmarkEnd w:id="2231"/>
      <w:bookmarkEnd w:id="2232"/>
      <w:r w:rsidR="000544F9" w:rsidRPr="00236418">
        <w:rPr>
          <w:sz w:val="24"/>
          <w:szCs w:val="24"/>
        </w:rPr>
        <w:t>9</w:t>
      </w:r>
      <w:bookmarkEnd w:id="2233"/>
      <w:bookmarkEnd w:id="2234"/>
      <w:bookmarkEnd w:id="2235"/>
      <w:bookmarkEnd w:id="2236"/>
    </w:p>
    <w:tbl>
      <w:tblPr>
        <w:tblW w:w="5825" w:type="pct"/>
        <w:tblInd w:w="-998" w:type="dxa"/>
        <w:tblLayout w:type="fixed"/>
        <w:tblLook w:val="04A0" w:firstRow="1" w:lastRow="0" w:firstColumn="1" w:lastColumn="0" w:noHBand="0" w:noVBand="1"/>
        <w:tblCaption w:val="E"/>
      </w:tblPr>
      <w:tblGrid>
        <w:gridCol w:w="1563"/>
        <w:gridCol w:w="994"/>
        <w:gridCol w:w="994"/>
        <w:gridCol w:w="1135"/>
        <w:gridCol w:w="1131"/>
        <w:gridCol w:w="991"/>
        <w:gridCol w:w="991"/>
        <w:gridCol w:w="854"/>
        <w:gridCol w:w="799"/>
        <w:gridCol w:w="812"/>
        <w:gridCol w:w="1050"/>
        <w:gridCol w:w="740"/>
        <w:gridCol w:w="711"/>
        <w:gridCol w:w="567"/>
        <w:gridCol w:w="851"/>
        <w:gridCol w:w="1135"/>
        <w:gridCol w:w="985"/>
      </w:tblGrid>
      <w:tr w:rsidR="00DF6159" w:rsidRPr="00236418" w14:paraId="03E70A28" w14:textId="77777777" w:rsidTr="00D77053">
        <w:trPr>
          <w:trHeight w:val="255"/>
        </w:trPr>
        <w:tc>
          <w:tcPr>
            <w:tcW w:w="479" w:type="pct"/>
            <w:tcBorders>
              <w:top w:val="single" w:sz="4" w:space="0" w:color="auto"/>
              <w:left w:val="single" w:sz="4" w:space="0" w:color="auto"/>
              <w:bottom w:val="single" w:sz="4" w:space="0" w:color="auto"/>
              <w:right w:val="nil"/>
            </w:tcBorders>
            <w:shd w:val="clear" w:color="auto" w:fill="auto"/>
            <w:hideMark/>
          </w:tcPr>
          <w:p w14:paraId="364CB287"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En milliers de CHF</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769A555"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Secrétariat</w:t>
            </w:r>
          </w:p>
          <w:p w14:paraId="6AF881DF"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général</w:t>
            </w:r>
          </w:p>
        </w:tc>
        <w:tc>
          <w:tcPr>
            <w:tcW w:w="305" w:type="pct"/>
            <w:tcBorders>
              <w:top w:val="single" w:sz="4" w:space="0" w:color="auto"/>
              <w:left w:val="nil"/>
              <w:bottom w:val="single" w:sz="4" w:space="0" w:color="auto"/>
              <w:right w:val="single" w:sz="4" w:space="0" w:color="auto"/>
            </w:tcBorders>
            <w:shd w:val="clear" w:color="auto" w:fill="auto"/>
            <w:noWrap/>
            <w:hideMark/>
          </w:tcPr>
          <w:p w14:paraId="5A9B399A"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 xml:space="preserve">Secteur des </w:t>
            </w:r>
            <w:proofErr w:type="spellStart"/>
            <w:r w:rsidRPr="00236418">
              <w:rPr>
                <w:rFonts w:asciiTheme="minorHAnsi" w:hAnsiTheme="minorHAnsi"/>
                <w:sz w:val="14"/>
                <w:szCs w:val="14"/>
              </w:rPr>
              <w:t>radiocom</w:t>
            </w:r>
            <w:proofErr w:type="spellEnd"/>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8" w:type="pct"/>
            <w:tcBorders>
              <w:top w:val="single" w:sz="4" w:space="0" w:color="auto"/>
              <w:left w:val="nil"/>
              <w:bottom w:val="single" w:sz="4" w:space="0" w:color="auto"/>
              <w:right w:val="single" w:sz="4" w:space="0" w:color="auto"/>
            </w:tcBorders>
            <w:shd w:val="clear" w:color="auto" w:fill="auto"/>
            <w:noWrap/>
            <w:hideMark/>
          </w:tcPr>
          <w:p w14:paraId="0FFDB0E0"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Secteur de la</w:t>
            </w:r>
            <w:r w:rsidRPr="00236418">
              <w:rPr>
                <w:rFonts w:asciiTheme="minorHAnsi" w:hAnsiTheme="minorHAnsi"/>
                <w:sz w:val="14"/>
                <w:szCs w:val="14"/>
              </w:rPr>
              <w:br/>
              <w:t>normalisation des télécom</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7" w:type="pct"/>
            <w:tcBorders>
              <w:top w:val="single" w:sz="4" w:space="0" w:color="auto"/>
              <w:left w:val="nil"/>
              <w:bottom w:val="single" w:sz="4" w:space="0" w:color="auto"/>
              <w:right w:val="single" w:sz="4" w:space="0" w:color="auto"/>
            </w:tcBorders>
            <w:shd w:val="clear" w:color="auto" w:fill="auto"/>
            <w:noWrap/>
            <w:hideMark/>
          </w:tcPr>
          <w:p w14:paraId="12773262"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 xml:space="preserve">Secteur du </w:t>
            </w:r>
            <w:proofErr w:type="spellStart"/>
            <w:r w:rsidRPr="00236418">
              <w:rPr>
                <w:rFonts w:asciiTheme="minorHAnsi" w:hAnsiTheme="minorHAnsi"/>
                <w:sz w:val="14"/>
                <w:szCs w:val="14"/>
              </w:rPr>
              <w:t>dével</w:t>
            </w:r>
            <w:proofErr w:type="spellEnd"/>
            <w:r w:rsidRPr="00236418">
              <w:rPr>
                <w:rFonts w:asciiTheme="minorHAnsi" w:hAnsiTheme="minorHAnsi"/>
                <w:sz w:val="14"/>
                <w:szCs w:val="14"/>
              </w:rPr>
              <w:t>. des télécom-</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04" w:type="pct"/>
            <w:tcBorders>
              <w:top w:val="single" w:sz="4" w:space="0" w:color="auto"/>
              <w:left w:val="nil"/>
              <w:bottom w:val="single" w:sz="4" w:space="0" w:color="auto"/>
              <w:right w:val="nil"/>
            </w:tcBorders>
            <w:shd w:val="clear" w:color="auto" w:fill="auto"/>
            <w:noWrap/>
            <w:hideMark/>
          </w:tcPr>
          <w:p w14:paraId="01D48524"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Non attribuable à un segment</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510457A5"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Total Fonds 1000+</w:t>
            </w:r>
            <w:r w:rsidRPr="00236418">
              <w:rPr>
                <w:rFonts w:asciiTheme="minorHAnsi" w:hAnsiTheme="minorHAnsi"/>
                <w:sz w:val="14"/>
                <w:szCs w:val="14"/>
              </w:rPr>
              <w:br/>
              <w:t>1010</w:t>
            </w:r>
          </w:p>
        </w:tc>
        <w:tc>
          <w:tcPr>
            <w:tcW w:w="262" w:type="pct"/>
            <w:tcBorders>
              <w:top w:val="single" w:sz="4" w:space="0" w:color="auto"/>
              <w:left w:val="nil"/>
              <w:bottom w:val="single" w:sz="4" w:space="0" w:color="auto"/>
              <w:right w:val="single" w:sz="4" w:space="0" w:color="auto"/>
            </w:tcBorders>
            <w:shd w:val="clear" w:color="auto" w:fill="auto"/>
            <w:noWrap/>
            <w:hideMark/>
          </w:tcPr>
          <w:p w14:paraId="2EA33D2C"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Fonds pour le nouveau bâtiment</w:t>
            </w:r>
          </w:p>
        </w:tc>
        <w:tc>
          <w:tcPr>
            <w:tcW w:w="245" w:type="pct"/>
            <w:tcBorders>
              <w:top w:val="single" w:sz="4" w:space="0" w:color="auto"/>
              <w:left w:val="nil"/>
              <w:bottom w:val="single" w:sz="4" w:space="0" w:color="auto"/>
              <w:right w:val="nil"/>
            </w:tcBorders>
          </w:tcPr>
          <w:p w14:paraId="476E7E80"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Fonds de réserve pour le nouveau bâtiment</w:t>
            </w:r>
          </w:p>
        </w:tc>
        <w:tc>
          <w:tcPr>
            <w:tcW w:w="249" w:type="pct"/>
            <w:tcBorders>
              <w:top w:val="single" w:sz="4" w:space="0" w:color="auto"/>
              <w:left w:val="nil"/>
              <w:bottom w:val="single" w:sz="4" w:space="0" w:color="auto"/>
              <w:right w:val="single" w:sz="4" w:space="0" w:color="auto"/>
            </w:tcBorders>
            <w:shd w:val="clear" w:color="auto" w:fill="auto"/>
            <w:noWrap/>
            <w:hideMark/>
          </w:tcPr>
          <w:p w14:paraId="74F7D335"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 xml:space="preserve">Caisse assurance </w:t>
            </w:r>
          </w:p>
        </w:tc>
        <w:tc>
          <w:tcPr>
            <w:tcW w:w="322" w:type="pct"/>
            <w:tcBorders>
              <w:top w:val="single" w:sz="4" w:space="0" w:color="auto"/>
              <w:left w:val="nil"/>
              <w:bottom w:val="single" w:sz="4" w:space="0" w:color="auto"/>
              <w:right w:val="single" w:sz="4" w:space="0" w:color="auto"/>
            </w:tcBorders>
            <w:shd w:val="clear" w:color="auto" w:fill="auto"/>
            <w:noWrap/>
            <w:hideMark/>
          </w:tcPr>
          <w:p w14:paraId="626E88DF"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 xml:space="preserve">Contributions volontaires </w:t>
            </w:r>
          </w:p>
        </w:tc>
        <w:tc>
          <w:tcPr>
            <w:tcW w:w="227" w:type="pct"/>
            <w:tcBorders>
              <w:top w:val="single" w:sz="4" w:space="0" w:color="auto"/>
              <w:left w:val="nil"/>
              <w:bottom w:val="single" w:sz="4" w:space="0" w:color="auto"/>
              <w:right w:val="single" w:sz="4" w:space="0" w:color="auto"/>
            </w:tcBorders>
            <w:shd w:val="clear" w:color="auto" w:fill="auto"/>
            <w:noWrap/>
            <w:hideMark/>
          </w:tcPr>
          <w:p w14:paraId="4585AD27"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FIT</w:t>
            </w:r>
          </w:p>
        </w:tc>
        <w:tc>
          <w:tcPr>
            <w:tcW w:w="218" w:type="pct"/>
            <w:tcBorders>
              <w:top w:val="single" w:sz="4" w:space="0" w:color="auto"/>
              <w:left w:val="nil"/>
              <w:bottom w:val="single" w:sz="4" w:space="0" w:color="auto"/>
              <w:right w:val="single" w:sz="4" w:space="0" w:color="auto"/>
            </w:tcBorders>
            <w:shd w:val="clear" w:color="auto" w:fill="auto"/>
            <w:noWrap/>
            <w:hideMark/>
          </w:tcPr>
          <w:p w14:paraId="3450785A"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FDTIC</w:t>
            </w:r>
          </w:p>
        </w:tc>
        <w:tc>
          <w:tcPr>
            <w:tcW w:w="174" w:type="pct"/>
            <w:tcBorders>
              <w:top w:val="single" w:sz="4" w:space="0" w:color="auto"/>
              <w:left w:val="nil"/>
              <w:bottom w:val="single" w:sz="4" w:space="0" w:color="auto"/>
              <w:right w:val="single" w:sz="4" w:space="0" w:color="auto"/>
            </w:tcBorders>
            <w:shd w:val="clear" w:color="auto" w:fill="auto"/>
            <w:noWrap/>
            <w:hideMark/>
          </w:tcPr>
          <w:p w14:paraId="0E25DD9B"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 xml:space="preserve">PNUD </w:t>
            </w:r>
          </w:p>
        </w:tc>
        <w:tc>
          <w:tcPr>
            <w:tcW w:w="261" w:type="pct"/>
            <w:tcBorders>
              <w:top w:val="single" w:sz="4" w:space="0" w:color="auto"/>
              <w:left w:val="nil"/>
              <w:bottom w:val="single" w:sz="4" w:space="0" w:color="auto"/>
              <w:right w:val="single" w:sz="4" w:space="0" w:color="auto"/>
            </w:tcBorders>
            <w:shd w:val="clear" w:color="auto" w:fill="auto"/>
            <w:noWrap/>
            <w:hideMark/>
          </w:tcPr>
          <w:p w14:paraId="5DB32CAB"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 xml:space="preserve">TELECOM </w:t>
            </w:r>
          </w:p>
        </w:tc>
        <w:tc>
          <w:tcPr>
            <w:tcW w:w="348" w:type="pct"/>
            <w:tcBorders>
              <w:top w:val="single" w:sz="4" w:space="0" w:color="auto"/>
              <w:left w:val="nil"/>
              <w:bottom w:val="single" w:sz="4" w:space="0" w:color="auto"/>
              <w:right w:val="single" w:sz="4" w:space="0" w:color="auto"/>
            </w:tcBorders>
            <w:shd w:val="clear" w:color="auto" w:fill="auto"/>
            <w:noWrap/>
            <w:hideMark/>
          </w:tcPr>
          <w:p w14:paraId="3DC58027"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Ajustements de consolidation</w:t>
            </w:r>
          </w:p>
        </w:tc>
        <w:tc>
          <w:tcPr>
            <w:tcW w:w="302" w:type="pct"/>
            <w:tcBorders>
              <w:top w:val="single" w:sz="4" w:space="0" w:color="auto"/>
              <w:left w:val="nil"/>
              <w:bottom w:val="single" w:sz="4" w:space="0" w:color="auto"/>
              <w:right w:val="single" w:sz="4" w:space="0" w:color="auto"/>
            </w:tcBorders>
            <w:shd w:val="clear" w:color="auto" w:fill="auto"/>
            <w:noWrap/>
            <w:hideMark/>
          </w:tcPr>
          <w:p w14:paraId="5CD21E73" w14:textId="77777777" w:rsidR="00DF6159" w:rsidRPr="00236418" w:rsidRDefault="00DF6159" w:rsidP="009B3D24">
            <w:pPr>
              <w:pStyle w:val="TableHead0"/>
              <w:spacing w:before="0"/>
              <w:rPr>
                <w:rFonts w:asciiTheme="minorHAnsi" w:hAnsiTheme="minorHAnsi"/>
                <w:sz w:val="14"/>
                <w:szCs w:val="14"/>
              </w:rPr>
            </w:pPr>
            <w:r w:rsidRPr="00236418">
              <w:rPr>
                <w:rFonts w:asciiTheme="minorHAnsi" w:hAnsiTheme="minorHAnsi"/>
                <w:sz w:val="14"/>
                <w:szCs w:val="14"/>
              </w:rPr>
              <w:t>Total</w:t>
            </w:r>
          </w:p>
        </w:tc>
      </w:tr>
      <w:tr w:rsidR="00DF6159" w:rsidRPr="00236418" w14:paraId="64408499" w14:textId="77777777" w:rsidTr="00D77053">
        <w:trPr>
          <w:trHeight w:val="255"/>
        </w:trPr>
        <w:tc>
          <w:tcPr>
            <w:tcW w:w="479" w:type="pct"/>
            <w:tcBorders>
              <w:top w:val="nil"/>
              <w:left w:val="single" w:sz="4" w:space="0" w:color="auto"/>
              <w:bottom w:val="nil"/>
              <w:right w:val="nil"/>
            </w:tcBorders>
            <w:shd w:val="clear" w:color="auto" w:fill="auto"/>
            <w:hideMark/>
          </w:tcPr>
          <w:p w14:paraId="517D54FB" w14:textId="77777777" w:rsidR="00DF6159" w:rsidRPr="00236418" w:rsidRDefault="00DF6159" w:rsidP="009B3D24">
            <w:pPr>
              <w:pStyle w:val="Tabletext"/>
              <w:spacing w:before="40" w:after="0"/>
              <w:rPr>
                <w:b/>
                <w:bCs/>
                <w:sz w:val="14"/>
                <w:szCs w:val="14"/>
                <w:lang w:eastAsia="zh-CN"/>
              </w:rPr>
            </w:pPr>
            <w:r w:rsidRPr="00236418">
              <w:rPr>
                <w:b/>
                <w:bCs/>
                <w:sz w:val="14"/>
                <w:szCs w:val="14"/>
                <w:lang w:eastAsia="zh-CN"/>
              </w:rPr>
              <w:t>PRODUITS</w:t>
            </w:r>
          </w:p>
        </w:tc>
        <w:tc>
          <w:tcPr>
            <w:tcW w:w="305" w:type="pct"/>
            <w:tcBorders>
              <w:top w:val="nil"/>
              <w:left w:val="single" w:sz="4" w:space="0" w:color="auto"/>
              <w:bottom w:val="nil"/>
              <w:right w:val="single" w:sz="4" w:space="0" w:color="auto"/>
            </w:tcBorders>
            <w:shd w:val="clear" w:color="auto" w:fill="auto"/>
            <w:noWrap/>
            <w:vAlign w:val="center"/>
          </w:tcPr>
          <w:p w14:paraId="503200B7" w14:textId="77777777" w:rsidR="00DF6159" w:rsidRPr="00236418" w:rsidRDefault="00DF6159" w:rsidP="009B3D24">
            <w:pPr>
              <w:pStyle w:val="Tabletext"/>
              <w:spacing w:before="0" w:after="0"/>
              <w:jc w:val="right"/>
              <w:rPr>
                <w:sz w:val="14"/>
                <w:szCs w:val="14"/>
                <w:lang w:eastAsia="zh-CN"/>
              </w:rPr>
            </w:pPr>
          </w:p>
        </w:tc>
        <w:tc>
          <w:tcPr>
            <w:tcW w:w="305" w:type="pct"/>
            <w:tcBorders>
              <w:top w:val="nil"/>
              <w:left w:val="nil"/>
              <w:bottom w:val="nil"/>
              <w:right w:val="single" w:sz="4" w:space="0" w:color="auto"/>
            </w:tcBorders>
            <w:shd w:val="clear" w:color="auto" w:fill="auto"/>
            <w:noWrap/>
            <w:vAlign w:val="center"/>
          </w:tcPr>
          <w:p w14:paraId="29525D06" w14:textId="77777777" w:rsidR="00DF6159" w:rsidRPr="00236418" w:rsidRDefault="00DF6159" w:rsidP="009B3D24">
            <w:pPr>
              <w:pStyle w:val="Tabletext"/>
              <w:spacing w:before="0" w:after="0"/>
              <w:jc w:val="right"/>
              <w:rPr>
                <w:sz w:val="14"/>
                <w:szCs w:val="14"/>
                <w:lang w:eastAsia="zh-CN"/>
              </w:rPr>
            </w:pPr>
          </w:p>
        </w:tc>
        <w:tc>
          <w:tcPr>
            <w:tcW w:w="348" w:type="pct"/>
            <w:tcBorders>
              <w:top w:val="nil"/>
              <w:left w:val="nil"/>
              <w:bottom w:val="nil"/>
              <w:right w:val="single" w:sz="4" w:space="0" w:color="auto"/>
            </w:tcBorders>
            <w:shd w:val="clear" w:color="auto" w:fill="auto"/>
            <w:noWrap/>
            <w:vAlign w:val="center"/>
          </w:tcPr>
          <w:p w14:paraId="57C78246" w14:textId="77777777" w:rsidR="00DF6159" w:rsidRPr="00236418" w:rsidRDefault="00DF6159" w:rsidP="009B3D24">
            <w:pPr>
              <w:pStyle w:val="Tabletext"/>
              <w:spacing w:before="0" w:after="0"/>
              <w:jc w:val="right"/>
              <w:rPr>
                <w:sz w:val="14"/>
                <w:szCs w:val="14"/>
                <w:lang w:eastAsia="zh-CN"/>
              </w:rPr>
            </w:pPr>
          </w:p>
        </w:tc>
        <w:tc>
          <w:tcPr>
            <w:tcW w:w="347" w:type="pct"/>
            <w:tcBorders>
              <w:top w:val="nil"/>
              <w:left w:val="nil"/>
              <w:bottom w:val="nil"/>
              <w:right w:val="single" w:sz="4" w:space="0" w:color="auto"/>
            </w:tcBorders>
            <w:shd w:val="clear" w:color="auto" w:fill="auto"/>
            <w:noWrap/>
            <w:vAlign w:val="center"/>
          </w:tcPr>
          <w:p w14:paraId="1BDDA221" w14:textId="77777777" w:rsidR="00DF6159" w:rsidRPr="00236418" w:rsidRDefault="00DF6159" w:rsidP="009B3D24">
            <w:pPr>
              <w:pStyle w:val="Tabletext"/>
              <w:spacing w:before="0" w:after="0"/>
              <w:jc w:val="right"/>
              <w:rPr>
                <w:sz w:val="14"/>
                <w:szCs w:val="14"/>
                <w:lang w:eastAsia="zh-CN"/>
              </w:rPr>
            </w:pPr>
          </w:p>
        </w:tc>
        <w:tc>
          <w:tcPr>
            <w:tcW w:w="304" w:type="pct"/>
            <w:tcBorders>
              <w:top w:val="nil"/>
              <w:left w:val="nil"/>
              <w:bottom w:val="nil"/>
              <w:right w:val="nil"/>
            </w:tcBorders>
            <w:shd w:val="clear" w:color="auto" w:fill="auto"/>
            <w:noWrap/>
            <w:vAlign w:val="center"/>
          </w:tcPr>
          <w:p w14:paraId="20A198A4" w14:textId="77777777" w:rsidR="00DF6159" w:rsidRPr="00236418" w:rsidRDefault="00DF6159" w:rsidP="009B3D24">
            <w:pPr>
              <w:pStyle w:val="Tabletext"/>
              <w:spacing w:before="0" w:after="0"/>
              <w:jc w:val="right"/>
              <w:rPr>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center"/>
          </w:tcPr>
          <w:p w14:paraId="72699E72" w14:textId="77777777" w:rsidR="00DF6159" w:rsidRPr="00236418" w:rsidRDefault="00DF6159" w:rsidP="009B3D24">
            <w:pPr>
              <w:pStyle w:val="Tabletext"/>
              <w:spacing w:before="0" w:after="0"/>
              <w:jc w:val="right"/>
              <w:rPr>
                <w:sz w:val="14"/>
                <w:szCs w:val="14"/>
                <w:lang w:eastAsia="zh-CN"/>
              </w:rPr>
            </w:pPr>
          </w:p>
        </w:tc>
        <w:tc>
          <w:tcPr>
            <w:tcW w:w="262" w:type="pct"/>
            <w:tcBorders>
              <w:top w:val="nil"/>
              <w:left w:val="nil"/>
              <w:bottom w:val="nil"/>
              <w:right w:val="single" w:sz="4" w:space="0" w:color="auto"/>
            </w:tcBorders>
            <w:shd w:val="clear" w:color="auto" w:fill="auto"/>
            <w:noWrap/>
            <w:vAlign w:val="center"/>
            <w:hideMark/>
          </w:tcPr>
          <w:p w14:paraId="58F07792"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245" w:type="pct"/>
            <w:tcBorders>
              <w:top w:val="nil"/>
              <w:left w:val="nil"/>
              <w:bottom w:val="nil"/>
              <w:right w:val="nil"/>
            </w:tcBorders>
          </w:tcPr>
          <w:p w14:paraId="1C27F522" w14:textId="77777777" w:rsidR="00DF6159" w:rsidRPr="00236418" w:rsidRDefault="00DF6159" w:rsidP="009B3D24">
            <w:pPr>
              <w:pStyle w:val="Tabletext"/>
              <w:spacing w:before="0" w:after="0"/>
              <w:jc w:val="right"/>
              <w:rPr>
                <w:sz w:val="14"/>
                <w:szCs w:val="14"/>
                <w:lang w:eastAsia="zh-CN"/>
              </w:rPr>
            </w:pPr>
          </w:p>
        </w:tc>
        <w:tc>
          <w:tcPr>
            <w:tcW w:w="249" w:type="pct"/>
            <w:tcBorders>
              <w:top w:val="nil"/>
              <w:left w:val="nil"/>
              <w:bottom w:val="nil"/>
              <w:right w:val="single" w:sz="4" w:space="0" w:color="auto"/>
            </w:tcBorders>
            <w:shd w:val="clear" w:color="auto" w:fill="auto"/>
            <w:noWrap/>
            <w:vAlign w:val="center"/>
            <w:hideMark/>
          </w:tcPr>
          <w:p w14:paraId="43F3CBB4"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322" w:type="pct"/>
            <w:tcBorders>
              <w:top w:val="nil"/>
              <w:left w:val="nil"/>
              <w:bottom w:val="nil"/>
              <w:right w:val="single" w:sz="4" w:space="0" w:color="auto"/>
            </w:tcBorders>
            <w:shd w:val="clear" w:color="auto" w:fill="auto"/>
            <w:noWrap/>
            <w:vAlign w:val="center"/>
            <w:hideMark/>
          </w:tcPr>
          <w:p w14:paraId="7ADA94A0"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227" w:type="pct"/>
            <w:tcBorders>
              <w:top w:val="nil"/>
              <w:left w:val="nil"/>
              <w:bottom w:val="nil"/>
              <w:right w:val="single" w:sz="4" w:space="0" w:color="auto"/>
            </w:tcBorders>
            <w:shd w:val="clear" w:color="auto" w:fill="auto"/>
            <w:noWrap/>
            <w:vAlign w:val="center"/>
            <w:hideMark/>
          </w:tcPr>
          <w:p w14:paraId="2E84AEF8"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218" w:type="pct"/>
            <w:tcBorders>
              <w:top w:val="nil"/>
              <w:left w:val="nil"/>
              <w:bottom w:val="nil"/>
              <w:right w:val="single" w:sz="4" w:space="0" w:color="auto"/>
            </w:tcBorders>
            <w:shd w:val="clear" w:color="auto" w:fill="auto"/>
            <w:noWrap/>
            <w:vAlign w:val="center"/>
            <w:hideMark/>
          </w:tcPr>
          <w:p w14:paraId="333928DA"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174" w:type="pct"/>
            <w:tcBorders>
              <w:top w:val="nil"/>
              <w:left w:val="nil"/>
              <w:bottom w:val="nil"/>
              <w:right w:val="single" w:sz="4" w:space="0" w:color="auto"/>
            </w:tcBorders>
            <w:shd w:val="clear" w:color="auto" w:fill="auto"/>
            <w:noWrap/>
            <w:vAlign w:val="center"/>
            <w:hideMark/>
          </w:tcPr>
          <w:p w14:paraId="32E0F4FC"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261" w:type="pct"/>
            <w:tcBorders>
              <w:top w:val="nil"/>
              <w:left w:val="nil"/>
              <w:bottom w:val="nil"/>
              <w:right w:val="single" w:sz="4" w:space="0" w:color="auto"/>
            </w:tcBorders>
            <w:shd w:val="clear" w:color="auto" w:fill="auto"/>
            <w:noWrap/>
            <w:vAlign w:val="center"/>
            <w:hideMark/>
          </w:tcPr>
          <w:p w14:paraId="7B232D74"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348" w:type="pct"/>
            <w:tcBorders>
              <w:top w:val="nil"/>
              <w:left w:val="nil"/>
              <w:bottom w:val="nil"/>
              <w:right w:val="single" w:sz="4" w:space="0" w:color="auto"/>
            </w:tcBorders>
            <w:shd w:val="clear" w:color="auto" w:fill="auto"/>
            <w:noWrap/>
            <w:vAlign w:val="center"/>
            <w:hideMark/>
          </w:tcPr>
          <w:p w14:paraId="0F93A70A"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c>
          <w:tcPr>
            <w:tcW w:w="302" w:type="pct"/>
            <w:tcBorders>
              <w:top w:val="nil"/>
              <w:left w:val="nil"/>
              <w:bottom w:val="nil"/>
              <w:right w:val="single" w:sz="4" w:space="0" w:color="auto"/>
            </w:tcBorders>
            <w:shd w:val="clear" w:color="auto" w:fill="auto"/>
            <w:noWrap/>
            <w:vAlign w:val="center"/>
            <w:hideMark/>
          </w:tcPr>
          <w:p w14:paraId="2E7BF3B0" w14:textId="77777777" w:rsidR="00DF6159" w:rsidRPr="00236418" w:rsidRDefault="00DF6159" w:rsidP="009B3D24">
            <w:pPr>
              <w:pStyle w:val="Tabletext"/>
              <w:spacing w:before="0" w:after="0"/>
              <w:jc w:val="right"/>
              <w:rPr>
                <w:sz w:val="14"/>
                <w:szCs w:val="14"/>
                <w:lang w:eastAsia="zh-CN"/>
              </w:rPr>
            </w:pPr>
            <w:r w:rsidRPr="00236418">
              <w:rPr>
                <w:sz w:val="14"/>
                <w:szCs w:val="14"/>
                <w:lang w:eastAsia="zh-CN"/>
              </w:rPr>
              <w:t> </w:t>
            </w:r>
          </w:p>
        </w:tc>
      </w:tr>
      <w:tr w:rsidR="00D77053" w:rsidRPr="00236418" w14:paraId="639083B6" w14:textId="77777777" w:rsidTr="00D77053">
        <w:trPr>
          <w:trHeight w:val="255"/>
        </w:trPr>
        <w:tc>
          <w:tcPr>
            <w:tcW w:w="479" w:type="pct"/>
            <w:tcBorders>
              <w:top w:val="nil"/>
              <w:left w:val="single" w:sz="4" w:space="0" w:color="auto"/>
              <w:bottom w:val="nil"/>
              <w:right w:val="nil"/>
            </w:tcBorders>
            <w:shd w:val="clear" w:color="auto" w:fill="auto"/>
            <w:hideMark/>
          </w:tcPr>
          <w:p w14:paraId="1A2BBD5F" w14:textId="77777777" w:rsidR="00D77053" w:rsidRPr="00236418" w:rsidRDefault="00D77053" w:rsidP="009B3D24">
            <w:pPr>
              <w:pStyle w:val="Tabletext"/>
              <w:spacing w:before="0" w:after="0"/>
              <w:rPr>
                <w:sz w:val="14"/>
                <w:szCs w:val="14"/>
                <w:lang w:eastAsia="zh-CN"/>
              </w:rPr>
            </w:pPr>
            <w:r w:rsidRPr="00236418">
              <w:rPr>
                <w:sz w:val="14"/>
                <w:szCs w:val="14"/>
              </w:rPr>
              <w:t>Contributions mise en recouvrement</w:t>
            </w:r>
          </w:p>
        </w:tc>
        <w:tc>
          <w:tcPr>
            <w:tcW w:w="305" w:type="pct"/>
            <w:tcBorders>
              <w:top w:val="nil"/>
              <w:left w:val="single" w:sz="4" w:space="0" w:color="auto"/>
              <w:bottom w:val="nil"/>
              <w:right w:val="single" w:sz="4" w:space="0" w:color="auto"/>
            </w:tcBorders>
            <w:shd w:val="clear" w:color="auto" w:fill="auto"/>
            <w:noWrap/>
            <w:vAlign w:val="bottom"/>
          </w:tcPr>
          <w:p w14:paraId="1B0CAC8C" w14:textId="7275E05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504431D4" w14:textId="6A1EB74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6 565</w:t>
            </w:r>
          </w:p>
        </w:tc>
        <w:tc>
          <w:tcPr>
            <w:tcW w:w="348" w:type="pct"/>
            <w:tcBorders>
              <w:top w:val="nil"/>
              <w:left w:val="nil"/>
              <w:bottom w:val="nil"/>
              <w:right w:val="single" w:sz="4" w:space="0" w:color="auto"/>
            </w:tcBorders>
            <w:shd w:val="clear" w:color="auto" w:fill="auto"/>
            <w:noWrap/>
            <w:vAlign w:val="bottom"/>
          </w:tcPr>
          <w:p w14:paraId="633869FB" w14:textId="0DAE9E8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8 161</w:t>
            </w:r>
          </w:p>
        </w:tc>
        <w:tc>
          <w:tcPr>
            <w:tcW w:w="347" w:type="pct"/>
            <w:tcBorders>
              <w:top w:val="nil"/>
              <w:left w:val="nil"/>
              <w:bottom w:val="nil"/>
              <w:right w:val="single" w:sz="4" w:space="0" w:color="auto"/>
            </w:tcBorders>
            <w:shd w:val="clear" w:color="auto" w:fill="auto"/>
            <w:noWrap/>
            <w:vAlign w:val="bottom"/>
          </w:tcPr>
          <w:p w14:paraId="0646A578" w14:textId="7D4082A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1</w:t>
            </w:r>
            <w:r w:rsidR="00E05A86" w:rsidRPr="00236418">
              <w:rPr>
                <w:rFonts w:cs="Calibri"/>
                <w:sz w:val="14"/>
                <w:szCs w:val="14"/>
                <w:lang w:eastAsia="en-GB"/>
              </w:rPr>
              <w:t xml:space="preserve"> </w:t>
            </w:r>
            <w:r w:rsidRPr="00236418">
              <w:rPr>
                <w:rFonts w:cs="Calibri"/>
                <w:sz w:val="14"/>
                <w:szCs w:val="14"/>
                <w:lang w:eastAsia="en-GB"/>
              </w:rPr>
              <w:t xml:space="preserve">500 </w:t>
            </w:r>
          </w:p>
        </w:tc>
        <w:tc>
          <w:tcPr>
            <w:tcW w:w="304" w:type="pct"/>
            <w:tcBorders>
              <w:top w:val="nil"/>
              <w:left w:val="nil"/>
              <w:bottom w:val="nil"/>
              <w:right w:val="nil"/>
            </w:tcBorders>
            <w:shd w:val="clear" w:color="auto" w:fill="auto"/>
            <w:noWrap/>
            <w:vAlign w:val="bottom"/>
          </w:tcPr>
          <w:p w14:paraId="5F46938E" w14:textId="459A09A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110</w:t>
            </w:r>
            <w:r w:rsidR="00E05A86" w:rsidRPr="00236418">
              <w:rPr>
                <w:rFonts w:cs="Calibri"/>
                <w:sz w:val="14"/>
                <w:szCs w:val="14"/>
                <w:lang w:eastAsia="en-GB"/>
              </w:rPr>
              <w:t xml:space="preserve"> </w:t>
            </w:r>
            <w:r w:rsidRPr="00236418">
              <w:rPr>
                <w:rFonts w:cs="Calibri"/>
                <w:sz w:val="14"/>
                <w:szCs w:val="14"/>
                <w:lang w:eastAsia="en-GB"/>
              </w:rPr>
              <w:t xml:space="preserve">259 </w:t>
            </w:r>
          </w:p>
        </w:tc>
        <w:tc>
          <w:tcPr>
            <w:tcW w:w="304" w:type="pct"/>
            <w:tcBorders>
              <w:top w:val="nil"/>
              <w:left w:val="single" w:sz="4" w:space="0" w:color="auto"/>
              <w:bottom w:val="nil"/>
              <w:right w:val="single" w:sz="4" w:space="0" w:color="auto"/>
            </w:tcBorders>
            <w:shd w:val="clear" w:color="auto" w:fill="auto"/>
            <w:noWrap/>
            <w:vAlign w:val="bottom"/>
          </w:tcPr>
          <w:p w14:paraId="319799CF" w14:textId="42AF40F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126</w:t>
            </w:r>
            <w:r w:rsidR="00E05A86" w:rsidRPr="00236418">
              <w:rPr>
                <w:rFonts w:cs="Calibri"/>
                <w:b/>
                <w:bCs/>
                <w:sz w:val="14"/>
                <w:szCs w:val="14"/>
                <w:lang w:eastAsia="en-GB"/>
              </w:rPr>
              <w:t xml:space="preserve"> </w:t>
            </w:r>
            <w:r w:rsidRPr="00236418">
              <w:rPr>
                <w:rFonts w:cs="Calibri"/>
                <w:b/>
                <w:bCs/>
                <w:sz w:val="14"/>
                <w:szCs w:val="14"/>
                <w:lang w:eastAsia="en-GB"/>
              </w:rPr>
              <w:t xml:space="preserve">485 </w:t>
            </w:r>
          </w:p>
        </w:tc>
        <w:tc>
          <w:tcPr>
            <w:tcW w:w="262" w:type="pct"/>
            <w:tcBorders>
              <w:top w:val="nil"/>
              <w:left w:val="nil"/>
              <w:bottom w:val="nil"/>
              <w:right w:val="single" w:sz="4" w:space="0" w:color="auto"/>
            </w:tcBorders>
            <w:shd w:val="clear" w:color="auto" w:fill="auto"/>
            <w:noWrap/>
            <w:vAlign w:val="bottom"/>
          </w:tcPr>
          <w:p w14:paraId="1FF47145" w14:textId="30C48D85"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7FAA1A16" w14:textId="732D2BE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3BB7BCC5" w14:textId="69511934"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nil"/>
            </w:tcBorders>
            <w:shd w:val="clear" w:color="auto" w:fill="auto"/>
            <w:noWrap/>
            <w:vAlign w:val="bottom"/>
          </w:tcPr>
          <w:p w14:paraId="12D1B84C" w14:textId="2A80E61E"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Arial"/>
                <w:color w:val="000000"/>
                <w:sz w:val="14"/>
                <w:szCs w:val="14"/>
                <w:lang w:eastAsia="zh-CN"/>
              </w:rPr>
              <w:t>–</w:t>
            </w:r>
          </w:p>
        </w:tc>
        <w:tc>
          <w:tcPr>
            <w:tcW w:w="227" w:type="pct"/>
            <w:tcBorders>
              <w:top w:val="nil"/>
              <w:left w:val="single" w:sz="4" w:space="0" w:color="auto"/>
              <w:bottom w:val="nil"/>
              <w:right w:val="nil"/>
            </w:tcBorders>
            <w:shd w:val="clear" w:color="auto" w:fill="auto"/>
            <w:noWrap/>
            <w:vAlign w:val="bottom"/>
          </w:tcPr>
          <w:p w14:paraId="1297F036" w14:textId="3E7BB982"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single" w:sz="4" w:space="0" w:color="auto"/>
              <w:bottom w:val="nil"/>
              <w:right w:val="nil"/>
            </w:tcBorders>
            <w:shd w:val="clear" w:color="auto" w:fill="auto"/>
            <w:noWrap/>
            <w:vAlign w:val="bottom"/>
          </w:tcPr>
          <w:p w14:paraId="69E70EB9" w14:textId="5EEA6B7C"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single" w:sz="4" w:space="0" w:color="auto"/>
              <w:bottom w:val="nil"/>
              <w:right w:val="single" w:sz="4" w:space="0" w:color="auto"/>
            </w:tcBorders>
            <w:shd w:val="clear" w:color="auto" w:fill="auto"/>
            <w:noWrap/>
            <w:vAlign w:val="bottom"/>
          </w:tcPr>
          <w:p w14:paraId="602CB781" w14:textId="02B5705B"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E88CA13" w14:textId="5FA977ED"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nil"/>
            </w:tcBorders>
            <w:shd w:val="clear" w:color="auto" w:fill="auto"/>
            <w:noWrap/>
            <w:vAlign w:val="bottom"/>
          </w:tcPr>
          <w:p w14:paraId="50BCF831" w14:textId="2E1AA299"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single" w:sz="4" w:space="0" w:color="auto"/>
              <w:bottom w:val="nil"/>
              <w:right w:val="single" w:sz="4" w:space="0" w:color="auto"/>
            </w:tcBorders>
            <w:shd w:val="clear" w:color="auto" w:fill="auto"/>
            <w:noWrap/>
            <w:vAlign w:val="bottom"/>
          </w:tcPr>
          <w:p w14:paraId="7C8A5FF7" w14:textId="598C641A"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126</w:t>
            </w:r>
            <w:r w:rsidR="00AA5101" w:rsidRPr="00236418">
              <w:rPr>
                <w:rFonts w:cs="Calibri"/>
                <w:b/>
                <w:bCs/>
                <w:sz w:val="14"/>
                <w:szCs w:val="14"/>
                <w:lang w:eastAsia="en-GB"/>
              </w:rPr>
              <w:t xml:space="preserve"> </w:t>
            </w:r>
            <w:r w:rsidRPr="00236418">
              <w:rPr>
                <w:rFonts w:cs="Calibri"/>
                <w:b/>
                <w:bCs/>
                <w:sz w:val="14"/>
                <w:szCs w:val="14"/>
                <w:lang w:eastAsia="en-GB"/>
              </w:rPr>
              <w:t>485</w:t>
            </w:r>
          </w:p>
        </w:tc>
      </w:tr>
      <w:tr w:rsidR="00D77053" w:rsidRPr="00236418" w14:paraId="1E8EB1E4" w14:textId="77777777" w:rsidTr="00D77053">
        <w:trPr>
          <w:trHeight w:val="255"/>
        </w:trPr>
        <w:tc>
          <w:tcPr>
            <w:tcW w:w="479" w:type="pct"/>
            <w:tcBorders>
              <w:top w:val="nil"/>
              <w:left w:val="single" w:sz="4" w:space="0" w:color="auto"/>
              <w:bottom w:val="nil"/>
              <w:right w:val="nil"/>
            </w:tcBorders>
            <w:shd w:val="clear" w:color="auto" w:fill="auto"/>
            <w:hideMark/>
          </w:tcPr>
          <w:p w14:paraId="3A19B60F" w14:textId="77777777" w:rsidR="00D77053" w:rsidRPr="00236418" w:rsidRDefault="00D77053" w:rsidP="009B3D24">
            <w:pPr>
              <w:pStyle w:val="Tabletext"/>
              <w:spacing w:before="0" w:after="0"/>
              <w:rPr>
                <w:sz w:val="14"/>
                <w:szCs w:val="14"/>
                <w:lang w:eastAsia="zh-CN"/>
              </w:rPr>
            </w:pPr>
            <w:r w:rsidRPr="00236418">
              <w:rPr>
                <w:sz w:val="14"/>
                <w:szCs w:val="14"/>
              </w:rPr>
              <w:t>Contributions volontaires</w:t>
            </w:r>
          </w:p>
        </w:tc>
        <w:tc>
          <w:tcPr>
            <w:tcW w:w="305" w:type="pct"/>
            <w:tcBorders>
              <w:top w:val="nil"/>
              <w:left w:val="single" w:sz="4" w:space="0" w:color="auto"/>
              <w:bottom w:val="nil"/>
              <w:right w:val="single" w:sz="4" w:space="0" w:color="auto"/>
            </w:tcBorders>
            <w:shd w:val="clear" w:color="auto" w:fill="auto"/>
            <w:noWrap/>
            <w:vAlign w:val="bottom"/>
          </w:tcPr>
          <w:p w14:paraId="076A283B" w14:textId="2F2D056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0E961D8D" w14:textId="3769458E"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2FF873F4" w14:textId="7F058B3E"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6985274A" w14:textId="55858C65"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4" w:type="pct"/>
            <w:tcBorders>
              <w:top w:val="nil"/>
              <w:left w:val="nil"/>
              <w:bottom w:val="nil"/>
              <w:right w:val="nil"/>
            </w:tcBorders>
            <w:shd w:val="clear" w:color="auto" w:fill="auto"/>
            <w:noWrap/>
            <w:vAlign w:val="bottom"/>
          </w:tcPr>
          <w:p w14:paraId="34411EF2" w14:textId="57FF4F7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w:t>
            </w:r>
          </w:p>
        </w:tc>
        <w:tc>
          <w:tcPr>
            <w:tcW w:w="304" w:type="pct"/>
            <w:tcBorders>
              <w:top w:val="nil"/>
              <w:left w:val="single" w:sz="4" w:space="0" w:color="auto"/>
              <w:bottom w:val="nil"/>
              <w:right w:val="single" w:sz="4" w:space="0" w:color="auto"/>
            </w:tcBorders>
            <w:shd w:val="clear" w:color="auto" w:fill="auto"/>
            <w:noWrap/>
            <w:vAlign w:val="bottom"/>
          </w:tcPr>
          <w:p w14:paraId="414CF451" w14:textId="3831994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 </w:t>
            </w:r>
          </w:p>
        </w:tc>
        <w:tc>
          <w:tcPr>
            <w:tcW w:w="262" w:type="pct"/>
            <w:tcBorders>
              <w:top w:val="nil"/>
              <w:left w:val="nil"/>
              <w:bottom w:val="nil"/>
              <w:right w:val="single" w:sz="4" w:space="0" w:color="auto"/>
            </w:tcBorders>
            <w:shd w:val="clear" w:color="auto" w:fill="auto"/>
            <w:noWrap/>
            <w:vAlign w:val="bottom"/>
          </w:tcPr>
          <w:p w14:paraId="4045AF6D" w14:textId="7F76018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4C67C6EF" w14:textId="26FB773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44478C9A" w14:textId="6740BCBA"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07E9B841" w14:textId="6BD1E9CA"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w:t>
            </w:r>
            <w:r w:rsidR="00E05A86" w:rsidRPr="00236418">
              <w:rPr>
                <w:rFonts w:cs="Calibri"/>
                <w:color w:val="000000"/>
                <w:sz w:val="14"/>
                <w:szCs w:val="14"/>
                <w:lang w:eastAsia="en-GB"/>
              </w:rPr>
              <w:t xml:space="preserve"> </w:t>
            </w:r>
            <w:r w:rsidRPr="00236418">
              <w:rPr>
                <w:rFonts w:cs="Calibri"/>
                <w:color w:val="000000"/>
                <w:sz w:val="14"/>
                <w:szCs w:val="14"/>
                <w:lang w:eastAsia="en-GB"/>
              </w:rPr>
              <w:t>740</w:t>
            </w:r>
          </w:p>
        </w:tc>
        <w:tc>
          <w:tcPr>
            <w:tcW w:w="227" w:type="pct"/>
            <w:tcBorders>
              <w:top w:val="nil"/>
              <w:left w:val="nil"/>
              <w:bottom w:val="nil"/>
              <w:right w:val="single" w:sz="4" w:space="0" w:color="auto"/>
            </w:tcBorders>
            <w:shd w:val="clear" w:color="auto" w:fill="auto"/>
            <w:noWrap/>
            <w:vAlign w:val="bottom"/>
          </w:tcPr>
          <w:p w14:paraId="2C4E53F5" w14:textId="6F02CED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6</w:t>
            </w:r>
            <w:r w:rsidR="00E05A86" w:rsidRPr="00236418">
              <w:rPr>
                <w:rFonts w:cs="Calibri"/>
                <w:color w:val="000000"/>
                <w:sz w:val="14"/>
                <w:szCs w:val="14"/>
                <w:lang w:eastAsia="en-GB"/>
              </w:rPr>
              <w:t xml:space="preserve"> </w:t>
            </w:r>
            <w:r w:rsidRPr="00236418">
              <w:rPr>
                <w:rFonts w:cs="Calibri"/>
                <w:color w:val="000000"/>
                <w:sz w:val="14"/>
                <w:szCs w:val="14"/>
                <w:lang w:eastAsia="en-GB"/>
              </w:rPr>
              <w:t>603</w:t>
            </w:r>
          </w:p>
        </w:tc>
        <w:tc>
          <w:tcPr>
            <w:tcW w:w="218" w:type="pct"/>
            <w:tcBorders>
              <w:top w:val="nil"/>
              <w:left w:val="nil"/>
              <w:bottom w:val="nil"/>
              <w:right w:val="single" w:sz="4" w:space="0" w:color="auto"/>
            </w:tcBorders>
            <w:shd w:val="clear" w:color="auto" w:fill="auto"/>
            <w:noWrap/>
            <w:vAlign w:val="bottom"/>
          </w:tcPr>
          <w:p w14:paraId="53F79646" w14:textId="59C6BE1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566</w:t>
            </w:r>
          </w:p>
        </w:tc>
        <w:tc>
          <w:tcPr>
            <w:tcW w:w="174" w:type="pct"/>
            <w:tcBorders>
              <w:top w:val="nil"/>
              <w:left w:val="nil"/>
              <w:bottom w:val="nil"/>
              <w:right w:val="single" w:sz="4" w:space="0" w:color="auto"/>
            </w:tcBorders>
            <w:shd w:val="clear" w:color="auto" w:fill="auto"/>
            <w:noWrap/>
            <w:vAlign w:val="bottom"/>
          </w:tcPr>
          <w:p w14:paraId="5C4CE514" w14:textId="6256C0DB"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r w:rsidR="00D77053" w:rsidRPr="00236418">
              <w:rPr>
                <w:rFonts w:cs="Calibri"/>
                <w:color w:val="000000"/>
                <w:sz w:val="14"/>
                <w:szCs w:val="14"/>
                <w:lang w:eastAsia="en-GB"/>
              </w:rPr>
              <w:t>453</w:t>
            </w:r>
          </w:p>
        </w:tc>
        <w:tc>
          <w:tcPr>
            <w:tcW w:w="261" w:type="pct"/>
            <w:tcBorders>
              <w:top w:val="nil"/>
              <w:left w:val="nil"/>
              <w:bottom w:val="nil"/>
              <w:right w:val="single" w:sz="4" w:space="0" w:color="auto"/>
            </w:tcBorders>
            <w:shd w:val="clear" w:color="auto" w:fill="auto"/>
            <w:noWrap/>
            <w:vAlign w:val="bottom"/>
          </w:tcPr>
          <w:p w14:paraId="0CFD0E74" w14:textId="1030801E"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632037FA" w14:textId="72E896FA"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661068BB" w14:textId="06D1626D"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10</w:t>
            </w:r>
            <w:r w:rsidR="00AA5101" w:rsidRPr="00236418">
              <w:rPr>
                <w:rFonts w:cs="Calibri"/>
                <w:b/>
                <w:bCs/>
                <w:sz w:val="14"/>
                <w:szCs w:val="14"/>
                <w:lang w:eastAsia="en-GB"/>
              </w:rPr>
              <w:t xml:space="preserve"> </w:t>
            </w:r>
            <w:r w:rsidRPr="00236418">
              <w:rPr>
                <w:rFonts w:cs="Calibri"/>
                <w:b/>
                <w:bCs/>
                <w:sz w:val="14"/>
                <w:szCs w:val="14"/>
                <w:lang w:eastAsia="en-GB"/>
              </w:rPr>
              <w:t>456</w:t>
            </w:r>
          </w:p>
        </w:tc>
      </w:tr>
      <w:tr w:rsidR="00D77053" w:rsidRPr="00236418" w14:paraId="06E057F8" w14:textId="77777777" w:rsidTr="00D77053">
        <w:trPr>
          <w:trHeight w:val="255"/>
        </w:trPr>
        <w:tc>
          <w:tcPr>
            <w:tcW w:w="479" w:type="pct"/>
            <w:tcBorders>
              <w:top w:val="nil"/>
              <w:left w:val="single" w:sz="4" w:space="0" w:color="auto"/>
              <w:bottom w:val="nil"/>
              <w:right w:val="nil"/>
            </w:tcBorders>
            <w:shd w:val="clear" w:color="auto" w:fill="auto"/>
            <w:hideMark/>
          </w:tcPr>
          <w:p w14:paraId="634B3724" w14:textId="77777777" w:rsidR="00D77053" w:rsidRPr="00236418" w:rsidRDefault="00D77053" w:rsidP="009B3D24">
            <w:pPr>
              <w:pStyle w:val="Tabletext"/>
              <w:spacing w:before="0" w:after="0"/>
              <w:rPr>
                <w:sz w:val="14"/>
                <w:szCs w:val="14"/>
                <w:lang w:eastAsia="zh-CN"/>
              </w:rPr>
            </w:pPr>
            <w:r w:rsidRPr="00236418">
              <w:rPr>
                <w:sz w:val="14"/>
                <w:szCs w:val="14"/>
              </w:rPr>
              <w:t>Publications</w:t>
            </w:r>
          </w:p>
        </w:tc>
        <w:tc>
          <w:tcPr>
            <w:tcW w:w="305" w:type="pct"/>
            <w:tcBorders>
              <w:top w:val="nil"/>
              <w:left w:val="single" w:sz="4" w:space="0" w:color="auto"/>
              <w:bottom w:val="nil"/>
              <w:right w:val="single" w:sz="4" w:space="0" w:color="auto"/>
            </w:tcBorders>
            <w:shd w:val="clear" w:color="auto" w:fill="auto"/>
            <w:noWrap/>
            <w:vAlign w:val="bottom"/>
          </w:tcPr>
          <w:p w14:paraId="578F4C93" w14:textId="2078B9F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2F797DD8" w14:textId="0649945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62DD8429" w14:textId="0623E2F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6723F7AD" w14:textId="5C2E5E0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4" w:type="pct"/>
            <w:tcBorders>
              <w:top w:val="nil"/>
              <w:left w:val="nil"/>
              <w:bottom w:val="nil"/>
              <w:right w:val="nil"/>
            </w:tcBorders>
            <w:shd w:val="clear" w:color="auto" w:fill="auto"/>
            <w:noWrap/>
            <w:vAlign w:val="bottom"/>
          </w:tcPr>
          <w:p w14:paraId="69E19F6E" w14:textId="605A11F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0FAE3B45" w14:textId="3593F6E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w:t>
            </w:r>
          </w:p>
        </w:tc>
        <w:tc>
          <w:tcPr>
            <w:tcW w:w="262" w:type="pct"/>
            <w:tcBorders>
              <w:top w:val="nil"/>
              <w:left w:val="nil"/>
              <w:bottom w:val="nil"/>
              <w:right w:val="single" w:sz="4" w:space="0" w:color="auto"/>
            </w:tcBorders>
            <w:shd w:val="clear" w:color="auto" w:fill="auto"/>
            <w:noWrap/>
            <w:vAlign w:val="bottom"/>
          </w:tcPr>
          <w:p w14:paraId="2A2486A8" w14:textId="6D258C8E"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564EA489" w14:textId="5D45611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220AFCE1" w14:textId="3995076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A9406CD" w14:textId="1EC45C43"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vAlign w:val="bottom"/>
          </w:tcPr>
          <w:p w14:paraId="3BD5AFC1" w14:textId="60667C1C"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bottom"/>
          </w:tcPr>
          <w:p w14:paraId="0FC44B52" w14:textId="40975B6D"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788A31D9" w14:textId="417FE53A"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68A74059" w14:textId="2FAFC568"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35C9389" w14:textId="5FF4F34D"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4194DC9D" w14:textId="162BB1A4"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w:t>
            </w:r>
          </w:p>
        </w:tc>
      </w:tr>
      <w:tr w:rsidR="00D77053" w:rsidRPr="00236418" w14:paraId="7BBD9A87" w14:textId="77777777" w:rsidTr="00D77053">
        <w:trPr>
          <w:trHeight w:val="255"/>
        </w:trPr>
        <w:tc>
          <w:tcPr>
            <w:tcW w:w="479" w:type="pct"/>
            <w:tcBorders>
              <w:top w:val="nil"/>
              <w:left w:val="single" w:sz="4" w:space="0" w:color="auto"/>
              <w:bottom w:val="nil"/>
              <w:right w:val="nil"/>
            </w:tcBorders>
            <w:shd w:val="clear" w:color="auto" w:fill="auto"/>
            <w:hideMark/>
          </w:tcPr>
          <w:p w14:paraId="679B6BE8" w14:textId="77777777" w:rsidR="00D77053" w:rsidRPr="00236418" w:rsidRDefault="00D77053" w:rsidP="009B3D24">
            <w:pPr>
              <w:pStyle w:val="Tabletext"/>
              <w:spacing w:before="0" w:after="0"/>
              <w:rPr>
                <w:sz w:val="14"/>
                <w:szCs w:val="14"/>
                <w:lang w:eastAsia="zh-CN"/>
              </w:rPr>
            </w:pPr>
            <w:r w:rsidRPr="00236418">
              <w:rPr>
                <w:sz w:val="14"/>
                <w:szCs w:val="14"/>
              </w:rPr>
              <w:t>Recouvrement des coûts</w:t>
            </w:r>
          </w:p>
        </w:tc>
        <w:tc>
          <w:tcPr>
            <w:tcW w:w="305" w:type="pct"/>
            <w:tcBorders>
              <w:top w:val="nil"/>
              <w:left w:val="single" w:sz="4" w:space="0" w:color="auto"/>
              <w:bottom w:val="nil"/>
              <w:right w:val="single" w:sz="4" w:space="0" w:color="auto"/>
            </w:tcBorders>
            <w:shd w:val="clear" w:color="auto" w:fill="auto"/>
            <w:noWrap/>
            <w:vAlign w:val="bottom"/>
          </w:tcPr>
          <w:p w14:paraId="50878091" w14:textId="78395E7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1 585</w:t>
            </w:r>
          </w:p>
        </w:tc>
        <w:tc>
          <w:tcPr>
            <w:tcW w:w="305" w:type="pct"/>
            <w:tcBorders>
              <w:top w:val="nil"/>
              <w:left w:val="nil"/>
              <w:bottom w:val="nil"/>
              <w:right w:val="single" w:sz="4" w:space="0" w:color="auto"/>
            </w:tcBorders>
            <w:shd w:val="clear" w:color="auto" w:fill="auto"/>
            <w:noWrap/>
            <w:vAlign w:val="bottom"/>
          </w:tcPr>
          <w:p w14:paraId="795C19FB" w14:textId="237AE1B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27 507</w:t>
            </w:r>
          </w:p>
        </w:tc>
        <w:tc>
          <w:tcPr>
            <w:tcW w:w="348" w:type="pct"/>
            <w:tcBorders>
              <w:top w:val="nil"/>
              <w:left w:val="nil"/>
              <w:bottom w:val="nil"/>
              <w:right w:val="single" w:sz="4" w:space="0" w:color="auto"/>
            </w:tcBorders>
            <w:shd w:val="clear" w:color="auto" w:fill="auto"/>
            <w:noWrap/>
            <w:vAlign w:val="bottom"/>
          </w:tcPr>
          <w:p w14:paraId="5D5DB42F" w14:textId="1482961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141</w:t>
            </w:r>
          </w:p>
        </w:tc>
        <w:tc>
          <w:tcPr>
            <w:tcW w:w="347" w:type="pct"/>
            <w:tcBorders>
              <w:top w:val="nil"/>
              <w:left w:val="nil"/>
              <w:bottom w:val="nil"/>
              <w:right w:val="single" w:sz="4" w:space="0" w:color="auto"/>
            </w:tcBorders>
            <w:shd w:val="clear" w:color="auto" w:fill="auto"/>
            <w:noWrap/>
            <w:vAlign w:val="bottom"/>
          </w:tcPr>
          <w:p w14:paraId="6ED64E9B" w14:textId="62A653C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110 </w:t>
            </w:r>
          </w:p>
        </w:tc>
        <w:tc>
          <w:tcPr>
            <w:tcW w:w="304" w:type="pct"/>
            <w:tcBorders>
              <w:top w:val="nil"/>
              <w:left w:val="nil"/>
              <w:bottom w:val="nil"/>
              <w:right w:val="nil"/>
            </w:tcBorders>
            <w:shd w:val="clear" w:color="auto" w:fill="auto"/>
            <w:noWrap/>
            <w:vAlign w:val="bottom"/>
          </w:tcPr>
          <w:p w14:paraId="2E9280DA" w14:textId="35C1413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881 </w:t>
            </w:r>
          </w:p>
        </w:tc>
        <w:tc>
          <w:tcPr>
            <w:tcW w:w="304" w:type="pct"/>
            <w:tcBorders>
              <w:top w:val="nil"/>
              <w:left w:val="single" w:sz="4" w:space="0" w:color="auto"/>
              <w:bottom w:val="nil"/>
              <w:right w:val="single" w:sz="4" w:space="0" w:color="auto"/>
            </w:tcBorders>
            <w:shd w:val="clear" w:color="auto" w:fill="auto"/>
            <w:noWrap/>
            <w:vAlign w:val="bottom"/>
          </w:tcPr>
          <w:p w14:paraId="4565FE71" w14:textId="37EB53C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30</w:t>
            </w:r>
            <w:r w:rsidR="00E05A86" w:rsidRPr="00236418">
              <w:rPr>
                <w:rFonts w:cs="Calibri"/>
                <w:b/>
                <w:bCs/>
                <w:sz w:val="14"/>
                <w:szCs w:val="14"/>
                <w:lang w:eastAsia="en-GB"/>
              </w:rPr>
              <w:t xml:space="preserve"> </w:t>
            </w:r>
            <w:r w:rsidRPr="00236418">
              <w:rPr>
                <w:rFonts w:cs="Calibri"/>
                <w:b/>
                <w:bCs/>
                <w:sz w:val="14"/>
                <w:szCs w:val="14"/>
                <w:lang w:eastAsia="en-GB"/>
              </w:rPr>
              <w:t xml:space="preserve">224 </w:t>
            </w:r>
          </w:p>
        </w:tc>
        <w:tc>
          <w:tcPr>
            <w:tcW w:w="262" w:type="pct"/>
            <w:tcBorders>
              <w:top w:val="nil"/>
              <w:left w:val="nil"/>
              <w:bottom w:val="nil"/>
              <w:right w:val="single" w:sz="4" w:space="0" w:color="auto"/>
            </w:tcBorders>
            <w:shd w:val="clear" w:color="auto" w:fill="auto"/>
            <w:noWrap/>
            <w:vAlign w:val="bottom"/>
          </w:tcPr>
          <w:p w14:paraId="74DF0752" w14:textId="548E0EC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2B28BF90" w14:textId="7D37FAA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5549CB02" w14:textId="0D91A5F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0AFDE173" w14:textId="6E143161"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vAlign w:val="bottom"/>
          </w:tcPr>
          <w:p w14:paraId="48BEA476" w14:textId="56B42E57"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bottom"/>
          </w:tcPr>
          <w:p w14:paraId="54B818BC" w14:textId="099B4077"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599C448" w14:textId="6289AC06"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670BCBC8" w14:textId="0534FDB4"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4A959863" w14:textId="421E4DEB"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–1</w:t>
            </w:r>
            <w:r w:rsidR="00AA5101" w:rsidRPr="00236418">
              <w:rPr>
                <w:rFonts w:cs="Calibri"/>
                <w:sz w:val="14"/>
                <w:szCs w:val="14"/>
                <w:lang w:eastAsia="en-GB"/>
              </w:rPr>
              <w:t xml:space="preserve"> </w:t>
            </w:r>
            <w:r w:rsidR="00D77053" w:rsidRPr="00236418">
              <w:rPr>
                <w:rFonts w:cs="Calibri"/>
                <w:sz w:val="14"/>
                <w:szCs w:val="14"/>
                <w:lang w:eastAsia="en-GB"/>
              </w:rPr>
              <w:t xml:space="preserve">971 </w:t>
            </w:r>
          </w:p>
        </w:tc>
        <w:tc>
          <w:tcPr>
            <w:tcW w:w="302" w:type="pct"/>
            <w:tcBorders>
              <w:top w:val="nil"/>
              <w:left w:val="nil"/>
              <w:bottom w:val="nil"/>
              <w:right w:val="single" w:sz="4" w:space="0" w:color="auto"/>
            </w:tcBorders>
            <w:shd w:val="clear" w:color="auto" w:fill="auto"/>
            <w:noWrap/>
            <w:vAlign w:val="bottom"/>
          </w:tcPr>
          <w:p w14:paraId="6803FAE9" w14:textId="548EE098"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28</w:t>
            </w:r>
            <w:r w:rsidR="00AA5101" w:rsidRPr="00236418">
              <w:rPr>
                <w:rFonts w:cs="Calibri"/>
                <w:b/>
                <w:bCs/>
                <w:sz w:val="14"/>
                <w:szCs w:val="14"/>
                <w:lang w:eastAsia="en-GB"/>
              </w:rPr>
              <w:t xml:space="preserve"> </w:t>
            </w:r>
            <w:r w:rsidRPr="00236418">
              <w:rPr>
                <w:rFonts w:cs="Calibri"/>
                <w:b/>
                <w:bCs/>
                <w:sz w:val="14"/>
                <w:szCs w:val="14"/>
                <w:lang w:eastAsia="en-GB"/>
              </w:rPr>
              <w:t>253</w:t>
            </w:r>
          </w:p>
        </w:tc>
      </w:tr>
      <w:tr w:rsidR="00D77053" w:rsidRPr="00236418" w14:paraId="44DC36EB" w14:textId="77777777" w:rsidTr="00D77053">
        <w:trPr>
          <w:trHeight w:val="255"/>
        </w:trPr>
        <w:tc>
          <w:tcPr>
            <w:tcW w:w="479" w:type="pct"/>
            <w:tcBorders>
              <w:top w:val="nil"/>
              <w:left w:val="single" w:sz="4" w:space="0" w:color="auto"/>
              <w:bottom w:val="nil"/>
              <w:right w:val="nil"/>
            </w:tcBorders>
            <w:shd w:val="clear" w:color="auto" w:fill="auto"/>
            <w:hideMark/>
          </w:tcPr>
          <w:p w14:paraId="33DE1DBC" w14:textId="77777777" w:rsidR="00D77053" w:rsidRPr="00236418" w:rsidRDefault="00D77053" w:rsidP="009B3D24">
            <w:pPr>
              <w:pStyle w:val="Tabletext"/>
              <w:spacing w:before="0" w:after="0"/>
              <w:rPr>
                <w:sz w:val="14"/>
                <w:szCs w:val="14"/>
                <w:lang w:eastAsia="zh-CN"/>
              </w:rPr>
            </w:pPr>
            <w:r w:rsidRPr="00236418">
              <w:rPr>
                <w:sz w:val="14"/>
                <w:szCs w:val="14"/>
              </w:rPr>
              <w:t>Autres produits</w:t>
            </w:r>
          </w:p>
        </w:tc>
        <w:tc>
          <w:tcPr>
            <w:tcW w:w="305" w:type="pct"/>
            <w:tcBorders>
              <w:top w:val="nil"/>
              <w:left w:val="single" w:sz="4" w:space="0" w:color="auto"/>
              <w:bottom w:val="nil"/>
              <w:right w:val="single" w:sz="4" w:space="0" w:color="auto"/>
            </w:tcBorders>
            <w:shd w:val="clear" w:color="auto" w:fill="auto"/>
            <w:noWrap/>
            <w:vAlign w:val="bottom"/>
          </w:tcPr>
          <w:p w14:paraId="6B279654" w14:textId="046F56D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47</w:t>
            </w:r>
          </w:p>
        </w:tc>
        <w:tc>
          <w:tcPr>
            <w:tcW w:w="305" w:type="pct"/>
            <w:tcBorders>
              <w:top w:val="nil"/>
              <w:left w:val="nil"/>
              <w:bottom w:val="nil"/>
              <w:right w:val="single" w:sz="4" w:space="0" w:color="auto"/>
            </w:tcBorders>
            <w:shd w:val="clear" w:color="auto" w:fill="auto"/>
            <w:noWrap/>
            <w:vAlign w:val="bottom"/>
          </w:tcPr>
          <w:p w14:paraId="68BEF6F8" w14:textId="5B590FF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178</w:t>
            </w:r>
          </w:p>
        </w:tc>
        <w:tc>
          <w:tcPr>
            <w:tcW w:w="348" w:type="pct"/>
            <w:tcBorders>
              <w:top w:val="nil"/>
              <w:left w:val="nil"/>
              <w:bottom w:val="nil"/>
              <w:right w:val="single" w:sz="4" w:space="0" w:color="auto"/>
            </w:tcBorders>
            <w:shd w:val="clear" w:color="auto" w:fill="auto"/>
            <w:noWrap/>
            <w:vAlign w:val="bottom"/>
          </w:tcPr>
          <w:p w14:paraId="01157C03" w14:textId="27A76CC3"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w:t>
            </w:r>
          </w:p>
        </w:tc>
        <w:tc>
          <w:tcPr>
            <w:tcW w:w="347" w:type="pct"/>
            <w:tcBorders>
              <w:top w:val="nil"/>
              <w:left w:val="nil"/>
              <w:bottom w:val="nil"/>
              <w:right w:val="single" w:sz="4" w:space="0" w:color="auto"/>
            </w:tcBorders>
            <w:shd w:val="clear" w:color="auto" w:fill="auto"/>
            <w:noWrap/>
            <w:vAlign w:val="bottom"/>
          </w:tcPr>
          <w:p w14:paraId="3043327E" w14:textId="578CD1BE"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w:t>
            </w:r>
          </w:p>
        </w:tc>
        <w:tc>
          <w:tcPr>
            <w:tcW w:w="304" w:type="pct"/>
            <w:tcBorders>
              <w:top w:val="nil"/>
              <w:left w:val="nil"/>
              <w:bottom w:val="nil"/>
              <w:right w:val="nil"/>
            </w:tcBorders>
            <w:shd w:val="clear" w:color="auto" w:fill="auto"/>
            <w:noWrap/>
            <w:vAlign w:val="bottom"/>
          </w:tcPr>
          <w:p w14:paraId="1CF4D67B" w14:textId="2CB9D52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1</w:t>
            </w:r>
            <w:r w:rsidR="00E05A86" w:rsidRPr="00236418">
              <w:rPr>
                <w:rFonts w:cs="Calibri"/>
                <w:sz w:val="14"/>
                <w:szCs w:val="14"/>
                <w:lang w:eastAsia="en-GB"/>
              </w:rPr>
              <w:t xml:space="preserve"> </w:t>
            </w:r>
            <w:r w:rsidRPr="00236418">
              <w:rPr>
                <w:rFonts w:cs="Calibri"/>
                <w:sz w:val="14"/>
                <w:szCs w:val="14"/>
                <w:lang w:eastAsia="en-GB"/>
              </w:rPr>
              <w:t xml:space="preserve">104 </w:t>
            </w:r>
          </w:p>
        </w:tc>
        <w:tc>
          <w:tcPr>
            <w:tcW w:w="304" w:type="pct"/>
            <w:tcBorders>
              <w:top w:val="nil"/>
              <w:left w:val="single" w:sz="4" w:space="0" w:color="auto"/>
              <w:bottom w:val="nil"/>
              <w:right w:val="single" w:sz="4" w:space="0" w:color="auto"/>
            </w:tcBorders>
            <w:shd w:val="clear" w:color="auto" w:fill="auto"/>
            <w:noWrap/>
            <w:vAlign w:val="bottom"/>
          </w:tcPr>
          <w:p w14:paraId="77D4EF54" w14:textId="385A5B5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w:t>
            </w:r>
            <w:r w:rsidR="00E05A86" w:rsidRPr="00236418">
              <w:rPr>
                <w:rFonts w:cs="Calibri"/>
                <w:b/>
                <w:bCs/>
                <w:sz w:val="14"/>
                <w:szCs w:val="14"/>
                <w:lang w:eastAsia="en-GB"/>
              </w:rPr>
              <w:t xml:space="preserve"> </w:t>
            </w:r>
            <w:r w:rsidRPr="00236418">
              <w:rPr>
                <w:rFonts w:cs="Calibri"/>
                <w:b/>
                <w:bCs/>
                <w:sz w:val="14"/>
                <w:szCs w:val="14"/>
                <w:lang w:eastAsia="en-GB"/>
              </w:rPr>
              <w:t xml:space="preserve">332 </w:t>
            </w:r>
          </w:p>
        </w:tc>
        <w:tc>
          <w:tcPr>
            <w:tcW w:w="262" w:type="pct"/>
            <w:tcBorders>
              <w:top w:val="nil"/>
              <w:left w:val="nil"/>
              <w:bottom w:val="nil"/>
              <w:right w:val="single" w:sz="4" w:space="0" w:color="auto"/>
            </w:tcBorders>
            <w:shd w:val="clear" w:color="auto" w:fill="auto"/>
            <w:noWrap/>
            <w:vAlign w:val="bottom"/>
          </w:tcPr>
          <w:p w14:paraId="3EEE6C61" w14:textId="68DAF25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5BC09509" w14:textId="024B679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3</w:t>
            </w:r>
            <w:r w:rsidR="00E05A86" w:rsidRPr="00236418">
              <w:rPr>
                <w:rFonts w:cs="Calibri"/>
                <w:sz w:val="14"/>
                <w:szCs w:val="14"/>
                <w:lang w:eastAsia="en-GB"/>
              </w:rPr>
              <w:t xml:space="preserve"> </w:t>
            </w:r>
            <w:r w:rsidRPr="00236418">
              <w:rPr>
                <w:rFonts w:cs="Calibri"/>
                <w:sz w:val="14"/>
                <w:szCs w:val="14"/>
                <w:lang w:eastAsia="en-GB"/>
              </w:rPr>
              <w:t xml:space="preserve">040 </w:t>
            </w:r>
          </w:p>
        </w:tc>
        <w:tc>
          <w:tcPr>
            <w:tcW w:w="249" w:type="pct"/>
            <w:tcBorders>
              <w:top w:val="nil"/>
              <w:left w:val="nil"/>
              <w:bottom w:val="nil"/>
              <w:right w:val="single" w:sz="4" w:space="0" w:color="auto"/>
            </w:tcBorders>
            <w:shd w:val="clear" w:color="auto" w:fill="auto"/>
            <w:noWrap/>
            <w:vAlign w:val="bottom"/>
          </w:tcPr>
          <w:p w14:paraId="06226545" w14:textId="1A739F27" w:rsidR="00D77053"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7093CA3A" w14:textId="677A584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116 </w:t>
            </w:r>
          </w:p>
        </w:tc>
        <w:tc>
          <w:tcPr>
            <w:tcW w:w="227" w:type="pct"/>
            <w:tcBorders>
              <w:top w:val="nil"/>
              <w:left w:val="nil"/>
              <w:bottom w:val="nil"/>
              <w:right w:val="single" w:sz="4" w:space="0" w:color="auto"/>
            </w:tcBorders>
            <w:shd w:val="clear" w:color="auto" w:fill="auto"/>
            <w:noWrap/>
            <w:vAlign w:val="bottom"/>
          </w:tcPr>
          <w:p w14:paraId="70C1FBD1" w14:textId="5524C7A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132 </w:t>
            </w:r>
          </w:p>
        </w:tc>
        <w:tc>
          <w:tcPr>
            <w:tcW w:w="218" w:type="pct"/>
            <w:tcBorders>
              <w:top w:val="nil"/>
              <w:left w:val="nil"/>
              <w:bottom w:val="nil"/>
              <w:right w:val="single" w:sz="4" w:space="0" w:color="auto"/>
            </w:tcBorders>
            <w:shd w:val="clear" w:color="auto" w:fill="auto"/>
            <w:noWrap/>
            <w:vAlign w:val="bottom"/>
          </w:tcPr>
          <w:p w14:paraId="5CE67EBB" w14:textId="2404BCDF"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198A4E0" w14:textId="569946BB"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7F9F028" w14:textId="475612A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6</w:t>
            </w:r>
            <w:r w:rsidR="00AA5101" w:rsidRPr="00236418">
              <w:rPr>
                <w:rFonts w:cs="Calibri"/>
                <w:color w:val="000000"/>
                <w:sz w:val="14"/>
                <w:szCs w:val="14"/>
                <w:lang w:eastAsia="en-GB"/>
              </w:rPr>
              <w:t xml:space="preserve"> </w:t>
            </w:r>
            <w:r w:rsidRPr="00236418">
              <w:rPr>
                <w:rFonts w:cs="Calibri"/>
                <w:color w:val="000000"/>
                <w:sz w:val="14"/>
                <w:szCs w:val="14"/>
                <w:lang w:eastAsia="en-GB"/>
              </w:rPr>
              <w:t xml:space="preserve">908 </w:t>
            </w:r>
          </w:p>
        </w:tc>
        <w:tc>
          <w:tcPr>
            <w:tcW w:w="348" w:type="pct"/>
            <w:tcBorders>
              <w:top w:val="nil"/>
              <w:left w:val="nil"/>
              <w:bottom w:val="nil"/>
              <w:right w:val="single" w:sz="4" w:space="0" w:color="auto"/>
            </w:tcBorders>
            <w:shd w:val="clear" w:color="auto" w:fill="auto"/>
            <w:noWrap/>
            <w:vAlign w:val="bottom"/>
          </w:tcPr>
          <w:p w14:paraId="3A7EECA6" w14:textId="1E98B790"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w:t>
            </w:r>
            <w:r w:rsidR="00D77053" w:rsidRPr="00236418">
              <w:rPr>
                <w:rFonts w:cs="Calibri"/>
                <w:sz w:val="14"/>
                <w:szCs w:val="14"/>
                <w:lang w:eastAsia="en-GB"/>
              </w:rPr>
              <w:t xml:space="preserve">415 </w:t>
            </w:r>
          </w:p>
        </w:tc>
        <w:tc>
          <w:tcPr>
            <w:tcW w:w="302" w:type="pct"/>
            <w:tcBorders>
              <w:top w:val="nil"/>
              <w:left w:val="nil"/>
              <w:bottom w:val="nil"/>
              <w:right w:val="single" w:sz="4" w:space="0" w:color="auto"/>
            </w:tcBorders>
            <w:shd w:val="clear" w:color="auto" w:fill="auto"/>
            <w:noWrap/>
            <w:vAlign w:val="bottom"/>
          </w:tcPr>
          <w:p w14:paraId="32496609" w14:textId="43E126AD"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11</w:t>
            </w:r>
            <w:r w:rsidR="00AA5101" w:rsidRPr="00236418">
              <w:rPr>
                <w:rFonts w:cs="Calibri"/>
                <w:b/>
                <w:bCs/>
                <w:sz w:val="14"/>
                <w:szCs w:val="14"/>
                <w:lang w:eastAsia="en-GB"/>
              </w:rPr>
              <w:t xml:space="preserve"> </w:t>
            </w:r>
            <w:r w:rsidRPr="00236418">
              <w:rPr>
                <w:rFonts w:cs="Calibri"/>
                <w:b/>
                <w:bCs/>
                <w:sz w:val="14"/>
                <w:szCs w:val="14"/>
                <w:lang w:eastAsia="en-GB"/>
              </w:rPr>
              <w:t xml:space="preserve">113 </w:t>
            </w:r>
          </w:p>
        </w:tc>
      </w:tr>
      <w:tr w:rsidR="00D77053" w:rsidRPr="00236418" w14:paraId="4B6ECC36" w14:textId="77777777" w:rsidTr="00D77053">
        <w:trPr>
          <w:trHeight w:val="255"/>
        </w:trPr>
        <w:tc>
          <w:tcPr>
            <w:tcW w:w="479" w:type="pct"/>
            <w:tcBorders>
              <w:top w:val="nil"/>
              <w:left w:val="single" w:sz="4" w:space="0" w:color="auto"/>
              <w:bottom w:val="nil"/>
              <w:right w:val="nil"/>
            </w:tcBorders>
            <w:shd w:val="clear" w:color="auto" w:fill="auto"/>
            <w:hideMark/>
          </w:tcPr>
          <w:p w14:paraId="4F33B26E" w14:textId="77777777" w:rsidR="00D77053" w:rsidRPr="00236418" w:rsidRDefault="00D77053" w:rsidP="009B3D24">
            <w:pPr>
              <w:pStyle w:val="Tabletext"/>
              <w:spacing w:before="0" w:after="0"/>
              <w:rPr>
                <w:sz w:val="14"/>
                <w:szCs w:val="14"/>
                <w:lang w:eastAsia="zh-CN"/>
              </w:rPr>
            </w:pPr>
            <w:r w:rsidRPr="00236418">
              <w:rPr>
                <w:sz w:val="14"/>
                <w:szCs w:val="14"/>
              </w:rPr>
              <w:t>Produits financiers</w:t>
            </w:r>
          </w:p>
        </w:tc>
        <w:tc>
          <w:tcPr>
            <w:tcW w:w="305" w:type="pct"/>
            <w:tcBorders>
              <w:top w:val="nil"/>
              <w:left w:val="single" w:sz="4" w:space="0" w:color="auto"/>
              <w:bottom w:val="nil"/>
              <w:right w:val="single" w:sz="4" w:space="0" w:color="auto"/>
            </w:tcBorders>
            <w:shd w:val="clear" w:color="auto" w:fill="auto"/>
            <w:noWrap/>
            <w:vAlign w:val="bottom"/>
          </w:tcPr>
          <w:p w14:paraId="0D5116BB" w14:textId="758E0363"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7AE1C591" w14:textId="3EC0465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42655060" w14:textId="07C44C7A"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43C940BA" w14:textId="01A4D2C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xml:space="preserve">1 </w:t>
            </w:r>
          </w:p>
        </w:tc>
        <w:tc>
          <w:tcPr>
            <w:tcW w:w="304" w:type="pct"/>
            <w:tcBorders>
              <w:top w:val="nil"/>
              <w:left w:val="nil"/>
              <w:bottom w:val="nil"/>
              <w:right w:val="nil"/>
            </w:tcBorders>
            <w:shd w:val="clear" w:color="auto" w:fill="auto"/>
            <w:noWrap/>
            <w:vAlign w:val="bottom"/>
          </w:tcPr>
          <w:p w14:paraId="1AC4EED9" w14:textId="3C503D7A"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9</w:t>
            </w:r>
            <w:r w:rsidR="00E05A86" w:rsidRPr="00236418">
              <w:rPr>
                <w:rFonts w:cs="Calibri"/>
                <w:sz w:val="14"/>
                <w:szCs w:val="14"/>
                <w:lang w:eastAsia="en-GB"/>
              </w:rPr>
              <w:t xml:space="preserve"> </w:t>
            </w:r>
            <w:r w:rsidRPr="00236418">
              <w:rPr>
                <w:rFonts w:cs="Calibri"/>
                <w:sz w:val="14"/>
                <w:szCs w:val="14"/>
                <w:lang w:eastAsia="en-GB"/>
              </w:rPr>
              <w:t xml:space="preserve">940 </w:t>
            </w:r>
          </w:p>
        </w:tc>
        <w:tc>
          <w:tcPr>
            <w:tcW w:w="304" w:type="pct"/>
            <w:tcBorders>
              <w:top w:val="nil"/>
              <w:left w:val="single" w:sz="4" w:space="0" w:color="auto"/>
              <w:bottom w:val="nil"/>
              <w:right w:val="single" w:sz="4" w:space="0" w:color="auto"/>
            </w:tcBorders>
            <w:shd w:val="clear" w:color="auto" w:fill="auto"/>
            <w:noWrap/>
            <w:vAlign w:val="bottom"/>
          </w:tcPr>
          <w:p w14:paraId="100BB50E" w14:textId="39909CA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9</w:t>
            </w:r>
            <w:r w:rsidR="00E05A86" w:rsidRPr="00236418">
              <w:rPr>
                <w:rFonts w:cs="Calibri"/>
                <w:b/>
                <w:bCs/>
                <w:sz w:val="14"/>
                <w:szCs w:val="14"/>
                <w:lang w:eastAsia="en-GB"/>
              </w:rPr>
              <w:t xml:space="preserve"> </w:t>
            </w:r>
            <w:r w:rsidRPr="00236418">
              <w:rPr>
                <w:rFonts w:cs="Calibri"/>
                <w:b/>
                <w:bCs/>
                <w:sz w:val="14"/>
                <w:szCs w:val="14"/>
                <w:lang w:eastAsia="en-GB"/>
              </w:rPr>
              <w:t xml:space="preserve">942 </w:t>
            </w:r>
          </w:p>
        </w:tc>
        <w:tc>
          <w:tcPr>
            <w:tcW w:w="262" w:type="pct"/>
            <w:tcBorders>
              <w:top w:val="nil"/>
              <w:left w:val="nil"/>
              <w:bottom w:val="nil"/>
              <w:right w:val="single" w:sz="4" w:space="0" w:color="auto"/>
            </w:tcBorders>
            <w:shd w:val="clear" w:color="auto" w:fill="auto"/>
            <w:noWrap/>
            <w:vAlign w:val="bottom"/>
          </w:tcPr>
          <w:p w14:paraId="2C2D92BC" w14:textId="328FD6F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6B62F60F" w14:textId="5F4C742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4E868D64" w14:textId="1CE7D42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AEB1D8E" w14:textId="093DB72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12 </w:t>
            </w:r>
          </w:p>
        </w:tc>
        <w:tc>
          <w:tcPr>
            <w:tcW w:w="227" w:type="pct"/>
            <w:tcBorders>
              <w:top w:val="nil"/>
              <w:left w:val="nil"/>
              <w:bottom w:val="nil"/>
              <w:right w:val="single" w:sz="4" w:space="0" w:color="auto"/>
            </w:tcBorders>
            <w:shd w:val="clear" w:color="auto" w:fill="auto"/>
            <w:noWrap/>
            <w:vAlign w:val="bottom"/>
          </w:tcPr>
          <w:p w14:paraId="48D99D76" w14:textId="3DFA1E0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709 </w:t>
            </w:r>
          </w:p>
        </w:tc>
        <w:tc>
          <w:tcPr>
            <w:tcW w:w="218" w:type="pct"/>
            <w:tcBorders>
              <w:top w:val="nil"/>
              <w:left w:val="nil"/>
              <w:bottom w:val="nil"/>
              <w:right w:val="single" w:sz="4" w:space="0" w:color="auto"/>
            </w:tcBorders>
            <w:shd w:val="clear" w:color="auto" w:fill="auto"/>
            <w:noWrap/>
            <w:vAlign w:val="bottom"/>
          </w:tcPr>
          <w:p w14:paraId="5F7A9FA4" w14:textId="330F44DF"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110</w:t>
            </w:r>
          </w:p>
        </w:tc>
        <w:tc>
          <w:tcPr>
            <w:tcW w:w="174" w:type="pct"/>
            <w:tcBorders>
              <w:top w:val="nil"/>
              <w:left w:val="nil"/>
              <w:bottom w:val="nil"/>
              <w:right w:val="single" w:sz="4" w:space="0" w:color="auto"/>
            </w:tcBorders>
            <w:shd w:val="clear" w:color="auto" w:fill="auto"/>
            <w:noWrap/>
            <w:vAlign w:val="bottom"/>
          </w:tcPr>
          <w:p w14:paraId="7E4B465E" w14:textId="49CF1CB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 96 </w:t>
            </w:r>
          </w:p>
        </w:tc>
        <w:tc>
          <w:tcPr>
            <w:tcW w:w="261" w:type="pct"/>
            <w:tcBorders>
              <w:top w:val="nil"/>
              <w:left w:val="nil"/>
              <w:bottom w:val="nil"/>
              <w:right w:val="single" w:sz="4" w:space="0" w:color="auto"/>
            </w:tcBorders>
            <w:shd w:val="clear" w:color="auto" w:fill="auto"/>
            <w:noWrap/>
            <w:vAlign w:val="bottom"/>
          </w:tcPr>
          <w:p w14:paraId="28D784A7" w14:textId="71611868"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w:t>
            </w:r>
          </w:p>
        </w:tc>
        <w:tc>
          <w:tcPr>
            <w:tcW w:w="348" w:type="pct"/>
            <w:tcBorders>
              <w:top w:val="nil"/>
              <w:left w:val="nil"/>
              <w:bottom w:val="nil"/>
              <w:right w:val="single" w:sz="4" w:space="0" w:color="auto"/>
            </w:tcBorders>
            <w:shd w:val="clear" w:color="auto" w:fill="auto"/>
            <w:noWrap/>
            <w:vAlign w:val="bottom"/>
          </w:tcPr>
          <w:p w14:paraId="6F08C1EC" w14:textId="5ACCB552"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3E0470F9" w14:textId="19C086BD"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10</w:t>
            </w:r>
            <w:r w:rsidR="00AA5101" w:rsidRPr="00236418">
              <w:rPr>
                <w:rFonts w:cs="Calibri"/>
                <w:b/>
                <w:bCs/>
                <w:sz w:val="14"/>
                <w:szCs w:val="14"/>
                <w:lang w:eastAsia="en-GB"/>
              </w:rPr>
              <w:t xml:space="preserve"> </w:t>
            </w:r>
            <w:r w:rsidRPr="00236418">
              <w:rPr>
                <w:rFonts w:cs="Calibri"/>
                <w:b/>
                <w:bCs/>
                <w:sz w:val="14"/>
                <w:szCs w:val="14"/>
                <w:lang w:eastAsia="en-GB"/>
              </w:rPr>
              <w:t>871</w:t>
            </w:r>
          </w:p>
        </w:tc>
      </w:tr>
      <w:tr w:rsidR="00D77053" w:rsidRPr="00236418" w14:paraId="004B187B" w14:textId="77777777" w:rsidTr="00D77053">
        <w:trPr>
          <w:trHeight w:val="255"/>
        </w:trPr>
        <w:tc>
          <w:tcPr>
            <w:tcW w:w="479" w:type="pct"/>
            <w:tcBorders>
              <w:top w:val="nil"/>
              <w:left w:val="single" w:sz="4" w:space="0" w:color="auto"/>
              <w:bottom w:val="nil"/>
              <w:right w:val="nil"/>
            </w:tcBorders>
            <w:shd w:val="clear" w:color="auto" w:fill="auto"/>
            <w:hideMark/>
          </w:tcPr>
          <w:p w14:paraId="749CFF97" w14:textId="77777777" w:rsidR="00D77053" w:rsidRPr="00236418" w:rsidRDefault="00D77053" w:rsidP="009B3D24">
            <w:pPr>
              <w:pStyle w:val="Tabletext"/>
              <w:spacing w:before="0" w:after="0"/>
              <w:rPr>
                <w:sz w:val="14"/>
                <w:szCs w:val="14"/>
                <w:lang w:eastAsia="zh-CN"/>
              </w:rPr>
            </w:pPr>
            <w:r w:rsidRPr="00236418">
              <w:rPr>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46064B1A"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7A7BF909"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10DD140"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0A2124D9" w14:textId="1483D32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nil"/>
              <w:bottom w:val="nil"/>
              <w:right w:val="nil"/>
            </w:tcBorders>
            <w:shd w:val="clear" w:color="auto" w:fill="auto"/>
            <w:noWrap/>
            <w:vAlign w:val="bottom"/>
          </w:tcPr>
          <w:p w14:paraId="348F4CD6" w14:textId="2048ECE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78836EF7" w14:textId="28B5B41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6544EB48" w14:textId="5DCB6D9D"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45" w:type="pct"/>
            <w:tcBorders>
              <w:top w:val="nil"/>
              <w:left w:val="nil"/>
              <w:bottom w:val="nil"/>
              <w:right w:val="single" w:sz="4" w:space="0" w:color="auto"/>
            </w:tcBorders>
            <w:shd w:val="clear" w:color="auto" w:fill="auto"/>
            <w:vAlign w:val="bottom"/>
          </w:tcPr>
          <w:p w14:paraId="200320D2" w14:textId="131224F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330ECED7" w14:textId="04B179B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5A21CA92" w14:textId="2797BD2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5D653348" w14:textId="03410A58"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0E6D2EBF" w14:textId="71367EC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0DA703D8" w14:textId="52AA639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5B4B409F" w14:textId="6DBBC41D"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70FAF4B7" w14:textId="575F7D14"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668B1254" w14:textId="6374C854"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p>
        </w:tc>
      </w:tr>
      <w:tr w:rsidR="00D77053" w:rsidRPr="00236418" w14:paraId="7A1A4A3B" w14:textId="77777777" w:rsidTr="00D77053">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5BF6D2BD" w14:textId="77777777" w:rsidR="00D77053" w:rsidRPr="00236418" w:rsidRDefault="00D77053" w:rsidP="009B3D24">
            <w:pPr>
              <w:pStyle w:val="Tabletext"/>
              <w:spacing w:before="0" w:after="0"/>
              <w:rPr>
                <w:b/>
                <w:bCs/>
                <w:sz w:val="14"/>
                <w:szCs w:val="14"/>
                <w:lang w:eastAsia="zh-CN"/>
              </w:rPr>
            </w:pPr>
            <w:r w:rsidRPr="00236418">
              <w:rPr>
                <w:b/>
                <w:bCs/>
                <w:sz w:val="14"/>
                <w:szCs w:val="14"/>
                <w:lang w:eastAsia="zh-CN"/>
              </w:rPr>
              <w:t>Total des produits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F955F" w14:textId="4580A783"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1 632</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36123747" w14:textId="7BC3D58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34 250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3DF697E" w14:textId="6135881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8 304</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5CDF0AA5" w14:textId="6F1E1464"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1</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 xml:space="preserve">612 </w:t>
            </w:r>
          </w:p>
        </w:tc>
        <w:tc>
          <w:tcPr>
            <w:tcW w:w="304" w:type="pct"/>
            <w:tcBorders>
              <w:top w:val="single" w:sz="4" w:space="0" w:color="auto"/>
              <w:left w:val="nil"/>
              <w:bottom w:val="single" w:sz="4" w:space="0" w:color="auto"/>
              <w:right w:val="nil"/>
            </w:tcBorders>
            <w:shd w:val="clear" w:color="auto" w:fill="auto"/>
            <w:noWrap/>
            <w:vAlign w:val="center"/>
          </w:tcPr>
          <w:p w14:paraId="73A85027" w14:textId="262BA38D"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22,184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7DDCF" w14:textId="7C1F270D"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167</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 xml:space="preserve">983 </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DA50891" w14:textId="6A668D7E"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w:t>
            </w:r>
          </w:p>
        </w:tc>
        <w:tc>
          <w:tcPr>
            <w:tcW w:w="245" w:type="pct"/>
            <w:tcBorders>
              <w:top w:val="single" w:sz="4" w:space="0" w:color="auto"/>
              <w:left w:val="nil"/>
              <w:bottom w:val="single" w:sz="4" w:space="0" w:color="auto"/>
              <w:right w:val="single" w:sz="4" w:space="0" w:color="auto"/>
            </w:tcBorders>
            <w:shd w:val="clear" w:color="auto" w:fill="auto"/>
            <w:vAlign w:val="center"/>
          </w:tcPr>
          <w:p w14:paraId="3F468F9F" w14:textId="686BCDB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3</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 xml:space="preserve">040 </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1100A4CD" w14:textId="157221B0"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 </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60BEFE60" w14:textId="76FF20CE"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3</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 xml:space="preserve">867 </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A3181AB" w14:textId="318794C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7</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 xml:space="preserve">443 </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784839F6" w14:textId="1E981985"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675 </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5E47F18" w14:textId="34AD322C"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w:t>
            </w:r>
            <w:r w:rsidR="00D77053" w:rsidRPr="00236418">
              <w:rPr>
                <w:rFonts w:cs="Calibri"/>
                <w:b/>
                <w:bCs/>
                <w:color w:val="000000"/>
                <w:sz w:val="14"/>
                <w:szCs w:val="14"/>
                <w:lang w:eastAsia="en-GB"/>
              </w:rPr>
              <w:t>357</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9EC5E6A" w14:textId="2D24A1D4"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6</w:t>
            </w:r>
            <w:r w:rsidR="00AA5101" w:rsidRPr="00236418">
              <w:rPr>
                <w:rFonts w:cs="Calibri"/>
                <w:b/>
                <w:bCs/>
                <w:color w:val="000000"/>
                <w:sz w:val="14"/>
                <w:szCs w:val="14"/>
                <w:lang w:eastAsia="en-GB"/>
              </w:rPr>
              <w:t xml:space="preserve"> </w:t>
            </w:r>
            <w:r w:rsidRPr="00236418">
              <w:rPr>
                <w:rFonts w:cs="Calibri"/>
                <w:b/>
                <w:bCs/>
                <w:color w:val="000000"/>
                <w:sz w:val="14"/>
                <w:szCs w:val="14"/>
                <w:lang w:eastAsia="en-GB"/>
              </w:rPr>
              <w:t xml:space="preserve">910 </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BEEBFCD" w14:textId="43C54C52" w:rsidR="00D77053" w:rsidRPr="00236418"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w:t>
            </w:r>
            <w:r w:rsidR="00D77053" w:rsidRPr="00236418">
              <w:rPr>
                <w:rFonts w:cs="Calibri"/>
                <w:b/>
                <w:bCs/>
                <w:color w:val="000000"/>
                <w:sz w:val="14"/>
                <w:szCs w:val="14"/>
                <w:lang w:eastAsia="en-GB"/>
              </w:rPr>
              <w:t>2</w:t>
            </w:r>
            <w:r w:rsidR="00AA5101" w:rsidRPr="00236418">
              <w:rPr>
                <w:rFonts w:cs="Calibri"/>
                <w:b/>
                <w:bCs/>
                <w:color w:val="000000"/>
                <w:sz w:val="14"/>
                <w:szCs w:val="14"/>
                <w:lang w:eastAsia="en-GB"/>
              </w:rPr>
              <w:t xml:space="preserve"> </w:t>
            </w:r>
            <w:r w:rsidR="00D77053" w:rsidRPr="00236418">
              <w:rPr>
                <w:rFonts w:cs="Calibri"/>
                <w:b/>
                <w:bCs/>
                <w:color w:val="000000"/>
                <w:sz w:val="14"/>
                <w:szCs w:val="14"/>
                <w:lang w:eastAsia="en-GB"/>
              </w:rPr>
              <w:t xml:space="preserve">385 </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41411DA0" w14:textId="689AAA5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187</w:t>
            </w:r>
            <w:r w:rsidR="00AA5101" w:rsidRPr="00236418">
              <w:rPr>
                <w:rFonts w:cs="Calibri"/>
                <w:b/>
                <w:bCs/>
                <w:color w:val="000000"/>
                <w:sz w:val="14"/>
                <w:szCs w:val="14"/>
                <w:lang w:eastAsia="en-GB"/>
              </w:rPr>
              <w:t xml:space="preserve"> </w:t>
            </w:r>
            <w:r w:rsidRPr="00236418">
              <w:rPr>
                <w:rFonts w:cs="Calibri"/>
                <w:b/>
                <w:bCs/>
                <w:color w:val="000000"/>
                <w:sz w:val="14"/>
                <w:szCs w:val="14"/>
                <w:lang w:eastAsia="en-GB"/>
              </w:rPr>
              <w:t xml:space="preserve">177 </w:t>
            </w:r>
          </w:p>
        </w:tc>
      </w:tr>
      <w:tr w:rsidR="00D77053" w:rsidRPr="00236418" w14:paraId="7EBE712E" w14:textId="77777777" w:rsidTr="00D77053">
        <w:trPr>
          <w:trHeight w:val="255"/>
        </w:trPr>
        <w:tc>
          <w:tcPr>
            <w:tcW w:w="479" w:type="pct"/>
            <w:tcBorders>
              <w:top w:val="nil"/>
              <w:left w:val="single" w:sz="4" w:space="0" w:color="auto"/>
              <w:bottom w:val="nil"/>
              <w:right w:val="nil"/>
            </w:tcBorders>
            <w:shd w:val="clear" w:color="auto" w:fill="auto"/>
            <w:hideMark/>
          </w:tcPr>
          <w:p w14:paraId="5D9EA1BB" w14:textId="77777777" w:rsidR="00D77053" w:rsidRPr="00236418" w:rsidRDefault="00D77053" w:rsidP="009B3D24">
            <w:pPr>
              <w:pStyle w:val="Tabletext"/>
              <w:spacing w:before="0" w:after="0"/>
              <w:rPr>
                <w:b/>
                <w:bCs/>
                <w:sz w:val="14"/>
                <w:szCs w:val="14"/>
                <w:lang w:eastAsia="zh-CN"/>
              </w:rPr>
            </w:pPr>
            <w:r w:rsidRPr="00236418">
              <w:rPr>
                <w:b/>
                <w:bCs/>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29AF7D25"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4C60B1BB"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48F431A"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770E130F" w14:textId="117DCC15"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nil"/>
              <w:bottom w:val="nil"/>
              <w:right w:val="nil"/>
            </w:tcBorders>
            <w:shd w:val="clear" w:color="auto" w:fill="auto"/>
            <w:noWrap/>
            <w:vAlign w:val="bottom"/>
          </w:tcPr>
          <w:p w14:paraId="71FE25C0" w14:textId="220AE99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3DFB27F8" w14:textId="17AF326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67391A40" w14:textId="372D3AE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45" w:type="pct"/>
            <w:tcBorders>
              <w:top w:val="nil"/>
              <w:left w:val="nil"/>
              <w:bottom w:val="nil"/>
              <w:right w:val="single" w:sz="4" w:space="0" w:color="auto"/>
            </w:tcBorders>
            <w:shd w:val="clear" w:color="auto" w:fill="auto"/>
            <w:vAlign w:val="bottom"/>
          </w:tcPr>
          <w:p w14:paraId="14B0FC31" w14:textId="5D39DDE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64C7AFB4" w14:textId="1002B7E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5BAC664E" w14:textId="53567368"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7FDD96F9" w14:textId="3696501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72F5CA16" w14:textId="3F8B9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5A56A31B" w14:textId="693E758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48BC190D" w14:textId="1C3009A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7319E42E" w14:textId="79EEE8F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4353BE75" w14:textId="5D6C2664"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r>
      <w:tr w:rsidR="00D77053" w:rsidRPr="00236418" w14:paraId="4515EA52" w14:textId="77777777" w:rsidTr="00D77053">
        <w:trPr>
          <w:trHeight w:val="74"/>
        </w:trPr>
        <w:tc>
          <w:tcPr>
            <w:tcW w:w="479" w:type="pct"/>
            <w:tcBorders>
              <w:top w:val="nil"/>
              <w:left w:val="single" w:sz="4" w:space="0" w:color="auto"/>
              <w:bottom w:val="nil"/>
              <w:right w:val="nil"/>
            </w:tcBorders>
            <w:shd w:val="clear" w:color="auto" w:fill="auto"/>
            <w:hideMark/>
          </w:tcPr>
          <w:p w14:paraId="6B08FA61" w14:textId="77777777" w:rsidR="00D77053" w:rsidRPr="00236418" w:rsidRDefault="00D77053" w:rsidP="009B3D24">
            <w:pPr>
              <w:pStyle w:val="Tabletext"/>
              <w:spacing w:before="0" w:after="0"/>
              <w:rPr>
                <w:b/>
                <w:bCs/>
                <w:sz w:val="14"/>
                <w:szCs w:val="14"/>
                <w:lang w:eastAsia="zh-CN"/>
              </w:rPr>
            </w:pPr>
            <w:r w:rsidRPr="00236418">
              <w:rPr>
                <w:b/>
                <w:bCs/>
                <w:sz w:val="14"/>
                <w:szCs w:val="14"/>
                <w:lang w:eastAsia="zh-CN"/>
              </w:rPr>
              <w:t>CHARGES</w:t>
            </w:r>
          </w:p>
        </w:tc>
        <w:tc>
          <w:tcPr>
            <w:tcW w:w="305" w:type="pct"/>
            <w:tcBorders>
              <w:top w:val="nil"/>
              <w:left w:val="single" w:sz="4" w:space="0" w:color="auto"/>
              <w:bottom w:val="nil"/>
              <w:right w:val="single" w:sz="4" w:space="0" w:color="auto"/>
            </w:tcBorders>
            <w:shd w:val="clear" w:color="auto" w:fill="auto"/>
            <w:noWrap/>
            <w:vAlign w:val="bottom"/>
          </w:tcPr>
          <w:p w14:paraId="527A4111"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371EFD52"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AE90BF4"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197C6F54" w14:textId="1909C271"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04" w:type="pct"/>
            <w:tcBorders>
              <w:top w:val="nil"/>
              <w:left w:val="nil"/>
              <w:bottom w:val="nil"/>
              <w:right w:val="nil"/>
            </w:tcBorders>
            <w:shd w:val="clear" w:color="auto" w:fill="auto"/>
            <w:noWrap/>
            <w:vAlign w:val="bottom"/>
          </w:tcPr>
          <w:p w14:paraId="55C79B44" w14:textId="77777777"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659C70EB" w14:textId="2675230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3DA4D2D2" w14:textId="76CE4D76"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45" w:type="pct"/>
            <w:tcBorders>
              <w:top w:val="nil"/>
              <w:left w:val="nil"/>
              <w:bottom w:val="nil"/>
              <w:right w:val="single" w:sz="4" w:space="0" w:color="auto"/>
            </w:tcBorders>
            <w:shd w:val="clear" w:color="auto" w:fill="auto"/>
            <w:vAlign w:val="bottom"/>
          </w:tcPr>
          <w:p w14:paraId="773887E5" w14:textId="637E9A5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4EC25294" w14:textId="0AF483E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0FE6D14F" w14:textId="61741B03"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24F87980" w14:textId="3E3D3ED9"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6B59E702" w14:textId="4EA0CEDE"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73002AD0" w14:textId="0A2CF1CB"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68776DC3" w14:textId="7944B5BC"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48BAC9F3" w14:textId="5BFCE7F4"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40E24FA3" w14:textId="105B62D2" w:rsidR="00D77053" w:rsidRPr="00236418"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cs="Calibri"/>
                <w:sz w:val="14"/>
                <w:szCs w:val="14"/>
                <w:lang w:eastAsia="en-GB"/>
              </w:rPr>
              <w:t> </w:t>
            </w:r>
          </w:p>
        </w:tc>
      </w:tr>
      <w:tr w:rsidR="00116ADE" w:rsidRPr="00236418" w14:paraId="1CD9DF2D" w14:textId="77777777" w:rsidTr="00D77053">
        <w:trPr>
          <w:trHeight w:val="255"/>
        </w:trPr>
        <w:tc>
          <w:tcPr>
            <w:tcW w:w="479" w:type="pct"/>
            <w:tcBorders>
              <w:top w:val="nil"/>
              <w:left w:val="single" w:sz="4" w:space="0" w:color="auto"/>
              <w:bottom w:val="nil"/>
              <w:right w:val="nil"/>
            </w:tcBorders>
            <w:shd w:val="clear" w:color="auto" w:fill="auto"/>
            <w:hideMark/>
          </w:tcPr>
          <w:p w14:paraId="51CE9ADE" w14:textId="77777777" w:rsidR="00116ADE" w:rsidRPr="00236418" w:rsidRDefault="00116ADE" w:rsidP="009B3D24">
            <w:pPr>
              <w:pStyle w:val="Tabletext"/>
              <w:spacing w:before="0" w:after="0"/>
              <w:rPr>
                <w:sz w:val="14"/>
                <w:szCs w:val="14"/>
                <w:lang w:eastAsia="zh-CN"/>
              </w:rPr>
            </w:pPr>
            <w:r w:rsidRPr="00236418">
              <w:rPr>
                <w:sz w:val="14"/>
                <w:szCs w:val="14"/>
              </w:rPr>
              <w:t>Charges de personnel</w:t>
            </w:r>
          </w:p>
        </w:tc>
        <w:tc>
          <w:tcPr>
            <w:tcW w:w="305" w:type="pct"/>
            <w:tcBorders>
              <w:top w:val="nil"/>
              <w:left w:val="single" w:sz="4" w:space="0" w:color="auto"/>
              <w:bottom w:val="nil"/>
              <w:right w:val="single" w:sz="4" w:space="0" w:color="auto"/>
            </w:tcBorders>
            <w:shd w:val="clear" w:color="auto" w:fill="auto"/>
            <w:noWrap/>
            <w:vAlign w:val="bottom"/>
          </w:tcPr>
          <w:p w14:paraId="7E180791" w14:textId="4802916F"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66 704</w:t>
            </w:r>
          </w:p>
        </w:tc>
        <w:tc>
          <w:tcPr>
            <w:tcW w:w="305" w:type="pct"/>
            <w:tcBorders>
              <w:top w:val="nil"/>
              <w:left w:val="nil"/>
              <w:bottom w:val="nil"/>
              <w:right w:val="single" w:sz="4" w:space="0" w:color="auto"/>
            </w:tcBorders>
            <w:shd w:val="clear" w:color="auto" w:fill="auto"/>
            <w:noWrap/>
            <w:vAlign w:val="bottom"/>
          </w:tcPr>
          <w:p w14:paraId="7AE74C78" w14:textId="0143F3A0"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25 865</w:t>
            </w:r>
          </w:p>
        </w:tc>
        <w:tc>
          <w:tcPr>
            <w:tcW w:w="348" w:type="pct"/>
            <w:tcBorders>
              <w:top w:val="nil"/>
              <w:left w:val="nil"/>
              <w:bottom w:val="nil"/>
              <w:right w:val="single" w:sz="4" w:space="0" w:color="auto"/>
            </w:tcBorders>
            <w:shd w:val="clear" w:color="auto" w:fill="auto"/>
            <w:noWrap/>
            <w:vAlign w:val="bottom"/>
          </w:tcPr>
          <w:p w14:paraId="166D8F1B" w14:textId="26E5E7A4"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11 662</w:t>
            </w:r>
          </w:p>
        </w:tc>
        <w:tc>
          <w:tcPr>
            <w:tcW w:w="347" w:type="pct"/>
            <w:tcBorders>
              <w:top w:val="nil"/>
              <w:left w:val="nil"/>
              <w:bottom w:val="nil"/>
              <w:right w:val="single" w:sz="4" w:space="0" w:color="auto"/>
            </w:tcBorders>
            <w:shd w:val="clear" w:color="auto" w:fill="auto"/>
            <w:noWrap/>
            <w:vAlign w:val="bottom"/>
          </w:tcPr>
          <w:p w14:paraId="0417CDDD" w14:textId="79B9A2E0"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543 </w:t>
            </w:r>
          </w:p>
        </w:tc>
        <w:tc>
          <w:tcPr>
            <w:tcW w:w="304" w:type="pct"/>
            <w:tcBorders>
              <w:top w:val="nil"/>
              <w:left w:val="nil"/>
              <w:bottom w:val="nil"/>
              <w:right w:val="nil"/>
            </w:tcBorders>
            <w:shd w:val="clear" w:color="auto" w:fill="auto"/>
            <w:noWrap/>
            <w:vAlign w:val="bottom"/>
          </w:tcPr>
          <w:p w14:paraId="20413C9A" w14:textId="224C42AF"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71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694 </w:t>
            </w:r>
          </w:p>
        </w:tc>
        <w:tc>
          <w:tcPr>
            <w:tcW w:w="304" w:type="pct"/>
            <w:tcBorders>
              <w:top w:val="nil"/>
              <w:left w:val="single" w:sz="4" w:space="0" w:color="auto"/>
              <w:bottom w:val="nil"/>
              <w:right w:val="single" w:sz="4" w:space="0" w:color="auto"/>
            </w:tcBorders>
            <w:shd w:val="clear" w:color="auto" w:fill="auto"/>
            <w:noWrap/>
            <w:vAlign w:val="bottom"/>
          </w:tcPr>
          <w:p w14:paraId="01BEA4F5" w14:textId="3599D589"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197</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468</w:t>
            </w:r>
          </w:p>
        </w:tc>
        <w:tc>
          <w:tcPr>
            <w:tcW w:w="262" w:type="pct"/>
            <w:tcBorders>
              <w:top w:val="nil"/>
              <w:left w:val="nil"/>
              <w:bottom w:val="nil"/>
              <w:right w:val="single" w:sz="4" w:space="0" w:color="auto"/>
            </w:tcBorders>
            <w:shd w:val="clear" w:color="auto" w:fill="auto"/>
            <w:noWrap/>
            <w:vAlign w:val="bottom"/>
          </w:tcPr>
          <w:p w14:paraId="09CB09A6" w14:textId="5C4079DE"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4D3DD316" w14:textId="30902AF1"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57D7E326" w14:textId="25CC2B9B"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17 </w:t>
            </w:r>
          </w:p>
        </w:tc>
        <w:tc>
          <w:tcPr>
            <w:tcW w:w="322" w:type="pct"/>
            <w:tcBorders>
              <w:top w:val="nil"/>
              <w:left w:val="nil"/>
              <w:bottom w:val="nil"/>
              <w:right w:val="single" w:sz="4" w:space="0" w:color="auto"/>
            </w:tcBorders>
            <w:shd w:val="clear" w:color="auto" w:fill="auto"/>
            <w:noWrap/>
            <w:vAlign w:val="bottom"/>
          </w:tcPr>
          <w:p w14:paraId="10321681" w14:textId="237BF1AA"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394 </w:t>
            </w:r>
          </w:p>
        </w:tc>
        <w:tc>
          <w:tcPr>
            <w:tcW w:w="227" w:type="pct"/>
            <w:tcBorders>
              <w:top w:val="nil"/>
              <w:left w:val="nil"/>
              <w:bottom w:val="nil"/>
              <w:right w:val="single" w:sz="4" w:space="0" w:color="auto"/>
            </w:tcBorders>
            <w:shd w:val="clear" w:color="auto" w:fill="auto"/>
            <w:noWrap/>
            <w:vAlign w:val="bottom"/>
          </w:tcPr>
          <w:p w14:paraId="6C960357" w14:textId="3EE5779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490 </w:t>
            </w:r>
          </w:p>
        </w:tc>
        <w:tc>
          <w:tcPr>
            <w:tcW w:w="218" w:type="pct"/>
            <w:tcBorders>
              <w:top w:val="nil"/>
              <w:left w:val="nil"/>
              <w:bottom w:val="nil"/>
              <w:right w:val="single" w:sz="4" w:space="0" w:color="auto"/>
            </w:tcBorders>
            <w:shd w:val="clear" w:color="auto" w:fill="auto"/>
            <w:noWrap/>
            <w:vAlign w:val="bottom"/>
          </w:tcPr>
          <w:p w14:paraId="520B0E73" w14:textId="3E92D53F"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0D3636B6" w14:textId="220B997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73DD8AED" w14:textId="0CA0758E"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w:t>
            </w:r>
            <w:r w:rsidR="00AA5101" w:rsidRPr="00236418">
              <w:rPr>
                <w:rFonts w:cs="Calibri"/>
                <w:color w:val="000000"/>
                <w:sz w:val="14"/>
                <w:szCs w:val="14"/>
                <w:lang w:eastAsia="en-GB"/>
              </w:rPr>
              <w:t xml:space="preserve"> </w:t>
            </w:r>
            <w:r w:rsidRPr="00236418">
              <w:rPr>
                <w:rFonts w:cs="Calibri"/>
                <w:color w:val="000000"/>
                <w:sz w:val="14"/>
                <w:szCs w:val="14"/>
                <w:lang w:eastAsia="en-GB"/>
              </w:rPr>
              <w:t>574</w:t>
            </w:r>
          </w:p>
        </w:tc>
        <w:tc>
          <w:tcPr>
            <w:tcW w:w="348" w:type="pct"/>
            <w:tcBorders>
              <w:top w:val="nil"/>
              <w:left w:val="nil"/>
              <w:bottom w:val="nil"/>
              <w:right w:val="single" w:sz="4" w:space="0" w:color="auto"/>
            </w:tcBorders>
            <w:shd w:val="clear" w:color="auto" w:fill="auto"/>
            <w:noWrap/>
            <w:vAlign w:val="bottom"/>
          </w:tcPr>
          <w:p w14:paraId="1527A9C0" w14:textId="556FC69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2DA7E3C6" w14:textId="3C2274C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203 942 </w:t>
            </w:r>
          </w:p>
        </w:tc>
      </w:tr>
      <w:tr w:rsidR="00116ADE" w:rsidRPr="00236418" w14:paraId="500409CE" w14:textId="77777777" w:rsidTr="00D77053">
        <w:trPr>
          <w:trHeight w:val="255"/>
        </w:trPr>
        <w:tc>
          <w:tcPr>
            <w:tcW w:w="479" w:type="pct"/>
            <w:tcBorders>
              <w:top w:val="nil"/>
              <w:left w:val="single" w:sz="4" w:space="0" w:color="auto"/>
              <w:bottom w:val="nil"/>
              <w:right w:val="nil"/>
            </w:tcBorders>
            <w:shd w:val="clear" w:color="auto" w:fill="auto"/>
          </w:tcPr>
          <w:p w14:paraId="54401068" w14:textId="73789F78" w:rsidR="00116ADE" w:rsidRPr="00236418" w:rsidRDefault="00116ADE" w:rsidP="009B3D24">
            <w:pPr>
              <w:pStyle w:val="Tabletext"/>
              <w:spacing w:before="0" w:after="0"/>
              <w:jc w:val="right"/>
              <w:rPr>
                <w:sz w:val="14"/>
                <w:szCs w:val="14"/>
              </w:rPr>
            </w:pPr>
            <w:r w:rsidRPr="00236418">
              <w:rPr>
                <w:sz w:val="14"/>
                <w:szCs w:val="14"/>
              </w:rPr>
              <w:t>30</w:t>
            </w:r>
          </w:p>
        </w:tc>
        <w:tc>
          <w:tcPr>
            <w:tcW w:w="305" w:type="pct"/>
            <w:tcBorders>
              <w:top w:val="nil"/>
              <w:left w:val="single" w:sz="4" w:space="0" w:color="auto"/>
              <w:bottom w:val="nil"/>
              <w:right w:val="single" w:sz="4" w:space="0" w:color="auto"/>
            </w:tcBorders>
            <w:shd w:val="clear" w:color="auto" w:fill="auto"/>
            <w:noWrap/>
            <w:vAlign w:val="bottom"/>
          </w:tcPr>
          <w:p w14:paraId="38C2397A" w14:textId="7984C2F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46 326</w:t>
            </w:r>
          </w:p>
        </w:tc>
        <w:tc>
          <w:tcPr>
            <w:tcW w:w="305" w:type="pct"/>
            <w:tcBorders>
              <w:top w:val="nil"/>
              <w:left w:val="nil"/>
              <w:bottom w:val="nil"/>
              <w:right w:val="single" w:sz="4" w:space="0" w:color="auto"/>
            </w:tcBorders>
            <w:shd w:val="clear" w:color="auto" w:fill="auto"/>
            <w:noWrap/>
            <w:vAlign w:val="bottom"/>
          </w:tcPr>
          <w:p w14:paraId="0E23D30B" w14:textId="5B72E36F"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19 723</w:t>
            </w:r>
          </w:p>
        </w:tc>
        <w:tc>
          <w:tcPr>
            <w:tcW w:w="348" w:type="pct"/>
            <w:tcBorders>
              <w:top w:val="nil"/>
              <w:left w:val="nil"/>
              <w:bottom w:val="nil"/>
              <w:right w:val="single" w:sz="4" w:space="0" w:color="auto"/>
            </w:tcBorders>
            <w:shd w:val="clear" w:color="auto" w:fill="auto"/>
            <w:noWrap/>
            <w:vAlign w:val="bottom"/>
          </w:tcPr>
          <w:p w14:paraId="0F63F8AF" w14:textId="618C0B10"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8 811</w:t>
            </w:r>
          </w:p>
        </w:tc>
        <w:tc>
          <w:tcPr>
            <w:tcW w:w="347" w:type="pct"/>
            <w:tcBorders>
              <w:top w:val="nil"/>
              <w:left w:val="nil"/>
              <w:bottom w:val="nil"/>
              <w:right w:val="single" w:sz="4" w:space="0" w:color="auto"/>
            </w:tcBorders>
            <w:shd w:val="clear" w:color="auto" w:fill="auto"/>
            <w:noWrap/>
            <w:vAlign w:val="bottom"/>
          </w:tcPr>
          <w:p w14:paraId="09480115" w14:textId="5E33897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15</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787 </w:t>
            </w:r>
          </w:p>
        </w:tc>
        <w:tc>
          <w:tcPr>
            <w:tcW w:w="304" w:type="pct"/>
            <w:tcBorders>
              <w:top w:val="nil"/>
              <w:left w:val="nil"/>
              <w:bottom w:val="nil"/>
              <w:right w:val="nil"/>
            </w:tcBorders>
            <w:shd w:val="clear" w:color="auto" w:fill="auto"/>
            <w:noWrap/>
            <w:vAlign w:val="bottom"/>
          </w:tcPr>
          <w:p w14:paraId="2A5E3C40" w14:textId="67506DF8"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7C3A30DF" w14:textId="7A74F1B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4"/>
                <w:szCs w:val="14"/>
                <w:lang w:eastAsia="en-GB"/>
              </w:rPr>
            </w:pPr>
            <w:r w:rsidRPr="00236418">
              <w:rPr>
                <w:rFonts w:cs="Calibri"/>
                <w:b/>
                <w:bCs/>
                <w:color w:val="000000"/>
                <w:sz w:val="14"/>
                <w:szCs w:val="14"/>
                <w:lang w:eastAsia="en-GB"/>
              </w:rPr>
              <w:t>90</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647</w:t>
            </w:r>
          </w:p>
        </w:tc>
        <w:tc>
          <w:tcPr>
            <w:tcW w:w="262" w:type="pct"/>
            <w:tcBorders>
              <w:top w:val="nil"/>
              <w:left w:val="nil"/>
              <w:bottom w:val="nil"/>
              <w:right w:val="single" w:sz="4" w:space="0" w:color="auto"/>
            </w:tcBorders>
            <w:shd w:val="clear" w:color="auto" w:fill="auto"/>
            <w:noWrap/>
            <w:vAlign w:val="bottom"/>
          </w:tcPr>
          <w:p w14:paraId="5F71E21B" w14:textId="3F1818B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2EFC12D5" w14:textId="1A784A0B"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76B33DF" w14:textId="13BD589F"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06B1B839" w14:textId="510468C4"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112 </w:t>
            </w:r>
          </w:p>
        </w:tc>
        <w:tc>
          <w:tcPr>
            <w:tcW w:w="227" w:type="pct"/>
            <w:tcBorders>
              <w:top w:val="nil"/>
              <w:left w:val="nil"/>
              <w:bottom w:val="nil"/>
              <w:right w:val="single" w:sz="4" w:space="0" w:color="auto"/>
            </w:tcBorders>
            <w:shd w:val="clear" w:color="auto" w:fill="auto"/>
            <w:noWrap/>
            <w:vAlign w:val="bottom"/>
          </w:tcPr>
          <w:p w14:paraId="6AF51DC0" w14:textId="1A9977C6"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2</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010 </w:t>
            </w:r>
          </w:p>
        </w:tc>
        <w:tc>
          <w:tcPr>
            <w:tcW w:w="218" w:type="pct"/>
            <w:tcBorders>
              <w:top w:val="nil"/>
              <w:left w:val="nil"/>
              <w:bottom w:val="nil"/>
              <w:right w:val="single" w:sz="4" w:space="0" w:color="auto"/>
            </w:tcBorders>
            <w:shd w:val="clear" w:color="auto" w:fill="auto"/>
            <w:noWrap/>
            <w:vAlign w:val="bottom"/>
          </w:tcPr>
          <w:p w14:paraId="58832DAF" w14:textId="4306CBD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B7C71CF" w14:textId="76C6CE05"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3026E6DF" w14:textId="03FD2989"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1</w:t>
            </w:r>
            <w:r w:rsidR="00AA5101" w:rsidRPr="00236418">
              <w:rPr>
                <w:rFonts w:cs="Calibri"/>
                <w:color w:val="000000"/>
                <w:sz w:val="14"/>
                <w:szCs w:val="14"/>
                <w:lang w:eastAsia="en-GB"/>
              </w:rPr>
              <w:t xml:space="preserve"> </w:t>
            </w:r>
            <w:r w:rsidRPr="00236418">
              <w:rPr>
                <w:rFonts w:cs="Calibri"/>
                <w:color w:val="000000"/>
                <w:sz w:val="14"/>
                <w:szCs w:val="14"/>
                <w:lang w:eastAsia="en-GB"/>
              </w:rPr>
              <w:t>987</w:t>
            </w:r>
          </w:p>
        </w:tc>
        <w:tc>
          <w:tcPr>
            <w:tcW w:w="348" w:type="pct"/>
            <w:tcBorders>
              <w:top w:val="nil"/>
              <w:left w:val="nil"/>
              <w:bottom w:val="nil"/>
              <w:right w:val="single" w:sz="4" w:space="0" w:color="auto"/>
            </w:tcBorders>
            <w:shd w:val="clear" w:color="auto" w:fill="auto"/>
            <w:noWrap/>
            <w:vAlign w:val="bottom"/>
          </w:tcPr>
          <w:p w14:paraId="5F73B63A" w14:textId="32052339"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7522B844" w14:textId="0A25084B"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4"/>
                <w:szCs w:val="14"/>
                <w:lang w:eastAsia="en-GB"/>
              </w:rPr>
            </w:pPr>
            <w:r w:rsidRPr="00236418">
              <w:rPr>
                <w:rFonts w:cs="Calibri"/>
                <w:b/>
                <w:bCs/>
                <w:sz w:val="14"/>
                <w:szCs w:val="14"/>
                <w:lang w:eastAsia="en-GB"/>
              </w:rPr>
              <w:t xml:space="preserve">95 756 </w:t>
            </w:r>
          </w:p>
        </w:tc>
      </w:tr>
      <w:tr w:rsidR="00116ADE" w:rsidRPr="00236418" w14:paraId="3DA7E6B2" w14:textId="77777777" w:rsidTr="00D77053">
        <w:trPr>
          <w:trHeight w:val="255"/>
        </w:trPr>
        <w:tc>
          <w:tcPr>
            <w:tcW w:w="479" w:type="pct"/>
            <w:tcBorders>
              <w:top w:val="nil"/>
              <w:left w:val="single" w:sz="4" w:space="0" w:color="auto"/>
              <w:bottom w:val="nil"/>
              <w:right w:val="nil"/>
            </w:tcBorders>
            <w:shd w:val="clear" w:color="auto" w:fill="auto"/>
          </w:tcPr>
          <w:p w14:paraId="4FEE8FB0" w14:textId="6678CD45" w:rsidR="00116ADE" w:rsidRPr="00236418" w:rsidRDefault="00116ADE" w:rsidP="009B3D24">
            <w:pPr>
              <w:pStyle w:val="Tabletext"/>
              <w:spacing w:before="0" w:after="0"/>
              <w:jc w:val="right"/>
              <w:rPr>
                <w:sz w:val="14"/>
                <w:szCs w:val="14"/>
              </w:rPr>
            </w:pPr>
            <w:r w:rsidRPr="00236418">
              <w:rPr>
                <w:sz w:val="14"/>
                <w:szCs w:val="14"/>
              </w:rPr>
              <w:t>31</w:t>
            </w:r>
          </w:p>
        </w:tc>
        <w:tc>
          <w:tcPr>
            <w:tcW w:w="305" w:type="pct"/>
            <w:tcBorders>
              <w:top w:val="nil"/>
              <w:left w:val="single" w:sz="4" w:space="0" w:color="auto"/>
              <w:bottom w:val="nil"/>
              <w:right w:val="single" w:sz="4" w:space="0" w:color="auto"/>
            </w:tcBorders>
            <w:shd w:val="clear" w:color="auto" w:fill="auto"/>
            <w:noWrap/>
            <w:vAlign w:val="bottom"/>
          </w:tcPr>
          <w:p w14:paraId="0E0B3E3D" w14:textId="6FF855F3"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20 378</w:t>
            </w:r>
          </w:p>
        </w:tc>
        <w:tc>
          <w:tcPr>
            <w:tcW w:w="305" w:type="pct"/>
            <w:tcBorders>
              <w:top w:val="nil"/>
              <w:left w:val="nil"/>
              <w:bottom w:val="nil"/>
              <w:right w:val="single" w:sz="4" w:space="0" w:color="auto"/>
            </w:tcBorders>
            <w:shd w:val="clear" w:color="auto" w:fill="auto"/>
            <w:noWrap/>
            <w:vAlign w:val="bottom"/>
          </w:tcPr>
          <w:p w14:paraId="605F61D5" w14:textId="25064AA9"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6 142</w:t>
            </w:r>
          </w:p>
        </w:tc>
        <w:tc>
          <w:tcPr>
            <w:tcW w:w="348" w:type="pct"/>
            <w:tcBorders>
              <w:top w:val="nil"/>
              <w:left w:val="nil"/>
              <w:bottom w:val="nil"/>
              <w:right w:val="single" w:sz="4" w:space="0" w:color="auto"/>
            </w:tcBorders>
            <w:shd w:val="clear" w:color="auto" w:fill="auto"/>
            <w:noWrap/>
            <w:vAlign w:val="bottom"/>
          </w:tcPr>
          <w:p w14:paraId="463900A5" w14:textId="7D6AF7DA"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2 851</w:t>
            </w:r>
          </w:p>
        </w:tc>
        <w:tc>
          <w:tcPr>
            <w:tcW w:w="347" w:type="pct"/>
            <w:tcBorders>
              <w:top w:val="nil"/>
              <w:left w:val="nil"/>
              <w:bottom w:val="nil"/>
              <w:right w:val="single" w:sz="4" w:space="0" w:color="auto"/>
            </w:tcBorders>
            <w:shd w:val="clear" w:color="auto" w:fill="auto"/>
            <w:noWrap/>
            <w:vAlign w:val="bottom"/>
          </w:tcPr>
          <w:p w14:paraId="13DA92BC" w14:textId="24D75C11"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5</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756 </w:t>
            </w:r>
          </w:p>
        </w:tc>
        <w:tc>
          <w:tcPr>
            <w:tcW w:w="304" w:type="pct"/>
            <w:tcBorders>
              <w:top w:val="nil"/>
              <w:left w:val="nil"/>
              <w:bottom w:val="nil"/>
              <w:right w:val="nil"/>
            </w:tcBorders>
            <w:shd w:val="clear" w:color="auto" w:fill="auto"/>
            <w:noWrap/>
            <w:vAlign w:val="bottom"/>
          </w:tcPr>
          <w:p w14:paraId="433BF324" w14:textId="237CC93C"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71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694 </w:t>
            </w:r>
          </w:p>
        </w:tc>
        <w:tc>
          <w:tcPr>
            <w:tcW w:w="304" w:type="pct"/>
            <w:tcBorders>
              <w:top w:val="nil"/>
              <w:left w:val="single" w:sz="4" w:space="0" w:color="auto"/>
              <w:bottom w:val="nil"/>
              <w:right w:val="single" w:sz="4" w:space="0" w:color="auto"/>
            </w:tcBorders>
            <w:shd w:val="clear" w:color="auto" w:fill="auto"/>
            <w:noWrap/>
            <w:vAlign w:val="bottom"/>
          </w:tcPr>
          <w:p w14:paraId="6DEB726F" w14:textId="43CD5E0C"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4"/>
                <w:szCs w:val="14"/>
                <w:lang w:eastAsia="en-GB"/>
              </w:rPr>
            </w:pPr>
            <w:r w:rsidRPr="00236418">
              <w:rPr>
                <w:rFonts w:cs="Calibri"/>
                <w:b/>
                <w:bCs/>
                <w:color w:val="000000"/>
                <w:sz w:val="14"/>
                <w:szCs w:val="14"/>
                <w:lang w:eastAsia="en-GB"/>
              </w:rPr>
              <w:t>106</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821</w:t>
            </w:r>
          </w:p>
        </w:tc>
        <w:tc>
          <w:tcPr>
            <w:tcW w:w="262" w:type="pct"/>
            <w:tcBorders>
              <w:top w:val="nil"/>
              <w:left w:val="nil"/>
              <w:bottom w:val="nil"/>
              <w:right w:val="single" w:sz="4" w:space="0" w:color="auto"/>
            </w:tcBorders>
            <w:shd w:val="clear" w:color="auto" w:fill="auto"/>
            <w:noWrap/>
            <w:vAlign w:val="bottom"/>
          </w:tcPr>
          <w:p w14:paraId="7C91FBAA" w14:textId="05E33B7E"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0770A5F7" w14:textId="796DF4E3"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079BBC4A" w14:textId="0A589770"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17</w:t>
            </w:r>
          </w:p>
        </w:tc>
        <w:tc>
          <w:tcPr>
            <w:tcW w:w="322" w:type="pct"/>
            <w:tcBorders>
              <w:top w:val="nil"/>
              <w:left w:val="nil"/>
              <w:bottom w:val="nil"/>
              <w:right w:val="single" w:sz="4" w:space="0" w:color="auto"/>
            </w:tcBorders>
            <w:shd w:val="clear" w:color="auto" w:fill="auto"/>
            <w:noWrap/>
            <w:vAlign w:val="bottom"/>
          </w:tcPr>
          <w:p w14:paraId="7C932843" w14:textId="03B6579E"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282 </w:t>
            </w:r>
          </w:p>
        </w:tc>
        <w:tc>
          <w:tcPr>
            <w:tcW w:w="227" w:type="pct"/>
            <w:tcBorders>
              <w:top w:val="nil"/>
              <w:left w:val="nil"/>
              <w:bottom w:val="nil"/>
              <w:right w:val="single" w:sz="4" w:space="0" w:color="auto"/>
            </w:tcBorders>
            <w:shd w:val="clear" w:color="auto" w:fill="auto"/>
            <w:noWrap/>
            <w:vAlign w:val="bottom"/>
          </w:tcPr>
          <w:p w14:paraId="347C9A30" w14:textId="054BF728"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 xml:space="preserve">480 </w:t>
            </w:r>
          </w:p>
        </w:tc>
        <w:tc>
          <w:tcPr>
            <w:tcW w:w="218" w:type="pct"/>
            <w:tcBorders>
              <w:top w:val="nil"/>
              <w:left w:val="nil"/>
              <w:bottom w:val="nil"/>
              <w:right w:val="single" w:sz="4" w:space="0" w:color="auto"/>
            </w:tcBorders>
            <w:shd w:val="clear" w:color="auto" w:fill="auto"/>
            <w:noWrap/>
            <w:vAlign w:val="bottom"/>
          </w:tcPr>
          <w:p w14:paraId="2B33E30E" w14:textId="4E557A3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009A4BBC" w14:textId="403DA0A3"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3A580EE3" w14:textId="02823EC1"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236418">
              <w:rPr>
                <w:rFonts w:cs="Calibri"/>
                <w:color w:val="000000"/>
                <w:sz w:val="14"/>
                <w:szCs w:val="14"/>
                <w:lang w:eastAsia="en-GB"/>
              </w:rPr>
              <w:t>586</w:t>
            </w:r>
          </w:p>
        </w:tc>
        <w:tc>
          <w:tcPr>
            <w:tcW w:w="348" w:type="pct"/>
            <w:tcBorders>
              <w:top w:val="nil"/>
              <w:left w:val="nil"/>
              <w:bottom w:val="nil"/>
              <w:right w:val="single" w:sz="4" w:space="0" w:color="auto"/>
            </w:tcBorders>
            <w:shd w:val="clear" w:color="auto" w:fill="auto"/>
            <w:noWrap/>
            <w:vAlign w:val="bottom"/>
          </w:tcPr>
          <w:p w14:paraId="5F3FFF05" w14:textId="501F1053"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35273EFB" w14:textId="52C22C46"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4"/>
                <w:szCs w:val="14"/>
                <w:lang w:eastAsia="en-GB"/>
              </w:rPr>
            </w:pPr>
            <w:r w:rsidRPr="00236418">
              <w:rPr>
                <w:rFonts w:cs="Calibri"/>
                <w:b/>
                <w:bCs/>
                <w:sz w:val="14"/>
                <w:szCs w:val="14"/>
                <w:lang w:eastAsia="en-GB"/>
              </w:rPr>
              <w:t xml:space="preserve">108 186 </w:t>
            </w:r>
          </w:p>
        </w:tc>
      </w:tr>
      <w:tr w:rsidR="00116ADE" w:rsidRPr="00236418" w14:paraId="3E441402" w14:textId="77777777" w:rsidTr="00D77053">
        <w:trPr>
          <w:trHeight w:val="255"/>
        </w:trPr>
        <w:tc>
          <w:tcPr>
            <w:tcW w:w="479" w:type="pct"/>
            <w:tcBorders>
              <w:top w:val="nil"/>
              <w:left w:val="single" w:sz="4" w:space="0" w:color="auto"/>
              <w:bottom w:val="nil"/>
              <w:right w:val="nil"/>
            </w:tcBorders>
            <w:shd w:val="clear" w:color="auto" w:fill="auto"/>
            <w:hideMark/>
          </w:tcPr>
          <w:p w14:paraId="6D537652" w14:textId="77777777" w:rsidR="00116ADE" w:rsidRPr="00236418" w:rsidRDefault="00116ADE" w:rsidP="009B3D24">
            <w:pPr>
              <w:pStyle w:val="Tabletext"/>
              <w:spacing w:before="0" w:after="0"/>
              <w:rPr>
                <w:sz w:val="14"/>
                <w:szCs w:val="14"/>
                <w:lang w:eastAsia="zh-CN"/>
              </w:rPr>
            </w:pPr>
            <w:r w:rsidRPr="00236418">
              <w:rPr>
                <w:sz w:val="14"/>
                <w:szCs w:val="14"/>
              </w:rPr>
              <w:t>Frais de missions</w:t>
            </w:r>
          </w:p>
        </w:tc>
        <w:tc>
          <w:tcPr>
            <w:tcW w:w="305" w:type="pct"/>
            <w:tcBorders>
              <w:top w:val="nil"/>
              <w:left w:val="single" w:sz="4" w:space="0" w:color="auto"/>
              <w:bottom w:val="nil"/>
              <w:right w:val="single" w:sz="4" w:space="0" w:color="auto"/>
            </w:tcBorders>
            <w:shd w:val="clear" w:color="auto" w:fill="auto"/>
            <w:noWrap/>
            <w:vAlign w:val="bottom"/>
          </w:tcPr>
          <w:p w14:paraId="35EF11BD" w14:textId="01E04910"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943</w:t>
            </w:r>
          </w:p>
        </w:tc>
        <w:tc>
          <w:tcPr>
            <w:tcW w:w="305" w:type="pct"/>
            <w:tcBorders>
              <w:top w:val="nil"/>
              <w:left w:val="nil"/>
              <w:bottom w:val="nil"/>
              <w:right w:val="single" w:sz="4" w:space="0" w:color="auto"/>
            </w:tcBorders>
            <w:shd w:val="clear" w:color="auto" w:fill="auto"/>
            <w:noWrap/>
            <w:vAlign w:val="bottom"/>
          </w:tcPr>
          <w:p w14:paraId="2F885382" w14:textId="145F9B38"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1 150</w:t>
            </w:r>
          </w:p>
        </w:tc>
        <w:tc>
          <w:tcPr>
            <w:tcW w:w="348" w:type="pct"/>
            <w:tcBorders>
              <w:top w:val="nil"/>
              <w:left w:val="nil"/>
              <w:bottom w:val="nil"/>
              <w:right w:val="single" w:sz="4" w:space="0" w:color="auto"/>
            </w:tcBorders>
            <w:shd w:val="clear" w:color="auto" w:fill="auto"/>
            <w:noWrap/>
            <w:vAlign w:val="bottom"/>
          </w:tcPr>
          <w:p w14:paraId="1BF85F85" w14:textId="32D273DC"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986</w:t>
            </w:r>
          </w:p>
        </w:tc>
        <w:tc>
          <w:tcPr>
            <w:tcW w:w="347" w:type="pct"/>
            <w:tcBorders>
              <w:top w:val="nil"/>
              <w:left w:val="nil"/>
              <w:bottom w:val="nil"/>
              <w:right w:val="single" w:sz="4" w:space="0" w:color="auto"/>
            </w:tcBorders>
            <w:shd w:val="clear" w:color="auto" w:fill="auto"/>
            <w:noWrap/>
            <w:vAlign w:val="bottom"/>
          </w:tcPr>
          <w:p w14:paraId="22753B1F" w14:textId="43BF2F52"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512 </w:t>
            </w:r>
          </w:p>
        </w:tc>
        <w:tc>
          <w:tcPr>
            <w:tcW w:w="304" w:type="pct"/>
            <w:tcBorders>
              <w:top w:val="nil"/>
              <w:left w:val="nil"/>
              <w:bottom w:val="nil"/>
              <w:right w:val="nil"/>
            </w:tcBorders>
            <w:shd w:val="clear" w:color="auto" w:fill="auto"/>
            <w:noWrap/>
            <w:vAlign w:val="bottom"/>
          </w:tcPr>
          <w:p w14:paraId="0669EAE2" w14:textId="5AECC30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19 </w:t>
            </w:r>
          </w:p>
        </w:tc>
        <w:tc>
          <w:tcPr>
            <w:tcW w:w="304" w:type="pct"/>
            <w:tcBorders>
              <w:top w:val="nil"/>
              <w:left w:val="single" w:sz="4" w:space="0" w:color="auto"/>
              <w:bottom w:val="nil"/>
              <w:right w:val="single" w:sz="4" w:space="0" w:color="auto"/>
            </w:tcBorders>
            <w:shd w:val="clear" w:color="auto" w:fill="auto"/>
            <w:noWrap/>
            <w:vAlign w:val="bottom"/>
          </w:tcPr>
          <w:p w14:paraId="286492AE" w14:textId="19A1075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5</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609</w:t>
            </w:r>
          </w:p>
        </w:tc>
        <w:tc>
          <w:tcPr>
            <w:tcW w:w="262" w:type="pct"/>
            <w:tcBorders>
              <w:top w:val="nil"/>
              <w:left w:val="nil"/>
              <w:bottom w:val="nil"/>
              <w:right w:val="single" w:sz="4" w:space="0" w:color="auto"/>
            </w:tcBorders>
            <w:shd w:val="clear" w:color="auto" w:fill="auto"/>
            <w:noWrap/>
            <w:vAlign w:val="bottom"/>
          </w:tcPr>
          <w:p w14:paraId="355BE7FE" w14:textId="2E8F4E99"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21DFB964" w14:textId="4AC71D6C"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ED7FB0F" w14:textId="53C089E8"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5EC73E19" w14:textId="1C7762AC"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405 </w:t>
            </w:r>
          </w:p>
        </w:tc>
        <w:tc>
          <w:tcPr>
            <w:tcW w:w="227" w:type="pct"/>
            <w:tcBorders>
              <w:top w:val="nil"/>
              <w:left w:val="nil"/>
              <w:bottom w:val="nil"/>
              <w:right w:val="single" w:sz="4" w:space="0" w:color="auto"/>
            </w:tcBorders>
            <w:shd w:val="clear" w:color="auto" w:fill="auto"/>
            <w:noWrap/>
            <w:vAlign w:val="bottom"/>
          </w:tcPr>
          <w:p w14:paraId="1CA62225" w14:textId="22098FD6"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500 </w:t>
            </w:r>
          </w:p>
        </w:tc>
        <w:tc>
          <w:tcPr>
            <w:tcW w:w="218" w:type="pct"/>
            <w:tcBorders>
              <w:top w:val="nil"/>
              <w:left w:val="nil"/>
              <w:bottom w:val="nil"/>
              <w:right w:val="single" w:sz="4" w:space="0" w:color="auto"/>
            </w:tcBorders>
            <w:shd w:val="clear" w:color="auto" w:fill="auto"/>
            <w:noWrap/>
            <w:vAlign w:val="bottom"/>
          </w:tcPr>
          <w:p w14:paraId="2C78AFD9" w14:textId="4D39C7DF"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2CFED979" w14:textId="3CB581FD"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47E9AEEE" w14:textId="59AE352C"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253</w:t>
            </w:r>
          </w:p>
        </w:tc>
        <w:tc>
          <w:tcPr>
            <w:tcW w:w="348" w:type="pct"/>
            <w:tcBorders>
              <w:top w:val="nil"/>
              <w:left w:val="nil"/>
              <w:bottom w:val="nil"/>
              <w:right w:val="single" w:sz="4" w:space="0" w:color="auto"/>
            </w:tcBorders>
            <w:shd w:val="clear" w:color="auto" w:fill="auto"/>
            <w:noWrap/>
            <w:vAlign w:val="bottom"/>
          </w:tcPr>
          <w:p w14:paraId="6AE8AE3C" w14:textId="7059EB43"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7B712276" w14:textId="44A36559"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7 767 </w:t>
            </w:r>
          </w:p>
        </w:tc>
      </w:tr>
      <w:tr w:rsidR="00116ADE" w:rsidRPr="00236418" w14:paraId="5D434E21" w14:textId="77777777" w:rsidTr="00D77053">
        <w:trPr>
          <w:trHeight w:val="255"/>
        </w:trPr>
        <w:tc>
          <w:tcPr>
            <w:tcW w:w="479" w:type="pct"/>
            <w:tcBorders>
              <w:top w:val="nil"/>
              <w:left w:val="single" w:sz="4" w:space="0" w:color="auto"/>
              <w:bottom w:val="nil"/>
              <w:right w:val="nil"/>
            </w:tcBorders>
            <w:shd w:val="clear" w:color="auto" w:fill="auto"/>
            <w:hideMark/>
          </w:tcPr>
          <w:p w14:paraId="54C07667" w14:textId="77777777" w:rsidR="00116ADE" w:rsidRPr="00236418" w:rsidRDefault="00116ADE" w:rsidP="009B3D24">
            <w:pPr>
              <w:pStyle w:val="Tabletext"/>
              <w:spacing w:before="0" w:after="0"/>
              <w:rPr>
                <w:sz w:val="14"/>
                <w:szCs w:val="14"/>
                <w:lang w:eastAsia="zh-CN"/>
              </w:rPr>
            </w:pPr>
            <w:r w:rsidRPr="00236418">
              <w:rPr>
                <w:sz w:val="14"/>
                <w:szCs w:val="14"/>
              </w:rPr>
              <w:t>Services contractuels</w:t>
            </w:r>
          </w:p>
        </w:tc>
        <w:tc>
          <w:tcPr>
            <w:tcW w:w="305" w:type="pct"/>
            <w:tcBorders>
              <w:top w:val="nil"/>
              <w:left w:val="single" w:sz="4" w:space="0" w:color="auto"/>
              <w:bottom w:val="nil"/>
              <w:right w:val="single" w:sz="4" w:space="0" w:color="auto"/>
            </w:tcBorders>
            <w:shd w:val="clear" w:color="auto" w:fill="auto"/>
            <w:noWrap/>
            <w:vAlign w:val="bottom"/>
          </w:tcPr>
          <w:p w14:paraId="768B39E9" w14:textId="2E5427A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5 854</w:t>
            </w:r>
          </w:p>
        </w:tc>
        <w:tc>
          <w:tcPr>
            <w:tcW w:w="305" w:type="pct"/>
            <w:tcBorders>
              <w:top w:val="nil"/>
              <w:left w:val="nil"/>
              <w:bottom w:val="nil"/>
              <w:right w:val="single" w:sz="4" w:space="0" w:color="auto"/>
            </w:tcBorders>
            <w:shd w:val="clear" w:color="auto" w:fill="auto"/>
            <w:noWrap/>
            <w:vAlign w:val="bottom"/>
          </w:tcPr>
          <w:p w14:paraId="5639A072" w14:textId="6D81FCF8"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397</w:t>
            </w:r>
          </w:p>
        </w:tc>
        <w:tc>
          <w:tcPr>
            <w:tcW w:w="348" w:type="pct"/>
            <w:tcBorders>
              <w:top w:val="nil"/>
              <w:left w:val="nil"/>
              <w:bottom w:val="nil"/>
              <w:right w:val="single" w:sz="4" w:space="0" w:color="auto"/>
            </w:tcBorders>
            <w:shd w:val="clear" w:color="auto" w:fill="auto"/>
            <w:noWrap/>
            <w:vAlign w:val="bottom"/>
          </w:tcPr>
          <w:p w14:paraId="7BCD188A" w14:textId="2ED2A4FD"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531</w:t>
            </w:r>
          </w:p>
        </w:tc>
        <w:tc>
          <w:tcPr>
            <w:tcW w:w="347" w:type="pct"/>
            <w:tcBorders>
              <w:top w:val="nil"/>
              <w:left w:val="nil"/>
              <w:bottom w:val="nil"/>
              <w:right w:val="single" w:sz="4" w:space="0" w:color="auto"/>
            </w:tcBorders>
            <w:shd w:val="clear" w:color="auto" w:fill="auto"/>
            <w:noWrap/>
            <w:vAlign w:val="bottom"/>
          </w:tcPr>
          <w:p w14:paraId="06337241" w14:textId="182A7A70"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399 </w:t>
            </w:r>
          </w:p>
        </w:tc>
        <w:tc>
          <w:tcPr>
            <w:tcW w:w="304" w:type="pct"/>
            <w:tcBorders>
              <w:top w:val="nil"/>
              <w:left w:val="nil"/>
              <w:bottom w:val="nil"/>
              <w:right w:val="nil"/>
            </w:tcBorders>
            <w:shd w:val="clear" w:color="auto" w:fill="auto"/>
            <w:noWrap/>
            <w:vAlign w:val="bottom"/>
          </w:tcPr>
          <w:p w14:paraId="7EB2CE7F" w14:textId="27063DCE"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546 </w:t>
            </w:r>
          </w:p>
        </w:tc>
        <w:tc>
          <w:tcPr>
            <w:tcW w:w="304" w:type="pct"/>
            <w:tcBorders>
              <w:top w:val="nil"/>
              <w:left w:val="single" w:sz="4" w:space="0" w:color="auto"/>
              <w:bottom w:val="nil"/>
              <w:right w:val="single" w:sz="4" w:space="0" w:color="auto"/>
            </w:tcBorders>
            <w:shd w:val="clear" w:color="auto" w:fill="auto"/>
            <w:noWrap/>
            <w:vAlign w:val="bottom"/>
          </w:tcPr>
          <w:p w14:paraId="2CA8E8C1" w14:textId="6AF73454"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9</w:t>
            </w:r>
            <w:r w:rsidR="00E05A86" w:rsidRPr="00236418">
              <w:rPr>
                <w:rFonts w:cs="Calibri"/>
                <w:b/>
                <w:bCs/>
                <w:color w:val="000000"/>
                <w:sz w:val="14"/>
                <w:szCs w:val="14"/>
                <w:lang w:eastAsia="en-GB"/>
              </w:rPr>
              <w:t xml:space="preserve"> </w:t>
            </w:r>
            <w:r w:rsidRPr="00236418">
              <w:rPr>
                <w:rFonts w:cs="Calibri"/>
                <w:b/>
                <w:bCs/>
                <w:color w:val="000000"/>
                <w:sz w:val="14"/>
                <w:szCs w:val="14"/>
                <w:lang w:eastAsia="en-GB"/>
              </w:rPr>
              <w:t>727</w:t>
            </w:r>
          </w:p>
        </w:tc>
        <w:tc>
          <w:tcPr>
            <w:tcW w:w="262" w:type="pct"/>
            <w:tcBorders>
              <w:top w:val="nil"/>
              <w:left w:val="nil"/>
              <w:bottom w:val="nil"/>
              <w:right w:val="single" w:sz="4" w:space="0" w:color="auto"/>
            </w:tcBorders>
            <w:shd w:val="clear" w:color="auto" w:fill="auto"/>
            <w:noWrap/>
            <w:vAlign w:val="bottom"/>
          </w:tcPr>
          <w:p w14:paraId="66F60F73" w14:textId="13B43F49"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5</w:t>
            </w:r>
          </w:p>
        </w:tc>
        <w:tc>
          <w:tcPr>
            <w:tcW w:w="245" w:type="pct"/>
            <w:tcBorders>
              <w:top w:val="nil"/>
              <w:left w:val="nil"/>
              <w:bottom w:val="nil"/>
              <w:right w:val="single" w:sz="4" w:space="0" w:color="auto"/>
            </w:tcBorders>
            <w:shd w:val="clear" w:color="auto" w:fill="auto"/>
            <w:vAlign w:val="bottom"/>
          </w:tcPr>
          <w:p w14:paraId="08BB98BB" w14:textId="53B029FA"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FDEEB44" w14:textId="284731FD"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45F4656C" w14:textId="35CD9580"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303 </w:t>
            </w:r>
          </w:p>
        </w:tc>
        <w:tc>
          <w:tcPr>
            <w:tcW w:w="227" w:type="pct"/>
            <w:tcBorders>
              <w:top w:val="nil"/>
              <w:left w:val="nil"/>
              <w:bottom w:val="nil"/>
              <w:right w:val="single" w:sz="4" w:space="0" w:color="auto"/>
            </w:tcBorders>
            <w:shd w:val="clear" w:color="auto" w:fill="auto"/>
            <w:noWrap/>
            <w:vAlign w:val="bottom"/>
          </w:tcPr>
          <w:p w14:paraId="4BE3B248" w14:textId="4AD3F3D4"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r w:rsidR="00E05A86" w:rsidRPr="00236418">
              <w:rPr>
                <w:rFonts w:cs="Calibri"/>
                <w:color w:val="000000"/>
                <w:sz w:val="14"/>
                <w:szCs w:val="14"/>
                <w:lang w:eastAsia="en-GB"/>
              </w:rPr>
              <w:t xml:space="preserve"> </w:t>
            </w:r>
            <w:r w:rsidRPr="00236418">
              <w:rPr>
                <w:rFonts w:cs="Calibri"/>
                <w:color w:val="000000"/>
                <w:sz w:val="14"/>
                <w:szCs w:val="14"/>
                <w:lang w:eastAsia="en-GB"/>
              </w:rPr>
              <w:t xml:space="preserve">518 </w:t>
            </w:r>
          </w:p>
        </w:tc>
        <w:tc>
          <w:tcPr>
            <w:tcW w:w="218" w:type="pct"/>
            <w:tcBorders>
              <w:top w:val="nil"/>
              <w:left w:val="nil"/>
              <w:bottom w:val="nil"/>
              <w:right w:val="single" w:sz="4" w:space="0" w:color="auto"/>
            </w:tcBorders>
            <w:shd w:val="clear" w:color="auto" w:fill="auto"/>
            <w:noWrap/>
            <w:vAlign w:val="bottom"/>
          </w:tcPr>
          <w:p w14:paraId="793B4A05" w14:textId="462CF5F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7293A829" w14:textId="45E4E397"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5A720F6" w14:textId="64DA9205"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r w:rsidR="00AA5101" w:rsidRPr="00236418">
              <w:rPr>
                <w:rFonts w:cs="Calibri"/>
                <w:color w:val="000000"/>
                <w:sz w:val="14"/>
                <w:szCs w:val="14"/>
                <w:lang w:eastAsia="en-GB"/>
              </w:rPr>
              <w:t xml:space="preserve"> </w:t>
            </w:r>
            <w:r w:rsidRPr="00236418">
              <w:rPr>
                <w:rFonts w:cs="Calibri"/>
                <w:color w:val="000000"/>
                <w:sz w:val="14"/>
                <w:szCs w:val="14"/>
                <w:lang w:eastAsia="en-GB"/>
              </w:rPr>
              <w:t>269</w:t>
            </w:r>
          </w:p>
        </w:tc>
        <w:tc>
          <w:tcPr>
            <w:tcW w:w="348" w:type="pct"/>
            <w:tcBorders>
              <w:top w:val="nil"/>
              <w:left w:val="nil"/>
              <w:bottom w:val="nil"/>
              <w:right w:val="single" w:sz="4" w:space="0" w:color="auto"/>
            </w:tcBorders>
            <w:shd w:val="clear" w:color="auto" w:fill="auto"/>
            <w:noWrap/>
            <w:vAlign w:val="bottom"/>
          </w:tcPr>
          <w:p w14:paraId="17A83EC8" w14:textId="7434CE2E"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2C7D4816" w14:textId="28D6A20A" w:rsidR="00116ADE" w:rsidRPr="00236418"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13 821 </w:t>
            </w:r>
          </w:p>
        </w:tc>
      </w:tr>
      <w:tr w:rsidR="00E05A86" w:rsidRPr="00236418" w14:paraId="0D9E1F01" w14:textId="77777777" w:rsidTr="00E05A86">
        <w:trPr>
          <w:trHeight w:val="765"/>
        </w:trPr>
        <w:tc>
          <w:tcPr>
            <w:tcW w:w="479" w:type="pct"/>
            <w:tcBorders>
              <w:top w:val="nil"/>
              <w:left w:val="single" w:sz="4" w:space="0" w:color="auto"/>
              <w:bottom w:val="nil"/>
              <w:right w:val="nil"/>
            </w:tcBorders>
            <w:shd w:val="clear" w:color="auto" w:fill="auto"/>
            <w:vAlign w:val="center"/>
            <w:hideMark/>
          </w:tcPr>
          <w:p w14:paraId="7A193588" w14:textId="77777777" w:rsidR="00E05A86" w:rsidRPr="00236418" w:rsidRDefault="00E05A86" w:rsidP="009B3D24">
            <w:pPr>
              <w:pStyle w:val="Tabletext"/>
              <w:spacing w:before="0" w:after="0"/>
              <w:rPr>
                <w:sz w:val="14"/>
                <w:szCs w:val="14"/>
                <w:lang w:eastAsia="zh-CN"/>
              </w:rPr>
            </w:pPr>
            <w:r w:rsidRPr="00236418">
              <w:rPr>
                <w:sz w:val="14"/>
                <w:szCs w:val="14"/>
              </w:rPr>
              <w:t>Location et entretien des locaux et équipements</w:t>
            </w:r>
          </w:p>
        </w:tc>
        <w:tc>
          <w:tcPr>
            <w:tcW w:w="305" w:type="pct"/>
            <w:tcBorders>
              <w:top w:val="nil"/>
              <w:left w:val="single" w:sz="4" w:space="0" w:color="auto"/>
              <w:bottom w:val="nil"/>
              <w:right w:val="single" w:sz="4" w:space="0" w:color="auto"/>
            </w:tcBorders>
            <w:shd w:val="clear" w:color="auto" w:fill="auto"/>
            <w:noWrap/>
            <w:vAlign w:val="center"/>
          </w:tcPr>
          <w:p w14:paraId="342791AD" w14:textId="1CBC001F"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3 285</w:t>
            </w:r>
          </w:p>
        </w:tc>
        <w:tc>
          <w:tcPr>
            <w:tcW w:w="305" w:type="pct"/>
            <w:tcBorders>
              <w:top w:val="nil"/>
              <w:left w:val="nil"/>
              <w:bottom w:val="nil"/>
              <w:right w:val="single" w:sz="4" w:space="0" w:color="auto"/>
            </w:tcBorders>
            <w:shd w:val="clear" w:color="auto" w:fill="auto"/>
            <w:noWrap/>
            <w:vAlign w:val="center"/>
          </w:tcPr>
          <w:p w14:paraId="6D0C69A5" w14:textId="735D770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103</w:t>
            </w:r>
          </w:p>
        </w:tc>
        <w:tc>
          <w:tcPr>
            <w:tcW w:w="348" w:type="pct"/>
            <w:tcBorders>
              <w:top w:val="nil"/>
              <w:left w:val="nil"/>
              <w:bottom w:val="nil"/>
              <w:right w:val="single" w:sz="4" w:space="0" w:color="auto"/>
            </w:tcBorders>
            <w:shd w:val="clear" w:color="auto" w:fill="auto"/>
            <w:noWrap/>
            <w:vAlign w:val="center"/>
          </w:tcPr>
          <w:p w14:paraId="103DC9F1" w14:textId="63AB681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55</w:t>
            </w:r>
          </w:p>
        </w:tc>
        <w:tc>
          <w:tcPr>
            <w:tcW w:w="347" w:type="pct"/>
            <w:tcBorders>
              <w:top w:val="nil"/>
              <w:left w:val="nil"/>
              <w:bottom w:val="nil"/>
              <w:right w:val="single" w:sz="4" w:space="0" w:color="auto"/>
            </w:tcBorders>
            <w:shd w:val="clear" w:color="auto" w:fill="auto"/>
            <w:noWrap/>
            <w:vAlign w:val="center"/>
          </w:tcPr>
          <w:p w14:paraId="2D78E4B7" w14:textId="0D01B55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86</w:t>
            </w:r>
          </w:p>
        </w:tc>
        <w:tc>
          <w:tcPr>
            <w:tcW w:w="304" w:type="pct"/>
            <w:tcBorders>
              <w:top w:val="nil"/>
              <w:left w:val="nil"/>
              <w:bottom w:val="nil"/>
              <w:right w:val="nil"/>
            </w:tcBorders>
            <w:shd w:val="clear" w:color="auto" w:fill="auto"/>
            <w:noWrap/>
            <w:vAlign w:val="center"/>
          </w:tcPr>
          <w:p w14:paraId="11EB02DF" w14:textId="1595938F"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36</w:t>
            </w:r>
          </w:p>
        </w:tc>
        <w:tc>
          <w:tcPr>
            <w:tcW w:w="304" w:type="pct"/>
            <w:tcBorders>
              <w:top w:val="nil"/>
              <w:left w:val="single" w:sz="4" w:space="0" w:color="auto"/>
              <w:bottom w:val="nil"/>
              <w:right w:val="single" w:sz="4" w:space="0" w:color="auto"/>
            </w:tcBorders>
            <w:shd w:val="clear" w:color="auto" w:fill="auto"/>
            <w:noWrap/>
            <w:vAlign w:val="center"/>
          </w:tcPr>
          <w:p w14:paraId="7FD9D5F0" w14:textId="0676562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3 565</w:t>
            </w:r>
          </w:p>
        </w:tc>
        <w:tc>
          <w:tcPr>
            <w:tcW w:w="262" w:type="pct"/>
            <w:tcBorders>
              <w:top w:val="nil"/>
              <w:left w:val="nil"/>
              <w:bottom w:val="nil"/>
              <w:right w:val="single" w:sz="4" w:space="0" w:color="auto"/>
            </w:tcBorders>
            <w:shd w:val="clear" w:color="auto" w:fill="auto"/>
            <w:noWrap/>
            <w:vAlign w:val="center"/>
          </w:tcPr>
          <w:p w14:paraId="62F1497A" w14:textId="4D621E9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center"/>
          </w:tcPr>
          <w:p w14:paraId="5D9CBFBC" w14:textId="483C2FD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center"/>
          </w:tcPr>
          <w:p w14:paraId="61747725" w14:textId="480432A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center"/>
          </w:tcPr>
          <w:p w14:paraId="4C0BBD34" w14:textId="15D35E9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381</w:t>
            </w:r>
          </w:p>
        </w:tc>
        <w:tc>
          <w:tcPr>
            <w:tcW w:w="227" w:type="pct"/>
            <w:tcBorders>
              <w:top w:val="nil"/>
              <w:left w:val="nil"/>
              <w:bottom w:val="nil"/>
              <w:right w:val="single" w:sz="4" w:space="0" w:color="auto"/>
            </w:tcBorders>
            <w:shd w:val="clear" w:color="auto" w:fill="auto"/>
            <w:noWrap/>
            <w:vAlign w:val="center"/>
          </w:tcPr>
          <w:p w14:paraId="796649E8" w14:textId="0F3FEAE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center"/>
          </w:tcPr>
          <w:p w14:paraId="642E3733" w14:textId="2222596F"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center"/>
          </w:tcPr>
          <w:p w14:paraId="5C088B59" w14:textId="1ACDCAC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center"/>
          </w:tcPr>
          <w:p w14:paraId="4ED6BDC8" w14:textId="68E07F59"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229</w:t>
            </w:r>
          </w:p>
        </w:tc>
        <w:tc>
          <w:tcPr>
            <w:tcW w:w="348" w:type="pct"/>
            <w:tcBorders>
              <w:top w:val="nil"/>
              <w:left w:val="nil"/>
              <w:bottom w:val="nil"/>
              <w:right w:val="single" w:sz="4" w:space="0" w:color="auto"/>
            </w:tcBorders>
            <w:shd w:val="clear" w:color="auto" w:fill="auto"/>
            <w:noWrap/>
            <w:vAlign w:val="center"/>
          </w:tcPr>
          <w:p w14:paraId="1F3B8371" w14:textId="17CEA02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center"/>
          </w:tcPr>
          <w:p w14:paraId="492E3B1A" w14:textId="078277E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4 175</w:t>
            </w:r>
          </w:p>
        </w:tc>
      </w:tr>
      <w:tr w:rsidR="00E05A86" w:rsidRPr="00236418" w14:paraId="4A6C915C" w14:textId="77777777" w:rsidTr="00902C90">
        <w:trPr>
          <w:trHeight w:val="255"/>
        </w:trPr>
        <w:tc>
          <w:tcPr>
            <w:tcW w:w="479" w:type="pct"/>
            <w:tcBorders>
              <w:top w:val="nil"/>
              <w:left w:val="single" w:sz="4" w:space="0" w:color="auto"/>
              <w:bottom w:val="nil"/>
              <w:right w:val="nil"/>
            </w:tcBorders>
            <w:shd w:val="clear" w:color="auto" w:fill="auto"/>
            <w:hideMark/>
          </w:tcPr>
          <w:p w14:paraId="06181294" w14:textId="77777777" w:rsidR="00E05A86" w:rsidRPr="00236418" w:rsidRDefault="00E05A86" w:rsidP="009B3D24">
            <w:pPr>
              <w:pStyle w:val="Tabletext"/>
              <w:spacing w:before="0" w:after="0"/>
              <w:rPr>
                <w:sz w:val="14"/>
                <w:szCs w:val="14"/>
                <w:lang w:eastAsia="zh-CN"/>
              </w:rPr>
            </w:pPr>
            <w:r w:rsidRPr="00236418">
              <w:rPr>
                <w:sz w:val="14"/>
                <w:szCs w:val="14"/>
              </w:rPr>
              <w:t>Matériels et fournitures</w:t>
            </w:r>
          </w:p>
        </w:tc>
        <w:tc>
          <w:tcPr>
            <w:tcW w:w="305" w:type="pct"/>
            <w:tcBorders>
              <w:top w:val="nil"/>
              <w:left w:val="single" w:sz="4" w:space="0" w:color="auto"/>
              <w:bottom w:val="nil"/>
              <w:right w:val="single" w:sz="4" w:space="0" w:color="auto"/>
            </w:tcBorders>
            <w:shd w:val="clear" w:color="auto" w:fill="auto"/>
            <w:noWrap/>
            <w:vAlign w:val="bottom"/>
          </w:tcPr>
          <w:p w14:paraId="648D677E" w14:textId="77C9B9C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1 513</w:t>
            </w:r>
          </w:p>
        </w:tc>
        <w:tc>
          <w:tcPr>
            <w:tcW w:w="305" w:type="pct"/>
            <w:tcBorders>
              <w:top w:val="nil"/>
              <w:left w:val="nil"/>
              <w:bottom w:val="nil"/>
              <w:right w:val="single" w:sz="4" w:space="0" w:color="auto"/>
            </w:tcBorders>
            <w:shd w:val="clear" w:color="auto" w:fill="auto"/>
            <w:noWrap/>
            <w:vAlign w:val="bottom"/>
          </w:tcPr>
          <w:p w14:paraId="1FC841AA" w14:textId="10E8B2E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497</w:t>
            </w:r>
          </w:p>
        </w:tc>
        <w:tc>
          <w:tcPr>
            <w:tcW w:w="348" w:type="pct"/>
            <w:tcBorders>
              <w:top w:val="nil"/>
              <w:left w:val="nil"/>
              <w:bottom w:val="nil"/>
              <w:right w:val="single" w:sz="4" w:space="0" w:color="auto"/>
            </w:tcBorders>
            <w:shd w:val="clear" w:color="auto" w:fill="auto"/>
            <w:noWrap/>
            <w:vAlign w:val="bottom"/>
          </w:tcPr>
          <w:p w14:paraId="608BD805" w14:textId="4A2416F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164</w:t>
            </w:r>
          </w:p>
        </w:tc>
        <w:tc>
          <w:tcPr>
            <w:tcW w:w="347" w:type="pct"/>
            <w:tcBorders>
              <w:top w:val="nil"/>
              <w:left w:val="nil"/>
              <w:bottom w:val="nil"/>
              <w:right w:val="single" w:sz="4" w:space="0" w:color="auto"/>
            </w:tcBorders>
            <w:shd w:val="clear" w:color="auto" w:fill="auto"/>
            <w:noWrap/>
            <w:vAlign w:val="bottom"/>
          </w:tcPr>
          <w:p w14:paraId="6FEB19AC" w14:textId="6591F3C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315 </w:t>
            </w:r>
          </w:p>
        </w:tc>
        <w:tc>
          <w:tcPr>
            <w:tcW w:w="304" w:type="pct"/>
            <w:tcBorders>
              <w:top w:val="nil"/>
              <w:left w:val="nil"/>
              <w:bottom w:val="nil"/>
              <w:right w:val="nil"/>
            </w:tcBorders>
            <w:shd w:val="clear" w:color="auto" w:fill="auto"/>
            <w:noWrap/>
            <w:vAlign w:val="bottom"/>
          </w:tcPr>
          <w:p w14:paraId="2944BDDE" w14:textId="2B41B7F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35 </w:t>
            </w:r>
          </w:p>
        </w:tc>
        <w:tc>
          <w:tcPr>
            <w:tcW w:w="304" w:type="pct"/>
            <w:tcBorders>
              <w:top w:val="nil"/>
              <w:left w:val="single" w:sz="4" w:space="0" w:color="auto"/>
              <w:bottom w:val="nil"/>
              <w:right w:val="single" w:sz="4" w:space="0" w:color="auto"/>
            </w:tcBorders>
            <w:shd w:val="clear" w:color="auto" w:fill="auto"/>
            <w:noWrap/>
            <w:vAlign w:val="bottom"/>
          </w:tcPr>
          <w:p w14:paraId="4D34B428" w14:textId="485C599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2 523 </w:t>
            </w:r>
          </w:p>
        </w:tc>
        <w:tc>
          <w:tcPr>
            <w:tcW w:w="262" w:type="pct"/>
            <w:tcBorders>
              <w:top w:val="nil"/>
              <w:left w:val="nil"/>
              <w:bottom w:val="nil"/>
              <w:right w:val="single" w:sz="4" w:space="0" w:color="auto"/>
            </w:tcBorders>
            <w:shd w:val="clear" w:color="auto" w:fill="auto"/>
            <w:noWrap/>
            <w:vAlign w:val="bottom"/>
          </w:tcPr>
          <w:p w14:paraId="79F03972" w14:textId="402FC6F2"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w:t>
            </w:r>
          </w:p>
        </w:tc>
        <w:tc>
          <w:tcPr>
            <w:tcW w:w="245" w:type="pct"/>
            <w:tcBorders>
              <w:top w:val="nil"/>
              <w:left w:val="nil"/>
              <w:bottom w:val="nil"/>
              <w:right w:val="single" w:sz="4" w:space="0" w:color="auto"/>
            </w:tcBorders>
            <w:shd w:val="clear" w:color="auto" w:fill="auto"/>
            <w:vAlign w:val="bottom"/>
          </w:tcPr>
          <w:p w14:paraId="0FD8BF3B" w14:textId="03F00B1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092CF4CE" w14:textId="2AE5DDF3"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CB8496C" w14:textId="2AED2D29"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305</w:t>
            </w:r>
          </w:p>
        </w:tc>
        <w:tc>
          <w:tcPr>
            <w:tcW w:w="227" w:type="pct"/>
            <w:tcBorders>
              <w:top w:val="nil"/>
              <w:left w:val="nil"/>
              <w:bottom w:val="nil"/>
              <w:right w:val="single" w:sz="4" w:space="0" w:color="auto"/>
            </w:tcBorders>
            <w:shd w:val="clear" w:color="auto" w:fill="auto"/>
            <w:noWrap/>
            <w:vAlign w:val="bottom"/>
          </w:tcPr>
          <w:p w14:paraId="64E56BC1" w14:textId="11706C8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823 </w:t>
            </w:r>
          </w:p>
        </w:tc>
        <w:tc>
          <w:tcPr>
            <w:tcW w:w="218" w:type="pct"/>
            <w:tcBorders>
              <w:top w:val="nil"/>
              <w:left w:val="nil"/>
              <w:bottom w:val="nil"/>
              <w:right w:val="single" w:sz="4" w:space="0" w:color="auto"/>
            </w:tcBorders>
            <w:shd w:val="clear" w:color="auto" w:fill="auto"/>
            <w:noWrap/>
            <w:vAlign w:val="bottom"/>
          </w:tcPr>
          <w:p w14:paraId="5063BBCE" w14:textId="2100FBF2"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D28AEDF" w14:textId="3DCE388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3CC95D1B" w14:textId="726C309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161</w:t>
            </w:r>
          </w:p>
        </w:tc>
        <w:tc>
          <w:tcPr>
            <w:tcW w:w="348" w:type="pct"/>
            <w:tcBorders>
              <w:top w:val="nil"/>
              <w:left w:val="nil"/>
              <w:bottom w:val="nil"/>
              <w:right w:val="single" w:sz="4" w:space="0" w:color="auto"/>
            </w:tcBorders>
            <w:shd w:val="clear" w:color="auto" w:fill="auto"/>
            <w:noWrap/>
            <w:vAlign w:val="bottom"/>
          </w:tcPr>
          <w:p w14:paraId="1405A236" w14:textId="66349EE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372CBD72" w14:textId="0BC1ECA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3 816</w:t>
            </w:r>
          </w:p>
        </w:tc>
      </w:tr>
      <w:tr w:rsidR="00E05A86" w:rsidRPr="00236418" w14:paraId="78BC4878" w14:textId="77777777" w:rsidTr="00D77053">
        <w:trPr>
          <w:trHeight w:val="255"/>
        </w:trPr>
        <w:tc>
          <w:tcPr>
            <w:tcW w:w="479" w:type="pct"/>
            <w:tcBorders>
              <w:top w:val="nil"/>
              <w:left w:val="single" w:sz="4" w:space="0" w:color="auto"/>
              <w:bottom w:val="nil"/>
              <w:right w:val="nil"/>
            </w:tcBorders>
            <w:shd w:val="clear" w:color="auto" w:fill="auto"/>
            <w:hideMark/>
          </w:tcPr>
          <w:p w14:paraId="4211532F" w14:textId="77777777" w:rsidR="00E05A86" w:rsidRPr="00236418" w:rsidRDefault="00E05A86" w:rsidP="009B3D24">
            <w:pPr>
              <w:pStyle w:val="Tabletext"/>
              <w:spacing w:before="0" w:after="0"/>
              <w:rPr>
                <w:sz w:val="14"/>
                <w:szCs w:val="14"/>
                <w:lang w:eastAsia="zh-CN"/>
              </w:rPr>
            </w:pPr>
            <w:r w:rsidRPr="00236418">
              <w:rPr>
                <w:sz w:val="14"/>
                <w:szCs w:val="14"/>
              </w:rPr>
              <w:t>Amortissements</w:t>
            </w:r>
          </w:p>
        </w:tc>
        <w:tc>
          <w:tcPr>
            <w:tcW w:w="305" w:type="pct"/>
            <w:tcBorders>
              <w:top w:val="nil"/>
              <w:left w:val="single" w:sz="4" w:space="0" w:color="auto"/>
              <w:bottom w:val="nil"/>
              <w:right w:val="single" w:sz="4" w:space="0" w:color="auto"/>
            </w:tcBorders>
            <w:shd w:val="clear" w:color="auto" w:fill="auto"/>
            <w:noWrap/>
            <w:vAlign w:val="bottom"/>
          </w:tcPr>
          <w:p w14:paraId="2DB106F8" w14:textId="159D934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7B652A36" w14:textId="59277523"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3115CD0" w14:textId="59C5ACF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7C2299DC" w14:textId="0F892CC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04" w:type="pct"/>
            <w:tcBorders>
              <w:top w:val="nil"/>
              <w:left w:val="nil"/>
              <w:bottom w:val="nil"/>
              <w:right w:val="nil"/>
            </w:tcBorders>
            <w:shd w:val="clear" w:color="auto" w:fill="auto"/>
            <w:noWrap/>
            <w:vAlign w:val="bottom"/>
          </w:tcPr>
          <w:p w14:paraId="56758854" w14:textId="72ACD2B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4 452 </w:t>
            </w:r>
          </w:p>
        </w:tc>
        <w:tc>
          <w:tcPr>
            <w:tcW w:w="304" w:type="pct"/>
            <w:tcBorders>
              <w:top w:val="nil"/>
              <w:left w:val="single" w:sz="4" w:space="0" w:color="auto"/>
              <w:bottom w:val="nil"/>
              <w:right w:val="single" w:sz="4" w:space="0" w:color="auto"/>
            </w:tcBorders>
            <w:shd w:val="clear" w:color="auto" w:fill="auto"/>
            <w:noWrap/>
            <w:vAlign w:val="bottom"/>
          </w:tcPr>
          <w:p w14:paraId="75FBDEA5" w14:textId="3D58C38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4 452 </w:t>
            </w:r>
          </w:p>
        </w:tc>
        <w:tc>
          <w:tcPr>
            <w:tcW w:w="262" w:type="pct"/>
            <w:tcBorders>
              <w:top w:val="nil"/>
              <w:left w:val="nil"/>
              <w:bottom w:val="nil"/>
              <w:right w:val="single" w:sz="4" w:space="0" w:color="auto"/>
            </w:tcBorders>
            <w:shd w:val="clear" w:color="auto" w:fill="auto"/>
            <w:noWrap/>
            <w:vAlign w:val="bottom"/>
          </w:tcPr>
          <w:p w14:paraId="5A9961DE" w14:textId="68E8B232"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494C5A4A" w14:textId="4209163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1309E28" w14:textId="71A6CF1D"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1300CC5" w14:textId="27648B2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105 </w:t>
            </w:r>
          </w:p>
        </w:tc>
        <w:tc>
          <w:tcPr>
            <w:tcW w:w="227" w:type="pct"/>
            <w:tcBorders>
              <w:top w:val="nil"/>
              <w:left w:val="nil"/>
              <w:bottom w:val="nil"/>
              <w:right w:val="single" w:sz="4" w:space="0" w:color="auto"/>
            </w:tcBorders>
            <w:shd w:val="clear" w:color="auto" w:fill="auto"/>
            <w:noWrap/>
            <w:vAlign w:val="bottom"/>
          </w:tcPr>
          <w:p w14:paraId="7B66A9CB" w14:textId="573AA47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13 </w:t>
            </w:r>
          </w:p>
        </w:tc>
        <w:tc>
          <w:tcPr>
            <w:tcW w:w="218" w:type="pct"/>
            <w:tcBorders>
              <w:top w:val="nil"/>
              <w:left w:val="nil"/>
              <w:bottom w:val="nil"/>
              <w:right w:val="single" w:sz="4" w:space="0" w:color="auto"/>
            </w:tcBorders>
            <w:shd w:val="clear" w:color="auto" w:fill="auto"/>
            <w:noWrap/>
            <w:vAlign w:val="bottom"/>
          </w:tcPr>
          <w:p w14:paraId="2C8CD4D9" w14:textId="7FC35E03"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1CE454D" w14:textId="04FA869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514564DA" w14:textId="1A09045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6E3ADCC7" w14:textId="66F7BEF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6334B979" w14:textId="4965E94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4 570 </w:t>
            </w:r>
          </w:p>
        </w:tc>
      </w:tr>
      <w:tr w:rsidR="00E05A86" w:rsidRPr="00236418" w14:paraId="7DD6F445" w14:textId="77777777" w:rsidTr="00E05A86">
        <w:trPr>
          <w:trHeight w:val="513"/>
        </w:trPr>
        <w:tc>
          <w:tcPr>
            <w:tcW w:w="479" w:type="pct"/>
            <w:tcBorders>
              <w:top w:val="nil"/>
              <w:left w:val="single" w:sz="4" w:space="0" w:color="auto"/>
              <w:right w:val="nil"/>
            </w:tcBorders>
            <w:shd w:val="clear" w:color="auto" w:fill="auto"/>
            <w:hideMark/>
          </w:tcPr>
          <w:p w14:paraId="6A352AE9" w14:textId="77777777" w:rsidR="00E05A86" w:rsidRPr="00236418" w:rsidRDefault="00E05A86" w:rsidP="009B3D24">
            <w:pPr>
              <w:pStyle w:val="Tabletext"/>
              <w:spacing w:before="0" w:after="0"/>
              <w:rPr>
                <w:sz w:val="14"/>
                <w:szCs w:val="14"/>
                <w:lang w:eastAsia="zh-CN"/>
              </w:rPr>
            </w:pPr>
            <w:r w:rsidRPr="00236418">
              <w:rPr>
                <w:sz w:val="14"/>
                <w:szCs w:val="14"/>
              </w:rPr>
              <w:t>Frais d'expédition, de télécommunications et de services</w:t>
            </w:r>
          </w:p>
        </w:tc>
        <w:tc>
          <w:tcPr>
            <w:tcW w:w="305" w:type="pct"/>
            <w:tcBorders>
              <w:top w:val="nil"/>
              <w:left w:val="single" w:sz="4" w:space="0" w:color="auto"/>
              <w:right w:val="single" w:sz="4" w:space="0" w:color="auto"/>
            </w:tcBorders>
            <w:shd w:val="clear" w:color="auto" w:fill="auto"/>
            <w:noWrap/>
            <w:vAlign w:val="center"/>
          </w:tcPr>
          <w:p w14:paraId="14BC2EA6" w14:textId="72234679"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1 218</w:t>
            </w:r>
          </w:p>
        </w:tc>
        <w:tc>
          <w:tcPr>
            <w:tcW w:w="305" w:type="pct"/>
            <w:tcBorders>
              <w:top w:val="nil"/>
              <w:left w:val="nil"/>
              <w:right w:val="single" w:sz="4" w:space="0" w:color="auto"/>
            </w:tcBorders>
            <w:shd w:val="clear" w:color="auto" w:fill="auto"/>
            <w:noWrap/>
            <w:vAlign w:val="center"/>
          </w:tcPr>
          <w:p w14:paraId="12564F67" w14:textId="76586C0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162</w:t>
            </w:r>
          </w:p>
        </w:tc>
        <w:tc>
          <w:tcPr>
            <w:tcW w:w="348" w:type="pct"/>
            <w:tcBorders>
              <w:top w:val="nil"/>
              <w:left w:val="nil"/>
              <w:right w:val="single" w:sz="4" w:space="0" w:color="auto"/>
            </w:tcBorders>
            <w:shd w:val="clear" w:color="auto" w:fill="auto"/>
            <w:noWrap/>
            <w:vAlign w:val="center"/>
          </w:tcPr>
          <w:p w14:paraId="1430E5A2" w14:textId="398E100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41</w:t>
            </w:r>
          </w:p>
        </w:tc>
        <w:tc>
          <w:tcPr>
            <w:tcW w:w="347" w:type="pct"/>
            <w:tcBorders>
              <w:top w:val="nil"/>
              <w:left w:val="nil"/>
              <w:right w:val="single" w:sz="4" w:space="0" w:color="auto"/>
            </w:tcBorders>
            <w:shd w:val="clear" w:color="auto" w:fill="auto"/>
            <w:noWrap/>
            <w:vAlign w:val="center"/>
          </w:tcPr>
          <w:p w14:paraId="32E628B5" w14:textId="43FA2F8A"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127 </w:t>
            </w:r>
          </w:p>
        </w:tc>
        <w:tc>
          <w:tcPr>
            <w:tcW w:w="304" w:type="pct"/>
            <w:tcBorders>
              <w:top w:val="nil"/>
              <w:left w:val="nil"/>
              <w:right w:val="nil"/>
            </w:tcBorders>
            <w:shd w:val="clear" w:color="auto" w:fill="auto"/>
            <w:noWrap/>
            <w:vAlign w:val="center"/>
          </w:tcPr>
          <w:p w14:paraId="42B46BB7" w14:textId="6FFE9E0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21 </w:t>
            </w:r>
          </w:p>
        </w:tc>
        <w:tc>
          <w:tcPr>
            <w:tcW w:w="304" w:type="pct"/>
            <w:tcBorders>
              <w:top w:val="nil"/>
              <w:left w:val="single" w:sz="4" w:space="0" w:color="auto"/>
              <w:right w:val="single" w:sz="4" w:space="0" w:color="auto"/>
            </w:tcBorders>
            <w:shd w:val="clear" w:color="auto" w:fill="auto"/>
            <w:noWrap/>
            <w:vAlign w:val="center"/>
          </w:tcPr>
          <w:p w14:paraId="1E951BA8" w14:textId="2A07F56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1 570 </w:t>
            </w:r>
          </w:p>
        </w:tc>
        <w:tc>
          <w:tcPr>
            <w:tcW w:w="262" w:type="pct"/>
            <w:tcBorders>
              <w:top w:val="nil"/>
              <w:left w:val="nil"/>
              <w:right w:val="single" w:sz="4" w:space="0" w:color="auto"/>
            </w:tcBorders>
            <w:shd w:val="clear" w:color="auto" w:fill="auto"/>
            <w:noWrap/>
            <w:vAlign w:val="center"/>
          </w:tcPr>
          <w:p w14:paraId="5952BD25" w14:textId="633404F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right w:val="single" w:sz="4" w:space="0" w:color="auto"/>
            </w:tcBorders>
            <w:shd w:val="clear" w:color="auto" w:fill="auto"/>
            <w:vAlign w:val="center"/>
          </w:tcPr>
          <w:p w14:paraId="562F085C" w14:textId="5DAF82A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right w:val="single" w:sz="4" w:space="0" w:color="auto"/>
            </w:tcBorders>
            <w:shd w:val="clear" w:color="auto" w:fill="auto"/>
            <w:noWrap/>
            <w:vAlign w:val="center"/>
          </w:tcPr>
          <w:p w14:paraId="65609C0B" w14:textId="3133EB0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right w:val="single" w:sz="4" w:space="0" w:color="auto"/>
            </w:tcBorders>
            <w:shd w:val="clear" w:color="auto" w:fill="auto"/>
            <w:noWrap/>
            <w:vAlign w:val="center"/>
          </w:tcPr>
          <w:p w14:paraId="464F3E0B" w14:textId="2FCB50E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right w:val="single" w:sz="4" w:space="0" w:color="auto"/>
            </w:tcBorders>
            <w:shd w:val="clear" w:color="auto" w:fill="auto"/>
            <w:noWrap/>
            <w:vAlign w:val="center"/>
          </w:tcPr>
          <w:p w14:paraId="690C02FC" w14:textId="25EB184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39 </w:t>
            </w:r>
          </w:p>
        </w:tc>
        <w:tc>
          <w:tcPr>
            <w:tcW w:w="218" w:type="pct"/>
            <w:tcBorders>
              <w:top w:val="nil"/>
              <w:left w:val="nil"/>
              <w:right w:val="single" w:sz="4" w:space="0" w:color="auto"/>
            </w:tcBorders>
            <w:shd w:val="clear" w:color="auto" w:fill="auto"/>
            <w:noWrap/>
            <w:vAlign w:val="center"/>
          </w:tcPr>
          <w:p w14:paraId="0CDB7955" w14:textId="470EAF9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right w:val="single" w:sz="4" w:space="0" w:color="auto"/>
            </w:tcBorders>
            <w:shd w:val="clear" w:color="auto" w:fill="auto"/>
            <w:noWrap/>
            <w:vAlign w:val="center"/>
          </w:tcPr>
          <w:p w14:paraId="5ACA680D" w14:textId="1972E0E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right w:val="single" w:sz="4" w:space="0" w:color="auto"/>
            </w:tcBorders>
            <w:shd w:val="clear" w:color="auto" w:fill="auto"/>
            <w:noWrap/>
            <w:vAlign w:val="center"/>
          </w:tcPr>
          <w:p w14:paraId="2206A114" w14:textId="3B90CA6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10</w:t>
            </w:r>
          </w:p>
        </w:tc>
        <w:tc>
          <w:tcPr>
            <w:tcW w:w="348" w:type="pct"/>
            <w:tcBorders>
              <w:top w:val="nil"/>
              <w:left w:val="nil"/>
              <w:right w:val="single" w:sz="4" w:space="0" w:color="auto"/>
            </w:tcBorders>
            <w:shd w:val="clear" w:color="auto" w:fill="auto"/>
            <w:noWrap/>
            <w:vAlign w:val="center"/>
          </w:tcPr>
          <w:p w14:paraId="735E3462" w14:textId="5B995D0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right w:val="single" w:sz="4" w:space="0" w:color="auto"/>
            </w:tcBorders>
            <w:shd w:val="clear" w:color="auto" w:fill="auto"/>
            <w:noWrap/>
            <w:vAlign w:val="center"/>
          </w:tcPr>
          <w:p w14:paraId="000C95AE" w14:textId="259236D3"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1 619 </w:t>
            </w:r>
          </w:p>
        </w:tc>
      </w:tr>
      <w:tr w:rsidR="00E05A86" w:rsidRPr="00236418" w14:paraId="6F1D6C64" w14:textId="77777777" w:rsidTr="00E05A86">
        <w:trPr>
          <w:trHeight w:val="684"/>
        </w:trPr>
        <w:tc>
          <w:tcPr>
            <w:tcW w:w="479" w:type="pct"/>
            <w:tcBorders>
              <w:top w:val="nil"/>
              <w:left w:val="single" w:sz="4" w:space="0" w:color="auto"/>
              <w:right w:val="nil"/>
            </w:tcBorders>
            <w:shd w:val="clear" w:color="auto" w:fill="auto"/>
            <w:hideMark/>
          </w:tcPr>
          <w:p w14:paraId="3A6606E2" w14:textId="77777777" w:rsidR="00E05A86" w:rsidRPr="00236418" w:rsidRDefault="00E05A86" w:rsidP="009B3D24">
            <w:pPr>
              <w:pStyle w:val="Tabletext"/>
              <w:spacing w:before="0" w:after="0"/>
              <w:rPr>
                <w:sz w:val="14"/>
                <w:szCs w:val="14"/>
                <w:lang w:eastAsia="zh-CN"/>
              </w:rPr>
            </w:pPr>
            <w:r w:rsidRPr="00236418">
              <w:rPr>
                <w:sz w:val="14"/>
                <w:szCs w:val="14"/>
              </w:rPr>
              <w:t>Vérification des comptes et contributions interorganisations</w:t>
            </w:r>
          </w:p>
        </w:tc>
        <w:tc>
          <w:tcPr>
            <w:tcW w:w="305" w:type="pct"/>
            <w:tcBorders>
              <w:top w:val="nil"/>
              <w:left w:val="single" w:sz="4" w:space="0" w:color="auto"/>
              <w:right w:val="single" w:sz="4" w:space="0" w:color="auto"/>
            </w:tcBorders>
            <w:shd w:val="clear" w:color="auto" w:fill="auto"/>
            <w:noWrap/>
            <w:vAlign w:val="center"/>
          </w:tcPr>
          <w:p w14:paraId="7722F17A" w14:textId="5BDC891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724</w:t>
            </w:r>
          </w:p>
        </w:tc>
        <w:tc>
          <w:tcPr>
            <w:tcW w:w="305" w:type="pct"/>
            <w:tcBorders>
              <w:top w:val="nil"/>
              <w:left w:val="nil"/>
              <w:right w:val="single" w:sz="4" w:space="0" w:color="auto"/>
            </w:tcBorders>
            <w:shd w:val="clear" w:color="auto" w:fill="auto"/>
            <w:noWrap/>
            <w:vAlign w:val="center"/>
          </w:tcPr>
          <w:p w14:paraId="1296CC4F" w14:textId="3683BB5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right w:val="single" w:sz="4" w:space="0" w:color="auto"/>
            </w:tcBorders>
            <w:shd w:val="clear" w:color="auto" w:fill="auto"/>
            <w:noWrap/>
            <w:vAlign w:val="center"/>
          </w:tcPr>
          <w:p w14:paraId="3E28B742" w14:textId="76B6510A"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7" w:type="pct"/>
            <w:tcBorders>
              <w:top w:val="nil"/>
              <w:left w:val="nil"/>
              <w:right w:val="single" w:sz="4" w:space="0" w:color="auto"/>
            </w:tcBorders>
            <w:shd w:val="clear" w:color="auto" w:fill="auto"/>
            <w:noWrap/>
            <w:vAlign w:val="center"/>
          </w:tcPr>
          <w:p w14:paraId="3B0B4089" w14:textId="2F2F9F8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48 </w:t>
            </w:r>
          </w:p>
        </w:tc>
        <w:tc>
          <w:tcPr>
            <w:tcW w:w="304" w:type="pct"/>
            <w:tcBorders>
              <w:top w:val="nil"/>
              <w:left w:val="nil"/>
              <w:right w:val="nil"/>
            </w:tcBorders>
            <w:shd w:val="clear" w:color="auto" w:fill="auto"/>
            <w:noWrap/>
            <w:vAlign w:val="center"/>
          </w:tcPr>
          <w:p w14:paraId="39B78E47" w14:textId="5107D6C2"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04" w:type="pct"/>
            <w:tcBorders>
              <w:top w:val="nil"/>
              <w:left w:val="single" w:sz="4" w:space="0" w:color="auto"/>
              <w:right w:val="single" w:sz="4" w:space="0" w:color="auto"/>
            </w:tcBorders>
            <w:shd w:val="clear" w:color="auto" w:fill="auto"/>
            <w:noWrap/>
            <w:vAlign w:val="center"/>
          </w:tcPr>
          <w:p w14:paraId="51DA10B6" w14:textId="34C6C3B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772 </w:t>
            </w:r>
          </w:p>
        </w:tc>
        <w:tc>
          <w:tcPr>
            <w:tcW w:w="262" w:type="pct"/>
            <w:tcBorders>
              <w:top w:val="nil"/>
              <w:left w:val="nil"/>
              <w:right w:val="single" w:sz="4" w:space="0" w:color="auto"/>
            </w:tcBorders>
            <w:shd w:val="clear" w:color="auto" w:fill="auto"/>
            <w:noWrap/>
            <w:vAlign w:val="center"/>
          </w:tcPr>
          <w:p w14:paraId="35BFE491" w14:textId="484F2B42"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right w:val="single" w:sz="4" w:space="0" w:color="auto"/>
            </w:tcBorders>
            <w:shd w:val="clear" w:color="auto" w:fill="auto"/>
            <w:vAlign w:val="center"/>
          </w:tcPr>
          <w:p w14:paraId="1DB06F56" w14:textId="203B4C69"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right w:val="single" w:sz="4" w:space="0" w:color="auto"/>
            </w:tcBorders>
            <w:shd w:val="clear" w:color="auto" w:fill="auto"/>
            <w:noWrap/>
            <w:vAlign w:val="center"/>
          </w:tcPr>
          <w:p w14:paraId="14ABF5DC" w14:textId="1DEF0BE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right w:val="single" w:sz="4" w:space="0" w:color="auto"/>
            </w:tcBorders>
            <w:shd w:val="clear" w:color="auto" w:fill="auto"/>
            <w:noWrap/>
            <w:vAlign w:val="center"/>
          </w:tcPr>
          <w:p w14:paraId="2403B491" w14:textId="76A923EA"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right w:val="single" w:sz="4" w:space="0" w:color="auto"/>
            </w:tcBorders>
            <w:shd w:val="clear" w:color="auto" w:fill="auto"/>
            <w:noWrap/>
            <w:vAlign w:val="center"/>
          </w:tcPr>
          <w:p w14:paraId="3D32E8A1" w14:textId="51D3B74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218" w:type="pct"/>
            <w:tcBorders>
              <w:top w:val="nil"/>
              <w:left w:val="nil"/>
              <w:right w:val="single" w:sz="4" w:space="0" w:color="auto"/>
            </w:tcBorders>
            <w:shd w:val="clear" w:color="auto" w:fill="auto"/>
            <w:noWrap/>
            <w:vAlign w:val="center"/>
          </w:tcPr>
          <w:p w14:paraId="65134D0A" w14:textId="422AEE9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right w:val="single" w:sz="4" w:space="0" w:color="auto"/>
            </w:tcBorders>
            <w:shd w:val="clear" w:color="auto" w:fill="auto"/>
            <w:noWrap/>
            <w:vAlign w:val="center"/>
          </w:tcPr>
          <w:p w14:paraId="307F6FB2" w14:textId="041001D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right w:val="single" w:sz="4" w:space="0" w:color="auto"/>
            </w:tcBorders>
            <w:shd w:val="clear" w:color="auto" w:fill="auto"/>
            <w:noWrap/>
            <w:vAlign w:val="center"/>
          </w:tcPr>
          <w:p w14:paraId="23ECCB32" w14:textId="7523F0B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w:t>
            </w:r>
          </w:p>
        </w:tc>
        <w:tc>
          <w:tcPr>
            <w:tcW w:w="348" w:type="pct"/>
            <w:tcBorders>
              <w:top w:val="nil"/>
              <w:left w:val="nil"/>
              <w:right w:val="single" w:sz="4" w:space="0" w:color="auto"/>
            </w:tcBorders>
            <w:shd w:val="clear" w:color="auto" w:fill="auto"/>
            <w:noWrap/>
            <w:vAlign w:val="center"/>
          </w:tcPr>
          <w:p w14:paraId="4E3BF43C" w14:textId="7ED6AB9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2" w:type="pct"/>
            <w:tcBorders>
              <w:top w:val="nil"/>
              <w:left w:val="nil"/>
              <w:right w:val="single" w:sz="4" w:space="0" w:color="auto"/>
            </w:tcBorders>
            <w:shd w:val="clear" w:color="auto" w:fill="auto"/>
            <w:noWrap/>
            <w:vAlign w:val="center"/>
          </w:tcPr>
          <w:p w14:paraId="6D158F0A" w14:textId="0C81BDAA"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772 </w:t>
            </w:r>
          </w:p>
        </w:tc>
      </w:tr>
      <w:tr w:rsidR="00E05A86" w:rsidRPr="00236418" w14:paraId="754D867E" w14:textId="77777777" w:rsidTr="00902C90">
        <w:trPr>
          <w:trHeight w:val="255"/>
        </w:trPr>
        <w:tc>
          <w:tcPr>
            <w:tcW w:w="479" w:type="pct"/>
            <w:tcBorders>
              <w:top w:val="nil"/>
              <w:left w:val="single" w:sz="4" w:space="0" w:color="auto"/>
              <w:bottom w:val="nil"/>
              <w:right w:val="nil"/>
            </w:tcBorders>
            <w:shd w:val="clear" w:color="auto" w:fill="auto"/>
            <w:hideMark/>
          </w:tcPr>
          <w:p w14:paraId="56D4189C" w14:textId="77777777" w:rsidR="00E05A86" w:rsidRPr="00236418" w:rsidRDefault="00E05A86" w:rsidP="009B3D24">
            <w:pPr>
              <w:pStyle w:val="Tabletext"/>
              <w:spacing w:before="0" w:after="0"/>
              <w:rPr>
                <w:sz w:val="14"/>
                <w:szCs w:val="14"/>
                <w:lang w:eastAsia="zh-CN"/>
              </w:rPr>
            </w:pPr>
            <w:r w:rsidRPr="00236418">
              <w:rPr>
                <w:sz w:val="14"/>
                <w:szCs w:val="14"/>
              </w:rPr>
              <w:t>Autres charges</w:t>
            </w:r>
          </w:p>
        </w:tc>
        <w:tc>
          <w:tcPr>
            <w:tcW w:w="305" w:type="pct"/>
            <w:tcBorders>
              <w:top w:val="nil"/>
              <w:left w:val="single" w:sz="4" w:space="0" w:color="auto"/>
              <w:bottom w:val="nil"/>
              <w:right w:val="single" w:sz="4" w:space="0" w:color="auto"/>
            </w:tcBorders>
            <w:shd w:val="clear" w:color="auto" w:fill="auto"/>
            <w:noWrap/>
          </w:tcPr>
          <w:p w14:paraId="21C1023F" w14:textId="6041772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82</w:t>
            </w:r>
          </w:p>
        </w:tc>
        <w:tc>
          <w:tcPr>
            <w:tcW w:w="305" w:type="pct"/>
            <w:tcBorders>
              <w:top w:val="nil"/>
              <w:left w:val="nil"/>
              <w:bottom w:val="nil"/>
              <w:right w:val="single" w:sz="4" w:space="0" w:color="auto"/>
            </w:tcBorders>
            <w:shd w:val="clear" w:color="auto" w:fill="auto"/>
            <w:noWrap/>
          </w:tcPr>
          <w:p w14:paraId="0480021B" w14:textId="4A84846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w:t>
            </w:r>
          </w:p>
        </w:tc>
        <w:tc>
          <w:tcPr>
            <w:tcW w:w="348" w:type="pct"/>
            <w:tcBorders>
              <w:top w:val="nil"/>
              <w:left w:val="nil"/>
              <w:bottom w:val="nil"/>
              <w:right w:val="single" w:sz="4" w:space="0" w:color="auto"/>
            </w:tcBorders>
            <w:shd w:val="clear" w:color="auto" w:fill="auto"/>
            <w:noWrap/>
          </w:tcPr>
          <w:p w14:paraId="3DDD89C5" w14:textId="58D86BF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w:t>
            </w:r>
          </w:p>
        </w:tc>
        <w:tc>
          <w:tcPr>
            <w:tcW w:w="347" w:type="pct"/>
            <w:tcBorders>
              <w:top w:val="nil"/>
              <w:left w:val="nil"/>
              <w:bottom w:val="nil"/>
              <w:right w:val="single" w:sz="4" w:space="0" w:color="auto"/>
            </w:tcBorders>
            <w:shd w:val="clear" w:color="auto" w:fill="auto"/>
            <w:noWrap/>
            <w:vAlign w:val="bottom"/>
          </w:tcPr>
          <w:p w14:paraId="76FB1ABD" w14:textId="1870119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48 </w:t>
            </w:r>
          </w:p>
        </w:tc>
        <w:tc>
          <w:tcPr>
            <w:tcW w:w="304" w:type="pct"/>
            <w:tcBorders>
              <w:top w:val="nil"/>
              <w:left w:val="nil"/>
              <w:bottom w:val="nil"/>
              <w:right w:val="nil"/>
            </w:tcBorders>
            <w:shd w:val="clear" w:color="auto" w:fill="auto"/>
            <w:noWrap/>
            <w:vAlign w:val="bottom"/>
          </w:tcPr>
          <w:p w14:paraId="1A3DAC24" w14:textId="4430157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704 </w:t>
            </w:r>
          </w:p>
        </w:tc>
        <w:tc>
          <w:tcPr>
            <w:tcW w:w="304" w:type="pct"/>
            <w:tcBorders>
              <w:top w:val="nil"/>
              <w:left w:val="single" w:sz="4" w:space="0" w:color="auto"/>
              <w:bottom w:val="nil"/>
              <w:right w:val="single" w:sz="4" w:space="0" w:color="auto"/>
            </w:tcBorders>
            <w:shd w:val="clear" w:color="auto" w:fill="auto"/>
            <w:noWrap/>
            <w:vAlign w:val="bottom"/>
          </w:tcPr>
          <w:p w14:paraId="4B018EB6" w14:textId="0933C46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850</w:t>
            </w:r>
          </w:p>
        </w:tc>
        <w:tc>
          <w:tcPr>
            <w:tcW w:w="262" w:type="pct"/>
            <w:tcBorders>
              <w:top w:val="nil"/>
              <w:left w:val="nil"/>
              <w:bottom w:val="nil"/>
              <w:right w:val="single" w:sz="4" w:space="0" w:color="auto"/>
            </w:tcBorders>
            <w:shd w:val="clear" w:color="auto" w:fill="auto"/>
            <w:noWrap/>
            <w:vAlign w:val="bottom"/>
          </w:tcPr>
          <w:p w14:paraId="15CCA759" w14:textId="48A07D43"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673CC2E4" w14:textId="1C821B2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210DA28F" w14:textId="4AFE2B0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232219D9" w14:textId="3845681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w:t>
            </w:r>
          </w:p>
        </w:tc>
        <w:tc>
          <w:tcPr>
            <w:tcW w:w="227" w:type="pct"/>
            <w:tcBorders>
              <w:top w:val="nil"/>
              <w:left w:val="nil"/>
              <w:bottom w:val="nil"/>
              <w:right w:val="single" w:sz="4" w:space="0" w:color="auto"/>
            </w:tcBorders>
            <w:shd w:val="clear" w:color="auto" w:fill="auto"/>
            <w:noWrap/>
            <w:vAlign w:val="bottom"/>
          </w:tcPr>
          <w:p w14:paraId="6E4661C3" w14:textId="750F3C2D"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447 </w:t>
            </w:r>
          </w:p>
        </w:tc>
        <w:tc>
          <w:tcPr>
            <w:tcW w:w="218" w:type="pct"/>
            <w:tcBorders>
              <w:top w:val="nil"/>
              <w:left w:val="nil"/>
              <w:bottom w:val="nil"/>
              <w:right w:val="single" w:sz="4" w:space="0" w:color="auto"/>
            </w:tcBorders>
            <w:shd w:val="clear" w:color="auto" w:fill="auto"/>
            <w:noWrap/>
            <w:vAlign w:val="bottom"/>
          </w:tcPr>
          <w:p w14:paraId="1D215E11" w14:textId="4799A4E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24227F21" w14:textId="5FA0DD2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5A73DD5E" w14:textId="7297D9A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r w:rsidR="00AA5101" w:rsidRPr="00236418">
              <w:rPr>
                <w:rFonts w:cs="Calibri"/>
                <w:color w:val="000000"/>
                <w:sz w:val="14"/>
                <w:szCs w:val="14"/>
                <w:lang w:eastAsia="en-GB"/>
              </w:rPr>
              <w:t xml:space="preserve"> </w:t>
            </w:r>
            <w:r w:rsidRPr="00236418">
              <w:rPr>
                <w:rFonts w:cs="Calibri"/>
                <w:color w:val="000000"/>
                <w:sz w:val="14"/>
                <w:szCs w:val="14"/>
                <w:lang w:eastAsia="en-GB"/>
              </w:rPr>
              <w:t>566</w:t>
            </w:r>
          </w:p>
        </w:tc>
        <w:tc>
          <w:tcPr>
            <w:tcW w:w="348" w:type="pct"/>
            <w:tcBorders>
              <w:top w:val="nil"/>
              <w:left w:val="nil"/>
              <w:bottom w:val="nil"/>
              <w:right w:val="single" w:sz="4" w:space="0" w:color="auto"/>
            </w:tcBorders>
            <w:shd w:val="clear" w:color="auto" w:fill="auto"/>
            <w:noWrap/>
            <w:vAlign w:val="bottom"/>
          </w:tcPr>
          <w:p w14:paraId="2A004AD2" w14:textId="10E92D5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–2</w:t>
            </w:r>
            <w:r w:rsidR="00AA5101" w:rsidRPr="00236418">
              <w:rPr>
                <w:rFonts w:cs="Calibri"/>
                <w:color w:val="000000"/>
                <w:sz w:val="14"/>
                <w:szCs w:val="14"/>
                <w:lang w:eastAsia="en-GB"/>
              </w:rPr>
              <w:t xml:space="preserve"> </w:t>
            </w:r>
            <w:r w:rsidRPr="00236418">
              <w:rPr>
                <w:rFonts w:cs="Calibri"/>
                <w:color w:val="000000"/>
                <w:sz w:val="14"/>
                <w:szCs w:val="14"/>
                <w:lang w:eastAsia="en-GB"/>
              </w:rPr>
              <w:t>385</w:t>
            </w:r>
          </w:p>
        </w:tc>
        <w:tc>
          <w:tcPr>
            <w:tcW w:w="302" w:type="pct"/>
            <w:tcBorders>
              <w:top w:val="nil"/>
              <w:left w:val="nil"/>
              <w:bottom w:val="nil"/>
              <w:right w:val="single" w:sz="4" w:space="0" w:color="auto"/>
            </w:tcBorders>
            <w:shd w:val="clear" w:color="auto" w:fill="auto"/>
            <w:noWrap/>
            <w:vAlign w:val="bottom"/>
          </w:tcPr>
          <w:p w14:paraId="684334CD" w14:textId="08C5A20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480 </w:t>
            </w:r>
          </w:p>
        </w:tc>
      </w:tr>
      <w:tr w:rsidR="00E05A86" w:rsidRPr="00236418" w14:paraId="717240FE" w14:textId="77777777" w:rsidTr="00D77053">
        <w:trPr>
          <w:trHeight w:val="255"/>
        </w:trPr>
        <w:tc>
          <w:tcPr>
            <w:tcW w:w="479" w:type="pct"/>
            <w:tcBorders>
              <w:top w:val="nil"/>
              <w:left w:val="single" w:sz="4" w:space="0" w:color="auto"/>
              <w:bottom w:val="nil"/>
              <w:right w:val="nil"/>
            </w:tcBorders>
            <w:shd w:val="clear" w:color="auto" w:fill="auto"/>
            <w:hideMark/>
          </w:tcPr>
          <w:p w14:paraId="3A2D90CD" w14:textId="77777777" w:rsidR="00E05A86" w:rsidRPr="00236418" w:rsidRDefault="00E05A86" w:rsidP="009B3D24">
            <w:pPr>
              <w:pStyle w:val="Tabletext"/>
              <w:spacing w:before="0" w:after="0"/>
              <w:rPr>
                <w:sz w:val="14"/>
                <w:szCs w:val="14"/>
                <w:lang w:eastAsia="zh-CN"/>
              </w:rPr>
            </w:pPr>
            <w:r w:rsidRPr="00236418">
              <w:rPr>
                <w:sz w:val="14"/>
                <w:szCs w:val="14"/>
              </w:rPr>
              <w:t>Charges financières</w:t>
            </w:r>
          </w:p>
        </w:tc>
        <w:tc>
          <w:tcPr>
            <w:tcW w:w="305" w:type="pct"/>
            <w:tcBorders>
              <w:top w:val="nil"/>
              <w:left w:val="single" w:sz="4" w:space="0" w:color="auto"/>
              <w:bottom w:val="nil"/>
              <w:right w:val="single" w:sz="4" w:space="0" w:color="auto"/>
            </w:tcBorders>
            <w:shd w:val="clear" w:color="auto" w:fill="auto"/>
            <w:noWrap/>
          </w:tcPr>
          <w:p w14:paraId="0118DA39" w14:textId="333CE99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107</w:t>
            </w:r>
          </w:p>
        </w:tc>
        <w:tc>
          <w:tcPr>
            <w:tcW w:w="305" w:type="pct"/>
            <w:tcBorders>
              <w:top w:val="nil"/>
              <w:left w:val="nil"/>
              <w:bottom w:val="nil"/>
              <w:right w:val="single" w:sz="4" w:space="0" w:color="auto"/>
            </w:tcBorders>
            <w:shd w:val="clear" w:color="auto" w:fill="auto"/>
            <w:noWrap/>
          </w:tcPr>
          <w:p w14:paraId="317876B4" w14:textId="42D937F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17</w:t>
            </w:r>
          </w:p>
        </w:tc>
        <w:tc>
          <w:tcPr>
            <w:tcW w:w="348" w:type="pct"/>
            <w:tcBorders>
              <w:top w:val="nil"/>
              <w:left w:val="nil"/>
              <w:bottom w:val="nil"/>
              <w:right w:val="single" w:sz="4" w:space="0" w:color="auto"/>
            </w:tcBorders>
            <w:shd w:val="clear" w:color="auto" w:fill="auto"/>
            <w:noWrap/>
          </w:tcPr>
          <w:p w14:paraId="756EA17E" w14:textId="2243F15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12</w:t>
            </w:r>
          </w:p>
        </w:tc>
        <w:tc>
          <w:tcPr>
            <w:tcW w:w="347" w:type="pct"/>
            <w:tcBorders>
              <w:top w:val="nil"/>
              <w:left w:val="nil"/>
              <w:bottom w:val="nil"/>
              <w:right w:val="single" w:sz="4" w:space="0" w:color="auto"/>
            </w:tcBorders>
            <w:shd w:val="clear" w:color="auto" w:fill="auto"/>
            <w:noWrap/>
            <w:vAlign w:val="bottom"/>
          </w:tcPr>
          <w:p w14:paraId="30365CC4" w14:textId="238E79D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48 </w:t>
            </w:r>
          </w:p>
        </w:tc>
        <w:tc>
          <w:tcPr>
            <w:tcW w:w="304" w:type="pct"/>
            <w:tcBorders>
              <w:top w:val="nil"/>
              <w:left w:val="nil"/>
              <w:bottom w:val="nil"/>
              <w:right w:val="nil"/>
            </w:tcBorders>
            <w:shd w:val="clear" w:color="auto" w:fill="auto"/>
            <w:noWrap/>
            <w:vAlign w:val="bottom"/>
          </w:tcPr>
          <w:p w14:paraId="3091A259" w14:textId="2BE3E6E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809 </w:t>
            </w:r>
          </w:p>
        </w:tc>
        <w:tc>
          <w:tcPr>
            <w:tcW w:w="304" w:type="pct"/>
            <w:tcBorders>
              <w:top w:val="nil"/>
              <w:left w:val="single" w:sz="4" w:space="0" w:color="auto"/>
              <w:bottom w:val="nil"/>
              <w:right w:val="single" w:sz="4" w:space="0" w:color="auto"/>
            </w:tcBorders>
            <w:shd w:val="clear" w:color="auto" w:fill="auto"/>
            <w:noWrap/>
            <w:vAlign w:val="bottom"/>
          </w:tcPr>
          <w:p w14:paraId="5E0DED52" w14:textId="31B1B32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992</w:t>
            </w:r>
          </w:p>
        </w:tc>
        <w:tc>
          <w:tcPr>
            <w:tcW w:w="262" w:type="pct"/>
            <w:tcBorders>
              <w:top w:val="nil"/>
              <w:left w:val="nil"/>
              <w:bottom w:val="nil"/>
              <w:right w:val="single" w:sz="4" w:space="0" w:color="auto"/>
            </w:tcBorders>
            <w:shd w:val="clear" w:color="auto" w:fill="auto"/>
            <w:noWrap/>
            <w:vAlign w:val="bottom"/>
          </w:tcPr>
          <w:p w14:paraId="57565D72" w14:textId="7207A72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w:t>
            </w:r>
          </w:p>
        </w:tc>
        <w:tc>
          <w:tcPr>
            <w:tcW w:w="245" w:type="pct"/>
            <w:tcBorders>
              <w:top w:val="nil"/>
              <w:left w:val="nil"/>
              <w:bottom w:val="nil"/>
              <w:right w:val="single" w:sz="4" w:space="0" w:color="auto"/>
            </w:tcBorders>
            <w:shd w:val="clear" w:color="auto" w:fill="auto"/>
            <w:vAlign w:val="bottom"/>
          </w:tcPr>
          <w:p w14:paraId="274BC584" w14:textId="2AA522E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w:t>
            </w:r>
          </w:p>
        </w:tc>
        <w:tc>
          <w:tcPr>
            <w:tcW w:w="249" w:type="pct"/>
            <w:tcBorders>
              <w:top w:val="nil"/>
              <w:left w:val="nil"/>
              <w:bottom w:val="nil"/>
              <w:right w:val="single" w:sz="4" w:space="0" w:color="auto"/>
            </w:tcBorders>
            <w:shd w:val="clear" w:color="auto" w:fill="auto"/>
            <w:noWrap/>
            <w:vAlign w:val="bottom"/>
          </w:tcPr>
          <w:p w14:paraId="20E53066" w14:textId="1C3871DA"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37E6B8F" w14:textId="3C7476B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530</w:t>
            </w:r>
          </w:p>
        </w:tc>
        <w:tc>
          <w:tcPr>
            <w:tcW w:w="227" w:type="pct"/>
            <w:tcBorders>
              <w:top w:val="nil"/>
              <w:left w:val="nil"/>
              <w:bottom w:val="nil"/>
              <w:right w:val="single" w:sz="4" w:space="0" w:color="auto"/>
            </w:tcBorders>
            <w:shd w:val="clear" w:color="auto" w:fill="auto"/>
            <w:noWrap/>
            <w:vAlign w:val="bottom"/>
          </w:tcPr>
          <w:p w14:paraId="73F110C2" w14:textId="61E8099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xml:space="preserve">1 896 </w:t>
            </w:r>
          </w:p>
        </w:tc>
        <w:tc>
          <w:tcPr>
            <w:tcW w:w="218" w:type="pct"/>
            <w:tcBorders>
              <w:top w:val="nil"/>
              <w:left w:val="nil"/>
              <w:bottom w:val="nil"/>
              <w:right w:val="single" w:sz="4" w:space="0" w:color="auto"/>
            </w:tcBorders>
            <w:shd w:val="clear" w:color="auto" w:fill="auto"/>
            <w:noWrap/>
            <w:vAlign w:val="bottom"/>
          </w:tcPr>
          <w:p w14:paraId="021CCB15" w14:textId="38774F0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605</w:t>
            </w:r>
          </w:p>
        </w:tc>
        <w:tc>
          <w:tcPr>
            <w:tcW w:w="174" w:type="pct"/>
            <w:tcBorders>
              <w:top w:val="nil"/>
              <w:left w:val="nil"/>
              <w:bottom w:val="nil"/>
              <w:right w:val="single" w:sz="4" w:space="0" w:color="auto"/>
            </w:tcBorders>
            <w:shd w:val="clear" w:color="auto" w:fill="auto"/>
            <w:noWrap/>
            <w:vAlign w:val="bottom"/>
          </w:tcPr>
          <w:p w14:paraId="25A7879F" w14:textId="3569BE1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–357</w:t>
            </w:r>
          </w:p>
        </w:tc>
        <w:tc>
          <w:tcPr>
            <w:tcW w:w="261" w:type="pct"/>
            <w:tcBorders>
              <w:top w:val="nil"/>
              <w:left w:val="nil"/>
              <w:bottom w:val="nil"/>
              <w:right w:val="single" w:sz="4" w:space="0" w:color="auto"/>
            </w:tcBorders>
            <w:shd w:val="clear" w:color="auto" w:fill="auto"/>
            <w:noWrap/>
            <w:vAlign w:val="bottom"/>
          </w:tcPr>
          <w:p w14:paraId="270AB1F0" w14:textId="4686EFF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12</w:t>
            </w:r>
          </w:p>
        </w:tc>
        <w:tc>
          <w:tcPr>
            <w:tcW w:w="348" w:type="pct"/>
            <w:tcBorders>
              <w:top w:val="nil"/>
              <w:left w:val="nil"/>
              <w:bottom w:val="nil"/>
              <w:right w:val="single" w:sz="4" w:space="0" w:color="auto"/>
            </w:tcBorders>
            <w:shd w:val="clear" w:color="auto" w:fill="auto"/>
            <w:noWrap/>
            <w:vAlign w:val="bottom"/>
          </w:tcPr>
          <w:p w14:paraId="60590021" w14:textId="41D65E7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cs="Calibri"/>
                <w:color w:val="000000"/>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5166D7D1" w14:textId="57F3A2BF"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cs="Calibri"/>
                <w:b/>
                <w:bCs/>
                <w:sz w:val="14"/>
                <w:szCs w:val="14"/>
                <w:lang w:eastAsia="en-GB"/>
              </w:rPr>
              <w:t xml:space="preserve">3 679 </w:t>
            </w:r>
          </w:p>
        </w:tc>
      </w:tr>
      <w:tr w:rsidR="00E05A86" w:rsidRPr="00236418" w14:paraId="7E734F8C" w14:textId="77777777" w:rsidTr="00D77053">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522CFD52" w14:textId="77777777" w:rsidR="00E05A86" w:rsidRPr="00236418" w:rsidRDefault="00E05A86" w:rsidP="009B3D24">
            <w:pPr>
              <w:pStyle w:val="Tabletext"/>
              <w:spacing w:before="0" w:after="0"/>
              <w:rPr>
                <w:b/>
                <w:bCs/>
                <w:sz w:val="14"/>
                <w:szCs w:val="14"/>
                <w:lang w:eastAsia="zh-CN"/>
              </w:rPr>
            </w:pPr>
            <w:r w:rsidRPr="00236418">
              <w:rPr>
                <w:b/>
                <w:bCs/>
                <w:sz w:val="14"/>
                <w:szCs w:val="14"/>
                <w:lang w:eastAsia="zh-CN"/>
              </w:rPr>
              <w:t>Total des charges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F2535" w14:textId="41E54473"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80 430</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314323BE" w14:textId="2C8D13B9"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28 199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7BF006B" w14:textId="767FCF7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13 458</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75800540" w14:textId="3046B6D0"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27 125 </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4B56562B" w14:textId="6431AC5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78 316 </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4A349B71" w14:textId="220365D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227 528</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3C2680" w14:textId="4EF7C80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8</w:t>
            </w:r>
          </w:p>
        </w:tc>
        <w:tc>
          <w:tcPr>
            <w:tcW w:w="245" w:type="pct"/>
            <w:tcBorders>
              <w:top w:val="single" w:sz="4" w:space="0" w:color="auto"/>
              <w:left w:val="nil"/>
              <w:bottom w:val="single" w:sz="4" w:space="0" w:color="auto"/>
              <w:right w:val="single" w:sz="4" w:space="0" w:color="auto"/>
            </w:tcBorders>
            <w:shd w:val="clear" w:color="auto" w:fill="auto"/>
            <w:vAlign w:val="center"/>
          </w:tcPr>
          <w:p w14:paraId="219DDE49" w14:textId="0991092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1 </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40654B92" w14:textId="1F41930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17</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0910EA99" w14:textId="247F559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4 425</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90498CA" w14:textId="67FFF78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8 724 </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706679D6" w14:textId="54205F4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605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65CFBA2" w14:textId="78F3A0B8"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–357</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82E371D" w14:textId="70DC3A2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6</w:t>
            </w:r>
            <w:r w:rsidR="00AA5101" w:rsidRPr="00236418">
              <w:rPr>
                <w:rFonts w:cs="Calibri"/>
                <w:b/>
                <w:bCs/>
                <w:color w:val="000000"/>
                <w:sz w:val="14"/>
                <w:szCs w:val="14"/>
                <w:lang w:eastAsia="en-GB"/>
              </w:rPr>
              <w:t xml:space="preserve"> </w:t>
            </w:r>
            <w:r w:rsidRPr="00236418">
              <w:rPr>
                <w:rFonts w:cs="Calibri"/>
                <w:b/>
                <w:bCs/>
                <w:color w:val="000000"/>
                <w:sz w:val="14"/>
                <w:szCs w:val="14"/>
                <w:lang w:eastAsia="en-GB"/>
              </w:rPr>
              <w:t>075</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0053565" w14:textId="4BAFAB8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–2 385</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62DE1FB5" w14:textId="38B4A3F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cs="Calibri"/>
                <w:b/>
                <w:bCs/>
                <w:color w:val="000000"/>
                <w:sz w:val="14"/>
                <w:szCs w:val="14"/>
                <w:lang w:eastAsia="en-GB"/>
              </w:rPr>
              <w:t xml:space="preserve">244 640 </w:t>
            </w:r>
          </w:p>
        </w:tc>
      </w:tr>
      <w:tr w:rsidR="00E05A86" w:rsidRPr="00236418" w14:paraId="7222090F" w14:textId="77777777" w:rsidTr="00D77053">
        <w:trPr>
          <w:trHeight w:val="510"/>
        </w:trPr>
        <w:tc>
          <w:tcPr>
            <w:tcW w:w="479" w:type="pct"/>
            <w:tcBorders>
              <w:top w:val="single" w:sz="4" w:space="0" w:color="auto"/>
              <w:left w:val="single" w:sz="4" w:space="0" w:color="auto"/>
              <w:bottom w:val="single" w:sz="4" w:space="0" w:color="auto"/>
              <w:right w:val="nil"/>
            </w:tcBorders>
            <w:shd w:val="clear" w:color="auto" w:fill="auto"/>
            <w:hideMark/>
          </w:tcPr>
          <w:p w14:paraId="28BFB209" w14:textId="77777777" w:rsidR="00E05A86" w:rsidRPr="00236418" w:rsidRDefault="00E05A86" w:rsidP="009B3D24">
            <w:pPr>
              <w:pStyle w:val="Tabletext"/>
              <w:spacing w:before="0" w:after="0"/>
              <w:rPr>
                <w:b/>
                <w:bCs/>
                <w:sz w:val="14"/>
                <w:szCs w:val="14"/>
                <w:lang w:eastAsia="zh-CN"/>
              </w:rPr>
            </w:pPr>
            <w:r w:rsidRPr="00236418">
              <w:rPr>
                <w:b/>
                <w:bCs/>
                <w:sz w:val="14"/>
                <w:szCs w:val="14"/>
              </w:rPr>
              <w:t xml:space="preserve">Excédent/(déficit) </w:t>
            </w:r>
            <w:r w:rsidRPr="00236418">
              <w:rPr>
                <w:b/>
                <w:bCs/>
                <w:sz w:val="14"/>
                <w:szCs w:val="14"/>
              </w:rPr>
              <w:br/>
              <w:t>de l'exercice</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DC6A1" w14:textId="3AA77F7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–78 799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5A59F3A4" w14:textId="1C5FA291"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6 052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47E4BCA9" w14:textId="5488FB6A"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–5 154</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2D267052" w14:textId="19CC789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–25 513</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6AFB3DC" w14:textId="1E140C3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43 868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D93CFFF" w14:textId="68A93C7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–59 546</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9F31A4" w14:textId="52B9A9E6"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w:t>
            </w:r>
          </w:p>
        </w:tc>
        <w:tc>
          <w:tcPr>
            <w:tcW w:w="245" w:type="pct"/>
            <w:tcBorders>
              <w:top w:val="single" w:sz="4" w:space="0" w:color="auto"/>
              <w:left w:val="nil"/>
              <w:bottom w:val="single" w:sz="4" w:space="0" w:color="auto"/>
              <w:right w:val="single" w:sz="4" w:space="0" w:color="auto"/>
            </w:tcBorders>
            <w:shd w:val="clear" w:color="auto" w:fill="auto"/>
            <w:vAlign w:val="center"/>
          </w:tcPr>
          <w:p w14:paraId="48404FC6" w14:textId="56824A8D"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3 039</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664127AF" w14:textId="5782DEDC"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–17</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6C9C4CB9" w14:textId="68B98EDE"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–557</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338417B" w14:textId="657532C9"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–1 281</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6034D14A" w14:textId="5B8D354B"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71</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54DFA44" w14:textId="7777777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B87029A" w14:textId="57FEBAC5"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836</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57BD079" w14:textId="77777777"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79F9759D" w14:textId="747F2EA4" w:rsidR="00E05A86" w:rsidRPr="00236418"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–57 463</w:t>
            </w:r>
          </w:p>
        </w:tc>
      </w:tr>
    </w:tbl>
    <w:p w14:paraId="1EC27C90" w14:textId="57A65F54" w:rsidR="00DF6159" w:rsidRPr="00236418" w:rsidRDefault="00DF6159" w:rsidP="009B3D24">
      <w:pPr>
        <w:pStyle w:val="Headingb"/>
        <w:spacing w:before="0" w:after="120"/>
      </w:pPr>
      <w:bookmarkStart w:id="2247" w:name="_Toc9605756"/>
      <w:bookmarkStart w:id="2248" w:name="_Toc10450783"/>
      <w:bookmarkStart w:id="2249" w:name="_Toc41566369"/>
      <w:bookmarkStart w:id="2250" w:name="_Toc41814973"/>
      <w:r w:rsidRPr="00236418">
        <w:lastRenderedPageBreak/>
        <w:t>Informations sectorielles – État de la performance financière 201</w:t>
      </w:r>
      <w:bookmarkEnd w:id="2247"/>
      <w:bookmarkEnd w:id="2248"/>
      <w:r w:rsidR="000544F9" w:rsidRPr="00236418">
        <w:t>8</w:t>
      </w:r>
      <w:bookmarkEnd w:id="2249"/>
      <w:bookmarkEnd w:id="2250"/>
    </w:p>
    <w:tbl>
      <w:tblPr>
        <w:tblW w:w="5825" w:type="pct"/>
        <w:tblInd w:w="-998" w:type="dxa"/>
        <w:tblLayout w:type="fixed"/>
        <w:tblLook w:val="04A0" w:firstRow="1" w:lastRow="0" w:firstColumn="1" w:lastColumn="0" w:noHBand="0" w:noVBand="1"/>
        <w:tblCaption w:val="E"/>
      </w:tblPr>
      <w:tblGrid>
        <w:gridCol w:w="1563"/>
        <w:gridCol w:w="994"/>
        <w:gridCol w:w="994"/>
        <w:gridCol w:w="1135"/>
        <w:gridCol w:w="1131"/>
        <w:gridCol w:w="991"/>
        <w:gridCol w:w="991"/>
        <w:gridCol w:w="854"/>
        <w:gridCol w:w="799"/>
        <w:gridCol w:w="812"/>
        <w:gridCol w:w="1050"/>
        <w:gridCol w:w="740"/>
        <w:gridCol w:w="711"/>
        <w:gridCol w:w="567"/>
        <w:gridCol w:w="851"/>
        <w:gridCol w:w="1135"/>
        <w:gridCol w:w="985"/>
      </w:tblGrid>
      <w:tr w:rsidR="000544F9" w:rsidRPr="00236418" w14:paraId="7DE4C730" w14:textId="77777777" w:rsidTr="00FC47EC">
        <w:trPr>
          <w:trHeight w:val="255"/>
        </w:trPr>
        <w:tc>
          <w:tcPr>
            <w:tcW w:w="479" w:type="pct"/>
            <w:tcBorders>
              <w:top w:val="single" w:sz="4" w:space="0" w:color="auto"/>
              <w:left w:val="single" w:sz="4" w:space="0" w:color="auto"/>
              <w:bottom w:val="single" w:sz="4" w:space="0" w:color="auto"/>
              <w:right w:val="nil"/>
            </w:tcBorders>
            <w:shd w:val="clear" w:color="auto" w:fill="auto"/>
            <w:hideMark/>
          </w:tcPr>
          <w:bookmarkEnd w:id="2237"/>
          <w:bookmarkEnd w:id="2238"/>
          <w:bookmarkEnd w:id="2239"/>
          <w:bookmarkEnd w:id="2240"/>
          <w:bookmarkEnd w:id="2241"/>
          <w:bookmarkEnd w:id="2242"/>
          <w:bookmarkEnd w:id="2243"/>
          <w:bookmarkEnd w:id="2244"/>
          <w:bookmarkEnd w:id="2245"/>
          <w:bookmarkEnd w:id="2246"/>
          <w:p w14:paraId="1E2908E4"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En milliers de CHF</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2746E7F3"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Secrétariat</w:t>
            </w:r>
          </w:p>
          <w:p w14:paraId="663D15F0"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général</w:t>
            </w:r>
          </w:p>
        </w:tc>
        <w:tc>
          <w:tcPr>
            <w:tcW w:w="305" w:type="pct"/>
            <w:tcBorders>
              <w:top w:val="single" w:sz="4" w:space="0" w:color="auto"/>
              <w:left w:val="nil"/>
              <w:bottom w:val="single" w:sz="4" w:space="0" w:color="auto"/>
              <w:right w:val="single" w:sz="4" w:space="0" w:color="auto"/>
            </w:tcBorders>
            <w:shd w:val="clear" w:color="auto" w:fill="auto"/>
            <w:noWrap/>
            <w:hideMark/>
          </w:tcPr>
          <w:p w14:paraId="507F8F06"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 xml:space="preserve">Secteur des </w:t>
            </w:r>
            <w:proofErr w:type="spellStart"/>
            <w:r w:rsidRPr="00236418">
              <w:rPr>
                <w:rFonts w:asciiTheme="minorHAnsi" w:hAnsiTheme="minorHAnsi"/>
                <w:sz w:val="14"/>
                <w:szCs w:val="14"/>
              </w:rPr>
              <w:t>radiocom</w:t>
            </w:r>
            <w:proofErr w:type="spellEnd"/>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8" w:type="pct"/>
            <w:tcBorders>
              <w:top w:val="single" w:sz="4" w:space="0" w:color="auto"/>
              <w:left w:val="nil"/>
              <w:bottom w:val="single" w:sz="4" w:space="0" w:color="auto"/>
              <w:right w:val="single" w:sz="4" w:space="0" w:color="auto"/>
            </w:tcBorders>
            <w:shd w:val="clear" w:color="auto" w:fill="auto"/>
            <w:noWrap/>
            <w:hideMark/>
          </w:tcPr>
          <w:p w14:paraId="489EB62A"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Secteur de la</w:t>
            </w:r>
            <w:r w:rsidRPr="00236418">
              <w:rPr>
                <w:rFonts w:asciiTheme="minorHAnsi" w:hAnsiTheme="minorHAnsi"/>
                <w:sz w:val="14"/>
                <w:szCs w:val="14"/>
              </w:rPr>
              <w:br/>
              <w:t>normalisation des télécom</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47" w:type="pct"/>
            <w:tcBorders>
              <w:top w:val="single" w:sz="4" w:space="0" w:color="auto"/>
              <w:left w:val="nil"/>
              <w:bottom w:val="single" w:sz="4" w:space="0" w:color="auto"/>
              <w:right w:val="single" w:sz="4" w:space="0" w:color="auto"/>
            </w:tcBorders>
            <w:shd w:val="clear" w:color="auto" w:fill="auto"/>
            <w:noWrap/>
            <w:hideMark/>
          </w:tcPr>
          <w:p w14:paraId="0BBF530F"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 xml:space="preserve">Secteur du </w:t>
            </w:r>
            <w:proofErr w:type="spellStart"/>
            <w:r w:rsidRPr="00236418">
              <w:rPr>
                <w:rFonts w:asciiTheme="minorHAnsi" w:hAnsiTheme="minorHAnsi"/>
                <w:sz w:val="14"/>
                <w:szCs w:val="14"/>
              </w:rPr>
              <w:t>dével</w:t>
            </w:r>
            <w:proofErr w:type="spellEnd"/>
            <w:r w:rsidRPr="00236418">
              <w:rPr>
                <w:rFonts w:asciiTheme="minorHAnsi" w:hAnsiTheme="minorHAnsi"/>
                <w:sz w:val="14"/>
                <w:szCs w:val="14"/>
              </w:rPr>
              <w:t>. des télécom-</w:t>
            </w:r>
            <w:r w:rsidRPr="00236418">
              <w:rPr>
                <w:rFonts w:asciiTheme="minorHAnsi" w:hAnsiTheme="minorHAnsi"/>
                <w:sz w:val="14"/>
                <w:szCs w:val="14"/>
              </w:rPr>
              <w:br/>
            </w:r>
            <w:proofErr w:type="spellStart"/>
            <w:r w:rsidRPr="00236418">
              <w:rPr>
                <w:rFonts w:asciiTheme="minorHAnsi" w:hAnsiTheme="minorHAnsi"/>
                <w:sz w:val="14"/>
                <w:szCs w:val="14"/>
              </w:rPr>
              <w:t>munications</w:t>
            </w:r>
            <w:proofErr w:type="spellEnd"/>
          </w:p>
        </w:tc>
        <w:tc>
          <w:tcPr>
            <w:tcW w:w="304" w:type="pct"/>
            <w:tcBorders>
              <w:top w:val="single" w:sz="4" w:space="0" w:color="auto"/>
              <w:left w:val="nil"/>
              <w:bottom w:val="single" w:sz="4" w:space="0" w:color="auto"/>
              <w:right w:val="nil"/>
            </w:tcBorders>
            <w:shd w:val="clear" w:color="auto" w:fill="auto"/>
            <w:noWrap/>
            <w:hideMark/>
          </w:tcPr>
          <w:p w14:paraId="45E22C35"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Non attribuable à un segment</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10C6CB38"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Total Fonds 1000+</w:t>
            </w:r>
            <w:r w:rsidRPr="00236418">
              <w:rPr>
                <w:rFonts w:asciiTheme="minorHAnsi" w:hAnsiTheme="minorHAnsi"/>
                <w:sz w:val="14"/>
                <w:szCs w:val="14"/>
              </w:rPr>
              <w:br/>
              <w:t>1010</w:t>
            </w:r>
          </w:p>
        </w:tc>
        <w:tc>
          <w:tcPr>
            <w:tcW w:w="262" w:type="pct"/>
            <w:tcBorders>
              <w:top w:val="single" w:sz="4" w:space="0" w:color="auto"/>
              <w:left w:val="nil"/>
              <w:bottom w:val="single" w:sz="4" w:space="0" w:color="auto"/>
              <w:right w:val="single" w:sz="4" w:space="0" w:color="auto"/>
            </w:tcBorders>
            <w:shd w:val="clear" w:color="auto" w:fill="auto"/>
            <w:noWrap/>
            <w:hideMark/>
          </w:tcPr>
          <w:p w14:paraId="356ECE47"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Fonds pour le nouveau bâtiment</w:t>
            </w:r>
          </w:p>
        </w:tc>
        <w:tc>
          <w:tcPr>
            <w:tcW w:w="245" w:type="pct"/>
            <w:tcBorders>
              <w:top w:val="single" w:sz="4" w:space="0" w:color="auto"/>
              <w:left w:val="nil"/>
              <w:bottom w:val="single" w:sz="4" w:space="0" w:color="auto"/>
              <w:right w:val="nil"/>
            </w:tcBorders>
          </w:tcPr>
          <w:p w14:paraId="76EC56B3"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Fonds de réserve pour le nouveau bâtiment</w:t>
            </w:r>
          </w:p>
        </w:tc>
        <w:tc>
          <w:tcPr>
            <w:tcW w:w="249" w:type="pct"/>
            <w:tcBorders>
              <w:top w:val="single" w:sz="4" w:space="0" w:color="auto"/>
              <w:left w:val="nil"/>
              <w:bottom w:val="single" w:sz="4" w:space="0" w:color="auto"/>
              <w:right w:val="single" w:sz="4" w:space="0" w:color="auto"/>
            </w:tcBorders>
            <w:shd w:val="clear" w:color="auto" w:fill="auto"/>
            <w:noWrap/>
            <w:hideMark/>
          </w:tcPr>
          <w:p w14:paraId="63C71A38"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 xml:space="preserve">Caisse assurance </w:t>
            </w:r>
          </w:p>
        </w:tc>
        <w:tc>
          <w:tcPr>
            <w:tcW w:w="322" w:type="pct"/>
            <w:tcBorders>
              <w:top w:val="single" w:sz="4" w:space="0" w:color="auto"/>
              <w:left w:val="nil"/>
              <w:bottom w:val="single" w:sz="4" w:space="0" w:color="auto"/>
              <w:right w:val="single" w:sz="4" w:space="0" w:color="auto"/>
            </w:tcBorders>
            <w:shd w:val="clear" w:color="auto" w:fill="auto"/>
            <w:noWrap/>
            <w:hideMark/>
          </w:tcPr>
          <w:p w14:paraId="6845C6A9"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 xml:space="preserve">Contributions volontaires </w:t>
            </w:r>
          </w:p>
        </w:tc>
        <w:tc>
          <w:tcPr>
            <w:tcW w:w="227" w:type="pct"/>
            <w:tcBorders>
              <w:top w:val="single" w:sz="4" w:space="0" w:color="auto"/>
              <w:left w:val="nil"/>
              <w:bottom w:val="single" w:sz="4" w:space="0" w:color="auto"/>
              <w:right w:val="single" w:sz="4" w:space="0" w:color="auto"/>
            </w:tcBorders>
            <w:shd w:val="clear" w:color="auto" w:fill="auto"/>
            <w:noWrap/>
            <w:hideMark/>
          </w:tcPr>
          <w:p w14:paraId="57E325F2"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FIT</w:t>
            </w:r>
          </w:p>
        </w:tc>
        <w:tc>
          <w:tcPr>
            <w:tcW w:w="218" w:type="pct"/>
            <w:tcBorders>
              <w:top w:val="single" w:sz="4" w:space="0" w:color="auto"/>
              <w:left w:val="nil"/>
              <w:bottom w:val="single" w:sz="4" w:space="0" w:color="auto"/>
              <w:right w:val="single" w:sz="4" w:space="0" w:color="auto"/>
            </w:tcBorders>
            <w:shd w:val="clear" w:color="auto" w:fill="auto"/>
            <w:noWrap/>
            <w:hideMark/>
          </w:tcPr>
          <w:p w14:paraId="4033ABFA"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FDTIC</w:t>
            </w:r>
          </w:p>
        </w:tc>
        <w:tc>
          <w:tcPr>
            <w:tcW w:w="174" w:type="pct"/>
            <w:tcBorders>
              <w:top w:val="single" w:sz="4" w:space="0" w:color="auto"/>
              <w:left w:val="nil"/>
              <w:bottom w:val="single" w:sz="4" w:space="0" w:color="auto"/>
              <w:right w:val="single" w:sz="4" w:space="0" w:color="auto"/>
            </w:tcBorders>
            <w:shd w:val="clear" w:color="auto" w:fill="auto"/>
            <w:noWrap/>
            <w:hideMark/>
          </w:tcPr>
          <w:p w14:paraId="1959615A"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 xml:space="preserve">PNUD </w:t>
            </w:r>
          </w:p>
        </w:tc>
        <w:tc>
          <w:tcPr>
            <w:tcW w:w="261" w:type="pct"/>
            <w:tcBorders>
              <w:top w:val="single" w:sz="4" w:space="0" w:color="auto"/>
              <w:left w:val="nil"/>
              <w:bottom w:val="single" w:sz="4" w:space="0" w:color="auto"/>
              <w:right w:val="single" w:sz="4" w:space="0" w:color="auto"/>
            </w:tcBorders>
            <w:shd w:val="clear" w:color="auto" w:fill="auto"/>
            <w:noWrap/>
            <w:hideMark/>
          </w:tcPr>
          <w:p w14:paraId="14F870C5"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 xml:space="preserve">TELECOM </w:t>
            </w:r>
          </w:p>
        </w:tc>
        <w:tc>
          <w:tcPr>
            <w:tcW w:w="348" w:type="pct"/>
            <w:tcBorders>
              <w:top w:val="single" w:sz="4" w:space="0" w:color="auto"/>
              <w:left w:val="nil"/>
              <w:bottom w:val="single" w:sz="4" w:space="0" w:color="auto"/>
              <w:right w:val="single" w:sz="4" w:space="0" w:color="auto"/>
            </w:tcBorders>
            <w:shd w:val="clear" w:color="auto" w:fill="auto"/>
            <w:noWrap/>
            <w:hideMark/>
          </w:tcPr>
          <w:p w14:paraId="1A0AFC74"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Ajustements de consolidation</w:t>
            </w:r>
          </w:p>
        </w:tc>
        <w:tc>
          <w:tcPr>
            <w:tcW w:w="304" w:type="pct"/>
            <w:tcBorders>
              <w:top w:val="single" w:sz="4" w:space="0" w:color="auto"/>
              <w:left w:val="nil"/>
              <w:bottom w:val="single" w:sz="4" w:space="0" w:color="auto"/>
              <w:right w:val="single" w:sz="4" w:space="0" w:color="auto"/>
            </w:tcBorders>
            <w:shd w:val="clear" w:color="auto" w:fill="auto"/>
            <w:noWrap/>
            <w:hideMark/>
          </w:tcPr>
          <w:p w14:paraId="32839B2C" w14:textId="77777777" w:rsidR="000544F9" w:rsidRPr="00236418" w:rsidRDefault="000544F9" w:rsidP="009B3D24">
            <w:pPr>
              <w:pStyle w:val="TableHead0"/>
              <w:spacing w:before="0"/>
              <w:rPr>
                <w:rFonts w:asciiTheme="minorHAnsi" w:hAnsiTheme="minorHAnsi"/>
                <w:sz w:val="14"/>
                <w:szCs w:val="14"/>
              </w:rPr>
            </w:pPr>
            <w:r w:rsidRPr="00236418">
              <w:rPr>
                <w:rFonts w:asciiTheme="minorHAnsi" w:hAnsiTheme="minorHAnsi"/>
                <w:sz w:val="14"/>
                <w:szCs w:val="14"/>
              </w:rPr>
              <w:t>Total</w:t>
            </w:r>
          </w:p>
        </w:tc>
      </w:tr>
      <w:tr w:rsidR="000544F9" w:rsidRPr="00236418" w14:paraId="6F2E2CF3" w14:textId="77777777" w:rsidTr="00FC47EC">
        <w:trPr>
          <w:trHeight w:val="255"/>
        </w:trPr>
        <w:tc>
          <w:tcPr>
            <w:tcW w:w="479" w:type="pct"/>
            <w:tcBorders>
              <w:top w:val="nil"/>
              <w:left w:val="single" w:sz="4" w:space="0" w:color="auto"/>
              <w:bottom w:val="nil"/>
              <w:right w:val="nil"/>
            </w:tcBorders>
            <w:shd w:val="clear" w:color="auto" w:fill="auto"/>
            <w:hideMark/>
          </w:tcPr>
          <w:p w14:paraId="4CBA8555" w14:textId="77777777" w:rsidR="000544F9" w:rsidRPr="00236418" w:rsidRDefault="000544F9" w:rsidP="009B3D24">
            <w:pPr>
              <w:pStyle w:val="Tabletext"/>
              <w:spacing w:before="40" w:after="0"/>
              <w:rPr>
                <w:b/>
                <w:bCs/>
                <w:sz w:val="14"/>
                <w:szCs w:val="14"/>
                <w:lang w:eastAsia="zh-CN"/>
              </w:rPr>
            </w:pPr>
            <w:r w:rsidRPr="00236418">
              <w:rPr>
                <w:b/>
                <w:bCs/>
                <w:sz w:val="14"/>
                <w:szCs w:val="14"/>
                <w:lang w:eastAsia="zh-CN"/>
              </w:rPr>
              <w:t>PRODUITS</w:t>
            </w:r>
          </w:p>
        </w:tc>
        <w:tc>
          <w:tcPr>
            <w:tcW w:w="305" w:type="pct"/>
            <w:tcBorders>
              <w:top w:val="nil"/>
              <w:left w:val="single" w:sz="4" w:space="0" w:color="auto"/>
              <w:bottom w:val="nil"/>
              <w:right w:val="single" w:sz="4" w:space="0" w:color="auto"/>
            </w:tcBorders>
            <w:shd w:val="clear" w:color="auto" w:fill="auto"/>
            <w:noWrap/>
            <w:vAlign w:val="center"/>
          </w:tcPr>
          <w:p w14:paraId="2A99E253" w14:textId="77777777" w:rsidR="000544F9" w:rsidRPr="00236418" w:rsidRDefault="000544F9" w:rsidP="009B3D24">
            <w:pPr>
              <w:pStyle w:val="Tabletext"/>
              <w:spacing w:before="0" w:after="0"/>
              <w:jc w:val="right"/>
              <w:rPr>
                <w:sz w:val="14"/>
                <w:szCs w:val="14"/>
                <w:lang w:eastAsia="zh-CN"/>
              </w:rPr>
            </w:pPr>
          </w:p>
        </w:tc>
        <w:tc>
          <w:tcPr>
            <w:tcW w:w="305" w:type="pct"/>
            <w:tcBorders>
              <w:top w:val="nil"/>
              <w:left w:val="nil"/>
              <w:bottom w:val="nil"/>
              <w:right w:val="single" w:sz="4" w:space="0" w:color="auto"/>
            </w:tcBorders>
            <w:shd w:val="clear" w:color="auto" w:fill="auto"/>
            <w:noWrap/>
            <w:vAlign w:val="center"/>
          </w:tcPr>
          <w:p w14:paraId="6C8C58D3" w14:textId="77777777" w:rsidR="000544F9" w:rsidRPr="00236418" w:rsidRDefault="000544F9" w:rsidP="009B3D24">
            <w:pPr>
              <w:pStyle w:val="Tabletext"/>
              <w:spacing w:before="0" w:after="0"/>
              <w:jc w:val="right"/>
              <w:rPr>
                <w:sz w:val="14"/>
                <w:szCs w:val="14"/>
                <w:lang w:eastAsia="zh-CN"/>
              </w:rPr>
            </w:pPr>
          </w:p>
        </w:tc>
        <w:tc>
          <w:tcPr>
            <w:tcW w:w="348" w:type="pct"/>
            <w:tcBorders>
              <w:top w:val="nil"/>
              <w:left w:val="nil"/>
              <w:bottom w:val="nil"/>
              <w:right w:val="single" w:sz="4" w:space="0" w:color="auto"/>
            </w:tcBorders>
            <w:shd w:val="clear" w:color="auto" w:fill="auto"/>
            <w:noWrap/>
            <w:vAlign w:val="center"/>
          </w:tcPr>
          <w:p w14:paraId="5F388C37" w14:textId="77777777" w:rsidR="000544F9" w:rsidRPr="00236418" w:rsidRDefault="000544F9" w:rsidP="009B3D24">
            <w:pPr>
              <w:pStyle w:val="Tabletext"/>
              <w:spacing w:before="0" w:after="0"/>
              <w:jc w:val="right"/>
              <w:rPr>
                <w:sz w:val="14"/>
                <w:szCs w:val="14"/>
                <w:lang w:eastAsia="zh-CN"/>
              </w:rPr>
            </w:pPr>
          </w:p>
        </w:tc>
        <w:tc>
          <w:tcPr>
            <w:tcW w:w="347" w:type="pct"/>
            <w:tcBorders>
              <w:top w:val="nil"/>
              <w:left w:val="nil"/>
              <w:bottom w:val="nil"/>
              <w:right w:val="single" w:sz="4" w:space="0" w:color="auto"/>
            </w:tcBorders>
            <w:shd w:val="clear" w:color="auto" w:fill="auto"/>
            <w:noWrap/>
            <w:vAlign w:val="center"/>
          </w:tcPr>
          <w:p w14:paraId="1767F3AC" w14:textId="77777777" w:rsidR="000544F9" w:rsidRPr="00236418" w:rsidRDefault="000544F9" w:rsidP="009B3D24">
            <w:pPr>
              <w:pStyle w:val="Tabletext"/>
              <w:spacing w:before="0" w:after="0"/>
              <w:jc w:val="right"/>
              <w:rPr>
                <w:sz w:val="14"/>
                <w:szCs w:val="14"/>
                <w:lang w:eastAsia="zh-CN"/>
              </w:rPr>
            </w:pPr>
          </w:p>
        </w:tc>
        <w:tc>
          <w:tcPr>
            <w:tcW w:w="304" w:type="pct"/>
            <w:tcBorders>
              <w:top w:val="nil"/>
              <w:left w:val="nil"/>
              <w:bottom w:val="nil"/>
              <w:right w:val="nil"/>
            </w:tcBorders>
            <w:shd w:val="clear" w:color="auto" w:fill="auto"/>
            <w:noWrap/>
            <w:vAlign w:val="center"/>
          </w:tcPr>
          <w:p w14:paraId="09FBD139" w14:textId="77777777" w:rsidR="000544F9" w:rsidRPr="00236418" w:rsidRDefault="000544F9" w:rsidP="009B3D24">
            <w:pPr>
              <w:pStyle w:val="Tabletext"/>
              <w:spacing w:before="0" w:after="0"/>
              <w:jc w:val="right"/>
              <w:rPr>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center"/>
          </w:tcPr>
          <w:p w14:paraId="1C9632FA" w14:textId="77777777" w:rsidR="000544F9" w:rsidRPr="00236418" w:rsidRDefault="000544F9" w:rsidP="009B3D24">
            <w:pPr>
              <w:pStyle w:val="Tabletext"/>
              <w:spacing w:before="0" w:after="0"/>
              <w:jc w:val="right"/>
              <w:rPr>
                <w:sz w:val="14"/>
                <w:szCs w:val="14"/>
                <w:lang w:eastAsia="zh-CN"/>
              </w:rPr>
            </w:pPr>
          </w:p>
        </w:tc>
        <w:tc>
          <w:tcPr>
            <w:tcW w:w="262" w:type="pct"/>
            <w:tcBorders>
              <w:top w:val="nil"/>
              <w:left w:val="nil"/>
              <w:bottom w:val="nil"/>
              <w:right w:val="single" w:sz="4" w:space="0" w:color="auto"/>
            </w:tcBorders>
            <w:shd w:val="clear" w:color="auto" w:fill="auto"/>
            <w:noWrap/>
            <w:vAlign w:val="center"/>
            <w:hideMark/>
          </w:tcPr>
          <w:p w14:paraId="492E6E4C"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245" w:type="pct"/>
            <w:tcBorders>
              <w:top w:val="nil"/>
              <w:left w:val="nil"/>
              <w:bottom w:val="nil"/>
              <w:right w:val="nil"/>
            </w:tcBorders>
          </w:tcPr>
          <w:p w14:paraId="154A2C68" w14:textId="77777777" w:rsidR="000544F9" w:rsidRPr="00236418" w:rsidRDefault="000544F9" w:rsidP="009B3D24">
            <w:pPr>
              <w:pStyle w:val="Tabletext"/>
              <w:spacing w:before="0" w:after="0"/>
              <w:jc w:val="right"/>
              <w:rPr>
                <w:sz w:val="14"/>
                <w:szCs w:val="14"/>
                <w:lang w:eastAsia="zh-CN"/>
              </w:rPr>
            </w:pPr>
          </w:p>
        </w:tc>
        <w:tc>
          <w:tcPr>
            <w:tcW w:w="249" w:type="pct"/>
            <w:tcBorders>
              <w:top w:val="nil"/>
              <w:left w:val="nil"/>
              <w:bottom w:val="nil"/>
              <w:right w:val="single" w:sz="4" w:space="0" w:color="auto"/>
            </w:tcBorders>
            <w:shd w:val="clear" w:color="auto" w:fill="auto"/>
            <w:noWrap/>
            <w:vAlign w:val="center"/>
            <w:hideMark/>
          </w:tcPr>
          <w:p w14:paraId="5996609B"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322" w:type="pct"/>
            <w:tcBorders>
              <w:top w:val="nil"/>
              <w:left w:val="nil"/>
              <w:bottom w:val="nil"/>
              <w:right w:val="single" w:sz="4" w:space="0" w:color="auto"/>
            </w:tcBorders>
            <w:shd w:val="clear" w:color="auto" w:fill="auto"/>
            <w:noWrap/>
            <w:vAlign w:val="center"/>
            <w:hideMark/>
          </w:tcPr>
          <w:p w14:paraId="7904F771"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227" w:type="pct"/>
            <w:tcBorders>
              <w:top w:val="nil"/>
              <w:left w:val="nil"/>
              <w:bottom w:val="nil"/>
              <w:right w:val="single" w:sz="4" w:space="0" w:color="auto"/>
            </w:tcBorders>
            <w:shd w:val="clear" w:color="auto" w:fill="auto"/>
            <w:noWrap/>
            <w:vAlign w:val="center"/>
            <w:hideMark/>
          </w:tcPr>
          <w:p w14:paraId="4E95A1C9"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218" w:type="pct"/>
            <w:tcBorders>
              <w:top w:val="nil"/>
              <w:left w:val="nil"/>
              <w:bottom w:val="nil"/>
              <w:right w:val="single" w:sz="4" w:space="0" w:color="auto"/>
            </w:tcBorders>
            <w:shd w:val="clear" w:color="auto" w:fill="auto"/>
            <w:noWrap/>
            <w:vAlign w:val="center"/>
            <w:hideMark/>
          </w:tcPr>
          <w:p w14:paraId="5D6C800C"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174" w:type="pct"/>
            <w:tcBorders>
              <w:top w:val="nil"/>
              <w:left w:val="nil"/>
              <w:bottom w:val="nil"/>
              <w:right w:val="single" w:sz="4" w:space="0" w:color="auto"/>
            </w:tcBorders>
            <w:shd w:val="clear" w:color="auto" w:fill="auto"/>
            <w:noWrap/>
            <w:vAlign w:val="center"/>
            <w:hideMark/>
          </w:tcPr>
          <w:p w14:paraId="26793902"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261" w:type="pct"/>
            <w:tcBorders>
              <w:top w:val="nil"/>
              <w:left w:val="nil"/>
              <w:bottom w:val="nil"/>
              <w:right w:val="single" w:sz="4" w:space="0" w:color="auto"/>
            </w:tcBorders>
            <w:shd w:val="clear" w:color="auto" w:fill="auto"/>
            <w:noWrap/>
            <w:vAlign w:val="center"/>
            <w:hideMark/>
          </w:tcPr>
          <w:p w14:paraId="138CC3BE"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348" w:type="pct"/>
            <w:tcBorders>
              <w:top w:val="nil"/>
              <w:left w:val="nil"/>
              <w:bottom w:val="nil"/>
              <w:right w:val="single" w:sz="4" w:space="0" w:color="auto"/>
            </w:tcBorders>
            <w:shd w:val="clear" w:color="auto" w:fill="auto"/>
            <w:noWrap/>
            <w:vAlign w:val="center"/>
            <w:hideMark/>
          </w:tcPr>
          <w:p w14:paraId="1A3E047A"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c>
          <w:tcPr>
            <w:tcW w:w="304" w:type="pct"/>
            <w:tcBorders>
              <w:top w:val="nil"/>
              <w:left w:val="nil"/>
              <w:bottom w:val="nil"/>
              <w:right w:val="single" w:sz="4" w:space="0" w:color="auto"/>
            </w:tcBorders>
            <w:shd w:val="clear" w:color="auto" w:fill="auto"/>
            <w:noWrap/>
            <w:vAlign w:val="center"/>
            <w:hideMark/>
          </w:tcPr>
          <w:p w14:paraId="583E757D" w14:textId="77777777" w:rsidR="000544F9" w:rsidRPr="00236418" w:rsidRDefault="000544F9" w:rsidP="009B3D24">
            <w:pPr>
              <w:pStyle w:val="Tabletext"/>
              <w:spacing w:before="0" w:after="0"/>
              <w:jc w:val="right"/>
              <w:rPr>
                <w:sz w:val="14"/>
                <w:szCs w:val="14"/>
                <w:lang w:eastAsia="zh-CN"/>
              </w:rPr>
            </w:pPr>
            <w:r w:rsidRPr="00236418">
              <w:rPr>
                <w:sz w:val="14"/>
                <w:szCs w:val="14"/>
                <w:lang w:eastAsia="zh-CN"/>
              </w:rPr>
              <w:t> </w:t>
            </w:r>
          </w:p>
        </w:tc>
      </w:tr>
      <w:tr w:rsidR="000544F9" w:rsidRPr="00236418" w14:paraId="76687450" w14:textId="77777777" w:rsidTr="00FC47EC">
        <w:trPr>
          <w:trHeight w:val="255"/>
        </w:trPr>
        <w:tc>
          <w:tcPr>
            <w:tcW w:w="479" w:type="pct"/>
            <w:tcBorders>
              <w:top w:val="nil"/>
              <w:left w:val="single" w:sz="4" w:space="0" w:color="auto"/>
              <w:bottom w:val="nil"/>
              <w:right w:val="nil"/>
            </w:tcBorders>
            <w:shd w:val="clear" w:color="auto" w:fill="auto"/>
            <w:hideMark/>
          </w:tcPr>
          <w:p w14:paraId="597F5FBC" w14:textId="77777777" w:rsidR="000544F9" w:rsidRPr="00236418" w:rsidRDefault="000544F9" w:rsidP="009B3D24">
            <w:pPr>
              <w:pStyle w:val="Tabletext"/>
              <w:spacing w:before="0" w:after="0"/>
              <w:rPr>
                <w:sz w:val="14"/>
                <w:szCs w:val="14"/>
                <w:lang w:eastAsia="zh-CN"/>
              </w:rPr>
            </w:pPr>
            <w:r w:rsidRPr="00236418">
              <w:rPr>
                <w:sz w:val="14"/>
                <w:szCs w:val="14"/>
              </w:rPr>
              <w:t>Contributions mise en recouvrement</w:t>
            </w:r>
          </w:p>
        </w:tc>
        <w:tc>
          <w:tcPr>
            <w:tcW w:w="305" w:type="pct"/>
            <w:tcBorders>
              <w:top w:val="nil"/>
              <w:left w:val="single" w:sz="4" w:space="0" w:color="auto"/>
              <w:bottom w:val="nil"/>
              <w:right w:val="single" w:sz="4" w:space="0" w:color="auto"/>
            </w:tcBorders>
            <w:shd w:val="clear" w:color="auto" w:fill="auto"/>
            <w:noWrap/>
            <w:vAlign w:val="bottom"/>
          </w:tcPr>
          <w:p w14:paraId="06889A1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230</w:t>
            </w:r>
          </w:p>
        </w:tc>
        <w:tc>
          <w:tcPr>
            <w:tcW w:w="305" w:type="pct"/>
            <w:tcBorders>
              <w:top w:val="nil"/>
              <w:left w:val="nil"/>
              <w:bottom w:val="nil"/>
              <w:right w:val="single" w:sz="4" w:space="0" w:color="auto"/>
            </w:tcBorders>
            <w:shd w:val="clear" w:color="auto" w:fill="auto"/>
            <w:noWrap/>
            <w:vAlign w:val="bottom"/>
          </w:tcPr>
          <w:p w14:paraId="418B782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6 706</w:t>
            </w:r>
          </w:p>
        </w:tc>
        <w:tc>
          <w:tcPr>
            <w:tcW w:w="348" w:type="pct"/>
            <w:tcBorders>
              <w:top w:val="nil"/>
              <w:left w:val="nil"/>
              <w:bottom w:val="nil"/>
              <w:right w:val="single" w:sz="4" w:space="0" w:color="auto"/>
            </w:tcBorders>
            <w:shd w:val="clear" w:color="auto" w:fill="auto"/>
            <w:noWrap/>
            <w:vAlign w:val="bottom"/>
          </w:tcPr>
          <w:p w14:paraId="1E8D8BA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7 747</w:t>
            </w:r>
          </w:p>
        </w:tc>
        <w:tc>
          <w:tcPr>
            <w:tcW w:w="347" w:type="pct"/>
            <w:tcBorders>
              <w:top w:val="nil"/>
              <w:left w:val="nil"/>
              <w:bottom w:val="nil"/>
              <w:right w:val="single" w:sz="4" w:space="0" w:color="auto"/>
            </w:tcBorders>
            <w:shd w:val="clear" w:color="auto" w:fill="auto"/>
            <w:noWrap/>
            <w:vAlign w:val="bottom"/>
          </w:tcPr>
          <w:p w14:paraId="37330F1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1 552</w:t>
            </w:r>
          </w:p>
        </w:tc>
        <w:tc>
          <w:tcPr>
            <w:tcW w:w="304" w:type="pct"/>
            <w:tcBorders>
              <w:top w:val="nil"/>
              <w:left w:val="nil"/>
              <w:bottom w:val="nil"/>
              <w:right w:val="nil"/>
            </w:tcBorders>
            <w:shd w:val="clear" w:color="auto" w:fill="auto"/>
            <w:noWrap/>
            <w:vAlign w:val="bottom"/>
          </w:tcPr>
          <w:p w14:paraId="3CD77AA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108 955</w:t>
            </w:r>
          </w:p>
        </w:tc>
        <w:tc>
          <w:tcPr>
            <w:tcW w:w="304" w:type="pct"/>
            <w:tcBorders>
              <w:top w:val="nil"/>
              <w:left w:val="single" w:sz="4" w:space="0" w:color="auto"/>
              <w:bottom w:val="nil"/>
              <w:right w:val="single" w:sz="4" w:space="0" w:color="auto"/>
            </w:tcBorders>
            <w:shd w:val="clear" w:color="auto" w:fill="auto"/>
            <w:noWrap/>
            <w:vAlign w:val="bottom"/>
          </w:tcPr>
          <w:p w14:paraId="3189AF4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125 191</w:t>
            </w:r>
          </w:p>
        </w:tc>
        <w:tc>
          <w:tcPr>
            <w:tcW w:w="262" w:type="pct"/>
            <w:tcBorders>
              <w:top w:val="nil"/>
              <w:left w:val="nil"/>
              <w:bottom w:val="nil"/>
              <w:right w:val="single" w:sz="4" w:space="0" w:color="auto"/>
            </w:tcBorders>
            <w:shd w:val="clear" w:color="auto" w:fill="auto"/>
            <w:noWrap/>
            <w:vAlign w:val="bottom"/>
          </w:tcPr>
          <w:p w14:paraId="0A157F9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5CBE2E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29CC69B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nil"/>
            </w:tcBorders>
            <w:shd w:val="clear" w:color="auto" w:fill="auto"/>
            <w:noWrap/>
            <w:vAlign w:val="bottom"/>
          </w:tcPr>
          <w:p w14:paraId="2201964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single" w:sz="4" w:space="0" w:color="auto"/>
              <w:bottom w:val="nil"/>
              <w:right w:val="nil"/>
            </w:tcBorders>
            <w:shd w:val="clear" w:color="auto" w:fill="auto"/>
            <w:noWrap/>
            <w:vAlign w:val="bottom"/>
          </w:tcPr>
          <w:p w14:paraId="31EF367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single" w:sz="4" w:space="0" w:color="auto"/>
              <w:bottom w:val="nil"/>
              <w:right w:val="nil"/>
            </w:tcBorders>
            <w:shd w:val="clear" w:color="auto" w:fill="auto"/>
            <w:noWrap/>
            <w:vAlign w:val="bottom"/>
          </w:tcPr>
          <w:p w14:paraId="4108C20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single" w:sz="4" w:space="0" w:color="auto"/>
              <w:bottom w:val="nil"/>
              <w:right w:val="single" w:sz="4" w:space="0" w:color="auto"/>
            </w:tcBorders>
            <w:shd w:val="clear" w:color="auto" w:fill="auto"/>
            <w:noWrap/>
            <w:vAlign w:val="bottom"/>
          </w:tcPr>
          <w:p w14:paraId="08076D3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1FF6A4F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nil"/>
            </w:tcBorders>
            <w:shd w:val="clear" w:color="auto" w:fill="auto"/>
            <w:noWrap/>
            <w:vAlign w:val="bottom"/>
          </w:tcPr>
          <w:p w14:paraId="5422549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44150B8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125 191</w:t>
            </w:r>
          </w:p>
        </w:tc>
      </w:tr>
      <w:tr w:rsidR="000544F9" w:rsidRPr="00236418" w14:paraId="33408BF9" w14:textId="77777777" w:rsidTr="00FC47EC">
        <w:trPr>
          <w:trHeight w:val="255"/>
        </w:trPr>
        <w:tc>
          <w:tcPr>
            <w:tcW w:w="479" w:type="pct"/>
            <w:tcBorders>
              <w:top w:val="nil"/>
              <w:left w:val="single" w:sz="4" w:space="0" w:color="auto"/>
              <w:bottom w:val="nil"/>
              <w:right w:val="nil"/>
            </w:tcBorders>
            <w:shd w:val="clear" w:color="auto" w:fill="auto"/>
            <w:hideMark/>
          </w:tcPr>
          <w:p w14:paraId="20431055" w14:textId="77777777" w:rsidR="000544F9" w:rsidRPr="00236418" w:rsidRDefault="000544F9" w:rsidP="009B3D24">
            <w:pPr>
              <w:pStyle w:val="Tabletext"/>
              <w:spacing w:before="0" w:after="0"/>
              <w:rPr>
                <w:sz w:val="14"/>
                <w:szCs w:val="14"/>
                <w:lang w:eastAsia="zh-CN"/>
              </w:rPr>
            </w:pPr>
            <w:r w:rsidRPr="00236418">
              <w:rPr>
                <w:sz w:val="14"/>
                <w:szCs w:val="14"/>
              </w:rPr>
              <w:t>Contributions volontaires</w:t>
            </w:r>
          </w:p>
        </w:tc>
        <w:tc>
          <w:tcPr>
            <w:tcW w:w="305" w:type="pct"/>
            <w:tcBorders>
              <w:top w:val="nil"/>
              <w:left w:val="single" w:sz="4" w:space="0" w:color="auto"/>
              <w:bottom w:val="nil"/>
              <w:right w:val="single" w:sz="4" w:space="0" w:color="auto"/>
            </w:tcBorders>
            <w:shd w:val="clear" w:color="auto" w:fill="auto"/>
            <w:noWrap/>
            <w:vAlign w:val="bottom"/>
          </w:tcPr>
          <w:p w14:paraId="47D65CA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05AE43D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96D9DF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4D53020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nil"/>
            </w:tcBorders>
            <w:shd w:val="clear" w:color="auto" w:fill="auto"/>
            <w:noWrap/>
            <w:vAlign w:val="bottom"/>
          </w:tcPr>
          <w:p w14:paraId="0481777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w:t>
            </w:r>
          </w:p>
        </w:tc>
        <w:tc>
          <w:tcPr>
            <w:tcW w:w="304" w:type="pct"/>
            <w:tcBorders>
              <w:top w:val="nil"/>
              <w:left w:val="single" w:sz="4" w:space="0" w:color="auto"/>
              <w:bottom w:val="nil"/>
              <w:right w:val="single" w:sz="4" w:space="0" w:color="auto"/>
            </w:tcBorders>
            <w:shd w:val="clear" w:color="auto" w:fill="auto"/>
            <w:noWrap/>
            <w:vAlign w:val="bottom"/>
          </w:tcPr>
          <w:p w14:paraId="75D127E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w:t>
            </w:r>
          </w:p>
        </w:tc>
        <w:tc>
          <w:tcPr>
            <w:tcW w:w="262" w:type="pct"/>
            <w:tcBorders>
              <w:top w:val="nil"/>
              <w:left w:val="nil"/>
              <w:bottom w:val="nil"/>
              <w:right w:val="single" w:sz="4" w:space="0" w:color="auto"/>
            </w:tcBorders>
            <w:shd w:val="clear" w:color="auto" w:fill="auto"/>
            <w:noWrap/>
            <w:vAlign w:val="bottom"/>
          </w:tcPr>
          <w:p w14:paraId="73F3FB8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204DEE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FE7352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23EFFEA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2 006</w:t>
            </w:r>
          </w:p>
        </w:tc>
        <w:tc>
          <w:tcPr>
            <w:tcW w:w="227" w:type="pct"/>
            <w:tcBorders>
              <w:top w:val="nil"/>
              <w:left w:val="nil"/>
              <w:bottom w:val="nil"/>
              <w:right w:val="single" w:sz="4" w:space="0" w:color="auto"/>
            </w:tcBorders>
            <w:shd w:val="clear" w:color="auto" w:fill="auto"/>
            <w:noWrap/>
            <w:vAlign w:val="bottom"/>
          </w:tcPr>
          <w:p w14:paraId="4909177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5 155</w:t>
            </w:r>
          </w:p>
        </w:tc>
        <w:tc>
          <w:tcPr>
            <w:tcW w:w="218" w:type="pct"/>
            <w:tcBorders>
              <w:top w:val="nil"/>
              <w:left w:val="nil"/>
              <w:bottom w:val="nil"/>
              <w:right w:val="single" w:sz="4" w:space="0" w:color="auto"/>
            </w:tcBorders>
            <w:shd w:val="clear" w:color="auto" w:fill="auto"/>
            <w:noWrap/>
            <w:vAlign w:val="bottom"/>
          </w:tcPr>
          <w:p w14:paraId="7CD554E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F269EE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7AB936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C41F3A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092D8B2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7 161</w:t>
            </w:r>
          </w:p>
        </w:tc>
      </w:tr>
      <w:tr w:rsidR="000544F9" w:rsidRPr="00236418" w14:paraId="5B5D6B2C" w14:textId="77777777" w:rsidTr="00FC47EC">
        <w:trPr>
          <w:trHeight w:val="255"/>
        </w:trPr>
        <w:tc>
          <w:tcPr>
            <w:tcW w:w="479" w:type="pct"/>
            <w:tcBorders>
              <w:top w:val="nil"/>
              <w:left w:val="single" w:sz="4" w:space="0" w:color="auto"/>
              <w:bottom w:val="nil"/>
              <w:right w:val="nil"/>
            </w:tcBorders>
            <w:shd w:val="clear" w:color="auto" w:fill="auto"/>
            <w:hideMark/>
          </w:tcPr>
          <w:p w14:paraId="4E468E65" w14:textId="77777777" w:rsidR="000544F9" w:rsidRPr="00236418" w:rsidRDefault="000544F9" w:rsidP="009B3D24">
            <w:pPr>
              <w:pStyle w:val="Tabletext"/>
              <w:spacing w:before="0" w:after="0"/>
              <w:rPr>
                <w:sz w:val="14"/>
                <w:szCs w:val="14"/>
                <w:lang w:eastAsia="zh-CN"/>
              </w:rPr>
            </w:pPr>
            <w:r w:rsidRPr="00236418">
              <w:rPr>
                <w:sz w:val="14"/>
                <w:szCs w:val="14"/>
              </w:rPr>
              <w:t>Publications</w:t>
            </w:r>
          </w:p>
        </w:tc>
        <w:tc>
          <w:tcPr>
            <w:tcW w:w="305" w:type="pct"/>
            <w:tcBorders>
              <w:top w:val="nil"/>
              <w:left w:val="single" w:sz="4" w:space="0" w:color="auto"/>
              <w:bottom w:val="nil"/>
              <w:right w:val="single" w:sz="4" w:space="0" w:color="auto"/>
            </w:tcBorders>
            <w:shd w:val="clear" w:color="auto" w:fill="auto"/>
            <w:noWrap/>
            <w:vAlign w:val="bottom"/>
          </w:tcPr>
          <w:p w14:paraId="03D1A8B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34</w:t>
            </w:r>
          </w:p>
        </w:tc>
        <w:tc>
          <w:tcPr>
            <w:tcW w:w="305" w:type="pct"/>
            <w:tcBorders>
              <w:top w:val="nil"/>
              <w:left w:val="nil"/>
              <w:bottom w:val="nil"/>
              <w:right w:val="single" w:sz="4" w:space="0" w:color="auto"/>
            </w:tcBorders>
            <w:shd w:val="clear" w:color="auto" w:fill="auto"/>
            <w:noWrap/>
            <w:vAlign w:val="bottom"/>
          </w:tcPr>
          <w:p w14:paraId="1D4216C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13 616</w:t>
            </w:r>
          </w:p>
        </w:tc>
        <w:tc>
          <w:tcPr>
            <w:tcW w:w="348" w:type="pct"/>
            <w:tcBorders>
              <w:top w:val="nil"/>
              <w:left w:val="nil"/>
              <w:bottom w:val="nil"/>
              <w:right w:val="single" w:sz="4" w:space="0" w:color="auto"/>
            </w:tcBorders>
            <w:shd w:val="clear" w:color="auto" w:fill="auto"/>
            <w:noWrap/>
            <w:vAlign w:val="bottom"/>
          </w:tcPr>
          <w:p w14:paraId="0B71714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34</w:t>
            </w:r>
          </w:p>
        </w:tc>
        <w:tc>
          <w:tcPr>
            <w:tcW w:w="347" w:type="pct"/>
            <w:tcBorders>
              <w:top w:val="nil"/>
              <w:left w:val="nil"/>
              <w:bottom w:val="nil"/>
              <w:right w:val="single" w:sz="4" w:space="0" w:color="auto"/>
            </w:tcBorders>
            <w:shd w:val="clear" w:color="auto" w:fill="auto"/>
            <w:noWrap/>
            <w:vAlign w:val="bottom"/>
          </w:tcPr>
          <w:p w14:paraId="1A14144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173</w:t>
            </w:r>
          </w:p>
        </w:tc>
        <w:tc>
          <w:tcPr>
            <w:tcW w:w="304" w:type="pct"/>
            <w:tcBorders>
              <w:top w:val="nil"/>
              <w:left w:val="nil"/>
              <w:bottom w:val="nil"/>
              <w:right w:val="nil"/>
            </w:tcBorders>
            <w:shd w:val="clear" w:color="auto" w:fill="auto"/>
            <w:noWrap/>
            <w:vAlign w:val="bottom"/>
          </w:tcPr>
          <w:p w14:paraId="0F5AACF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7</w:t>
            </w:r>
          </w:p>
        </w:tc>
        <w:tc>
          <w:tcPr>
            <w:tcW w:w="304" w:type="pct"/>
            <w:tcBorders>
              <w:top w:val="nil"/>
              <w:left w:val="single" w:sz="4" w:space="0" w:color="auto"/>
              <w:bottom w:val="nil"/>
              <w:right w:val="single" w:sz="4" w:space="0" w:color="auto"/>
            </w:tcBorders>
            <w:shd w:val="clear" w:color="auto" w:fill="auto"/>
            <w:noWrap/>
            <w:vAlign w:val="bottom"/>
          </w:tcPr>
          <w:p w14:paraId="24A9D93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13 865</w:t>
            </w:r>
          </w:p>
        </w:tc>
        <w:tc>
          <w:tcPr>
            <w:tcW w:w="262" w:type="pct"/>
            <w:tcBorders>
              <w:top w:val="nil"/>
              <w:left w:val="nil"/>
              <w:bottom w:val="nil"/>
              <w:right w:val="single" w:sz="4" w:space="0" w:color="auto"/>
            </w:tcBorders>
            <w:shd w:val="clear" w:color="auto" w:fill="auto"/>
            <w:noWrap/>
            <w:vAlign w:val="bottom"/>
          </w:tcPr>
          <w:p w14:paraId="22FF054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2C791BC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D2C601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6A700DC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67CE666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743C9EE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54A97B1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04E49DA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5180667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45E7741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13 865</w:t>
            </w:r>
          </w:p>
        </w:tc>
      </w:tr>
      <w:tr w:rsidR="000544F9" w:rsidRPr="00236418" w14:paraId="30E115A1" w14:textId="77777777" w:rsidTr="00FC47EC">
        <w:trPr>
          <w:trHeight w:val="255"/>
        </w:trPr>
        <w:tc>
          <w:tcPr>
            <w:tcW w:w="479" w:type="pct"/>
            <w:tcBorders>
              <w:top w:val="nil"/>
              <w:left w:val="single" w:sz="4" w:space="0" w:color="auto"/>
              <w:bottom w:val="nil"/>
              <w:right w:val="nil"/>
            </w:tcBorders>
            <w:shd w:val="clear" w:color="auto" w:fill="auto"/>
            <w:hideMark/>
          </w:tcPr>
          <w:p w14:paraId="29E56881" w14:textId="77777777" w:rsidR="000544F9" w:rsidRPr="00236418" w:rsidRDefault="000544F9" w:rsidP="009B3D24">
            <w:pPr>
              <w:pStyle w:val="Tabletext"/>
              <w:spacing w:before="0" w:after="0"/>
              <w:rPr>
                <w:sz w:val="14"/>
                <w:szCs w:val="14"/>
                <w:lang w:eastAsia="zh-CN"/>
              </w:rPr>
            </w:pPr>
            <w:r w:rsidRPr="00236418">
              <w:rPr>
                <w:sz w:val="14"/>
                <w:szCs w:val="14"/>
              </w:rPr>
              <w:t>Recouvrement des coûts</w:t>
            </w:r>
          </w:p>
        </w:tc>
        <w:tc>
          <w:tcPr>
            <w:tcW w:w="305" w:type="pct"/>
            <w:tcBorders>
              <w:top w:val="nil"/>
              <w:left w:val="single" w:sz="4" w:space="0" w:color="auto"/>
              <w:bottom w:val="nil"/>
              <w:right w:val="single" w:sz="4" w:space="0" w:color="auto"/>
            </w:tcBorders>
            <w:shd w:val="clear" w:color="auto" w:fill="auto"/>
            <w:noWrap/>
            <w:vAlign w:val="bottom"/>
          </w:tcPr>
          <w:p w14:paraId="60E6D77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1 008</w:t>
            </w:r>
          </w:p>
        </w:tc>
        <w:tc>
          <w:tcPr>
            <w:tcW w:w="305" w:type="pct"/>
            <w:tcBorders>
              <w:top w:val="nil"/>
              <w:left w:val="nil"/>
              <w:bottom w:val="nil"/>
              <w:right w:val="single" w:sz="4" w:space="0" w:color="auto"/>
            </w:tcBorders>
            <w:shd w:val="clear" w:color="auto" w:fill="auto"/>
            <w:noWrap/>
            <w:vAlign w:val="bottom"/>
          </w:tcPr>
          <w:p w14:paraId="12E47EF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19 070</w:t>
            </w:r>
          </w:p>
        </w:tc>
        <w:tc>
          <w:tcPr>
            <w:tcW w:w="348" w:type="pct"/>
            <w:tcBorders>
              <w:top w:val="nil"/>
              <w:left w:val="nil"/>
              <w:bottom w:val="nil"/>
              <w:right w:val="single" w:sz="4" w:space="0" w:color="auto"/>
            </w:tcBorders>
            <w:shd w:val="clear" w:color="auto" w:fill="auto"/>
            <w:noWrap/>
            <w:vAlign w:val="bottom"/>
          </w:tcPr>
          <w:p w14:paraId="62E8A7C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913</w:t>
            </w:r>
          </w:p>
        </w:tc>
        <w:tc>
          <w:tcPr>
            <w:tcW w:w="347" w:type="pct"/>
            <w:tcBorders>
              <w:top w:val="nil"/>
              <w:left w:val="nil"/>
              <w:bottom w:val="nil"/>
              <w:right w:val="single" w:sz="4" w:space="0" w:color="auto"/>
            </w:tcBorders>
            <w:shd w:val="clear" w:color="auto" w:fill="auto"/>
            <w:noWrap/>
            <w:vAlign w:val="bottom"/>
          </w:tcPr>
          <w:p w14:paraId="127A089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4</w:t>
            </w:r>
          </w:p>
        </w:tc>
        <w:tc>
          <w:tcPr>
            <w:tcW w:w="304" w:type="pct"/>
            <w:tcBorders>
              <w:top w:val="nil"/>
              <w:left w:val="nil"/>
              <w:bottom w:val="nil"/>
              <w:right w:val="nil"/>
            </w:tcBorders>
            <w:shd w:val="clear" w:color="auto" w:fill="auto"/>
            <w:noWrap/>
            <w:vAlign w:val="bottom"/>
          </w:tcPr>
          <w:p w14:paraId="6EA752C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887</w:t>
            </w:r>
          </w:p>
        </w:tc>
        <w:tc>
          <w:tcPr>
            <w:tcW w:w="304" w:type="pct"/>
            <w:tcBorders>
              <w:top w:val="nil"/>
              <w:left w:val="single" w:sz="4" w:space="0" w:color="auto"/>
              <w:bottom w:val="nil"/>
              <w:right w:val="single" w:sz="4" w:space="0" w:color="auto"/>
            </w:tcBorders>
            <w:shd w:val="clear" w:color="auto" w:fill="auto"/>
            <w:noWrap/>
            <w:vAlign w:val="bottom"/>
          </w:tcPr>
          <w:p w14:paraId="241F8DA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21 881</w:t>
            </w:r>
          </w:p>
        </w:tc>
        <w:tc>
          <w:tcPr>
            <w:tcW w:w="262" w:type="pct"/>
            <w:tcBorders>
              <w:top w:val="nil"/>
              <w:left w:val="nil"/>
              <w:bottom w:val="nil"/>
              <w:right w:val="single" w:sz="4" w:space="0" w:color="auto"/>
            </w:tcBorders>
            <w:shd w:val="clear" w:color="auto" w:fill="auto"/>
            <w:noWrap/>
            <w:vAlign w:val="bottom"/>
          </w:tcPr>
          <w:p w14:paraId="698A5F7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C7E291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0EFBE3D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05FE89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2A6B125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68AB8F0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189A462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7181F46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2189C9A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–1 884</w:t>
            </w:r>
          </w:p>
        </w:tc>
        <w:tc>
          <w:tcPr>
            <w:tcW w:w="304" w:type="pct"/>
            <w:tcBorders>
              <w:top w:val="nil"/>
              <w:left w:val="nil"/>
              <w:bottom w:val="nil"/>
              <w:right w:val="single" w:sz="4" w:space="0" w:color="auto"/>
            </w:tcBorders>
            <w:shd w:val="clear" w:color="auto" w:fill="auto"/>
            <w:noWrap/>
            <w:vAlign w:val="bottom"/>
          </w:tcPr>
          <w:p w14:paraId="3E0A6C1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19 997</w:t>
            </w:r>
          </w:p>
        </w:tc>
      </w:tr>
      <w:tr w:rsidR="000544F9" w:rsidRPr="00236418" w14:paraId="301E72F7" w14:textId="77777777" w:rsidTr="00FC47EC">
        <w:trPr>
          <w:trHeight w:val="255"/>
        </w:trPr>
        <w:tc>
          <w:tcPr>
            <w:tcW w:w="479" w:type="pct"/>
            <w:tcBorders>
              <w:top w:val="nil"/>
              <w:left w:val="single" w:sz="4" w:space="0" w:color="auto"/>
              <w:bottom w:val="nil"/>
              <w:right w:val="nil"/>
            </w:tcBorders>
            <w:shd w:val="clear" w:color="auto" w:fill="auto"/>
            <w:hideMark/>
          </w:tcPr>
          <w:p w14:paraId="46079D93" w14:textId="77777777" w:rsidR="000544F9" w:rsidRPr="00236418" w:rsidRDefault="000544F9" w:rsidP="009B3D24">
            <w:pPr>
              <w:pStyle w:val="Tabletext"/>
              <w:spacing w:before="0" w:after="0"/>
              <w:rPr>
                <w:sz w:val="14"/>
                <w:szCs w:val="14"/>
                <w:lang w:eastAsia="zh-CN"/>
              </w:rPr>
            </w:pPr>
            <w:r w:rsidRPr="00236418">
              <w:rPr>
                <w:sz w:val="14"/>
                <w:szCs w:val="14"/>
              </w:rPr>
              <w:t>Autres produits</w:t>
            </w:r>
          </w:p>
        </w:tc>
        <w:tc>
          <w:tcPr>
            <w:tcW w:w="305" w:type="pct"/>
            <w:tcBorders>
              <w:top w:val="nil"/>
              <w:left w:val="single" w:sz="4" w:space="0" w:color="auto"/>
              <w:bottom w:val="nil"/>
              <w:right w:val="single" w:sz="4" w:space="0" w:color="auto"/>
            </w:tcBorders>
            <w:shd w:val="clear" w:color="auto" w:fill="auto"/>
            <w:noWrap/>
            <w:vAlign w:val="bottom"/>
          </w:tcPr>
          <w:p w14:paraId="2D34F34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48</w:t>
            </w:r>
          </w:p>
        </w:tc>
        <w:tc>
          <w:tcPr>
            <w:tcW w:w="305" w:type="pct"/>
            <w:tcBorders>
              <w:top w:val="nil"/>
              <w:left w:val="nil"/>
              <w:bottom w:val="nil"/>
              <w:right w:val="single" w:sz="4" w:space="0" w:color="auto"/>
            </w:tcBorders>
            <w:shd w:val="clear" w:color="auto" w:fill="auto"/>
            <w:noWrap/>
            <w:vAlign w:val="bottom"/>
          </w:tcPr>
          <w:p w14:paraId="6366EE8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104</w:t>
            </w:r>
          </w:p>
        </w:tc>
        <w:tc>
          <w:tcPr>
            <w:tcW w:w="348" w:type="pct"/>
            <w:tcBorders>
              <w:top w:val="nil"/>
              <w:left w:val="nil"/>
              <w:bottom w:val="nil"/>
              <w:right w:val="single" w:sz="4" w:space="0" w:color="auto"/>
            </w:tcBorders>
            <w:shd w:val="clear" w:color="auto" w:fill="auto"/>
            <w:noWrap/>
            <w:vAlign w:val="bottom"/>
          </w:tcPr>
          <w:p w14:paraId="7EDA4A5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2</w:t>
            </w:r>
          </w:p>
        </w:tc>
        <w:tc>
          <w:tcPr>
            <w:tcW w:w="347" w:type="pct"/>
            <w:tcBorders>
              <w:top w:val="nil"/>
              <w:left w:val="nil"/>
              <w:bottom w:val="nil"/>
              <w:right w:val="single" w:sz="4" w:space="0" w:color="auto"/>
            </w:tcBorders>
            <w:shd w:val="clear" w:color="auto" w:fill="auto"/>
            <w:noWrap/>
            <w:vAlign w:val="bottom"/>
          </w:tcPr>
          <w:p w14:paraId="1762275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13</w:t>
            </w:r>
          </w:p>
        </w:tc>
        <w:tc>
          <w:tcPr>
            <w:tcW w:w="304" w:type="pct"/>
            <w:tcBorders>
              <w:top w:val="nil"/>
              <w:left w:val="nil"/>
              <w:bottom w:val="nil"/>
              <w:right w:val="nil"/>
            </w:tcBorders>
            <w:shd w:val="clear" w:color="auto" w:fill="auto"/>
            <w:noWrap/>
            <w:vAlign w:val="bottom"/>
          </w:tcPr>
          <w:p w14:paraId="2B8C490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2 845</w:t>
            </w:r>
          </w:p>
        </w:tc>
        <w:tc>
          <w:tcPr>
            <w:tcW w:w="304" w:type="pct"/>
            <w:tcBorders>
              <w:top w:val="nil"/>
              <w:left w:val="single" w:sz="4" w:space="0" w:color="auto"/>
              <w:bottom w:val="nil"/>
              <w:right w:val="single" w:sz="4" w:space="0" w:color="auto"/>
            </w:tcBorders>
            <w:shd w:val="clear" w:color="auto" w:fill="auto"/>
            <w:noWrap/>
            <w:vAlign w:val="bottom"/>
          </w:tcPr>
          <w:p w14:paraId="3FDAD7F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3 012</w:t>
            </w:r>
          </w:p>
        </w:tc>
        <w:tc>
          <w:tcPr>
            <w:tcW w:w="262" w:type="pct"/>
            <w:tcBorders>
              <w:top w:val="nil"/>
              <w:left w:val="nil"/>
              <w:bottom w:val="nil"/>
              <w:right w:val="single" w:sz="4" w:space="0" w:color="auto"/>
            </w:tcBorders>
            <w:shd w:val="clear" w:color="auto" w:fill="auto"/>
            <w:noWrap/>
            <w:vAlign w:val="bottom"/>
          </w:tcPr>
          <w:p w14:paraId="499B84E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6E45926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95</w:t>
            </w:r>
          </w:p>
        </w:tc>
        <w:tc>
          <w:tcPr>
            <w:tcW w:w="249" w:type="pct"/>
            <w:tcBorders>
              <w:top w:val="nil"/>
              <w:left w:val="nil"/>
              <w:bottom w:val="nil"/>
              <w:right w:val="single" w:sz="4" w:space="0" w:color="auto"/>
            </w:tcBorders>
            <w:shd w:val="clear" w:color="auto" w:fill="auto"/>
            <w:noWrap/>
            <w:vAlign w:val="bottom"/>
          </w:tcPr>
          <w:p w14:paraId="7E0DDA5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47D6D7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0</w:t>
            </w:r>
          </w:p>
        </w:tc>
        <w:tc>
          <w:tcPr>
            <w:tcW w:w="227" w:type="pct"/>
            <w:tcBorders>
              <w:top w:val="nil"/>
              <w:left w:val="nil"/>
              <w:bottom w:val="nil"/>
              <w:right w:val="single" w:sz="4" w:space="0" w:color="auto"/>
            </w:tcBorders>
            <w:shd w:val="clear" w:color="auto" w:fill="auto"/>
            <w:noWrap/>
            <w:vAlign w:val="bottom"/>
          </w:tcPr>
          <w:p w14:paraId="0ADCEA1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78</w:t>
            </w:r>
          </w:p>
        </w:tc>
        <w:tc>
          <w:tcPr>
            <w:tcW w:w="218" w:type="pct"/>
            <w:tcBorders>
              <w:top w:val="nil"/>
              <w:left w:val="nil"/>
              <w:bottom w:val="nil"/>
              <w:right w:val="single" w:sz="4" w:space="0" w:color="auto"/>
            </w:tcBorders>
            <w:shd w:val="clear" w:color="auto" w:fill="auto"/>
            <w:noWrap/>
            <w:vAlign w:val="bottom"/>
          </w:tcPr>
          <w:p w14:paraId="580E0E7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2E4D99F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72193F9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5 743</w:t>
            </w:r>
          </w:p>
        </w:tc>
        <w:tc>
          <w:tcPr>
            <w:tcW w:w="348" w:type="pct"/>
            <w:tcBorders>
              <w:top w:val="nil"/>
              <w:left w:val="nil"/>
              <w:bottom w:val="nil"/>
              <w:right w:val="single" w:sz="4" w:space="0" w:color="auto"/>
            </w:tcBorders>
            <w:shd w:val="clear" w:color="auto" w:fill="auto"/>
            <w:noWrap/>
            <w:vAlign w:val="bottom"/>
          </w:tcPr>
          <w:p w14:paraId="4DA8BAE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5D16008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7 928</w:t>
            </w:r>
          </w:p>
        </w:tc>
      </w:tr>
      <w:tr w:rsidR="000544F9" w:rsidRPr="00236418" w14:paraId="02FF344C" w14:textId="77777777" w:rsidTr="00FC47EC">
        <w:trPr>
          <w:trHeight w:val="255"/>
        </w:trPr>
        <w:tc>
          <w:tcPr>
            <w:tcW w:w="479" w:type="pct"/>
            <w:tcBorders>
              <w:top w:val="nil"/>
              <w:left w:val="single" w:sz="4" w:space="0" w:color="auto"/>
              <w:bottom w:val="nil"/>
              <w:right w:val="nil"/>
            </w:tcBorders>
            <w:shd w:val="clear" w:color="auto" w:fill="auto"/>
            <w:hideMark/>
          </w:tcPr>
          <w:p w14:paraId="1B2D2B40" w14:textId="77777777" w:rsidR="000544F9" w:rsidRPr="00236418" w:rsidRDefault="000544F9" w:rsidP="009B3D24">
            <w:pPr>
              <w:pStyle w:val="Tabletext"/>
              <w:spacing w:before="0" w:after="0"/>
              <w:rPr>
                <w:sz w:val="14"/>
                <w:szCs w:val="14"/>
                <w:lang w:eastAsia="zh-CN"/>
              </w:rPr>
            </w:pPr>
            <w:r w:rsidRPr="00236418">
              <w:rPr>
                <w:sz w:val="14"/>
                <w:szCs w:val="14"/>
              </w:rPr>
              <w:t>Produits financiers</w:t>
            </w:r>
          </w:p>
        </w:tc>
        <w:tc>
          <w:tcPr>
            <w:tcW w:w="305" w:type="pct"/>
            <w:tcBorders>
              <w:top w:val="nil"/>
              <w:left w:val="single" w:sz="4" w:space="0" w:color="auto"/>
              <w:bottom w:val="nil"/>
              <w:right w:val="single" w:sz="4" w:space="0" w:color="auto"/>
            </w:tcBorders>
            <w:shd w:val="clear" w:color="auto" w:fill="auto"/>
            <w:noWrap/>
            <w:vAlign w:val="bottom"/>
          </w:tcPr>
          <w:p w14:paraId="2EE0EE9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0</w:t>
            </w:r>
          </w:p>
        </w:tc>
        <w:tc>
          <w:tcPr>
            <w:tcW w:w="305" w:type="pct"/>
            <w:tcBorders>
              <w:top w:val="nil"/>
              <w:left w:val="nil"/>
              <w:bottom w:val="nil"/>
              <w:right w:val="single" w:sz="4" w:space="0" w:color="auto"/>
            </w:tcBorders>
            <w:shd w:val="clear" w:color="auto" w:fill="auto"/>
            <w:noWrap/>
            <w:vAlign w:val="bottom"/>
          </w:tcPr>
          <w:p w14:paraId="062E2DD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0</w:t>
            </w:r>
          </w:p>
        </w:tc>
        <w:tc>
          <w:tcPr>
            <w:tcW w:w="348" w:type="pct"/>
            <w:tcBorders>
              <w:top w:val="nil"/>
              <w:left w:val="nil"/>
              <w:bottom w:val="nil"/>
              <w:right w:val="single" w:sz="4" w:space="0" w:color="auto"/>
            </w:tcBorders>
            <w:shd w:val="clear" w:color="auto" w:fill="auto"/>
            <w:noWrap/>
            <w:vAlign w:val="bottom"/>
          </w:tcPr>
          <w:p w14:paraId="34A144C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0</w:t>
            </w:r>
          </w:p>
        </w:tc>
        <w:tc>
          <w:tcPr>
            <w:tcW w:w="347" w:type="pct"/>
            <w:tcBorders>
              <w:top w:val="nil"/>
              <w:left w:val="nil"/>
              <w:bottom w:val="nil"/>
              <w:right w:val="single" w:sz="4" w:space="0" w:color="auto"/>
            </w:tcBorders>
            <w:shd w:val="clear" w:color="auto" w:fill="auto"/>
            <w:noWrap/>
            <w:vAlign w:val="bottom"/>
          </w:tcPr>
          <w:p w14:paraId="29D9796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1</w:t>
            </w:r>
          </w:p>
        </w:tc>
        <w:tc>
          <w:tcPr>
            <w:tcW w:w="304" w:type="pct"/>
            <w:tcBorders>
              <w:top w:val="nil"/>
              <w:left w:val="nil"/>
              <w:bottom w:val="nil"/>
              <w:right w:val="nil"/>
            </w:tcBorders>
            <w:shd w:val="clear" w:color="auto" w:fill="auto"/>
            <w:noWrap/>
            <w:vAlign w:val="bottom"/>
          </w:tcPr>
          <w:p w14:paraId="1713A48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236418">
              <w:rPr>
                <w:rFonts w:asciiTheme="minorHAnsi" w:hAnsiTheme="minorHAnsi" w:cs="Arial"/>
                <w:sz w:val="14"/>
                <w:szCs w:val="14"/>
                <w:lang w:eastAsia="zh-CN"/>
              </w:rPr>
              <w:t>852</w:t>
            </w:r>
          </w:p>
        </w:tc>
        <w:tc>
          <w:tcPr>
            <w:tcW w:w="304" w:type="pct"/>
            <w:tcBorders>
              <w:top w:val="nil"/>
              <w:left w:val="single" w:sz="4" w:space="0" w:color="auto"/>
              <w:bottom w:val="nil"/>
              <w:right w:val="single" w:sz="4" w:space="0" w:color="auto"/>
            </w:tcBorders>
            <w:shd w:val="clear" w:color="auto" w:fill="auto"/>
            <w:noWrap/>
            <w:vAlign w:val="bottom"/>
          </w:tcPr>
          <w:p w14:paraId="679BEB1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853</w:t>
            </w:r>
          </w:p>
        </w:tc>
        <w:tc>
          <w:tcPr>
            <w:tcW w:w="262" w:type="pct"/>
            <w:tcBorders>
              <w:top w:val="nil"/>
              <w:left w:val="nil"/>
              <w:bottom w:val="nil"/>
              <w:right w:val="single" w:sz="4" w:space="0" w:color="auto"/>
            </w:tcBorders>
            <w:shd w:val="clear" w:color="auto" w:fill="auto"/>
            <w:noWrap/>
            <w:vAlign w:val="bottom"/>
          </w:tcPr>
          <w:p w14:paraId="6397C57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507EA7A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25F30B4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803CF6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w:t>
            </w:r>
          </w:p>
        </w:tc>
        <w:tc>
          <w:tcPr>
            <w:tcW w:w="227" w:type="pct"/>
            <w:tcBorders>
              <w:top w:val="nil"/>
              <w:left w:val="nil"/>
              <w:bottom w:val="nil"/>
              <w:right w:val="single" w:sz="4" w:space="0" w:color="auto"/>
            </w:tcBorders>
            <w:shd w:val="clear" w:color="auto" w:fill="auto"/>
            <w:noWrap/>
            <w:vAlign w:val="bottom"/>
          </w:tcPr>
          <w:p w14:paraId="45384F8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308</w:t>
            </w:r>
          </w:p>
        </w:tc>
        <w:tc>
          <w:tcPr>
            <w:tcW w:w="218" w:type="pct"/>
            <w:tcBorders>
              <w:top w:val="nil"/>
              <w:left w:val="nil"/>
              <w:bottom w:val="nil"/>
              <w:right w:val="single" w:sz="4" w:space="0" w:color="auto"/>
            </w:tcBorders>
            <w:shd w:val="clear" w:color="auto" w:fill="auto"/>
            <w:noWrap/>
            <w:vAlign w:val="bottom"/>
          </w:tcPr>
          <w:p w14:paraId="1C4FAF0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72</w:t>
            </w:r>
          </w:p>
        </w:tc>
        <w:tc>
          <w:tcPr>
            <w:tcW w:w="174" w:type="pct"/>
            <w:tcBorders>
              <w:top w:val="nil"/>
              <w:left w:val="nil"/>
              <w:bottom w:val="nil"/>
              <w:right w:val="single" w:sz="4" w:space="0" w:color="auto"/>
            </w:tcBorders>
            <w:shd w:val="clear" w:color="auto" w:fill="auto"/>
            <w:noWrap/>
            <w:vAlign w:val="bottom"/>
          </w:tcPr>
          <w:p w14:paraId="37F9A5B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7F57039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10</w:t>
            </w:r>
          </w:p>
        </w:tc>
        <w:tc>
          <w:tcPr>
            <w:tcW w:w="348" w:type="pct"/>
            <w:tcBorders>
              <w:top w:val="nil"/>
              <w:left w:val="nil"/>
              <w:bottom w:val="nil"/>
              <w:right w:val="single" w:sz="4" w:space="0" w:color="auto"/>
            </w:tcBorders>
            <w:shd w:val="clear" w:color="auto" w:fill="auto"/>
            <w:noWrap/>
            <w:vAlign w:val="bottom"/>
          </w:tcPr>
          <w:p w14:paraId="4832AFB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5B8B1DB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1 245</w:t>
            </w:r>
          </w:p>
        </w:tc>
      </w:tr>
      <w:tr w:rsidR="000544F9" w:rsidRPr="00236418" w14:paraId="4FE1D7EE" w14:textId="77777777" w:rsidTr="00FC47EC">
        <w:trPr>
          <w:trHeight w:val="255"/>
        </w:trPr>
        <w:tc>
          <w:tcPr>
            <w:tcW w:w="479" w:type="pct"/>
            <w:tcBorders>
              <w:top w:val="nil"/>
              <w:left w:val="single" w:sz="4" w:space="0" w:color="auto"/>
              <w:bottom w:val="nil"/>
              <w:right w:val="nil"/>
            </w:tcBorders>
            <w:shd w:val="clear" w:color="auto" w:fill="auto"/>
            <w:hideMark/>
          </w:tcPr>
          <w:p w14:paraId="1385FA0A" w14:textId="77777777" w:rsidR="000544F9" w:rsidRPr="00236418" w:rsidRDefault="000544F9" w:rsidP="009B3D24">
            <w:pPr>
              <w:pStyle w:val="Tabletext"/>
              <w:spacing w:before="0" w:after="0"/>
              <w:rPr>
                <w:sz w:val="14"/>
                <w:szCs w:val="14"/>
                <w:lang w:eastAsia="zh-CN"/>
              </w:rPr>
            </w:pPr>
            <w:r w:rsidRPr="00236418">
              <w:rPr>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15D60E7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4FF63BA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45C687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58215AE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nil"/>
            </w:tcBorders>
            <w:shd w:val="clear" w:color="auto" w:fill="auto"/>
            <w:noWrap/>
            <w:vAlign w:val="bottom"/>
          </w:tcPr>
          <w:p w14:paraId="12AA15E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2218318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62" w:type="pct"/>
            <w:tcBorders>
              <w:top w:val="nil"/>
              <w:left w:val="nil"/>
              <w:bottom w:val="nil"/>
              <w:right w:val="single" w:sz="4" w:space="0" w:color="auto"/>
            </w:tcBorders>
            <w:shd w:val="clear" w:color="auto" w:fill="auto"/>
            <w:noWrap/>
            <w:vAlign w:val="bottom"/>
          </w:tcPr>
          <w:p w14:paraId="1530579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A9C1B8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51D82F2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6D95DEC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299082E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27FAFFF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633B2A2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6FCC2E0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70F581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2B2C94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p>
        </w:tc>
      </w:tr>
      <w:tr w:rsidR="000544F9" w:rsidRPr="00236418" w14:paraId="05102B90" w14:textId="77777777" w:rsidTr="00FC47EC">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2625A599" w14:textId="77777777" w:rsidR="000544F9" w:rsidRPr="00236418" w:rsidRDefault="000544F9" w:rsidP="009B3D24">
            <w:pPr>
              <w:pStyle w:val="Tabletext"/>
              <w:spacing w:before="0" w:after="0"/>
              <w:rPr>
                <w:b/>
                <w:bCs/>
                <w:sz w:val="14"/>
                <w:szCs w:val="14"/>
                <w:lang w:eastAsia="zh-CN"/>
              </w:rPr>
            </w:pPr>
            <w:r w:rsidRPr="00236418">
              <w:rPr>
                <w:b/>
                <w:bCs/>
                <w:sz w:val="14"/>
                <w:szCs w:val="14"/>
                <w:lang w:eastAsia="zh-CN"/>
              </w:rPr>
              <w:t>Total des produits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E93C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1 320</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1A88382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39 497</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6DED12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8 696</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5D0A028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1 744</w:t>
            </w:r>
          </w:p>
        </w:tc>
        <w:tc>
          <w:tcPr>
            <w:tcW w:w="304" w:type="pct"/>
            <w:tcBorders>
              <w:top w:val="single" w:sz="4" w:space="0" w:color="auto"/>
              <w:left w:val="nil"/>
              <w:bottom w:val="single" w:sz="4" w:space="0" w:color="auto"/>
              <w:right w:val="nil"/>
            </w:tcBorders>
            <w:shd w:val="clear" w:color="auto" w:fill="auto"/>
            <w:noWrap/>
            <w:vAlign w:val="center"/>
          </w:tcPr>
          <w:p w14:paraId="6410EF8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113 546</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1139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164 804</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21A292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245" w:type="pct"/>
            <w:tcBorders>
              <w:top w:val="single" w:sz="4" w:space="0" w:color="auto"/>
              <w:left w:val="nil"/>
              <w:bottom w:val="single" w:sz="4" w:space="0" w:color="auto"/>
              <w:right w:val="single" w:sz="4" w:space="0" w:color="auto"/>
            </w:tcBorders>
            <w:shd w:val="clear" w:color="auto" w:fill="auto"/>
            <w:vAlign w:val="center"/>
          </w:tcPr>
          <w:p w14:paraId="60A9A32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95</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66E4A47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6C8599B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2 007</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C677F7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5 541</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0992AF4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B5A507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32CCD43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5 753</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6F73C8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–1 884</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5D986A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176 389</w:t>
            </w:r>
          </w:p>
        </w:tc>
      </w:tr>
      <w:tr w:rsidR="000544F9" w:rsidRPr="00236418" w14:paraId="7C8742F4" w14:textId="77777777" w:rsidTr="00FC47EC">
        <w:trPr>
          <w:trHeight w:val="255"/>
        </w:trPr>
        <w:tc>
          <w:tcPr>
            <w:tcW w:w="479" w:type="pct"/>
            <w:tcBorders>
              <w:top w:val="nil"/>
              <w:left w:val="single" w:sz="4" w:space="0" w:color="auto"/>
              <w:bottom w:val="nil"/>
              <w:right w:val="nil"/>
            </w:tcBorders>
            <w:shd w:val="clear" w:color="auto" w:fill="auto"/>
            <w:hideMark/>
          </w:tcPr>
          <w:p w14:paraId="5863D3D5" w14:textId="77777777" w:rsidR="000544F9" w:rsidRPr="00236418" w:rsidRDefault="000544F9" w:rsidP="009B3D24">
            <w:pPr>
              <w:pStyle w:val="Tabletext"/>
              <w:spacing w:before="0" w:after="0"/>
              <w:rPr>
                <w:b/>
                <w:bCs/>
                <w:sz w:val="14"/>
                <w:szCs w:val="14"/>
                <w:lang w:eastAsia="zh-CN"/>
              </w:rPr>
            </w:pPr>
            <w:r w:rsidRPr="00236418">
              <w:rPr>
                <w:b/>
                <w:bCs/>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08C265C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24C73D2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A814A4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1D0A274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nil"/>
            </w:tcBorders>
            <w:shd w:val="clear" w:color="auto" w:fill="auto"/>
            <w:noWrap/>
            <w:vAlign w:val="bottom"/>
          </w:tcPr>
          <w:p w14:paraId="2990D6A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3488CAE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62" w:type="pct"/>
            <w:tcBorders>
              <w:top w:val="nil"/>
              <w:left w:val="nil"/>
              <w:bottom w:val="nil"/>
              <w:right w:val="single" w:sz="4" w:space="0" w:color="auto"/>
            </w:tcBorders>
            <w:shd w:val="clear" w:color="auto" w:fill="auto"/>
            <w:noWrap/>
            <w:vAlign w:val="bottom"/>
          </w:tcPr>
          <w:p w14:paraId="7EDC8C6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6E043E9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3E2E12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21E57AF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7BAAA2E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5C39587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1F034BC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5C800CB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775352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2685F7F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r>
      <w:tr w:rsidR="000544F9" w:rsidRPr="00236418" w14:paraId="48B08839" w14:textId="77777777" w:rsidTr="00FC47EC">
        <w:trPr>
          <w:trHeight w:val="74"/>
        </w:trPr>
        <w:tc>
          <w:tcPr>
            <w:tcW w:w="479" w:type="pct"/>
            <w:tcBorders>
              <w:top w:val="nil"/>
              <w:left w:val="single" w:sz="4" w:space="0" w:color="auto"/>
              <w:bottom w:val="nil"/>
              <w:right w:val="nil"/>
            </w:tcBorders>
            <w:shd w:val="clear" w:color="auto" w:fill="auto"/>
            <w:hideMark/>
          </w:tcPr>
          <w:p w14:paraId="6C20849F" w14:textId="77777777" w:rsidR="000544F9" w:rsidRPr="00236418" w:rsidRDefault="000544F9" w:rsidP="009B3D24">
            <w:pPr>
              <w:pStyle w:val="Tabletext"/>
              <w:spacing w:before="0" w:after="0"/>
              <w:rPr>
                <w:b/>
                <w:bCs/>
                <w:sz w:val="14"/>
                <w:szCs w:val="14"/>
                <w:lang w:eastAsia="zh-CN"/>
              </w:rPr>
            </w:pPr>
            <w:r w:rsidRPr="00236418">
              <w:rPr>
                <w:b/>
                <w:bCs/>
                <w:sz w:val="14"/>
                <w:szCs w:val="14"/>
                <w:lang w:eastAsia="zh-CN"/>
              </w:rPr>
              <w:t>CHARGES</w:t>
            </w:r>
          </w:p>
        </w:tc>
        <w:tc>
          <w:tcPr>
            <w:tcW w:w="305" w:type="pct"/>
            <w:tcBorders>
              <w:top w:val="nil"/>
              <w:left w:val="single" w:sz="4" w:space="0" w:color="auto"/>
              <w:bottom w:val="nil"/>
              <w:right w:val="single" w:sz="4" w:space="0" w:color="auto"/>
            </w:tcBorders>
            <w:shd w:val="clear" w:color="auto" w:fill="auto"/>
            <w:noWrap/>
            <w:vAlign w:val="bottom"/>
          </w:tcPr>
          <w:p w14:paraId="368CBCE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5036B39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5D9590D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4DE3274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nil"/>
            </w:tcBorders>
            <w:shd w:val="clear" w:color="auto" w:fill="auto"/>
            <w:noWrap/>
            <w:vAlign w:val="bottom"/>
          </w:tcPr>
          <w:p w14:paraId="1E67BDF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0CEEA1E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2" w:type="pct"/>
            <w:tcBorders>
              <w:top w:val="nil"/>
              <w:left w:val="nil"/>
              <w:bottom w:val="nil"/>
              <w:right w:val="single" w:sz="4" w:space="0" w:color="auto"/>
            </w:tcBorders>
            <w:shd w:val="clear" w:color="auto" w:fill="auto"/>
            <w:noWrap/>
            <w:vAlign w:val="bottom"/>
          </w:tcPr>
          <w:p w14:paraId="39C56B6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5" w:type="pct"/>
            <w:tcBorders>
              <w:top w:val="nil"/>
              <w:left w:val="nil"/>
              <w:bottom w:val="nil"/>
              <w:right w:val="single" w:sz="4" w:space="0" w:color="auto"/>
            </w:tcBorders>
            <w:shd w:val="clear" w:color="auto" w:fill="auto"/>
            <w:vAlign w:val="bottom"/>
          </w:tcPr>
          <w:p w14:paraId="65B6953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2886C19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54BE4FB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24051BB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7304F51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203BB41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2D77F74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6E55FF0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424F3F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r>
      <w:tr w:rsidR="000544F9" w:rsidRPr="00236418" w14:paraId="5225ACE4" w14:textId="77777777" w:rsidTr="00FC47EC">
        <w:trPr>
          <w:trHeight w:val="255"/>
        </w:trPr>
        <w:tc>
          <w:tcPr>
            <w:tcW w:w="479" w:type="pct"/>
            <w:tcBorders>
              <w:top w:val="nil"/>
              <w:left w:val="single" w:sz="4" w:space="0" w:color="auto"/>
              <w:bottom w:val="nil"/>
              <w:right w:val="nil"/>
            </w:tcBorders>
            <w:shd w:val="clear" w:color="auto" w:fill="auto"/>
            <w:hideMark/>
          </w:tcPr>
          <w:p w14:paraId="3766DAC9" w14:textId="77777777" w:rsidR="000544F9" w:rsidRPr="00236418" w:rsidRDefault="000544F9" w:rsidP="009B3D24">
            <w:pPr>
              <w:pStyle w:val="Tabletext"/>
              <w:spacing w:before="0" w:after="0"/>
              <w:rPr>
                <w:b/>
                <w:bCs/>
                <w:sz w:val="14"/>
                <w:szCs w:val="14"/>
                <w:lang w:eastAsia="zh-CN"/>
              </w:rPr>
            </w:pPr>
            <w:r w:rsidRPr="00236418">
              <w:rPr>
                <w:b/>
                <w:bCs/>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7FE40FF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64 868</w:t>
            </w:r>
          </w:p>
        </w:tc>
        <w:tc>
          <w:tcPr>
            <w:tcW w:w="305" w:type="pct"/>
            <w:tcBorders>
              <w:top w:val="nil"/>
              <w:left w:val="nil"/>
              <w:bottom w:val="nil"/>
              <w:right w:val="single" w:sz="4" w:space="0" w:color="auto"/>
            </w:tcBorders>
            <w:shd w:val="clear" w:color="auto" w:fill="auto"/>
            <w:noWrap/>
            <w:vAlign w:val="bottom"/>
          </w:tcPr>
          <w:p w14:paraId="6B451A0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23 113</w:t>
            </w:r>
          </w:p>
        </w:tc>
        <w:tc>
          <w:tcPr>
            <w:tcW w:w="348" w:type="pct"/>
            <w:tcBorders>
              <w:top w:val="nil"/>
              <w:left w:val="nil"/>
              <w:bottom w:val="nil"/>
              <w:right w:val="single" w:sz="4" w:space="0" w:color="auto"/>
            </w:tcBorders>
            <w:shd w:val="clear" w:color="auto" w:fill="auto"/>
            <w:noWrap/>
            <w:vAlign w:val="bottom"/>
          </w:tcPr>
          <w:p w14:paraId="550420E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11 417</w:t>
            </w:r>
          </w:p>
        </w:tc>
        <w:tc>
          <w:tcPr>
            <w:tcW w:w="347" w:type="pct"/>
            <w:tcBorders>
              <w:top w:val="nil"/>
              <w:left w:val="nil"/>
              <w:bottom w:val="nil"/>
              <w:right w:val="single" w:sz="4" w:space="0" w:color="auto"/>
            </w:tcBorders>
            <w:shd w:val="clear" w:color="auto" w:fill="auto"/>
            <w:noWrap/>
            <w:vAlign w:val="bottom"/>
          </w:tcPr>
          <w:p w14:paraId="1A70590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21 448</w:t>
            </w:r>
          </w:p>
        </w:tc>
        <w:tc>
          <w:tcPr>
            <w:tcW w:w="304" w:type="pct"/>
            <w:tcBorders>
              <w:top w:val="nil"/>
              <w:left w:val="nil"/>
              <w:bottom w:val="nil"/>
              <w:right w:val="single" w:sz="4" w:space="0" w:color="auto"/>
            </w:tcBorders>
            <w:shd w:val="clear" w:color="auto" w:fill="auto"/>
            <w:noWrap/>
            <w:vAlign w:val="bottom"/>
          </w:tcPr>
          <w:p w14:paraId="6315149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22 267</w:t>
            </w:r>
          </w:p>
        </w:tc>
        <w:tc>
          <w:tcPr>
            <w:tcW w:w="304" w:type="pct"/>
            <w:tcBorders>
              <w:top w:val="nil"/>
              <w:left w:val="nil"/>
              <w:bottom w:val="nil"/>
              <w:right w:val="single" w:sz="4" w:space="0" w:color="auto"/>
            </w:tcBorders>
            <w:shd w:val="clear" w:color="auto" w:fill="auto"/>
            <w:noWrap/>
            <w:vAlign w:val="bottom"/>
          </w:tcPr>
          <w:p w14:paraId="3AC4195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143 113</w:t>
            </w:r>
          </w:p>
        </w:tc>
        <w:tc>
          <w:tcPr>
            <w:tcW w:w="262" w:type="pct"/>
            <w:tcBorders>
              <w:top w:val="nil"/>
              <w:left w:val="nil"/>
              <w:bottom w:val="nil"/>
              <w:right w:val="single" w:sz="4" w:space="0" w:color="auto"/>
            </w:tcBorders>
            <w:shd w:val="clear" w:color="auto" w:fill="auto"/>
            <w:noWrap/>
            <w:vAlign w:val="bottom"/>
          </w:tcPr>
          <w:p w14:paraId="100DA7D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171</w:t>
            </w:r>
          </w:p>
        </w:tc>
        <w:tc>
          <w:tcPr>
            <w:tcW w:w="245" w:type="pct"/>
            <w:tcBorders>
              <w:top w:val="nil"/>
              <w:left w:val="nil"/>
              <w:bottom w:val="nil"/>
              <w:right w:val="single" w:sz="4" w:space="0" w:color="auto"/>
            </w:tcBorders>
            <w:shd w:val="clear" w:color="auto" w:fill="auto"/>
            <w:vAlign w:val="bottom"/>
          </w:tcPr>
          <w:p w14:paraId="76ED305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04641A6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19</w:t>
            </w:r>
          </w:p>
        </w:tc>
        <w:tc>
          <w:tcPr>
            <w:tcW w:w="322" w:type="pct"/>
            <w:tcBorders>
              <w:top w:val="nil"/>
              <w:left w:val="nil"/>
              <w:bottom w:val="nil"/>
              <w:right w:val="single" w:sz="4" w:space="0" w:color="auto"/>
            </w:tcBorders>
            <w:shd w:val="clear" w:color="auto" w:fill="auto"/>
            <w:noWrap/>
            <w:vAlign w:val="bottom"/>
          </w:tcPr>
          <w:p w14:paraId="0F5690A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877</w:t>
            </w:r>
          </w:p>
        </w:tc>
        <w:tc>
          <w:tcPr>
            <w:tcW w:w="227" w:type="pct"/>
            <w:tcBorders>
              <w:top w:val="nil"/>
              <w:left w:val="nil"/>
              <w:bottom w:val="nil"/>
              <w:right w:val="single" w:sz="4" w:space="0" w:color="auto"/>
            </w:tcBorders>
            <w:shd w:val="clear" w:color="auto" w:fill="auto"/>
            <w:noWrap/>
            <w:vAlign w:val="bottom"/>
          </w:tcPr>
          <w:p w14:paraId="06F8345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1 787</w:t>
            </w:r>
          </w:p>
        </w:tc>
        <w:tc>
          <w:tcPr>
            <w:tcW w:w="218" w:type="pct"/>
            <w:tcBorders>
              <w:top w:val="nil"/>
              <w:left w:val="nil"/>
              <w:bottom w:val="nil"/>
              <w:right w:val="single" w:sz="4" w:space="0" w:color="auto"/>
            </w:tcBorders>
            <w:shd w:val="clear" w:color="auto" w:fill="auto"/>
            <w:noWrap/>
            <w:vAlign w:val="bottom"/>
          </w:tcPr>
          <w:p w14:paraId="7AFC564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D87B55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1A45B87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2 838</w:t>
            </w:r>
          </w:p>
        </w:tc>
        <w:tc>
          <w:tcPr>
            <w:tcW w:w="348" w:type="pct"/>
            <w:tcBorders>
              <w:top w:val="nil"/>
              <w:left w:val="nil"/>
              <w:bottom w:val="nil"/>
              <w:right w:val="single" w:sz="4" w:space="0" w:color="auto"/>
            </w:tcBorders>
            <w:shd w:val="clear" w:color="auto" w:fill="auto"/>
            <w:noWrap/>
            <w:vAlign w:val="bottom"/>
          </w:tcPr>
          <w:p w14:paraId="7FC31EA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B7BA99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148 806</w:t>
            </w:r>
          </w:p>
        </w:tc>
      </w:tr>
      <w:tr w:rsidR="000544F9" w:rsidRPr="00236418" w14:paraId="0596FA05" w14:textId="77777777" w:rsidTr="00FC47EC">
        <w:trPr>
          <w:trHeight w:val="255"/>
        </w:trPr>
        <w:tc>
          <w:tcPr>
            <w:tcW w:w="479" w:type="pct"/>
            <w:tcBorders>
              <w:top w:val="nil"/>
              <w:left w:val="single" w:sz="4" w:space="0" w:color="auto"/>
              <w:bottom w:val="nil"/>
              <w:right w:val="nil"/>
            </w:tcBorders>
            <w:shd w:val="clear" w:color="auto" w:fill="auto"/>
            <w:hideMark/>
          </w:tcPr>
          <w:p w14:paraId="0A669919" w14:textId="77777777" w:rsidR="000544F9" w:rsidRPr="00236418" w:rsidRDefault="000544F9" w:rsidP="009B3D24">
            <w:pPr>
              <w:pStyle w:val="Tabletext"/>
              <w:spacing w:before="0" w:after="0"/>
              <w:rPr>
                <w:sz w:val="14"/>
                <w:szCs w:val="14"/>
                <w:lang w:eastAsia="zh-CN"/>
              </w:rPr>
            </w:pPr>
            <w:r w:rsidRPr="00236418">
              <w:rPr>
                <w:sz w:val="14"/>
                <w:szCs w:val="14"/>
              </w:rPr>
              <w:t>Charges de personnel</w:t>
            </w:r>
          </w:p>
        </w:tc>
        <w:tc>
          <w:tcPr>
            <w:tcW w:w="305" w:type="pct"/>
            <w:tcBorders>
              <w:top w:val="nil"/>
              <w:left w:val="single" w:sz="4" w:space="0" w:color="auto"/>
              <w:bottom w:val="nil"/>
              <w:right w:val="single" w:sz="4" w:space="0" w:color="auto"/>
            </w:tcBorders>
            <w:shd w:val="clear" w:color="auto" w:fill="auto"/>
            <w:noWrap/>
            <w:vAlign w:val="bottom"/>
          </w:tcPr>
          <w:p w14:paraId="1D0C07A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46 210</w:t>
            </w:r>
          </w:p>
        </w:tc>
        <w:tc>
          <w:tcPr>
            <w:tcW w:w="305" w:type="pct"/>
            <w:tcBorders>
              <w:top w:val="nil"/>
              <w:left w:val="nil"/>
              <w:bottom w:val="nil"/>
              <w:right w:val="single" w:sz="4" w:space="0" w:color="auto"/>
            </w:tcBorders>
            <w:shd w:val="clear" w:color="auto" w:fill="auto"/>
            <w:noWrap/>
            <w:vAlign w:val="bottom"/>
          </w:tcPr>
          <w:p w14:paraId="718DAA7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17 937</w:t>
            </w:r>
          </w:p>
        </w:tc>
        <w:tc>
          <w:tcPr>
            <w:tcW w:w="348" w:type="pct"/>
            <w:tcBorders>
              <w:top w:val="nil"/>
              <w:left w:val="nil"/>
              <w:bottom w:val="nil"/>
              <w:right w:val="single" w:sz="4" w:space="0" w:color="auto"/>
            </w:tcBorders>
            <w:shd w:val="clear" w:color="auto" w:fill="auto"/>
            <w:noWrap/>
            <w:vAlign w:val="bottom"/>
          </w:tcPr>
          <w:p w14:paraId="62D2790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8 847</w:t>
            </w:r>
          </w:p>
        </w:tc>
        <w:tc>
          <w:tcPr>
            <w:tcW w:w="347" w:type="pct"/>
            <w:tcBorders>
              <w:top w:val="nil"/>
              <w:left w:val="nil"/>
              <w:bottom w:val="nil"/>
              <w:right w:val="single" w:sz="4" w:space="0" w:color="auto"/>
            </w:tcBorders>
            <w:shd w:val="clear" w:color="auto" w:fill="auto"/>
            <w:noWrap/>
            <w:vAlign w:val="bottom"/>
          </w:tcPr>
          <w:p w14:paraId="3F7A69B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16 270</w:t>
            </w:r>
          </w:p>
        </w:tc>
        <w:tc>
          <w:tcPr>
            <w:tcW w:w="304" w:type="pct"/>
            <w:tcBorders>
              <w:top w:val="nil"/>
              <w:left w:val="nil"/>
              <w:bottom w:val="nil"/>
              <w:right w:val="nil"/>
            </w:tcBorders>
            <w:shd w:val="clear" w:color="auto" w:fill="auto"/>
            <w:noWrap/>
            <w:vAlign w:val="bottom"/>
          </w:tcPr>
          <w:p w14:paraId="56379A8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4" w:type="pct"/>
            <w:tcBorders>
              <w:top w:val="nil"/>
              <w:left w:val="single" w:sz="4" w:space="0" w:color="auto"/>
              <w:bottom w:val="nil"/>
              <w:right w:val="single" w:sz="4" w:space="0" w:color="auto"/>
            </w:tcBorders>
            <w:shd w:val="clear" w:color="auto" w:fill="auto"/>
            <w:noWrap/>
            <w:vAlign w:val="bottom"/>
          </w:tcPr>
          <w:p w14:paraId="2E310F1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89 264</w:t>
            </w:r>
          </w:p>
        </w:tc>
        <w:tc>
          <w:tcPr>
            <w:tcW w:w="262" w:type="pct"/>
            <w:tcBorders>
              <w:top w:val="nil"/>
              <w:left w:val="nil"/>
              <w:bottom w:val="nil"/>
              <w:right w:val="single" w:sz="4" w:space="0" w:color="auto"/>
            </w:tcBorders>
            <w:shd w:val="clear" w:color="auto" w:fill="auto"/>
            <w:noWrap/>
            <w:vAlign w:val="bottom"/>
          </w:tcPr>
          <w:p w14:paraId="2B1C55C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133</w:t>
            </w:r>
          </w:p>
        </w:tc>
        <w:tc>
          <w:tcPr>
            <w:tcW w:w="245" w:type="pct"/>
            <w:tcBorders>
              <w:top w:val="nil"/>
              <w:left w:val="nil"/>
              <w:bottom w:val="nil"/>
              <w:right w:val="single" w:sz="4" w:space="0" w:color="auto"/>
            </w:tcBorders>
            <w:shd w:val="clear" w:color="auto" w:fill="auto"/>
            <w:vAlign w:val="bottom"/>
          </w:tcPr>
          <w:p w14:paraId="791348C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73DC98F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0E53A6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710</w:t>
            </w:r>
          </w:p>
        </w:tc>
        <w:tc>
          <w:tcPr>
            <w:tcW w:w="227" w:type="pct"/>
            <w:tcBorders>
              <w:top w:val="nil"/>
              <w:left w:val="nil"/>
              <w:bottom w:val="nil"/>
              <w:right w:val="single" w:sz="4" w:space="0" w:color="auto"/>
            </w:tcBorders>
            <w:shd w:val="clear" w:color="auto" w:fill="auto"/>
            <w:noWrap/>
            <w:vAlign w:val="bottom"/>
          </w:tcPr>
          <w:p w14:paraId="24FF942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1 293</w:t>
            </w:r>
          </w:p>
        </w:tc>
        <w:tc>
          <w:tcPr>
            <w:tcW w:w="218" w:type="pct"/>
            <w:tcBorders>
              <w:top w:val="nil"/>
              <w:left w:val="nil"/>
              <w:bottom w:val="nil"/>
              <w:right w:val="single" w:sz="4" w:space="0" w:color="auto"/>
            </w:tcBorders>
            <w:shd w:val="clear" w:color="auto" w:fill="auto"/>
            <w:noWrap/>
            <w:vAlign w:val="bottom"/>
          </w:tcPr>
          <w:p w14:paraId="7BE3A8A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67CA24F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50F94CA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2 177</w:t>
            </w:r>
          </w:p>
        </w:tc>
        <w:tc>
          <w:tcPr>
            <w:tcW w:w="348" w:type="pct"/>
            <w:tcBorders>
              <w:top w:val="nil"/>
              <w:left w:val="nil"/>
              <w:bottom w:val="nil"/>
              <w:right w:val="single" w:sz="4" w:space="0" w:color="auto"/>
            </w:tcBorders>
            <w:shd w:val="clear" w:color="auto" w:fill="auto"/>
            <w:noWrap/>
            <w:vAlign w:val="bottom"/>
          </w:tcPr>
          <w:p w14:paraId="06FFA27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1807FD8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93 577</w:t>
            </w:r>
          </w:p>
        </w:tc>
      </w:tr>
      <w:tr w:rsidR="000544F9" w:rsidRPr="00236418" w14:paraId="199995DC" w14:textId="77777777" w:rsidTr="00FC47EC">
        <w:trPr>
          <w:trHeight w:val="255"/>
        </w:trPr>
        <w:tc>
          <w:tcPr>
            <w:tcW w:w="479" w:type="pct"/>
            <w:tcBorders>
              <w:top w:val="nil"/>
              <w:left w:val="single" w:sz="4" w:space="0" w:color="auto"/>
              <w:bottom w:val="nil"/>
              <w:right w:val="nil"/>
            </w:tcBorders>
            <w:shd w:val="clear" w:color="auto" w:fill="auto"/>
            <w:hideMark/>
          </w:tcPr>
          <w:p w14:paraId="0C024598" w14:textId="77777777" w:rsidR="000544F9" w:rsidRPr="00236418" w:rsidRDefault="000544F9" w:rsidP="009B3D24">
            <w:pPr>
              <w:pStyle w:val="Tabletext"/>
              <w:spacing w:before="0" w:after="0"/>
              <w:rPr>
                <w:sz w:val="14"/>
                <w:szCs w:val="14"/>
                <w:lang w:eastAsia="zh-CN"/>
              </w:rPr>
            </w:pPr>
            <w:r w:rsidRPr="00236418">
              <w:rPr>
                <w:sz w:val="14"/>
                <w:szCs w:val="14"/>
              </w:rPr>
              <w:t>Frais de missions</w:t>
            </w:r>
          </w:p>
        </w:tc>
        <w:tc>
          <w:tcPr>
            <w:tcW w:w="305" w:type="pct"/>
            <w:tcBorders>
              <w:top w:val="nil"/>
              <w:left w:val="single" w:sz="4" w:space="0" w:color="auto"/>
              <w:bottom w:val="nil"/>
              <w:right w:val="single" w:sz="4" w:space="0" w:color="auto"/>
            </w:tcBorders>
            <w:shd w:val="clear" w:color="auto" w:fill="auto"/>
            <w:noWrap/>
            <w:vAlign w:val="bottom"/>
          </w:tcPr>
          <w:p w14:paraId="4E349F6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18 658</w:t>
            </w:r>
          </w:p>
        </w:tc>
        <w:tc>
          <w:tcPr>
            <w:tcW w:w="305" w:type="pct"/>
            <w:tcBorders>
              <w:top w:val="nil"/>
              <w:left w:val="nil"/>
              <w:bottom w:val="nil"/>
              <w:right w:val="single" w:sz="4" w:space="0" w:color="auto"/>
            </w:tcBorders>
            <w:shd w:val="clear" w:color="auto" w:fill="auto"/>
            <w:noWrap/>
            <w:vAlign w:val="bottom"/>
          </w:tcPr>
          <w:p w14:paraId="53D3FB5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5 176</w:t>
            </w:r>
          </w:p>
        </w:tc>
        <w:tc>
          <w:tcPr>
            <w:tcW w:w="348" w:type="pct"/>
            <w:tcBorders>
              <w:top w:val="nil"/>
              <w:left w:val="nil"/>
              <w:bottom w:val="nil"/>
              <w:right w:val="single" w:sz="4" w:space="0" w:color="auto"/>
            </w:tcBorders>
            <w:shd w:val="clear" w:color="auto" w:fill="auto"/>
            <w:noWrap/>
            <w:vAlign w:val="bottom"/>
          </w:tcPr>
          <w:p w14:paraId="065D6EE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2 570</w:t>
            </w:r>
          </w:p>
        </w:tc>
        <w:tc>
          <w:tcPr>
            <w:tcW w:w="347" w:type="pct"/>
            <w:tcBorders>
              <w:top w:val="nil"/>
              <w:left w:val="nil"/>
              <w:bottom w:val="nil"/>
              <w:right w:val="single" w:sz="4" w:space="0" w:color="auto"/>
            </w:tcBorders>
            <w:shd w:val="clear" w:color="auto" w:fill="auto"/>
            <w:noWrap/>
            <w:vAlign w:val="bottom"/>
          </w:tcPr>
          <w:p w14:paraId="49736B6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5 177</w:t>
            </w:r>
          </w:p>
        </w:tc>
        <w:tc>
          <w:tcPr>
            <w:tcW w:w="304" w:type="pct"/>
            <w:tcBorders>
              <w:top w:val="nil"/>
              <w:left w:val="nil"/>
              <w:bottom w:val="nil"/>
              <w:right w:val="nil"/>
            </w:tcBorders>
            <w:shd w:val="clear" w:color="auto" w:fill="auto"/>
            <w:noWrap/>
            <w:vAlign w:val="bottom"/>
          </w:tcPr>
          <w:p w14:paraId="6BEC3B1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22 267</w:t>
            </w:r>
          </w:p>
        </w:tc>
        <w:tc>
          <w:tcPr>
            <w:tcW w:w="304" w:type="pct"/>
            <w:tcBorders>
              <w:top w:val="nil"/>
              <w:left w:val="single" w:sz="4" w:space="0" w:color="auto"/>
              <w:bottom w:val="nil"/>
              <w:right w:val="single" w:sz="4" w:space="0" w:color="auto"/>
            </w:tcBorders>
            <w:shd w:val="clear" w:color="auto" w:fill="auto"/>
            <w:noWrap/>
            <w:vAlign w:val="bottom"/>
          </w:tcPr>
          <w:p w14:paraId="60A2BD3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53 849</w:t>
            </w:r>
          </w:p>
        </w:tc>
        <w:tc>
          <w:tcPr>
            <w:tcW w:w="262" w:type="pct"/>
            <w:tcBorders>
              <w:top w:val="nil"/>
              <w:left w:val="nil"/>
              <w:bottom w:val="nil"/>
              <w:right w:val="single" w:sz="4" w:space="0" w:color="auto"/>
            </w:tcBorders>
            <w:shd w:val="clear" w:color="auto" w:fill="auto"/>
            <w:noWrap/>
            <w:vAlign w:val="bottom"/>
          </w:tcPr>
          <w:p w14:paraId="5E40B55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39</w:t>
            </w:r>
          </w:p>
        </w:tc>
        <w:tc>
          <w:tcPr>
            <w:tcW w:w="245" w:type="pct"/>
            <w:tcBorders>
              <w:top w:val="nil"/>
              <w:left w:val="nil"/>
              <w:bottom w:val="nil"/>
              <w:right w:val="single" w:sz="4" w:space="0" w:color="auto"/>
            </w:tcBorders>
            <w:shd w:val="clear" w:color="auto" w:fill="auto"/>
            <w:vAlign w:val="bottom"/>
          </w:tcPr>
          <w:p w14:paraId="737917A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078D4E1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19</w:t>
            </w:r>
          </w:p>
        </w:tc>
        <w:tc>
          <w:tcPr>
            <w:tcW w:w="322" w:type="pct"/>
            <w:tcBorders>
              <w:top w:val="nil"/>
              <w:left w:val="nil"/>
              <w:bottom w:val="nil"/>
              <w:right w:val="single" w:sz="4" w:space="0" w:color="auto"/>
            </w:tcBorders>
            <w:shd w:val="clear" w:color="auto" w:fill="auto"/>
            <w:noWrap/>
            <w:vAlign w:val="bottom"/>
          </w:tcPr>
          <w:p w14:paraId="52F99BE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167</w:t>
            </w:r>
          </w:p>
        </w:tc>
        <w:tc>
          <w:tcPr>
            <w:tcW w:w="227" w:type="pct"/>
            <w:tcBorders>
              <w:top w:val="nil"/>
              <w:left w:val="nil"/>
              <w:bottom w:val="nil"/>
              <w:right w:val="single" w:sz="4" w:space="0" w:color="auto"/>
            </w:tcBorders>
            <w:shd w:val="clear" w:color="auto" w:fill="auto"/>
            <w:noWrap/>
            <w:vAlign w:val="bottom"/>
          </w:tcPr>
          <w:p w14:paraId="4CDEB4B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494</w:t>
            </w:r>
          </w:p>
        </w:tc>
        <w:tc>
          <w:tcPr>
            <w:tcW w:w="218" w:type="pct"/>
            <w:tcBorders>
              <w:top w:val="nil"/>
              <w:left w:val="nil"/>
              <w:bottom w:val="nil"/>
              <w:right w:val="single" w:sz="4" w:space="0" w:color="auto"/>
            </w:tcBorders>
            <w:shd w:val="clear" w:color="auto" w:fill="auto"/>
            <w:noWrap/>
            <w:vAlign w:val="bottom"/>
          </w:tcPr>
          <w:p w14:paraId="16C7115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6DF0258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30DD2C8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661</w:t>
            </w:r>
          </w:p>
        </w:tc>
        <w:tc>
          <w:tcPr>
            <w:tcW w:w="348" w:type="pct"/>
            <w:tcBorders>
              <w:top w:val="nil"/>
              <w:left w:val="nil"/>
              <w:bottom w:val="nil"/>
              <w:right w:val="single" w:sz="4" w:space="0" w:color="auto"/>
            </w:tcBorders>
            <w:shd w:val="clear" w:color="auto" w:fill="auto"/>
            <w:noWrap/>
            <w:vAlign w:val="bottom"/>
          </w:tcPr>
          <w:p w14:paraId="3001E13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532A520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55 229</w:t>
            </w:r>
          </w:p>
        </w:tc>
      </w:tr>
      <w:tr w:rsidR="000544F9" w:rsidRPr="00236418" w14:paraId="6E2BE053" w14:textId="77777777" w:rsidTr="00FC47EC">
        <w:trPr>
          <w:trHeight w:val="255"/>
        </w:trPr>
        <w:tc>
          <w:tcPr>
            <w:tcW w:w="479" w:type="pct"/>
            <w:tcBorders>
              <w:top w:val="nil"/>
              <w:left w:val="single" w:sz="4" w:space="0" w:color="auto"/>
              <w:bottom w:val="nil"/>
              <w:right w:val="nil"/>
            </w:tcBorders>
            <w:shd w:val="clear" w:color="auto" w:fill="auto"/>
            <w:hideMark/>
          </w:tcPr>
          <w:p w14:paraId="3416DF0E" w14:textId="77777777" w:rsidR="000544F9" w:rsidRPr="00236418" w:rsidRDefault="000544F9" w:rsidP="009B3D24">
            <w:pPr>
              <w:pStyle w:val="Tabletext"/>
              <w:spacing w:before="0" w:after="0"/>
              <w:rPr>
                <w:sz w:val="14"/>
                <w:szCs w:val="14"/>
                <w:lang w:eastAsia="zh-CN"/>
              </w:rPr>
            </w:pPr>
            <w:r w:rsidRPr="00236418">
              <w:rPr>
                <w:sz w:val="14"/>
                <w:szCs w:val="14"/>
              </w:rPr>
              <w:t>Services contractuels</w:t>
            </w:r>
          </w:p>
        </w:tc>
        <w:tc>
          <w:tcPr>
            <w:tcW w:w="305" w:type="pct"/>
            <w:tcBorders>
              <w:top w:val="nil"/>
              <w:left w:val="single" w:sz="4" w:space="0" w:color="auto"/>
              <w:bottom w:val="nil"/>
              <w:right w:val="single" w:sz="4" w:space="0" w:color="auto"/>
            </w:tcBorders>
            <w:shd w:val="clear" w:color="auto" w:fill="auto"/>
            <w:noWrap/>
            <w:vAlign w:val="bottom"/>
          </w:tcPr>
          <w:p w14:paraId="6C77F68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1 094</w:t>
            </w:r>
          </w:p>
        </w:tc>
        <w:tc>
          <w:tcPr>
            <w:tcW w:w="305" w:type="pct"/>
            <w:tcBorders>
              <w:top w:val="nil"/>
              <w:left w:val="nil"/>
              <w:bottom w:val="nil"/>
              <w:right w:val="single" w:sz="4" w:space="0" w:color="auto"/>
            </w:tcBorders>
            <w:shd w:val="clear" w:color="auto" w:fill="auto"/>
            <w:noWrap/>
            <w:vAlign w:val="bottom"/>
          </w:tcPr>
          <w:p w14:paraId="513955B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1 064</w:t>
            </w:r>
          </w:p>
        </w:tc>
        <w:tc>
          <w:tcPr>
            <w:tcW w:w="348" w:type="pct"/>
            <w:tcBorders>
              <w:top w:val="nil"/>
              <w:left w:val="nil"/>
              <w:bottom w:val="nil"/>
              <w:right w:val="single" w:sz="4" w:space="0" w:color="auto"/>
            </w:tcBorders>
            <w:shd w:val="clear" w:color="auto" w:fill="auto"/>
            <w:noWrap/>
            <w:vAlign w:val="bottom"/>
          </w:tcPr>
          <w:p w14:paraId="1F9AEC3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950</w:t>
            </w:r>
          </w:p>
        </w:tc>
        <w:tc>
          <w:tcPr>
            <w:tcW w:w="347" w:type="pct"/>
            <w:tcBorders>
              <w:top w:val="nil"/>
              <w:left w:val="nil"/>
              <w:bottom w:val="nil"/>
              <w:right w:val="single" w:sz="4" w:space="0" w:color="auto"/>
            </w:tcBorders>
            <w:shd w:val="clear" w:color="auto" w:fill="auto"/>
            <w:noWrap/>
            <w:vAlign w:val="bottom"/>
          </w:tcPr>
          <w:p w14:paraId="1565729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2 278</w:t>
            </w:r>
          </w:p>
        </w:tc>
        <w:tc>
          <w:tcPr>
            <w:tcW w:w="304" w:type="pct"/>
            <w:tcBorders>
              <w:top w:val="nil"/>
              <w:left w:val="nil"/>
              <w:bottom w:val="nil"/>
              <w:right w:val="nil"/>
            </w:tcBorders>
            <w:shd w:val="clear" w:color="auto" w:fill="auto"/>
            <w:noWrap/>
            <w:vAlign w:val="bottom"/>
          </w:tcPr>
          <w:p w14:paraId="6FE9FEE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51</w:t>
            </w:r>
          </w:p>
        </w:tc>
        <w:tc>
          <w:tcPr>
            <w:tcW w:w="304" w:type="pct"/>
            <w:tcBorders>
              <w:top w:val="nil"/>
              <w:left w:val="single" w:sz="4" w:space="0" w:color="auto"/>
              <w:bottom w:val="nil"/>
              <w:right w:val="single" w:sz="4" w:space="0" w:color="auto"/>
            </w:tcBorders>
            <w:shd w:val="clear" w:color="auto" w:fill="auto"/>
            <w:noWrap/>
            <w:vAlign w:val="bottom"/>
          </w:tcPr>
          <w:p w14:paraId="7EE5651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5 438</w:t>
            </w:r>
          </w:p>
        </w:tc>
        <w:tc>
          <w:tcPr>
            <w:tcW w:w="262" w:type="pct"/>
            <w:tcBorders>
              <w:top w:val="nil"/>
              <w:left w:val="nil"/>
              <w:bottom w:val="nil"/>
              <w:right w:val="single" w:sz="4" w:space="0" w:color="auto"/>
            </w:tcBorders>
            <w:shd w:val="clear" w:color="auto" w:fill="auto"/>
            <w:noWrap/>
            <w:vAlign w:val="bottom"/>
          </w:tcPr>
          <w:p w14:paraId="41634C5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19756A1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4874F50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49E948F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313</w:t>
            </w:r>
          </w:p>
        </w:tc>
        <w:tc>
          <w:tcPr>
            <w:tcW w:w="227" w:type="pct"/>
            <w:tcBorders>
              <w:top w:val="nil"/>
              <w:left w:val="nil"/>
              <w:bottom w:val="nil"/>
              <w:right w:val="single" w:sz="4" w:space="0" w:color="auto"/>
            </w:tcBorders>
            <w:shd w:val="clear" w:color="auto" w:fill="auto"/>
            <w:noWrap/>
            <w:vAlign w:val="bottom"/>
          </w:tcPr>
          <w:p w14:paraId="15A003E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813</w:t>
            </w:r>
          </w:p>
        </w:tc>
        <w:tc>
          <w:tcPr>
            <w:tcW w:w="218" w:type="pct"/>
            <w:tcBorders>
              <w:top w:val="nil"/>
              <w:left w:val="nil"/>
              <w:bottom w:val="nil"/>
              <w:right w:val="single" w:sz="4" w:space="0" w:color="auto"/>
            </w:tcBorders>
            <w:shd w:val="clear" w:color="auto" w:fill="auto"/>
            <w:noWrap/>
            <w:vAlign w:val="bottom"/>
          </w:tcPr>
          <w:p w14:paraId="36C2207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5064388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2FD8FE2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138</w:t>
            </w:r>
          </w:p>
        </w:tc>
        <w:tc>
          <w:tcPr>
            <w:tcW w:w="348" w:type="pct"/>
            <w:tcBorders>
              <w:top w:val="nil"/>
              <w:left w:val="nil"/>
              <w:bottom w:val="nil"/>
              <w:right w:val="single" w:sz="4" w:space="0" w:color="auto"/>
            </w:tcBorders>
            <w:shd w:val="clear" w:color="auto" w:fill="auto"/>
            <w:noWrap/>
            <w:vAlign w:val="bottom"/>
          </w:tcPr>
          <w:p w14:paraId="329A6AE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690489E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6 702</w:t>
            </w:r>
          </w:p>
        </w:tc>
      </w:tr>
      <w:tr w:rsidR="000544F9" w:rsidRPr="00236418" w14:paraId="2107E35F" w14:textId="77777777" w:rsidTr="00FC47EC">
        <w:trPr>
          <w:trHeight w:val="765"/>
        </w:trPr>
        <w:tc>
          <w:tcPr>
            <w:tcW w:w="479" w:type="pct"/>
            <w:tcBorders>
              <w:top w:val="nil"/>
              <w:left w:val="single" w:sz="4" w:space="0" w:color="auto"/>
              <w:bottom w:val="nil"/>
              <w:right w:val="nil"/>
            </w:tcBorders>
            <w:shd w:val="clear" w:color="auto" w:fill="auto"/>
            <w:hideMark/>
          </w:tcPr>
          <w:p w14:paraId="2449B5D5" w14:textId="77777777" w:rsidR="000544F9" w:rsidRPr="00236418" w:rsidRDefault="000544F9" w:rsidP="009B3D24">
            <w:pPr>
              <w:pStyle w:val="Tabletext"/>
              <w:spacing w:before="0" w:after="0"/>
              <w:rPr>
                <w:sz w:val="14"/>
                <w:szCs w:val="14"/>
                <w:lang w:eastAsia="zh-CN"/>
              </w:rPr>
            </w:pPr>
            <w:r w:rsidRPr="00236418">
              <w:rPr>
                <w:sz w:val="14"/>
                <w:szCs w:val="14"/>
              </w:rPr>
              <w:t>Location et entretien des locaux et équipements</w:t>
            </w:r>
          </w:p>
        </w:tc>
        <w:tc>
          <w:tcPr>
            <w:tcW w:w="305" w:type="pct"/>
            <w:tcBorders>
              <w:top w:val="nil"/>
              <w:left w:val="single" w:sz="4" w:space="0" w:color="auto"/>
              <w:bottom w:val="nil"/>
              <w:right w:val="single" w:sz="4" w:space="0" w:color="auto"/>
            </w:tcBorders>
            <w:shd w:val="clear" w:color="auto" w:fill="auto"/>
            <w:noWrap/>
            <w:vAlign w:val="bottom"/>
          </w:tcPr>
          <w:p w14:paraId="3AD1729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4 866</w:t>
            </w:r>
          </w:p>
        </w:tc>
        <w:tc>
          <w:tcPr>
            <w:tcW w:w="305" w:type="pct"/>
            <w:tcBorders>
              <w:top w:val="nil"/>
              <w:left w:val="nil"/>
              <w:bottom w:val="nil"/>
              <w:right w:val="single" w:sz="4" w:space="0" w:color="auto"/>
            </w:tcBorders>
            <w:shd w:val="clear" w:color="auto" w:fill="auto"/>
            <w:noWrap/>
            <w:vAlign w:val="bottom"/>
          </w:tcPr>
          <w:p w14:paraId="1025C5E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330</w:t>
            </w:r>
          </w:p>
        </w:tc>
        <w:tc>
          <w:tcPr>
            <w:tcW w:w="348" w:type="pct"/>
            <w:tcBorders>
              <w:top w:val="nil"/>
              <w:left w:val="nil"/>
              <w:bottom w:val="nil"/>
              <w:right w:val="single" w:sz="4" w:space="0" w:color="auto"/>
            </w:tcBorders>
            <w:shd w:val="clear" w:color="auto" w:fill="auto"/>
            <w:noWrap/>
            <w:vAlign w:val="bottom"/>
          </w:tcPr>
          <w:p w14:paraId="1425E77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532</w:t>
            </w:r>
          </w:p>
        </w:tc>
        <w:tc>
          <w:tcPr>
            <w:tcW w:w="347" w:type="pct"/>
            <w:tcBorders>
              <w:top w:val="nil"/>
              <w:left w:val="nil"/>
              <w:bottom w:val="nil"/>
              <w:right w:val="single" w:sz="4" w:space="0" w:color="auto"/>
            </w:tcBorders>
            <w:shd w:val="clear" w:color="auto" w:fill="auto"/>
            <w:noWrap/>
            <w:vAlign w:val="bottom"/>
          </w:tcPr>
          <w:p w14:paraId="0D2E859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2 133</w:t>
            </w:r>
          </w:p>
        </w:tc>
        <w:tc>
          <w:tcPr>
            <w:tcW w:w="304" w:type="pct"/>
            <w:tcBorders>
              <w:top w:val="nil"/>
              <w:left w:val="nil"/>
              <w:bottom w:val="nil"/>
              <w:right w:val="nil"/>
            </w:tcBorders>
            <w:shd w:val="clear" w:color="auto" w:fill="auto"/>
            <w:noWrap/>
            <w:vAlign w:val="bottom"/>
          </w:tcPr>
          <w:p w14:paraId="4CC6FFB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526</w:t>
            </w:r>
          </w:p>
        </w:tc>
        <w:tc>
          <w:tcPr>
            <w:tcW w:w="304" w:type="pct"/>
            <w:tcBorders>
              <w:top w:val="nil"/>
              <w:left w:val="single" w:sz="4" w:space="0" w:color="auto"/>
              <w:bottom w:val="nil"/>
              <w:right w:val="single" w:sz="4" w:space="0" w:color="auto"/>
            </w:tcBorders>
            <w:shd w:val="clear" w:color="auto" w:fill="auto"/>
            <w:noWrap/>
            <w:vAlign w:val="bottom"/>
          </w:tcPr>
          <w:p w14:paraId="094DDD5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8 386</w:t>
            </w:r>
          </w:p>
        </w:tc>
        <w:tc>
          <w:tcPr>
            <w:tcW w:w="262" w:type="pct"/>
            <w:tcBorders>
              <w:top w:val="nil"/>
              <w:left w:val="nil"/>
              <w:bottom w:val="nil"/>
              <w:right w:val="single" w:sz="4" w:space="0" w:color="auto"/>
            </w:tcBorders>
            <w:shd w:val="clear" w:color="auto" w:fill="auto"/>
            <w:noWrap/>
            <w:vAlign w:val="bottom"/>
          </w:tcPr>
          <w:p w14:paraId="0B31FB4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w:t>
            </w:r>
          </w:p>
        </w:tc>
        <w:tc>
          <w:tcPr>
            <w:tcW w:w="245" w:type="pct"/>
            <w:tcBorders>
              <w:top w:val="nil"/>
              <w:left w:val="nil"/>
              <w:bottom w:val="nil"/>
              <w:right w:val="single" w:sz="4" w:space="0" w:color="auto"/>
            </w:tcBorders>
            <w:shd w:val="clear" w:color="auto" w:fill="auto"/>
            <w:vAlign w:val="bottom"/>
          </w:tcPr>
          <w:p w14:paraId="17807E2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7743E9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0192D97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1 005</w:t>
            </w:r>
          </w:p>
        </w:tc>
        <w:tc>
          <w:tcPr>
            <w:tcW w:w="227" w:type="pct"/>
            <w:tcBorders>
              <w:top w:val="nil"/>
              <w:left w:val="nil"/>
              <w:bottom w:val="nil"/>
              <w:right w:val="single" w:sz="4" w:space="0" w:color="auto"/>
            </w:tcBorders>
            <w:shd w:val="clear" w:color="auto" w:fill="auto"/>
            <w:noWrap/>
            <w:vAlign w:val="bottom"/>
          </w:tcPr>
          <w:p w14:paraId="79AD683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1 871</w:t>
            </w:r>
          </w:p>
        </w:tc>
        <w:tc>
          <w:tcPr>
            <w:tcW w:w="218" w:type="pct"/>
            <w:tcBorders>
              <w:top w:val="nil"/>
              <w:left w:val="nil"/>
              <w:bottom w:val="nil"/>
              <w:right w:val="single" w:sz="4" w:space="0" w:color="auto"/>
            </w:tcBorders>
            <w:shd w:val="clear" w:color="auto" w:fill="auto"/>
            <w:noWrap/>
            <w:vAlign w:val="bottom"/>
          </w:tcPr>
          <w:p w14:paraId="0C83285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EAEB53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2F6B009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1 428</w:t>
            </w:r>
          </w:p>
        </w:tc>
        <w:tc>
          <w:tcPr>
            <w:tcW w:w="348" w:type="pct"/>
            <w:tcBorders>
              <w:top w:val="nil"/>
              <w:left w:val="nil"/>
              <w:bottom w:val="nil"/>
              <w:right w:val="single" w:sz="4" w:space="0" w:color="auto"/>
            </w:tcBorders>
            <w:shd w:val="clear" w:color="auto" w:fill="auto"/>
            <w:noWrap/>
            <w:vAlign w:val="bottom"/>
          </w:tcPr>
          <w:p w14:paraId="37031D4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0D8777B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12 692</w:t>
            </w:r>
          </w:p>
        </w:tc>
      </w:tr>
      <w:tr w:rsidR="000544F9" w:rsidRPr="00236418" w14:paraId="16BC3E13" w14:textId="77777777" w:rsidTr="00FC47EC">
        <w:trPr>
          <w:trHeight w:val="255"/>
        </w:trPr>
        <w:tc>
          <w:tcPr>
            <w:tcW w:w="479" w:type="pct"/>
            <w:tcBorders>
              <w:top w:val="nil"/>
              <w:left w:val="single" w:sz="4" w:space="0" w:color="auto"/>
              <w:bottom w:val="nil"/>
              <w:right w:val="nil"/>
            </w:tcBorders>
            <w:shd w:val="clear" w:color="auto" w:fill="auto"/>
            <w:hideMark/>
          </w:tcPr>
          <w:p w14:paraId="46AA8914" w14:textId="77777777" w:rsidR="000544F9" w:rsidRPr="00236418" w:rsidRDefault="000544F9" w:rsidP="009B3D24">
            <w:pPr>
              <w:pStyle w:val="Tabletext"/>
              <w:spacing w:before="0" w:after="0"/>
              <w:rPr>
                <w:sz w:val="14"/>
                <w:szCs w:val="14"/>
                <w:lang w:eastAsia="zh-CN"/>
              </w:rPr>
            </w:pPr>
            <w:r w:rsidRPr="00236418">
              <w:rPr>
                <w:sz w:val="14"/>
                <w:szCs w:val="14"/>
              </w:rPr>
              <w:t>Matériels et fournitures</w:t>
            </w:r>
          </w:p>
        </w:tc>
        <w:tc>
          <w:tcPr>
            <w:tcW w:w="305" w:type="pct"/>
            <w:tcBorders>
              <w:top w:val="nil"/>
              <w:left w:val="single" w:sz="4" w:space="0" w:color="auto"/>
              <w:bottom w:val="nil"/>
              <w:right w:val="single" w:sz="4" w:space="0" w:color="auto"/>
            </w:tcBorders>
            <w:shd w:val="clear" w:color="auto" w:fill="auto"/>
            <w:noWrap/>
          </w:tcPr>
          <w:p w14:paraId="1759AEB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3 393</w:t>
            </w:r>
          </w:p>
        </w:tc>
        <w:tc>
          <w:tcPr>
            <w:tcW w:w="305" w:type="pct"/>
            <w:tcBorders>
              <w:top w:val="nil"/>
              <w:left w:val="nil"/>
              <w:bottom w:val="nil"/>
              <w:right w:val="single" w:sz="4" w:space="0" w:color="auto"/>
            </w:tcBorders>
            <w:shd w:val="clear" w:color="auto" w:fill="auto"/>
            <w:noWrap/>
          </w:tcPr>
          <w:p w14:paraId="669166C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44</w:t>
            </w:r>
          </w:p>
        </w:tc>
        <w:tc>
          <w:tcPr>
            <w:tcW w:w="348" w:type="pct"/>
            <w:tcBorders>
              <w:top w:val="nil"/>
              <w:left w:val="nil"/>
              <w:bottom w:val="nil"/>
              <w:right w:val="single" w:sz="4" w:space="0" w:color="auto"/>
            </w:tcBorders>
            <w:shd w:val="clear" w:color="auto" w:fill="auto"/>
            <w:noWrap/>
          </w:tcPr>
          <w:p w14:paraId="732072C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96</w:t>
            </w:r>
          </w:p>
        </w:tc>
        <w:tc>
          <w:tcPr>
            <w:tcW w:w="347" w:type="pct"/>
            <w:tcBorders>
              <w:top w:val="nil"/>
              <w:left w:val="nil"/>
              <w:bottom w:val="nil"/>
              <w:right w:val="single" w:sz="4" w:space="0" w:color="auto"/>
            </w:tcBorders>
            <w:shd w:val="clear" w:color="auto" w:fill="auto"/>
            <w:noWrap/>
          </w:tcPr>
          <w:p w14:paraId="3EE0F72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97</w:t>
            </w:r>
          </w:p>
        </w:tc>
        <w:tc>
          <w:tcPr>
            <w:tcW w:w="304" w:type="pct"/>
            <w:tcBorders>
              <w:top w:val="nil"/>
              <w:left w:val="nil"/>
              <w:bottom w:val="nil"/>
              <w:right w:val="nil"/>
            </w:tcBorders>
            <w:shd w:val="clear" w:color="auto" w:fill="auto"/>
            <w:noWrap/>
          </w:tcPr>
          <w:p w14:paraId="577603C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87</w:t>
            </w:r>
          </w:p>
        </w:tc>
        <w:tc>
          <w:tcPr>
            <w:tcW w:w="304" w:type="pct"/>
            <w:tcBorders>
              <w:top w:val="nil"/>
              <w:left w:val="single" w:sz="4" w:space="0" w:color="auto"/>
              <w:bottom w:val="nil"/>
              <w:right w:val="single" w:sz="4" w:space="0" w:color="auto"/>
            </w:tcBorders>
            <w:shd w:val="clear" w:color="auto" w:fill="auto"/>
            <w:noWrap/>
          </w:tcPr>
          <w:p w14:paraId="657CECF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3 718</w:t>
            </w:r>
          </w:p>
        </w:tc>
        <w:tc>
          <w:tcPr>
            <w:tcW w:w="262" w:type="pct"/>
            <w:tcBorders>
              <w:top w:val="nil"/>
              <w:left w:val="nil"/>
              <w:bottom w:val="nil"/>
              <w:right w:val="single" w:sz="4" w:space="0" w:color="auto"/>
            </w:tcBorders>
            <w:shd w:val="clear" w:color="auto" w:fill="auto"/>
            <w:noWrap/>
          </w:tcPr>
          <w:p w14:paraId="049BDEF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6AC50FF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2501F14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5691674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35</w:t>
            </w:r>
          </w:p>
        </w:tc>
        <w:tc>
          <w:tcPr>
            <w:tcW w:w="227" w:type="pct"/>
            <w:tcBorders>
              <w:top w:val="nil"/>
              <w:left w:val="nil"/>
              <w:bottom w:val="nil"/>
              <w:right w:val="single" w:sz="4" w:space="0" w:color="auto"/>
            </w:tcBorders>
            <w:shd w:val="clear" w:color="auto" w:fill="auto"/>
            <w:noWrap/>
          </w:tcPr>
          <w:p w14:paraId="2334547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21</w:t>
            </w:r>
          </w:p>
        </w:tc>
        <w:tc>
          <w:tcPr>
            <w:tcW w:w="218" w:type="pct"/>
            <w:tcBorders>
              <w:top w:val="nil"/>
              <w:left w:val="nil"/>
              <w:bottom w:val="nil"/>
              <w:right w:val="single" w:sz="4" w:space="0" w:color="auto"/>
            </w:tcBorders>
            <w:shd w:val="clear" w:color="auto" w:fill="auto"/>
            <w:noWrap/>
          </w:tcPr>
          <w:p w14:paraId="2998C66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tcPr>
          <w:p w14:paraId="650106B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736C2A8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198</w:t>
            </w:r>
          </w:p>
        </w:tc>
        <w:tc>
          <w:tcPr>
            <w:tcW w:w="348" w:type="pct"/>
            <w:tcBorders>
              <w:top w:val="nil"/>
              <w:left w:val="nil"/>
              <w:bottom w:val="nil"/>
              <w:right w:val="single" w:sz="4" w:space="0" w:color="auto"/>
            </w:tcBorders>
            <w:shd w:val="clear" w:color="auto" w:fill="auto"/>
            <w:noWrap/>
          </w:tcPr>
          <w:p w14:paraId="17A904F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4A2F618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3 971</w:t>
            </w:r>
          </w:p>
        </w:tc>
      </w:tr>
      <w:tr w:rsidR="000544F9" w:rsidRPr="00236418" w14:paraId="43491177" w14:textId="77777777" w:rsidTr="00FC47EC">
        <w:trPr>
          <w:trHeight w:val="255"/>
        </w:trPr>
        <w:tc>
          <w:tcPr>
            <w:tcW w:w="479" w:type="pct"/>
            <w:tcBorders>
              <w:top w:val="nil"/>
              <w:left w:val="single" w:sz="4" w:space="0" w:color="auto"/>
              <w:bottom w:val="nil"/>
              <w:right w:val="nil"/>
            </w:tcBorders>
            <w:shd w:val="clear" w:color="auto" w:fill="auto"/>
            <w:hideMark/>
          </w:tcPr>
          <w:p w14:paraId="4EA618D2" w14:textId="77777777" w:rsidR="000544F9" w:rsidRPr="00236418" w:rsidRDefault="000544F9" w:rsidP="009B3D24">
            <w:pPr>
              <w:pStyle w:val="Tabletext"/>
              <w:spacing w:before="0" w:after="0"/>
              <w:rPr>
                <w:sz w:val="14"/>
                <w:szCs w:val="14"/>
                <w:lang w:eastAsia="zh-CN"/>
              </w:rPr>
            </w:pPr>
            <w:r w:rsidRPr="00236418">
              <w:rPr>
                <w:sz w:val="14"/>
                <w:szCs w:val="14"/>
              </w:rPr>
              <w:t>Amortissements</w:t>
            </w:r>
          </w:p>
        </w:tc>
        <w:tc>
          <w:tcPr>
            <w:tcW w:w="305" w:type="pct"/>
            <w:tcBorders>
              <w:top w:val="nil"/>
              <w:left w:val="single" w:sz="4" w:space="0" w:color="auto"/>
              <w:bottom w:val="nil"/>
              <w:right w:val="single" w:sz="4" w:space="0" w:color="auto"/>
            </w:tcBorders>
            <w:shd w:val="clear" w:color="auto" w:fill="auto"/>
            <w:noWrap/>
            <w:vAlign w:val="bottom"/>
          </w:tcPr>
          <w:p w14:paraId="551319C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1 352</w:t>
            </w:r>
          </w:p>
        </w:tc>
        <w:tc>
          <w:tcPr>
            <w:tcW w:w="305" w:type="pct"/>
            <w:tcBorders>
              <w:top w:val="nil"/>
              <w:left w:val="nil"/>
              <w:bottom w:val="nil"/>
              <w:right w:val="single" w:sz="4" w:space="0" w:color="auto"/>
            </w:tcBorders>
            <w:shd w:val="clear" w:color="auto" w:fill="auto"/>
            <w:noWrap/>
            <w:vAlign w:val="bottom"/>
          </w:tcPr>
          <w:p w14:paraId="58D12AA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269</w:t>
            </w:r>
          </w:p>
        </w:tc>
        <w:tc>
          <w:tcPr>
            <w:tcW w:w="348" w:type="pct"/>
            <w:tcBorders>
              <w:top w:val="nil"/>
              <w:left w:val="nil"/>
              <w:bottom w:val="nil"/>
              <w:right w:val="single" w:sz="4" w:space="0" w:color="auto"/>
            </w:tcBorders>
            <w:shd w:val="clear" w:color="auto" w:fill="auto"/>
            <w:noWrap/>
            <w:vAlign w:val="bottom"/>
          </w:tcPr>
          <w:p w14:paraId="6B5D50E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175</w:t>
            </w:r>
          </w:p>
        </w:tc>
        <w:tc>
          <w:tcPr>
            <w:tcW w:w="347" w:type="pct"/>
            <w:tcBorders>
              <w:top w:val="nil"/>
              <w:left w:val="nil"/>
              <w:bottom w:val="nil"/>
              <w:right w:val="single" w:sz="4" w:space="0" w:color="auto"/>
            </w:tcBorders>
            <w:shd w:val="clear" w:color="auto" w:fill="auto"/>
            <w:noWrap/>
            <w:vAlign w:val="bottom"/>
          </w:tcPr>
          <w:p w14:paraId="75F6B09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644</w:t>
            </w:r>
          </w:p>
        </w:tc>
        <w:tc>
          <w:tcPr>
            <w:tcW w:w="304" w:type="pct"/>
            <w:tcBorders>
              <w:top w:val="nil"/>
              <w:left w:val="nil"/>
              <w:bottom w:val="nil"/>
              <w:right w:val="nil"/>
            </w:tcBorders>
            <w:shd w:val="clear" w:color="auto" w:fill="auto"/>
            <w:noWrap/>
            <w:vAlign w:val="bottom"/>
          </w:tcPr>
          <w:p w14:paraId="13E2AED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121</w:t>
            </w:r>
          </w:p>
        </w:tc>
        <w:tc>
          <w:tcPr>
            <w:tcW w:w="304" w:type="pct"/>
            <w:tcBorders>
              <w:top w:val="nil"/>
              <w:left w:val="single" w:sz="4" w:space="0" w:color="auto"/>
              <w:bottom w:val="nil"/>
              <w:right w:val="single" w:sz="4" w:space="0" w:color="auto"/>
            </w:tcBorders>
            <w:shd w:val="clear" w:color="auto" w:fill="auto"/>
            <w:noWrap/>
            <w:vAlign w:val="bottom"/>
          </w:tcPr>
          <w:p w14:paraId="7A5A10F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2 560</w:t>
            </w:r>
          </w:p>
        </w:tc>
        <w:tc>
          <w:tcPr>
            <w:tcW w:w="262" w:type="pct"/>
            <w:tcBorders>
              <w:top w:val="nil"/>
              <w:left w:val="nil"/>
              <w:bottom w:val="nil"/>
              <w:right w:val="single" w:sz="4" w:space="0" w:color="auto"/>
            </w:tcBorders>
            <w:shd w:val="clear" w:color="auto" w:fill="auto"/>
            <w:noWrap/>
            <w:vAlign w:val="bottom"/>
          </w:tcPr>
          <w:p w14:paraId="6C48FF8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15</w:t>
            </w:r>
          </w:p>
        </w:tc>
        <w:tc>
          <w:tcPr>
            <w:tcW w:w="245" w:type="pct"/>
            <w:tcBorders>
              <w:top w:val="nil"/>
              <w:left w:val="nil"/>
              <w:bottom w:val="nil"/>
              <w:right w:val="single" w:sz="4" w:space="0" w:color="auto"/>
            </w:tcBorders>
            <w:shd w:val="clear" w:color="auto" w:fill="auto"/>
            <w:vAlign w:val="bottom"/>
          </w:tcPr>
          <w:p w14:paraId="477F182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71CDBE9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D14C84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259</w:t>
            </w:r>
          </w:p>
        </w:tc>
        <w:tc>
          <w:tcPr>
            <w:tcW w:w="227" w:type="pct"/>
            <w:tcBorders>
              <w:top w:val="nil"/>
              <w:left w:val="nil"/>
              <w:bottom w:val="nil"/>
              <w:right w:val="single" w:sz="4" w:space="0" w:color="auto"/>
            </w:tcBorders>
            <w:shd w:val="clear" w:color="auto" w:fill="auto"/>
            <w:noWrap/>
            <w:vAlign w:val="bottom"/>
          </w:tcPr>
          <w:p w14:paraId="2154DCC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1 568</w:t>
            </w:r>
          </w:p>
        </w:tc>
        <w:tc>
          <w:tcPr>
            <w:tcW w:w="218" w:type="pct"/>
            <w:tcBorders>
              <w:top w:val="nil"/>
              <w:left w:val="nil"/>
              <w:bottom w:val="nil"/>
              <w:right w:val="single" w:sz="4" w:space="0" w:color="auto"/>
            </w:tcBorders>
            <w:shd w:val="clear" w:color="auto" w:fill="auto"/>
            <w:noWrap/>
            <w:vAlign w:val="bottom"/>
          </w:tcPr>
          <w:p w14:paraId="4FA5CD8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26CA7FB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4192A13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106</w:t>
            </w:r>
          </w:p>
        </w:tc>
        <w:tc>
          <w:tcPr>
            <w:tcW w:w="348" w:type="pct"/>
            <w:tcBorders>
              <w:top w:val="nil"/>
              <w:left w:val="nil"/>
              <w:bottom w:val="nil"/>
              <w:right w:val="single" w:sz="4" w:space="0" w:color="auto"/>
            </w:tcBorders>
            <w:shd w:val="clear" w:color="auto" w:fill="auto"/>
            <w:noWrap/>
            <w:vAlign w:val="bottom"/>
          </w:tcPr>
          <w:p w14:paraId="313F9FF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0E95AB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4 509</w:t>
            </w:r>
          </w:p>
        </w:tc>
      </w:tr>
      <w:tr w:rsidR="000544F9" w:rsidRPr="00236418" w14:paraId="08796900" w14:textId="77777777" w:rsidTr="00FC47EC">
        <w:trPr>
          <w:trHeight w:val="526"/>
        </w:trPr>
        <w:tc>
          <w:tcPr>
            <w:tcW w:w="479" w:type="pct"/>
            <w:tcBorders>
              <w:top w:val="nil"/>
              <w:left w:val="single" w:sz="4" w:space="0" w:color="auto"/>
              <w:bottom w:val="nil"/>
              <w:right w:val="nil"/>
            </w:tcBorders>
            <w:shd w:val="clear" w:color="auto" w:fill="auto"/>
            <w:hideMark/>
          </w:tcPr>
          <w:p w14:paraId="652FE210" w14:textId="77777777" w:rsidR="000544F9" w:rsidRPr="00236418" w:rsidRDefault="000544F9" w:rsidP="009B3D24">
            <w:pPr>
              <w:pStyle w:val="Tabletext"/>
              <w:spacing w:before="0" w:after="0"/>
              <w:rPr>
                <w:sz w:val="14"/>
                <w:szCs w:val="14"/>
                <w:lang w:eastAsia="zh-CN"/>
              </w:rPr>
            </w:pPr>
            <w:r w:rsidRPr="00236418">
              <w:rPr>
                <w:sz w:val="14"/>
                <w:szCs w:val="14"/>
              </w:rPr>
              <w:t>Frais d'expédition, de télécommunications et de services</w:t>
            </w:r>
          </w:p>
        </w:tc>
        <w:tc>
          <w:tcPr>
            <w:tcW w:w="305" w:type="pct"/>
            <w:tcBorders>
              <w:top w:val="nil"/>
              <w:left w:val="single" w:sz="4" w:space="0" w:color="auto"/>
              <w:bottom w:val="nil"/>
              <w:right w:val="single" w:sz="4" w:space="0" w:color="auto"/>
            </w:tcBorders>
            <w:shd w:val="clear" w:color="auto" w:fill="auto"/>
            <w:noWrap/>
            <w:vAlign w:val="bottom"/>
          </w:tcPr>
          <w:p w14:paraId="790065D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1F50B84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6B9A83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4B7864C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4" w:type="pct"/>
            <w:tcBorders>
              <w:top w:val="nil"/>
              <w:left w:val="nil"/>
              <w:bottom w:val="nil"/>
              <w:right w:val="nil"/>
            </w:tcBorders>
            <w:shd w:val="clear" w:color="auto" w:fill="auto"/>
            <w:noWrap/>
            <w:vAlign w:val="bottom"/>
          </w:tcPr>
          <w:p w14:paraId="64BF3C1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4 372</w:t>
            </w:r>
          </w:p>
        </w:tc>
        <w:tc>
          <w:tcPr>
            <w:tcW w:w="304" w:type="pct"/>
            <w:tcBorders>
              <w:top w:val="nil"/>
              <w:left w:val="single" w:sz="4" w:space="0" w:color="auto"/>
              <w:bottom w:val="nil"/>
              <w:right w:val="single" w:sz="4" w:space="0" w:color="auto"/>
            </w:tcBorders>
            <w:shd w:val="clear" w:color="auto" w:fill="auto"/>
            <w:noWrap/>
            <w:vAlign w:val="bottom"/>
          </w:tcPr>
          <w:p w14:paraId="1770829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4 372</w:t>
            </w:r>
          </w:p>
        </w:tc>
        <w:tc>
          <w:tcPr>
            <w:tcW w:w="262" w:type="pct"/>
            <w:tcBorders>
              <w:top w:val="nil"/>
              <w:left w:val="nil"/>
              <w:bottom w:val="nil"/>
              <w:right w:val="single" w:sz="4" w:space="0" w:color="auto"/>
            </w:tcBorders>
            <w:shd w:val="clear" w:color="auto" w:fill="auto"/>
            <w:noWrap/>
            <w:vAlign w:val="bottom"/>
          </w:tcPr>
          <w:p w14:paraId="524DAA1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08836E7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5321FA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5EF521A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111</w:t>
            </w:r>
          </w:p>
        </w:tc>
        <w:tc>
          <w:tcPr>
            <w:tcW w:w="227" w:type="pct"/>
            <w:tcBorders>
              <w:top w:val="nil"/>
              <w:left w:val="nil"/>
              <w:bottom w:val="nil"/>
              <w:right w:val="single" w:sz="4" w:space="0" w:color="auto"/>
            </w:tcBorders>
            <w:shd w:val="clear" w:color="auto" w:fill="auto"/>
            <w:noWrap/>
            <w:vAlign w:val="bottom"/>
          </w:tcPr>
          <w:p w14:paraId="7D18272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14</w:t>
            </w:r>
          </w:p>
        </w:tc>
        <w:tc>
          <w:tcPr>
            <w:tcW w:w="218" w:type="pct"/>
            <w:tcBorders>
              <w:top w:val="nil"/>
              <w:left w:val="nil"/>
              <w:bottom w:val="nil"/>
              <w:right w:val="single" w:sz="4" w:space="0" w:color="auto"/>
            </w:tcBorders>
            <w:shd w:val="clear" w:color="auto" w:fill="auto"/>
            <w:noWrap/>
            <w:vAlign w:val="bottom"/>
          </w:tcPr>
          <w:p w14:paraId="22A210A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E66A81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034A919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5EC0C3B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24205C1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4 497</w:t>
            </w:r>
          </w:p>
        </w:tc>
      </w:tr>
      <w:tr w:rsidR="000544F9" w:rsidRPr="00236418" w14:paraId="7F6D36B2" w14:textId="77777777" w:rsidTr="00FC47EC">
        <w:trPr>
          <w:trHeight w:val="662"/>
        </w:trPr>
        <w:tc>
          <w:tcPr>
            <w:tcW w:w="479" w:type="pct"/>
            <w:tcBorders>
              <w:top w:val="nil"/>
              <w:left w:val="single" w:sz="4" w:space="0" w:color="auto"/>
              <w:bottom w:val="nil"/>
              <w:right w:val="nil"/>
            </w:tcBorders>
            <w:shd w:val="clear" w:color="auto" w:fill="auto"/>
            <w:hideMark/>
          </w:tcPr>
          <w:p w14:paraId="34BDD089" w14:textId="77777777" w:rsidR="000544F9" w:rsidRPr="00236418" w:rsidRDefault="000544F9" w:rsidP="009B3D24">
            <w:pPr>
              <w:pStyle w:val="Tabletext"/>
              <w:spacing w:before="0" w:after="0"/>
              <w:rPr>
                <w:sz w:val="14"/>
                <w:szCs w:val="14"/>
                <w:lang w:eastAsia="zh-CN"/>
              </w:rPr>
            </w:pPr>
            <w:r w:rsidRPr="00236418">
              <w:rPr>
                <w:sz w:val="14"/>
                <w:szCs w:val="14"/>
              </w:rPr>
              <w:t>Vérification des comptes et contributions interorganisations</w:t>
            </w:r>
          </w:p>
        </w:tc>
        <w:tc>
          <w:tcPr>
            <w:tcW w:w="305" w:type="pct"/>
            <w:tcBorders>
              <w:top w:val="nil"/>
              <w:left w:val="single" w:sz="4" w:space="0" w:color="auto"/>
              <w:bottom w:val="nil"/>
              <w:right w:val="single" w:sz="4" w:space="0" w:color="auto"/>
            </w:tcBorders>
            <w:shd w:val="clear" w:color="auto" w:fill="auto"/>
            <w:noWrap/>
          </w:tcPr>
          <w:p w14:paraId="70F5DFB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1 389</w:t>
            </w:r>
          </w:p>
        </w:tc>
        <w:tc>
          <w:tcPr>
            <w:tcW w:w="305" w:type="pct"/>
            <w:tcBorders>
              <w:top w:val="nil"/>
              <w:left w:val="nil"/>
              <w:bottom w:val="nil"/>
              <w:right w:val="single" w:sz="4" w:space="0" w:color="auto"/>
            </w:tcBorders>
            <w:shd w:val="clear" w:color="auto" w:fill="auto"/>
            <w:noWrap/>
          </w:tcPr>
          <w:p w14:paraId="2393BE4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179</w:t>
            </w:r>
          </w:p>
        </w:tc>
        <w:tc>
          <w:tcPr>
            <w:tcW w:w="348" w:type="pct"/>
            <w:tcBorders>
              <w:top w:val="nil"/>
              <w:left w:val="nil"/>
              <w:bottom w:val="nil"/>
              <w:right w:val="single" w:sz="4" w:space="0" w:color="auto"/>
            </w:tcBorders>
            <w:shd w:val="clear" w:color="auto" w:fill="auto"/>
            <w:noWrap/>
          </w:tcPr>
          <w:p w14:paraId="75F6909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56</w:t>
            </w:r>
          </w:p>
        </w:tc>
        <w:tc>
          <w:tcPr>
            <w:tcW w:w="347" w:type="pct"/>
            <w:tcBorders>
              <w:top w:val="nil"/>
              <w:left w:val="nil"/>
              <w:bottom w:val="nil"/>
              <w:right w:val="single" w:sz="4" w:space="0" w:color="auto"/>
            </w:tcBorders>
            <w:shd w:val="clear" w:color="auto" w:fill="auto"/>
            <w:noWrap/>
          </w:tcPr>
          <w:p w14:paraId="0F14D30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140</w:t>
            </w:r>
          </w:p>
        </w:tc>
        <w:tc>
          <w:tcPr>
            <w:tcW w:w="304" w:type="pct"/>
            <w:tcBorders>
              <w:top w:val="nil"/>
              <w:left w:val="nil"/>
              <w:bottom w:val="nil"/>
              <w:right w:val="nil"/>
            </w:tcBorders>
            <w:shd w:val="clear" w:color="auto" w:fill="auto"/>
            <w:noWrap/>
          </w:tcPr>
          <w:p w14:paraId="2CF1ABE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4" w:type="pct"/>
            <w:tcBorders>
              <w:top w:val="nil"/>
              <w:left w:val="single" w:sz="4" w:space="0" w:color="auto"/>
              <w:bottom w:val="nil"/>
              <w:right w:val="single" w:sz="4" w:space="0" w:color="auto"/>
            </w:tcBorders>
            <w:shd w:val="clear" w:color="auto" w:fill="auto"/>
            <w:noWrap/>
          </w:tcPr>
          <w:p w14:paraId="4E5CCBB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1 764</w:t>
            </w:r>
          </w:p>
        </w:tc>
        <w:tc>
          <w:tcPr>
            <w:tcW w:w="262" w:type="pct"/>
            <w:tcBorders>
              <w:top w:val="nil"/>
              <w:left w:val="nil"/>
              <w:bottom w:val="nil"/>
              <w:right w:val="single" w:sz="4" w:space="0" w:color="auto"/>
            </w:tcBorders>
            <w:shd w:val="clear" w:color="auto" w:fill="auto"/>
            <w:noWrap/>
          </w:tcPr>
          <w:p w14:paraId="5900A6B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090895E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296B3CB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12063AF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0</w:t>
            </w:r>
          </w:p>
        </w:tc>
        <w:tc>
          <w:tcPr>
            <w:tcW w:w="227" w:type="pct"/>
            <w:tcBorders>
              <w:top w:val="nil"/>
              <w:left w:val="nil"/>
              <w:bottom w:val="nil"/>
              <w:right w:val="single" w:sz="4" w:space="0" w:color="auto"/>
            </w:tcBorders>
            <w:shd w:val="clear" w:color="auto" w:fill="auto"/>
            <w:noWrap/>
          </w:tcPr>
          <w:p w14:paraId="1410C57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w:t>
            </w:r>
          </w:p>
        </w:tc>
        <w:tc>
          <w:tcPr>
            <w:tcW w:w="218" w:type="pct"/>
            <w:tcBorders>
              <w:top w:val="nil"/>
              <w:left w:val="nil"/>
              <w:bottom w:val="nil"/>
              <w:right w:val="single" w:sz="4" w:space="0" w:color="auto"/>
            </w:tcBorders>
            <w:shd w:val="clear" w:color="auto" w:fill="auto"/>
            <w:noWrap/>
          </w:tcPr>
          <w:p w14:paraId="62740E6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tcPr>
          <w:p w14:paraId="1958F9F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0579E78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w:t>
            </w:r>
          </w:p>
        </w:tc>
        <w:tc>
          <w:tcPr>
            <w:tcW w:w="348" w:type="pct"/>
            <w:tcBorders>
              <w:top w:val="nil"/>
              <w:left w:val="nil"/>
              <w:bottom w:val="nil"/>
              <w:right w:val="single" w:sz="4" w:space="0" w:color="auto"/>
            </w:tcBorders>
            <w:shd w:val="clear" w:color="auto" w:fill="auto"/>
            <w:noWrap/>
          </w:tcPr>
          <w:p w14:paraId="30B2D58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57B615B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1 773</w:t>
            </w:r>
          </w:p>
        </w:tc>
      </w:tr>
      <w:tr w:rsidR="000544F9" w:rsidRPr="00236418" w14:paraId="774BF3A4" w14:textId="77777777" w:rsidTr="00FC47EC">
        <w:trPr>
          <w:trHeight w:val="255"/>
        </w:trPr>
        <w:tc>
          <w:tcPr>
            <w:tcW w:w="479" w:type="pct"/>
            <w:tcBorders>
              <w:top w:val="nil"/>
              <w:left w:val="single" w:sz="4" w:space="0" w:color="auto"/>
              <w:bottom w:val="nil"/>
              <w:right w:val="nil"/>
            </w:tcBorders>
            <w:shd w:val="clear" w:color="auto" w:fill="auto"/>
            <w:hideMark/>
          </w:tcPr>
          <w:p w14:paraId="1BD8439A" w14:textId="77777777" w:rsidR="000544F9" w:rsidRPr="00236418" w:rsidRDefault="000544F9" w:rsidP="009B3D24">
            <w:pPr>
              <w:pStyle w:val="Tabletext"/>
              <w:spacing w:before="0" w:after="0"/>
              <w:rPr>
                <w:sz w:val="14"/>
                <w:szCs w:val="14"/>
                <w:lang w:eastAsia="zh-CN"/>
              </w:rPr>
            </w:pPr>
            <w:r w:rsidRPr="00236418">
              <w:rPr>
                <w:sz w:val="14"/>
                <w:szCs w:val="14"/>
              </w:rPr>
              <w:t>Autres charges</w:t>
            </w:r>
          </w:p>
        </w:tc>
        <w:tc>
          <w:tcPr>
            <w:tcW w:w="305" w:type="pct"/>
            <w:tcBorders>
              <w:top w:val="nil"/>
              <w:left w:val="single" w:sz="4" w:space="0" w:color="auto"/>
              <w:bottom w:val="nil"/>
              <w:right w:val="single" w:sz="4" w:space="0" w:color="auto"/>
            </w:tcBorders>
            <w:shd w:val="clear" w:color="auto" w:fill="auto"/>
            <w:noWrap/>
          </w:tcPr>
          <w:p w14:paraId="52A6250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759</w:t>
            </w:r>
          </w:p>
        </w:tc>
        <w:tc>
          <w:tcPr>
            <w:tcW w:w="305" w:type="pct"/>
            <w:tcBorders>
              <w:top w:val="nil"/>
              <w:left w:val="nil"/>
              <w:bottom w:val="nil"/>
              <w:right w:val="single" w:sz="4" w:space="0" w:color="auto"/>
            </w:tcBorders>
            <w:shd w:val="clear" w:color="auto" w:fill="auto"/>
            <w:noWrap/>
          </w:tcPr>
          <w:p w14:paraId="4AE6DB8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tcPr>
          <w:p w14:paraId="1580920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7" w:type="pct"/>
            <w:tcBorders>
              <w:top w:val="nil"/>
              <w:left w:val="nil"/>
              <w:bottom w:val="nil"/>
              <w:right w:val="single" w:sz="4" w:space="0" w:color="auto"/>
            </w:tcBorders>
            <w:shd w:val="clear" w:color="auto" w:fill="auto"/>
            <w:noWrap/>
          </w:tcPr>
          <w:p w14:paraId="006FC58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37</w:t>
            </w:r>
          </w:p>
        </w:tc>
        <w:tc>
          <w:tcPr>
            <w:tcW w:w="304" w:type="pct"/>
            <w:tcBorders>
              <w:top w:val="nil"/>
              <w:left w:val="nil"/>
              <w:bottom w:val="nil"/>
              <w:right w:val="nil"/>
            </w:tcBorders>
            <w:shd w:val="clear" w:color="auto" w:fill="auto"/>
            <w:noWrap/>
          </w:tcPr>
          <w:p w14:paraId="5AFAA15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04" w:type="pct"/>
            <w:tcBorders>
              <w:top w:val="nil"/>
              <w:left w:val="single" w:sz="4" w:space="0" w:color="auto"/>
              <w:bottom w:val="nil"/>
              <w:right w:val="single" w:sz="4" w:space="0" w:color="auto"/>
            </w:tcBorders>
            <w:shd w:val="clear" w:color="auto" w:fill="auto"/>
            <w:noWrap/>
          </w:tcPr>
          <w:p w14:paraId="5C0C6EC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796</w:t>
            </w:r>
          </w:p>
        </w:tc>
        <w:tc>
          <w:tcPr>
            <w:tcW w:w="262" w:type="pct"/>
            <w:tcBorders>
              <w:top w:val="nil"/>
              <w:left w:val="nil"/>
              <w:bottom w:val="nil"/>
              <w:right w:val="single" w:sz="4" w:space="0" w:color="auto"/>
            </w:tcBorders>
            <w:shd w:val="clear" w:color="auto" w:fill="auto"/>
            <w:noWrap/>
          </w:tcPr>
          <w:p w14:paraId="6401D9D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360F3DB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01BF4DD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2319884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tcPr>
          <w:p w14:paraId="258D992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tcPr>
          <w:p w14:paraId="4438849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tcPr>
          <w:p w14:paraId="4742990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60F4652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tcPr>
          <w:p w14:paraId="1ADA307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3F81F2C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796</w:t>
            </w:r>
          </w:p>
        </w:tc>
      </w:tr>
      <w:tr w:rsidR="000544F9" w:rsidRPr="00236418" w14:paraId="41C518F5" w14:textId="77777777" w:rsidTr="00FC47EC">
        <w:trPr>
          <w:trHeight w:val="255"/>
        </w:trPr>
        <w:tc>
          <w:tcPr>
            <w:tcW w:w="479" w:type="pct"/>
            <w:tcBorders>
              <w:top w:val="nil"/>
              <w:left w:val="single" w:sz="4" w:space="0" w:color="auto"/>
              <w:bottom w:val="nil"/>
              <w:right w:val="nil"/>
            </w:tcBorders>
            <w:shd w:val="clear" w:color="auto" w:fill="auto"/>
            <w:hideMark/>
          </w:tcPr>
          <w:p w14:paraId="37CEC6A0" w14:textId="77777777" w:rsidR="000544F9" w:rsidRPr="00236418" w:rsidRDefault="000544F9" w:rsidP="009B3D24">
            <w:pPr>
              <w:pStyle w:val="Tabletext"/>
              <w:spacing w:before="0" w:after="0"/>
              <w:rPr>
                <w:sz w:val="14"/>
                <w:szCs w:val="14"/>
                <w:lang w:eastAsia="zh-CN"/>
              </w:rPr>
            </w:pPr>
            <w:r w:rsidRPr="00236418">
              <w:rPr>
                <w:sz w:val="14"/>
                <w:szCs w:val="14"/>
              </w:rPr>
              <w:t>Charges financières</w:t>
            </w:r>
          </w:p>
        </w:tc>
        <w:tc>
          <w:tcPr>
            <w:tcW w:w="305" w:type="pct"/>
            <w:tcBorders>
              <w:top w:val="nil"/>
              <w:left w:val="single" w:sz="4" w:space="0" w:color="auto"/>
              <w:bottom w:val="nil"/>
              <w:right w:val="single" w:sz="4" w:space="0" w:color="auto"/>
            </w:tcBorders>
            <w:shd w:val="clear" w:color="auto" w:fill="auto"/>
            <w:noWrap/>
          </w:tcPr>
          <w:p w14:paraId="12A6BF4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36</w:t>
            </w:r>
          </w:p>
        </w:tc>
        <w:tc>
          <w:tcPr>
            <w:tcW w:w="305" w:type="pct"/>
            <w:tcBorders>
              <w:top w:val="nil"/>
              <w:left w:val="nil"/>
              <w:bottom w:val="nil"/>
              <w:right w:val="single" w:sz="4" w:space="0" w:color="auto"/>
            </w:tcBorders>
            <w:shd w:val="clear" w:color="auto" w:fill="auto"/>
            <w:noWrap/>
          </w:tcPr>
          <w:p w14:paraId="2204770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53</w:t>
            </w:r>
          </w:p>
        </w:tc>
        <w:tc>
          <w:tcPr>
            <w:tcW w:w="348" w:type="pct"/>
            <w:tcBorders>
              <w:top w:val="nil"/>
              <w:left w:val="nil"/>
              <w:bottom w:val="nil"/>
              <w:right w:val="single" w:sz="4" w:space="0" w:color="auto"/>
            </w:tcBorders>
            <w:shd w:val="clear" w:color="auto" w:fill="auto"/>
            <w:noWrap/>
          </w:tcPr>
          <w:p w14:paraId="20584EB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w:t>
            </w:r>
          </w:p>
        </w:tc>
        <w:tc>
          <w:tcPr>
            <w:tcW w:w="347" w:type="pct"/>
            <w:tcBorders>
              <w:top w:val="nil"/>
              <w:left w:val="nil"/>
              <w:bottom w:val="nil"/>
              <w:right w:val="single" w:sz="4" w:space="0" w:color="auto"/>
            </w:tcBorders>
            <w:shd w:val="clear" w:color="auto" w:fill="auto"/>
            <w:noWrap/>
          </w:tcPr>
          <w:p w14:paraId="76D1B61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74</w:t>
            </w:r>
          </w:p>
        </w:tc>
        <w:tc>
          <w:tcPr>
            <w:tcW w:w="304" w:type="pct"/>
            <w:tcBorders>
              <w:top w:val="nil"/>
              <w:left w:val="nil"/>
              <w:bottom w:val="nil"/>
              <w:right w:val="nil"/>
            </w:tcBorders>
            <w:shd w:val="clear" w:color="auto" w:fill="auto"/>
            <w:noWrap/>
          </w:tcPr>
          <w:p w14:paraId="6644C11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5</w:t>
            </w:r>
          </w:p>
        </w:tc>
        <w:tc>
          <w:tcPr>
            <w:tcW w:w="304" w:type="pct"/>
            <w:tcBorders>
              <w:top w:val="nil"/>
              <w:left w:val="single" w:sz="4" w:space="0" w:color="auto"/>
              <w:bottom w:val="nil"/>
              <w:right w:val="single" w:sz="4" w:space="0" w:color="auto"/>
            </w:tcBorders>
            <w:shd w:val="clear" w:color="auto" w:fill="auto"/>
            <w:noWrap/>
          </w:tcPr>
          <w:p w14:paraId="76AF821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176</w:t>
            </w:r>
          </w:p>
        </w:tc>
        <w:tc>
          <w:tcPr>
            <w:tcW w:w="262" w:type="pct"/>
            <w:tcBorders>
              <w:top w:val="nil"/>
              <w:left w:val="nil"/>
              <w:bottom w:val="nil"/>
              <w:right w:val="single" w:sz="4" w:space="0" w:color="auto"/>
            </w:tcBorders>
            <w:shd w:val="clear" w:color="auto" w:fill="auto"/>
            <w:noWrap/>
          </w:tcPr>
          <w:p w14:paraId="461F83A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420B687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4AB3E7F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72D79C5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tcPr>
          <w:p w14:paraId="5494AD3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426</w:t>
            </w:r>
          </w:p>
        </w:tc>
        <w:tc>
          <w:tcPr>
            <w:tcW w:w="218" w:type="pct"/>
            <w:tcBorders>
              <w:top w:val="nil"/>
              <w:left w:val="nil"/>
              <w:bottom w:val="nil"/>
              <w:right w:val="single" w:sz="4" w:space="0" w:color="auto"/>
            </w:tcBorders>
            <w:shd w:val="clear" w:color="auto" w:fill="auto"/>
            <w:noWrap/>
          </w:tcPr>
          <w:p w14:paraId="66C6C085"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tcPr>
          <w:p w14:paraId="71D4937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032A44A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1 282</w:t>
            </w:r>
          </w:p>
        </w:tc>
        <w:tc>
          <w:tcPr>
            <w:tcW w:w="348" w:type="pct"/>
            <w:tcBorders>
              <w:top w:val="nil"/>
              <w:left w:val="nil"/>
              <w:bottom w:val="nil"/>
              <w:right w:val="single" w:sz="4" w:space="0" w:color="auto"/>
            </w:tcBorders>
            <w:shd w:val="clear" w:color="auto" w:fill="auto"/>
            <w:noWrap/>
          </w:tcPr>
          <w:p w14:paraId="079971D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–1 884</w:t>
            </w:r>
          </w:p>
        </w:tc>
        <w:tc>
          <w:tcPr>
            <w:tcW w:w="304" w:type="pct"/>
            <w:tcBorders>
              <w:top w:val="nil"/>
              <w:left w:val="nil"/>
              <w:bottom w:val="nil"/>
              <w:right w:val="single" w:sz="4" w:space="0" w:color="auto"/>
            </w:tcBorders>
            <w:shd w:val="clear" w:color="auto" w:fill="auto"/>
            <w:noWrap/>
          </w:tcPr>
          <w:p w14:paraId="24B152E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–1</w:t>
            </w:r>
          </w:p>
        </w:tc>
      </w:tr>
      <w:tr w:rsidR="000544F9" w:rsidRPr="00236418" w14:paraId="1D49419A" w14:textId="77777777" w:rsidTr="00FC47EC">
        <w:trPr>
          <w:trHeight w:val="255"/>
        </w:trPr>
        <w:tc>
          <w:tcPr>
            <w:tcW w:w="479" w:type="pct"/>
            <w:tcBorders>
              <w:top w:val="nil"/>
              <w:left w:val="single" w:sz="4" w:space="0" w:color="auto"/>
              <w:bottom w:val="nil"/>
              <w:right w:val="nil"/>
            </w:tcBorders>
            <w:shd w:val="clear" w:color="auto" w:fill="auto"/>
            <w:hideMark/>
          </w:tcPr>
          <w:p w14:paraId="415B456F" w14:textId="77777777" w:rsidR="000544F9" w:rsidRPr="00236418" w:rsidRDefault="000544F9" w:rsidP="009B3D24">
            <w:pPr>
              <w:pStyle w:val="Tabletext"/>
              <w:spacing w:before="0" w:after="0"/>
              <w:rPr>
                <w:sz w:val="14"/>
                <w:szCs w:val="14"/>
                <w:lang w:eastAsia="zh-CN"/>
              </w:rPr>
            </w:pPr>
            <w:r w:rsidRPr="00236418">
              <w:rPr>
                <w:sz w:val="14"/>
                <w:szCs w:val="14"/>
                <w:lang w:eastAsia="zh-CN"/>
              </w:rPr>
              <w:t> </w:t>
            </w:r>
          </w:p>
        </w:tc>
        <w:tc>
          <w:tcPr>
            <w:tcW w:w="305" w:type="pct"/>
            <w:tcBorders>
              <w:top w:val="nil"/>
              <w:left w:val="single" w:sz="4" w:space="0" w:color="auto"/>
              <w:bottom w:val="nil"/>
              <w:right w:val="single" w:sz="4" w:space="0" w:color="auto"/>
            </w:tcBorders>
            <w:shd w:val="clear" w:color="auto" w:fill="auto"/>
            <w:noWrap/>
          </w:tcPr>
          <w:p w14:paraId="65838DF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113</w:t>
            </w:r>
          </w:p>
        </w:tc>
        <w:tc>
          <w:tcPr>
            <w:tcW w:w="305" w:type="pct"/>
            <w:tcBorders>
              <w:top w:val="nil"/>
              <w:left w:val="nil"/>
              <w:bottom w:val="nil"/>
              <w:right w:val="single" w:sz="4" w:space="0" w:color="auto"/>
            </w:tcBorders>
            <w:shd w:val="clear" w:color="auto" w:fill="auto"/>
            <w:noWrap/>
          </w:tcPr>
          <w:p w14:paraId="02EAF48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16</w:t>
            </w:r>
          </w:p>
        </w:tc>
        <w:tc>
          <w:tcPr>
            <w:tcW w:w="348" w:type="pct"/>
            <w:tcBorders>
              <w:top w:val="nil"/>
              <w:left w:val="nil"/>
              <w:bottom w:val="nil"/>
              <w:right w:val="single" w:sz="4" w:space="0" w:color="auto"/>
            </w:tcBorders>
            <w:shd w:val="clear" w:color="auto" w:fill="auto"/>
            <w:noWrap/>
          </w:tcPr>
          <w:p w14:paraId="0AB2F1A7"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13</w:t>
            </w:r>
          </w:p>
        </w:tc>
        <w:tc>
          <w:tcPr>
            <w:tcW w:w="347" w:type="pct"/>
            <w:tcBorders>
              <w:top w:val="nil"/>
              <w:left w:val="nil"/>
              <w:bottom w:val="nil"/>
              <w:right w:val="single" w:sz="4" w:space="0" w:color="auto"/>
            </w:tcBorders>
            <w:shd w:val="clear" w:color="auto" w:fill="auto"/>
            <w:noWrap/>
          </w:tcPr>
          <w:p w14:paraId="0DED3FA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35</w:t>
            </w:r>
          </w:p>
        </w:tc>
        <w:tc>
          <w:tcPr>
            <w:tcW w:w="304" w:type="pct"/>
            <w:tcBorders>
              <w:top w:val="nil"/>
              <w:left w:val="nil"/>
              <w:bottom w:val="nil"/>
              <w:right w:val="nil"/>
            </w:tcBorders>
            <w:shd w:val="clear" w:color="auto" w:fill="auto"/>
            <w:noWrap/>
          </w:tcPr>
          <w:p w14:paraId="61AFCC0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379</w:t>
            </w:r>
          </w:p>
        </w:tc>
        <w:tc>
          <w:tcPr>
            <w:tcW w:w="304" w:type="pct"/>
            <w:tcBorders>
              <w:top w:val="nil"/>
              <w:left w:val="single" w:sz="4" w:space="0" w:color="auto"/>
              <w:bottom w:val="nil"/>
              <w:right w:val="single" w:sz="4" w:space="0" w:color="auto"/>
            </w:tcBorders>
            <w:shd w:val="clear" w:color="auto" w:fill="auto"/>
            <w:noWrap/>
          </w:tcPr>
          <w:p w14:paraId="3033792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557</w:t>
            </w:r>
          </w:p>
        </w:tc>
        <w:tc>
          <w:tcPr>
            <w:tcW w:w="262" w:type="pct"/>
            <w:tcBorders>
              <w:top w:val="nil"/>
              <w:left w:val="nil"/>
              <w:bottom w:val="nil"/>
              <w:right w:val="single" w:sz="4" w:space="0" w:color="auto"/>
            </w:tcBorders>
            <w:shd w:val="clear" w:color="auto" w:fill="auto"/>
            <w:noWrap/>
          </w:tcPr>
          <w:p w14:paraId="41BCBE4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0</w:t>
            </w:r>
          </w:p>
        </w:tc>
        <w:tc>
          <w:tcPr>
            <w:tcW w:w="245" w:type="pct"/>
            <w:tcBorders>
              <w:top w:val="nil"/>
              <w:left w:val="nil"/>
              <w:bottom w:val="nil"/>
              <w:right w:val="single" w:sz="4" w:space="0" w:color="auto"/>
            </w:tcBorders>
            <w:shd w:val="clear" w:color="auto" w:fill="auto"/>
          </w:tcPr>
          <w:p w14:paraId="00DC076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1414C5F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7BFAB25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11</w:t>
            </w:r>
          </w:p>
        </w:tc>
        <w:tc>
          <w:tcPr>
            <w:tcW w:w="227" w:type="pct"/>
            <w:tcBorders>
              <w:top w:val="nil"/>
              <w:left w:val="nil"/>
              <w:bottom w:val="nil"/>
              <w:right w:val="single" w:sz="4" w:space="0" w:color="auto"/>
            </w:tcBorders>
            <w:shd w:val="clear" w:color="auto" w:fill="auto"/>
            <w:noWrap/>
          </w:tcPr>
          <w:p w14:paraId="5B98F91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35</w:t>
            </w:r>
          </w:p>
        </w:tc>
        <w:tc>
          <w:tcPr>
            <w:tcW w:w="218" w:type="pct"/>
            <w:tcBorders>
              <w:top w:val="nil"/>
              <w:left w:val="nil"/>
              <w:bottom w:val="nil"/>
              <w:right w:val="single" w:sz="4" w:space="0" w:color="auto"/>
            </w:tcBorders>
            <w:shd w:val="clear" w:color="auto" w:fill="auto"/>
            <w:noWrap/>
          </w:tcPr>
          <w:p w14:paraId="1698565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0</w:t>
            </w:r>
          </w:p>
        </w:tc>
        <w:tc>
          <w:tcPr>
            <w:tcW w:w="174" w:type="pct"/>
            <w:tcBorders>
              <w:top w:val="nil"/>
              <w:left w:val="nil"/>
              <w:bottom w:val="nil"/>
              <w:right w:val="single" w:sz="4" w:space="0" w:color="auto"/>
            </w:tcBorders>
            <w:shd w:val="clear" w:color="auto" w:fill="auto"/>
            <w:noWrap/>
          </w:tcPr>
          <w:p w14:paraId="6D35654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347A4F0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236418">
              <w:rPr>
                <w:rFonts w:asciiTheme="minorHAnsi" w:hAnsiTheme="minorHAnsi" w:cs="Arial"/>
                <w:color w:val="000000"/>
                <w:sz w:val="14"/>
                <w:szCs w:val="14"/>
                <w:lang w:eastAsia="zh-CN"/>
              </w:rPr>
              <w:t>17</w:t>
            </w:r>
          </w:p>
        </w:tc>
        <w:tc>
          <w:tcPr>
            <w:tcW w:w="348" w:type="pct"/>
            <w:tcBorders>
              <w:top w:val="nil"/>
              <w:left w:val="nil"/>
              <w:bottom w:val="nil"/>
              <w:right w:val="single" w:sz="4" w:space="0" w:color="auto"/>
            </w:tcBorders>
            <w:shd w:val="clear" w:color="auto" w:fill="auto"/>
            <w:noWrap/>
          </w:tcPr>
          <w:p w14:paraId="5337508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0C185A3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236418">
              <w:rPr>
                <w:rFonts w:asciiTheme="minorHAnsi" w:hAnsiTheme="minorHAnsi" w:cs="Arial"/>
                <w:b/>
                <w:bCs/>
                <w:sz w:val="14"/>
                <w:szCs w:val="14"/>
                <w:lang w:eastAsia="zh-CN"/>
              </w:rPr>
              <w:t>621</w:t>
            </w:r>
          </w:p>
        </w:tc>
      </w:tr>
      <w:tr w:rsidR="000544F9" w:rsidRPr="00236418" w14:paraId="71C4ADAB" w14:textId="77777777" w:rsidTr="00FC47EC">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1E667A14" w14:textId="77777777" w:rsidR="000544F9" w:rsidRPr="00236418" w:rsidRDefault="000544F9" w:rsidP="009B3D24">
            <w:pPr>
              <w:pStyle w:val="Tabletext"/>
              <w:spacing w:before="0" w:after="0"/>
              <w:rPr>
                <w:b/>
                <w:bCs/>
                <w:sz w:val="14"/>
                <w:szCs w:val="14"/>
                <w:lang w:eastAsia="zh-CN"/>
              </w:rPr>
            </w:pPr>
            <w:r w:rsidRPr="00236418">
              <w:rPr>
                <w:b/>
                <w:bCs/>
                <w:sz w:val="14"/>
                <w:szCs w:val="14"/>
                <w:lang w:eastAsia="zh-CN"/>
              </w:rPr>
              <w:t>Total des charges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60F8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77 869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526EAC1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25 067</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ACC1C4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13 248</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0366E08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26 887</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1CBFC4F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27 808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3F3836F"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170 879</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005F50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–188</w:t>
            </w:r>
          </w:p>
        </w:tc>
        <w:tc>
          <w:tcPr>
            <w:tcW w:w="245" w:type="pct"/>
            <w:tcBorders>
              <w:top w:val="single" w:sz="4" w:space="0" w:color="auto"/>
              <w:left w:val="nil"/>
              <w:bottom w:val="single" w:sz="4" w:space="0" w:color="auto"/>
              <w:right w:val="single" w:sz="4" w:space="0" w:color="auto"/>
            </w:tcBorders>
            <w:shd w:val="clear" w:color="auto" w:fill="auto"/>
            <w:vAlign w:val="center"/>
          </w:tcPr>
          <w:p w14:paraId="6F9677E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7A8352C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19</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1B0C79F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2 611</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8B0879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6 539</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374EC44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0</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3CC0359"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4A95256"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6 012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EC88164"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–1 884</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D188C2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184 365</w:t>
            </w:r>
          </w:p>
        </w:tc>
      </w:tr>
      <w:tr w:rsidR="000544F9" w:rsidRPr="00236418" w14:paraId="1DDC44A1" w14:textId="77777777" w:rsidTr="00FC47EC">
        <w:trPr>
          <w:trHeight w:val="510"/>
        </w:trPr>
        <w:tc>
          <w:tcPr>
            <w:tcW w:w="479" w:type="pct"/>
            <w:tcBorders>
              <w:top w:val="single" w:sz="4" w:space="0" w:color="auto"/>
              <w:left w:val="single" w:sz="4" w:space="0" w:color="auto"/>
              <w:bottom w:val="single" w:sz="4" w:space="0" w:color="auto"/>
              <w:right w:val="nil"/>
            </w:tcBorders>
            <w:shd w:val="clear" w:color="auto" w:fill="auto"/>
            <w:hideMark/>
          </w:tcPr>
          <w:p w14:paraId="2147779A" w14:textId="77777777" w:rsidR="000544F9" w:rsidRPr="00236418" w:rsidRDefault="000544F9" w:rsidP="009B3D24">
            <w:pPr>
              <w:pStyle w:val="Tabletext"/>
              <w:spacing w:before="0" w:after="0"/>
              <w:rPr>
                <w:b/>
                <w:bCs/>
                <w:sz w:val="14"/>
                <w:szCs w:val="14"/>
                <w:lang w:eastAsia="zh-CN"/>
              </w:rPr>
            </w:pPr>
            <w:r w:rsidRPr="00236418">
              <w:rPr>
                <w:b/>
                <w:bCs/>
                <w:sz w:val="14"/>
                <w:szCs w:val="14"/>
              </w:rPr>
              <w:t xml:space="preserve">Excédent/(déficit) </w:t>
            </w:r>
            <w:r w:rsidRPr="00236418">
              <w:rPr>
                <w:b/>
                <w:bCs/>
                <w:sz w:val="14"/>
                <w:szCs w:val="14"/>
              </w:rPr>
              <w:br/>
              <w:t>de l'exercice</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419C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–76 549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771E928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14 429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AE93D8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–4 552</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10EB670D"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–25 142</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1DD17F1"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85 738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9EC5790"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–6 076</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E7EF13"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–188</w:t>
            </w:r>
          </w:p>
        </w:tc>
        <w:tc>
          <w:tcPr>
            <w:tcW w:w="245" w:type="pct"/>
            <w:tcBorders>
              <w:top w:val="single" w:sz="4" w:space="0" w:color="auto"/>
              <w:left w:val="nil"/>
              <w:bottom w:val="single" w:sz="4" w:space="0" w:color="auto"/>
              <w:right w:val="single" w:sz="4" w:space="0" w:color="auto"/>
            </w:tcBorders>
            <w:shd w:val="clear" w:color="auto" w:fill="auto"/>
            <w:vAlign w:val="center"/>
          </w:tcPr>
          <w:p w14:paraId="3ECB9BD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95</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2426958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–19</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7743DACC"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604</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12DB422"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–998</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51641EB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8FC472E"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1435AB8"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–259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1FFC28BA"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27B31FEB" w14:textId="77777777" w:rsidR="000544F9" w:rsidRPr="00236418"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236418">
              <w:rPr>
                <w:rFonts w:asciiTheme="minorHAnsi" w:hAnsiTheme="minorHAnsi" w:cs="Arial"/>
                <w:b/>
                <w:bCs/>
                <w:color w:val="000000"/>
                <w:sz w:val="14"/>
                <w:szCs w:val="14"/>
                <w:lang w:eastAsia="zh-CN"/>
              </w:rPr>
              <w:t>–7 976</w:t>
            </w:r>
          </w:p>
        </w:tc>
      </w:tr>
    </w:tbl>
    <w:p w14:paraId="1E1F0982" w14:textId="77777777" w:rsidR="00DF6159" w:rsidRPr="00236418" w:rsidRDefault="00DF6159" w:rsidP="009B3D24">
      <w:pPr>
        <w:keepNext/>
        <w:keepLines/>
        <w:spacing w:before="0" w:after="40"/>
        <w:ind w:left="567" w:hanging="567"/>
        <w:outlineLvl w:val="0"/>
        <w:sectPr w:rsidR="00DF6159" w:rsidRPr="00236418" w:rsidSect="006538EB">
          <w:footerReference w:type="default" r:id="rId50"/>
          <w:headerReference w:type="first" r:id="rId51"/>
          <w:footerReference w:type="first" r:id="rId52"/>
          <w:pgSz w:w="16840" w:h="11907" w:orient="landscape" w:code="9"/>
          <w:pgMar w:top="1134" w:right="1418" w:bottom="1134" w:left="1418" w:header="720" w:footer="720" w:gutter="0"/>
          <w:paperSrc w:first="261" w:other="261"/>
          <w:cols w:space="720"/>
          <w:docGrid w:linePitch="326"/>
        </w:sectPr>
      </w:pPr>
    </w:p>
    <w:p w14:paraId="27BC7DD2" w14:textId="77777777" w:rsidR="00DF6159" w:rsidRPr="00236418" w:rsidRDefault="00DF6159" w:rsidP="00081C96">
      <w:pPr>
        <w:pStyle w:val="Heading1"/>
        <w:spacing w:before="120" w:after="120"/>
        <w:rPr>
          <w:sz w:val="24"/>
          <w:szCs w:val="24"/>
        </w:rPr>
      </w:pPr>
      <w:bookmarkStart w:id="2251" w:name="_Toc482801523"/>
      <w:bookmarkStart w:id="2252" w:name="_Toc511649502"/>
      <w:bookmarkStart w:id="2253" w:name="_Toc511649865"/>
      <w:bookmarkStart w:id="2254" w:name="_Toc511649988"/>
      <w:bookmarkStart w:id="2255" w:name="_Toc511651248"/>
      <w:bookmarkStart w:id="2256" w:name="_Toc511724111"/>
      <w:bookmarkStart w:id="2257" w:name="_Toc511739100"/>
      <w:bookmarkStart w:id="2258" w:name="_Toc511741271"/>
      <w:bookmarkStart w:id="2259" w:name="_Toc10450784"/>
      <w:bookmarkStart w:id="2260" w:name="_Toc41566370"/>
      <w:bookmarkStart w:id="2261" w:name="_Toc41567381"/>
      <w:bookmarkStart w:id="2262" w:name="_Toc41567877"/>
      <w:bookmarkStart w:id="2263" w:name="_Toc41814974"/>
      <w:bookmarkStart w:id="2264" w:name="_Toc329178807"/>
      <w:bookmarkStart w:id="2265" w:name="_Toc329181780"/>
      <w:bookmarkStart w:id="2266" w:name="_Toc329202606"/>
      <w:bookmarkStart w:id="2267" w:name="_Toc329205038"/>
      <w:bookmarkStart w:id="2268" w:name="_Toc329206875"/>
      <w:bookmarkStart w:id="2269" w:name="_Toc358379956"/>
      <w:bookmarkStart w:id="2270" w:name="_Toc358380499"/>
      <w:bookmarkStart w:id="2271" w:name="_Toc387166667"/>
      <w:bookmarkStart w:id="2272" w:name="_Toc395260952"/>
      <w:bookmarkStart w:id="2273" w:name="_Toc395511739"/>
      <w:bookmarkStart w:id="2274" w:name="_Toc452138642"/>
      <w:bookmarkStart w:id="2275" w:name="_Toc452139091"/>
      <w:bookmarkStart w:id="2276" w:name="_Toc452139455"/>
      <w:bookmarkStart w:id="2277" w:name="_Toc452139861"/>
      <w:bookmarkStart w:id="2278" w:name="_Toc452140735"/>
      <w:r w:rsidRPr="00236418">
        <w:rPr>
          <w:sz w:val="24"/>
          <w:szCs w:val="24"/>
        </w:rPr>
        <w:lastRenderedPageBreak/>
        <w:t>Note 25</w:t>
      </w:r>
      <w:r w:rsidRPr="00236418">
        <w:rPr>
          <w:sz w:val="24"/>
          <w:szCs w:val="24"/>
        </w:rPr>
        <w:tab/>
        <w:t>Présence régionale</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p>
    <w:tbl>
      <w:tblPr>
        <w:tblStyle w:val="TableGrid"/>
        <w:tblW w:w="10559" w:type="dxa"/>
        <w:tblInd w:w="-147" w:type="dxa"/>
        <w:tblLayout w:type="fixed"/>
        <w:tblLook w:val="04A0" w:firstRow="1" w:lastRow="0" w:firstColumn="1" w:lastColumn="0" w:noHBand="0" w:noVBand="1"/>
      </w:tblPr>
      <w:tblGrid>
        <w:gridCol w:w="1102"/>
        <w:gridCol w:w="693"/>
        <w:gridCol w:w="872"/>
        <w:gridCol w:w="693"/>
        <w:gridCol w:w="872"/>
        <w:gridCol w:w="693"/>
        <w:gridCol w:w="872"/>
        <w:gridCol w:w="711"/>
        <w:gridCol w:w="872"/>
        <w:gridCol w:w="718"/>
        <w:gridCol w:w="890"/>
        <w:gridCol w:w="695"/>
        <w:gridCol w:w="876"/>
      </w:tblGrid>
      <w:tr w:rsidR="00DF6159" w:rsidRPr="00236418" w14:paraId="4BC09755" w14:textId="77777777" w:rsidTr="006538EB">
        <w:tc>
          <w:tcPr>
            <w:tcW w:w="1102" w:type="dxa"/>
            <w:vAlign w:val="center"/>
          </w:tcPr>
          <w:p w14:paraId="0533A09B" w14:textId="77777777" w:rsidR="00DF6159" w:rsidRPr="00236418" w:rsidRDefault="00DF6159" w:rsidP="009B3D24">
            <w:pPr>
              <w:pStyle w:val="TableHead0"/>
              <w:spacing w:before="120"/>
              <w:rPr>
                <w:rFonts w:asciiTheme="minorHAnsi" w:hAnsiTheme="minorHAnsi"/>
                <w:sz w:val="16"/>
                <w:szCs w:val="16"/>
              </w:rPr>
            </w:pPr>
          </w:p>
        </w:tc>
        <w:tc>
          <w:tcPr>
            <w:tcW w:w="1565" w:type="dxa"/>
            <w:gridSpan w:val="2"/>
            <w:vAlign w:val="center"/>
          </w:tcPr>
          <w:p w14:paraId="28A52071"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AFRIQUE</w:t>
            </w:r>
          </w:p>
        </w:tc>
        <w:tc>
          <w:tcPr>
            <w:tcW w:w="1565" w:type="dxa"/>
            <w:gridSpan w:val="2"/>
            <w:vAlign w:val="center"/>
          </w:tcPr>
          <w:p w14:paraId="61DA697D"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AMÉRIQUES</w:t>
            </w:r>
          </w:p>
        </w:tc>
        <w:tc>
          <w:tcPr>
            <w:tcW w:w="1565" w:type="dxa"/>
            <w:gridSpan w:val="2"/>
            <w:vAlign w:val="center"/>
          </w:tcPr>
          <w:p w14:paraId="130DC378"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ÉTATS ARABES</w:t>
            </w:r>
          </w:p>
        </w:tc>
        <w:tc>
          <w:tcPr>
            <w:tcW w:w="1583" w:type="dxa"/>
            <w:gridSpan w:val="2"/>
            <w:vAlign w:val="center"/>
          </w:tcPr>
          <w:p w14:paraId="12108B05"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ASIE-PACIFIQUE</w:t>
            </w:r>
          </w:p>
        </w:tc>
        <w:tc>
          <w:tcPr>
            <w:tcW w:w="1608" w:type="dxa"/>
            <w:gridSpan w:val="2"/>
            <w:vAlign w:val="center"/>
          </w:tcPr>
          <w:p w14:paraId="1FB1E9AD"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CEI</w:t>
            </w:r>
          </w:p>
        </w:tc>
        <w:tc>
          <w:tcPr>
            <w:tcW w:w="1571" w:type="dxa"/>
            <w:gridSpan w:val="2"/>
            <w:vAlign w:val="center"/>
          </w:tcPr>
          <w:p w14:paraId="075E67CB"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EUROPE</w:t>
            </w:r>
          </w:p>
        </w:tc>
      </w:tr>
      <w:tr w:rsidR="00DF6159" w:rsidRPr="00236418" w14:paraId="4EFD407F" w14:textId="77777777" w:rsidTr="006538EB">
        <w:tc>
          <w:tcPr>
            <w:tcW w:w="1102" w:type="dxa"/>
            <w:vAlign w:val="center"/>
          </w:tcPr>
          <w:p w14:paraId="367A87BF" w14:textId="77777777" w:rsidR="00DF6159" w:rsidRPr="00236418" w:rsidRDefault="00DF6159" w:rsidP="009B3D24">
            <w:pPr>
              <w:pStyle w:val="TableHead0"/>
              <w:spacing w:before="120"/>
              <w:rPr>
                <w:rFonts w:asciiTheme="minorHAnsi" w:hAnsiTheme="minorHAnsi"/>
                <w:sz w:val="16"/>
                <w:szCs w:val="16"/>
              </w:rPr>
            </w:pPr>
          </w:p>
        </w:tc>
        <w:tc>
          <w:tcPr>
            <w:tcW w:w="693" w:type="dxa"/>
            <w:vAlign w:val="center"/>
          </w:tcPr>
          <w:p w14:paraId="15B68B7F"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Budget</w:t>
            </w:r>
          </w:p>
        </w:tc>
        <w:tc>
          <w:tcPr>
            <w:tcW w:w="872" w:type="dxa"/>
            <w:vAlign w:val="center"/>
          </w:tcPr>
          <w:p w14:paraId="17124A33"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 xml:space="preserve">Montants </w:t>
            </w:r>
            <w:r w:rsidRPr="00236418">
              <w:rPr>
                <w:rFonts w:asciiTheme="minorHAnsi" w:hAnsiTheme="minorHAnsi"/>
                <w:sz w:val="16"/>
                <w:szCs w:val="16"/>
              </w:rPr>
              <w:br/>
              <w:t>effectifs</w:t>
            </w:r>
          </w:p>
        </w:tc>
        <w:tc>
          <w:tcPr>
            <w:tcW w:w="693" w:type="dxa"/>
            <w:vAlign w:val="center"/>
          </w:tcPr>
          <w:p w14:paraId="33B54FCF"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Budget</w:t>
            </w:r>
          </w:p>
        </w:tc>
        <w:tc>
          <w:tcPr>
            <w:tcW w:w="872" w:type="dxa"/>
            <w:vAlign w:val="center"/>
          </w:tcPr>
          <w:p w14:paraId="4DC38467"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 xml:space="preserve">Montants </w:t>
            </w:r>
            <w:r w:rsidRPr="00236418">
              <w:rPr>
                <w:rFonts w:asciiTheme="minorHAnsi" w:hAnsiTheme="minorHAnsi"/>
                <w:sz w:val="16"/>
                <w:szCs w:val="16"/>
              </w:rPr>
              <w:br/>
              <w:t>effectifs</w:t>
            </w:r>
          </w:p>
        </w:tc>
        <w:tc>
          <w:tcPr>
            <w:tcW w:w="693" w:type="dxa"/>
            <w:vAlign w:val="center"/>
          </w:tcPr>
          <w:p w14:paraId="60BB32D7"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Budget</w:t>
            </w:r>
          </w:p>
        </w:tc>
        <w:tc>
          <w:tcPr>
            <w:tcW w:w="872" w:type="dxa"/>
            <w:vAlign w:val="center"/>
          </w:tcPr>
          <w:p w14:paraId="089A50A1"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 xml:space="preserve">Montants </w:t>
            </w:r>
            <w:r w:rsidRPr="00236418">
              <w:rPr>
                <w:rFonts w:asciiTheme="minorHAnsi" w:hAnsiTheme="minorHAnsi"/>
                <w:sz w:val="16"/>
                <w:szCs w:val="16"/>
              </w:rPr>
              <w:br/>
              <w:t>effectifs</w:t>
            </w:r>
          </w:p>
        </w:tc>
        <w:tc>
          <w:tcPr>
            <w:tcW w:w="711" w:type="dxa"/>
            <w:vAlign w:val="center"/>
          </w:tcPr>
          <w:p w14:paraId="2313E0E5"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Budget</w:t>
            </w:r>
          </w:p>
        </w:tc>
        <w:tc>
          <w:tcPr>
            <w:tcW w:w="872" w:type="dxa"/>
            <w:vAlign w:val="center"/>
          </w:tcPr>
          <w:p w14:paraId="4CA771B4"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 xml:space="preserve">Montants </w:t>
            </w:r>
            <w:r w:rsidRPr="00236418">
              <w:rPr>
                <w:rFonts w:asciiTheme="minorHAnsi" w:hAnsiTheme="minorHAnsi"/>
                <w:sz w:val="16"/>
                <w:szCs w:val="16"/>
              </w:rPr>
              <w:br/>
              <w:t>effectifs</w:t>
            </w:r>
          </w:p>
        </w:tc>
        <w:tc>
          <w:tcPr>
            <w:tcW w:w="718" w:type="dxa"/>
            <w:vAlign w:val="center"/>
          </w:tcPr>
          <w:p w14:paraId="4EC1EF4A"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Budget</w:t>
            </w:r>
          </w:p>
        </w:tc>
        <w:tc>
          <w:tcPr>
            <w:tcW w:w="890" w:type="dxa"/>
            <w:vAlign w:val="center"/>
          </w:tcPr>
          <w:p w14:paraId="0105CF1D"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 xml:space="preserve">Montants </w:t>
            </w:r>
            <w:r w:rsidRPr="00236418">
              <w:rPr>
                <w:rFonts w:asciiTheme="minorHAnsi" w:hAnsiTheme="minorHAnsi"/>
                <w:sz w:val="16"/>
                <w:szCs w:val="16"/>
              </w:rPr>
              <w:br/>
              <w:t>effectifs</w:t>
            </w:r>
          </w:p>
        </w:tc>
        <w:tc>
          <w:tcPr>
            <w:tcW w:w="695" w:type="dxa"/>
            <w:vAlign w:val="center"/>
          </w:tcPr>
          <w:p w14:paraId="56E74E38"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Budget</w:t>
            </w:r>
          </w:p>
        </w:tc>
        <w:tc>
          <w:tcPr>
            <w:tcW w:w="876" w:type="dxa"/>
            <w:vAlign w:val="center"/>
          </w:tcPr>
          <w:p w14:paraId="02B0AD84" w14:textId="77777777" w:rsidR="00DF6159" w:rsidRPr="00236418" w:rsidRDefault="00DF6159" w:rsidP="009B3D24">
            <w:pPr>
              <w:pStyle w:val="TableHead0"/>
              <w:spacing w:before="120"/>
              <w:rPr>
                <w:rFonts w:asciiTheme="minorHAnsi" w:hAnsiTheme="minorHAnsi"/>
                <w:sz w:val="16"/>
                <w:szCs w:val="16"/>
              </w:rPr>
            </w:pPr>
            <w:r w:rsidRPr="00236418">
              <w:rPr>
                <w:rFonts w:asciiTheme="minorHAnsi" w:hAnsiTheme="minorHAnsi"/>
                <w:sz w:val="16"/>
                <w:szCs w:val="16"/>
              </w:rPr>
              <w:t xml:space="preserve">Montants </w:t>
            </w:r>
            <w:r w:rsidRPr="00236418">
              <w:rPr>
                <w:rFonts w:asciiTheme="minorHAnsi" w:hAnsiTheme="minorHAnsi"/>
                <w:sz w:val="16"/>
                <w:szCs w:val="16"/>
              </w:rPr>
              <w:br/>
              <w:t>effectifs</w:t>
            </w:r>
          </w:p>
        </w:tc>
      </w:tr>
      <w:tr w:rsidR="00DF6159" w:rsidRPr="00236418" w14:paraId="13395F16" w14:textId="77777777" w:rsidTr="00202734">
        <w:tc>
          <w:tcPr>
            <w:tcW w:w="1102" w:type="dxa"/>
          </w:tcPr>
          <w:p w14:paraId="64A03409" w14:textId="77777777" w:rsidR="00DF6159" w:rsidRPr="00236418" w:rsidRDefault="00DF6159" w:rsidP="009B3D24">
            <w:pPr>
              <w:pStyle w:val="TableText0"/>
              <w:rPr>
                <w:rFonts w:asciiTheme="minorHAnsi" w:hAnsiTheme="minorHAnsi"/>
                <w:sz w:val="16"/>
                <w:szCs w:val="16"/>
              </w:rPr>
            </w:pPr>
            <w:r w:rsidRPr="00236418">
              <w:rPr>
                <w:rFonts w:asciiTheme="minorHAnsi" w:hAnsiTheme="minorHAnsi"/>
                <w:sz w:val="16"/>
                <w:szCs w:val="16"/>
              </w:rPr>
              <w:t>Charges de personnel</w:t>
            </w:r>
          </w:p>
        </w:tc>
        <w:tc>
          <w:tcPr>
            <w:tcW w:w="693" w:type="dxa"/>
            <w:vAlign w:val="center"/>
          </w:tcPr>
          <w:p w14:paraId="70F91D53" w14:textId="15E595D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2 0</w:t>
            </w:r>
            <w:r w:rsidR="00282DA2" w:rsidRPr="00236418">
              <w:rPr>
                <w:rFonts w:asciiTheme="minorHAnsi" w:hAnsiTheme="minorHAnsi" w:cs="Arial"/>
                <w:color w:val="000000"/>
                <w:sz w:val="18"/>
                <w:szCs w:val="18"/>
                <w:lang w:eastAsia="zh-CN"/>
              </w:rPr>
              <w:t>37</w:t>
            </w:r>
          </w:p>
        </w:tc>
        <w:tc>
          <w:tcPr>
            <w:tcW w:w="872" w:type="dxa"/>
            <w:vAlign w:val="center"/>
          </w:tcPr>
          <w:p w14:paraId="1FE6F41D" w14:textId="62E6A59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 xml:space="preserve">1 </w:t>
            </w:r>
            <w:r w:rsidR="00282DA2" w:rsidRPr="00236418">
              <w:rPr>
                <w:rFonts w:asciiTheme="minorHAnsi" w:hAnsiTheme="minorHAnsi" w:cs="Arial"/>
                <w:color w:val="000000"/>
                <w:sz w:val="18"/>
                <w:szCs w:val="18"/>
                <w:lang w:eastAsia="zh-CN"/>
              </w:rPr>
              <w:t>983</w:t>
            </w:r>
          </w:p>
        </w:tc>
        <w:tc>
          <w:tcPr>
            <w:tcW w:w="693" w:type="dxa"/>
            <w:vAlign w:val="center"/>
          </w:tcPr>
          <w:p w14:paraId="7A2FB2DB" w14:textId="0CA69260"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2 0</w:t>
            </w:r>
            <w:r w:rsidR="00282DA2" w:rsidRPr="00236418">
              <w:rPr>
                <w:rFonts w:asciiTheme="minorHAnsi" w:hAnsiTheme="minorHAnsi" w:cs="Arial"/>
                <w:color w:val="000000"/>
                <w:sz w:val="18"/>
                <w:szCs w:val="18"/>
                <w:lang w:eastAsia="zh-CN"/>
              </w:rPr>
              <w:t>81</w:t>
            </w:r>
          </w:p>
        </w:tc>
        <w:tc>
          <w:tcPr>
            <w:tcW w:w="872" w:type="dxa"/>
            <w:vAlign w:val="center"/>
          </w:tcPr>
          <w:p w14:paraId="12ED6FDA" w14:textId="1E388D5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2 0</w:t>
            </w:r>
            <w:r w:rsidR="00282DA2" w:rsidRPr="00236418">
              <w:rPr>
                <w:rFonts w:asciiTheme="minorHAnsi" w:hAnsiTheme="minorHAnsi" w:cs="Arial"/>
                <w:color w:val="000000"/>
                <w:sz w:val="18"/>
                <w:szCs w:val="18"/>
                <w:lang w:eastAsia="zh-CN"/>
              </w:rPr>
              <w:t>60</w:t>
            </w:r>
          </w:p>
        </w:tc>
        <w:tc>
          <w:tcPr>
            <w:tcW w:w="693" w:type="dxa"/>
            <w:vAlign w:val="center"/>
          </w:tcPr>
          <w:p w14:paraId="39E8AE13" w14:textId="4A1EABF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8</w:t>
            </w:r>
            <w:r w:rsidR="00282DA2" w:rsidRPr="00236418">
              <w:rPr>
                <w:rFonts w:asciiTheme="minorHAnsi" w:hAnsiTheme="minorHAnsi" w:cs="Arial"/>
                <w:color w:val="000000"/>
                <w:sz w:val="18"/>
                <w:szCs w:val="18"/>
                <w:lang w:eastAsia="zh-CN"/>
              </w:rPr>
              <w:t>97</w:t>
            </w:r>
          </w:p>
        </w:tc>
        <w:tc>
          <w:tcPr>
            <w:tcW w:w="872" w:type="dxa"/>
            <w:vAlign w:val="center"/>
          </w:tcPr>
          <w:p w14:paraId="2E6AEB5E" w14:textId="0FCF338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8</w:t>
            </w:r>
            <w:r w:rsidR="00282DA2" w:rsidRPr="00236418">
              <w:rPr>
                <w:rFonts w:asciiTheme="minorHAnsi" w:hAnsiTheme="minorHAnsi" w:cs="Arial"/>
                <w:color w:val="000000"/>
                <w:sz w:val="18"/>
                <w:szCs w:val="18"/>
                <w:lang w:eastAsia="zh-CN"/>
              </w:rPr>
              <w:t>87</w:t>
            </w:r>
          </w:p>
        </w:tc>
        <w:tc>
          <w:tcPr>
            <w:tcW w:w="711" w:type="dxa"/>
            <w:vAlign w:val="center"/>
          </w:tcPr>
          <w:p w14:paraId="56D42E2B" w14:textId="509A56D4"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1 3</w:t>
            </w:r>
            <w:r w:rsidR="00282DA2" w:rsidRPr="00236418">
              <w:rPr>
                <w:rFonts w:asciiTheme="minorHAnsi" w:hAnsiTheme="minorHAnsi" w:cs="Arial"/>
                <w:color w:val="000000"/>
                <w:sz w:val="18"/>
                <w:szCs w:val="18"/>
                <w:lang w:eastAsia="zh-CN"/>
              </w:rPr>
              <w:t>58</w:t>
            </w:r>
          </w:p>
        </w:tc>
        <w:tc>
          <w:tcPr>
            <w:tcW w:w="872" w:type="dxa"/>
            <w:vAlign w:val="center"/>
          </w:tcPr>
          <w:p w14:paraId="24FC0A3B" w14:textId="0192114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 xml:space="preserve">1 </w:t>
            </w:r>
            <w:r w:rsidR="00282DA2" w:rsidRPr="00236418">
              <w:rPr>
                <w:rFonts w:asciiTheme="minorHAnsi" w:hAnsiTheme="minorHAnsi" w:cs="Arial"/>
                <w:color w:val="000000"/>
                <w:sz w:val="18"/>
                <w:szCs w:val="18"/>
                <w:lang w:eastAsia="zh-CN"/>
              </w:rPr>
              <w:t>266</w:t>
            </w:r>
          </w:p>
        </w:tc>
        <w:tc>
          <w:tcPr>
            <w:tcW w:w="718" w:type="dxa"/>
            <w:vAlign w:val="center"/>
          </w:tcPr>
          <w:p w14:paraId="74212E68" w14:textId="79C4CC20"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443</w:t>
            </w:r>
          </w:p>
        </w:tc>
        <w:tc>
          <w:tcPr>
            <w:tcW w:w="890" w:type="dxa"/>
            <w:vAlign w:val="center"/>
          </w:tcPr>
          <w:p w14:paraId="37FE35BB" w14:textId="5BE3F294"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w:t>
            </w:r>
            <w:r w:rsidR="00282DA2" w:rsidRPr="00236418">
              <w:rPr>
                <w:rFonts w:asciiTheme="minorHAnsi" w:hAnsiTheme="minorHAnsi" w:cs="Arial"/>
                <w:color w:val="000000"/>
                <w:sz w:val="18"/>
                <w:szCs w:val="18"/>
                <w:lang w:eastAsia="zh-CN"/>
              </w:rPr>
              <w:t>95</w:t>
            </w:r>
          </w:p>
        </w:tc>
        <w:tc>
          <w:tcPr>
            <w:tcW w:w="695" w:type="dxa"/>
            <w:vAlign w:val="center"/>
          </w:tcPr>
          <w:p w14:paraId="2E601AC8" w14:textId="1D5E47C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48</w:t>
            </w:r>
            <w:r w:rsidR="005E1AB1" w:rsidRPr="00236418">
              <w:rPr>
                <w:rFonts w:asciiTheme="minorHAnsi" w:hAnsiTheme="minorHAnsi" w:cs="Arial"/>
                <w:color w:val="000000"/>
                <w:sz w:val="18"/>
                <w:szCs w:val="18"/>
                <w:lang w:eastAsia="zh-CN"/>
              </w:rPr>
              <w:t>5</w:t>
            </w:r>
          </w:p>
        </w:tc>
        <w:tc>
          <w:tcPr>
            <w:tcW w:w="876" w:type="dxa"/>
            <w:vAlign w:val="center"/>
          </w:tcPr>
          <w:p w14:paraId="37F027F3" w14:textId="1306A4D7" w:rsidR="00DF6159" w:rsidRPr="00236418" w:rsidRDefault="005E1AB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495</w:t>
            </w:r>
          </w:p>
        </w:tc>
      </w:tr>
      <w:tr w:rsidR="00DF6159" w:rsidRPr="00236418" w14:paraId="21105A50" w14:textId="77777777" w:rsidTr="00202734">
        <w:tc>
          <w:tcPr>
            <w:tcW w:w="1102" w:type="dxa"/>
          </w:tcPr>
          <w:p w14:paraId="1B017F40" w14:textId="77777777" w:rsidR="00DF6159" w:rsidRPr="00236418" w:rsidRDefault="00DF6159" w:rsidP="009B3D24">
            <w:pPr>
              <w:pStyle w:val="TableText0"/>
              <w:rPr>
                <w:rFonts w:asciiTheme="minorHAnsi" w:hAnsiTheme="minorHAnsi"/>
                <w:sz w:val="16"/>
                <w:szCs w:val="16"/>
              </w:rPr>
            </w:pPr>
            <w:r w:rsidRPr="00236418">
              <w:rPr>
                <w:rFonts w:asciiTheme="minorHAnsi" w:hAnsiTheme="minorHAnsi"/>
                <w:sz w:val="16"/>
                <w:szCs w:val="16"/>
              </w:rPr>
              <w:t>Frais de mission</w:t>
            </w:r>
          </w:p>
        </w:tc>
        <w:tc>
          <w:tcPr>
            <w:tcW w:w="693" w:type="dxa"/>
            <w:vAlign w:val="center"/>
          </w:tcPr>
          <w:p w14:paraId="237B6CD4" w14:textId="23B2F2D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50</w:t>
            </w:r>
          </w:p>
        </w:tc>
        <w:tc>
          <w:tcPr>
            <w:tcW w:w="872" w:type="dxa"/>
            <w:vAlign w:val="center"/>
          </w:tcPr>
          <w:p w14:paraId="510ACBCB" w14:textId="26B069B2"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62</w:t>
            </w:r>
          </w:p>
        </w:tc>
        <w:tc>
          <w:tcPr>
            <w:tcW w:w="693" w:type="dxa"/>
            <w:vAlign w:val="center"/>
          </w:tcPr>
          <w:p w14:paraId="26390F3A" w14:textId="1644CDAE"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50</w:t>
            </w:r>
          </w:p>
        </w:tc>
        <w:tc>
          <w:tcPr>
            <w:tcW w:w="872" w:type="dxa"/>
            <w:vAlign w:val="center"/>
          </w:tcPr>
          <w:p w14:paraId="7609EDCC" w14:textId="7B2C7C1E"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35</w:t>
            </w:r>
          </w:p>
        </w:tc>
        <w:tc>
          <w:tcPr>
            <w:tcW w:w="693" w:type="dxa"/>
            <w:vAlign w:val="center"/>
          </w:tcPr>
          <w:p w14:paraId="75F4A11E" w14:textId="15EEF1DC"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w:t>
            </w:r>
            <w:r w:rsidR="00282DA2" w:rsidRPr="00236418">
              <w:rPr>
                <w:rFonts w:asciiTheme="minorHAnsi" w:hAnsiTheme="minorHAnsi" w:cs="Arial"/>
                <w:color w:val="000000"/>
                <w:sz w:val="18"/>
                <w:szCs w:val="18"/>
                <w:lang w:eastAsia="zh-CN"/>
              </w:rPr>
              <w:t>2</w:t>
            </w:r>
          </w:p>
        </w:tc>
        <w:tc>
          <w:tcPr>
            <w:tcW w:w="872" w:type="dxa"/>
            <w:vAlign w:val="center"/>
          </w:tcPr>
          <w:p w14:paraId="44D5FF66" w14:textId="2BAEC23A"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37</w:t>
            </w:r>
          </w:p>
        </w:tc>
        <w:tc>
          <w:tcPr>
            <w:tcW w:w="711" w:type="dxa"/>
            <w:vAlign w:val="center"/>
          </w:tcPr>
          <w:p w14:paraId="60B3BD80" w14:textId="7880AEBB"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36</w:t>
            </w:r>
          </w:p>
        </w:tc>
        <w:tc>
          <w:tcPr>
            <w:tcW w:w="872" w:type="dxa"/>
            <w:vAlign w:val="center"/>
          </w:tcPr>
          <w:p w14:paraId="6A79C258" w14:textId="16EBE601"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41</w:t>
            </w:r>
          </w:p>
        </w:tc>
        <w:tc>
          <w:tcPr>
            <w:tcW w:w="718" w:type="dxa"/>
            <w:vAlign w:val="center"/>
          </w:tcPr>
          <w:p w14:paraId="5C21AAEB" w14:textId="5793BD2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w:t>
            </w:r>
            <w:r w:rsidR="00282DA2" w:rsidRPr="00236418">
              <w:rPr>
                <w:rFonts w:asciiTheme="minorHAnsi" w:hAnsiTheme="minorHAnsi" w:cs="Arial"/>
                <w:color w:val="000000"/>
                <w:sz w:val="18"/>
                <w:szCs w:val="18"/>
                <w:lang w:eastAsia="zh-CN"/>
              </w:rPr>
              <w:t>3</w:t>
            </w:r>
          </w:p>
        </w:tc>
        <w:tc>
          <w:tcPr>
            <w:tcW w:w="890" w:type="dxa"/>
            <w:vAlign w:val="center"/>
          </w:tcPr>
          <w:p w14:paraId="12A6EA5E" w14:textId="271F2244"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18</w:t>
            </w:r>
          </w:p>
        </w:tc>
        <w:tc>
          <w:tcPr>
            <w:tcW w:w="695" w:type="dxa"/>
            <w:vAlign w:val="center"/>
          </w:tcPr>
          <w:p w14:paraId="2879C854" w14:textId="6BE677CE"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18</w:t>
            </w:r>
          </w:p>
        </w:tc>
        <w:tc>
          <w:tcPr>
            <w:tcW w:w="876" w:type="dxa"/>
            <w:vAlign w:val="center"/>
          </w:tcPr>
          <w:p w14:paraId="6307107C" w14:textId="53BBDDE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r w:rsidR="005E1AB1" w:rsidRPr="00236418">
              <w:rPr>
                <w:rFonts w:asciiTheme="minorHAnsi" w:hAnsiTheme="minorHAnsi" w:cs="Arial"/>
                <w:color w:val="000000"/>
                <w:sz w:val="18"/>
                <w:szCs w:val="18"/>
                <w:lang w:eastAsia="zh-CN"/>
              </w:rPr>
              <w:t>9</w:t>
            </w:r>
          </w:p>
        </w:tc>
      </w:tr>
      <w:tr w:rsidR="00DF6159" w:rsidRPr="00236418" w14:paraId="6947ED04" w14:textId="77777777" w:rsidTr="00202734">
        <w:tc>
          <w:tcPr>
            <w:tcW w:w="1102" w:type="dxa"/>
          </w:tcPr>
          <w:p w14:paraId="0B656CCF" w14:textId="77777777" w:rsidR="00DF6159" w:rsidRPr="00236418" w:rsidRDefault="00DF6159" w:rsidP="009B3D24">
            <w:pPr>
              <w:pStyle w:val="TableText0"/>
              <w:rPr>
                <w:rFonts w:asciiTheme="minorHAnsi" w:hAnsiTheme="minorHAnsi"/>
                <w:sz w:val="16"/>
                <w:szCs w:val="16"/>
              </w:rPr>
            </w:pPr>
            <w:r w:rsidRPr="00236418">
              <w:rPr>
                <w:rFonts w:asciiTheme="minorHAnsi" w:hAnsiTheme="minorHAnsi"/>
                <w:sz w:val="16"/>
                <w:szCs w:val="16"/>
              </w:rPr>
              <w:t>Services contractuels</w:t>
            </w:r>
          </w:p>
        </w:tc>
        <w:tc>
          <w:tcPr>
            <w:tcW w:w="693" w:type="dxa"/>
            <w:vAlign w:val="center"/>
          </w:tcPr>
          <w:p w14:paraId="4D0BE816" w14:textId="21771009"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21</w:t>
            </w:r>
          </w:p>
        </w:tc>
        <w:tc>
          <w:tcPr>
            <w:tcW w:w="872" w:type="dxa"/>
            <w:vAlign w:val="center"/>
          </w:tcPr>
          <w:p w14:paraId="5CD3783F" w14:textId="2B35F4B9"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18</w:t>
            </w:r>
          </w:p>
        </w:tc>
        <w:tc>
          <w:tcPr>
            <w:tcW w:w="693" w:type="dxa"/>
            <w:vAlign w:val="center"/>
          </w:tcPr>
          <w:p w14:paraId="37B8E413" w14:textId="214F798B"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w:t>
            </w:r>
          </w:p>
        </w:tc>
        <w:tc>
          <w:tcPr>
            <w:tcW w:w="872" w:type="dxa"/>
            <w:vAlign w:val="center"/>
          </w:tcPr>
          <w:p w14:paraId="4B1288EA" w14:textId="569792D1"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w:t>
            </w:r>
          </w:p>
        </w:tc>
        <w:tc>
          <w:tcPr>
            <w:tcW w:w="693" w:type="dxa"/>
            <w:vAlign w:val="center"/>
          </w:tcPr>
          <w:p w14:paraId="211B54F2" w14:textId="3215A5C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5</w:t>
            </w:r>
          </w:p>
        </w:tc>
        <w:tc>
          <w:tcPr>
            <w:tcW w:w="872" w:type="dxa"/>
            <w:vAlign w:val="center"/>
          </w:tcPr>
          <w:p w14:paraId="30969CE2" w14:textId="31BBC9A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p>
        </w:tc>
        <w:tc>
          <w:tcPr>
            <w:tcW w:w="711" w:type="dxa"/>
            <w:vAlign w:val="center"/>
          </w:tcPr>
          <w:p w14:paraId="1D0D6332" w14:textId="0E9AFB7D" w:rsidR="00DF6159" w:rsidRPr="00236418" w:rsidRDefault="0020273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w:t>
            </w:r>
          </w:p>
        </w:tc>
        <w:tc>
          <w:tcPr>
            <w:tcW w:w="872" w:type="dxa"/>
            <w:vAlign w:val="center"/>
          </w:tcPr>
          <w:p w14:paraId="25A32785" w14:textId="25458B73"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9</w:t>
            </w:r>
          </w:p>
        </w:tc>
        <w:tc>
          <w:tcPr>
            <w:tcW w:w="718" w:type="dxa"/>
            <w:vAlign w:val="center"/>
          </w:tcPr>
          <w:p w14:paraId="7F2FCF30" w14:textId="17CDBCA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w:t>
            </w:r>
          </w:p>
        </w:tc>
        <w:tc>
          <w:tcPr>
            <w:tcW w:w="890" w:type="dxa"/>
            <w:vAlign w:val="center"/>
          </w:tcPr>
          <w:p w14:paraId="682C5547" w14:textId="7072600B"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c>
          <w:tcPr>
            <w:tcW w:w="695" w:type="dxa"/>
            <w:vAlign w:val="center"/>
          </w:tcPr>
          <w:p w14:paraId="07D073EA" w14:textId="20FB650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c>
          <w:tcPr>
            <w:tcW w:w="876" w:type="dxa"/>
            <w:vAlign w:val="center"/>
          </w:tcPr>
          <w:p w14:paraId="62FB99CB" w14:textId="693C25B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r>
      <w:tr w:rsidR="00DF6159" w:rsidRPr="00236418" w14:paraId="1216D174" w14:textId="77777777" w:rsidTr="00202734">
        <w:tc>
          <w:tcPr>
            <w:tcW w:w="1102" w:type="dxa"/>
          </w:tcPr>
          <w:p w14:paraId="075C9E5B" w14:textId="77777777" w:rsidR="00DF6159" w:rsidRPr="00236418" w:rsidRDefault="00DF6159" w:rsidP="009B3D24">
            <w:pPr>
              <w:pStyle w:val="TableText0"/>
              <w:rPr>
                <w:rFonts w:asciiTheme="minorHAnsi" w:hAnsiTheme="minorHAnsi"/>
                <w:sz w:val="16"/>
                <w:szCs w:val="16"/>
              </w:rPr>
            </w:pPr>
            <w:r w:rsidRPr="00236418">
              <w:rPr>
                <w:rFonts w:asciiTheme="minorHAnsi" w:hAnsiTheme="minorHAnsi"/>
                <w:sz w:val="16"/>
                <w:szCs w:val="16"/>
              </w:rPr>
              <w:t>Location et entretien</w:t>
            </w:r>
          </w:p>
        </w:tc>
        <w:tc>
          <w:tcPr>
            <w:tcW w:w="693" w:type="dxa"/>
            <w:vAlign w:val="center"/>
          </w:tcPr>
          <w:p w14:paraId="0733ABC1" w14:textId="6FAEF9F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28</w:t>
            </w:r>
          </w:p>
        </w:tc>
        <w:tc>
          <w:tcPr>
            <w:tcW w:w="872" w:type="dxa"/>
            <w:vAlign w:val="center"/>
          </w:tcPr>
          <w:p w14:paraId="6450C269" w14:textId="3F5FBC84"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31</w:t>
            </w:r>
          </w:p>
        </w:tc>
        <w:tc>
          <w:tcPr>
            <w:tcW w:w="693" w:type="dxa"/>
            <w:vAlign w:val="center"/>
          </w:tcPr>
          <w:p w14:paraId="093F11EF" w14:textId="00F6835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10</w:t>
            </w:r>
          </w:p>
        </w:tc>
        <w:tc>
          <w:tcPr>
            <w:tcW w:w="872" w:type="dxa"/>
            <w:vAlign w:val="center"/>
          </w:tcPr>
          <w:p w14:paraId="539FC4DB" w14:textId="2E6E5484"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10</w:t>
            </w:r>
          </w:p>
        </w:tc>
        <w:tc>
          <w:tcPr>
            <w:tcW w:w="693" w:type="dxa"/>
            <w:vAlign w:val="center"/>
          </w:tcPr>
          <w:p w14:paraId="334FE6E4" w14:textId="18C0A8B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w:t>
            </w:r>
          </w:p>
        </w:tc>
        <w:tc>
          <w:tcPr>
            <w:tcW w:w="872" w:type="dxa"/>
            <w:vAlign w:val="center"/>
          </w:tcPr>
          <w:p w14:paraId="1B5990CC" w14:textId="218B2B99"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w:t>
            </w:r>
          </w:p>
        </w:tc>
        <w:tc>
          <w:tcPr>
            <w:tcW w:w="711" w:type="dxa"/>
            <w:vAlign w:val="center"/>
          </w:tcPr>
          <w:p w14:paraId="56149F06" w14:textId="1698CE93" w:rsidR="00DF6159" w:rsidRPr="00236418" w:rsidRDefault="0020273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6</w:t>
            </w:r>
          </w:p>
        </w:tc>
        <w:tc>
          <w:tcPr>
            <w:tcW w:w="872" w:type="dxa"/>
            <w:vAlign w:val="center"/>
          </w:tcPr>
          <w:p w14:paraId="70259CDE" w14:textId="1E5A999F"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w:t>
            </w:r>
          </w:p>
        </w:tc>
        <w:tc>
          <w:tcPr>
            <w:tcW w:w="718" w:type="dxa"/>
            <w:vAlign w:val="center"/>
          </w:tcPr>
          <w:p w14:paraId="6DFFDBDE" w14:textId="4ACB33B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p>
        </w:tc>
        <w:tc>
          <w:tcPr>
            <w:tcW w:w="890" w:type="dxa"/>
            <w:vAlign w:val="center"/>
          </w:tcPr>
          <w:p w14:paraId="0BA2D128" w14:textId="6EDB81ED"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c>
          <w:tcPr>
            <w:tcW w:w="695" w:type="dxa"/>
            <w:vAlign w:val="center"/>
          </w:tcPr>
          <w:p w14:paraId="003EA89A" w14:textId="375382F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c>
          <w:tcPr>
            <w:tcW w:w="876" w:type="dxa"/>
            <w:vAlign w:val="center"/>
          </w:tcPr>
          <w:p w14:paraId="7ED6D0D7" w14:textId="13CF1CA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r>
      <w:tr w:rsidR="00DF6159" w:rsidRPr="00236418" w14:paraId="7DEF694D" w14:textId="77777777" w:rsidTr="00202734">
        <w:tc>
          <w:tcPr>
            <w:tcW w:w="1102" w:type="dxa"/>
          </w:tcPr>
          <w:p w14:paraId="106E0F0F" w14:textId="77777777" w:rsidR="00DF6159" w:rsidRPr="00236418" w:rsidRDefault="00DF6159" w:rsidP="009B3D24">
            <w:pPr>
              <w:pStyle w:val="TableText0"/>
              <w:rPr>
                <w:rFonts w:asciiTheme="minorHAnsi" w:hAnsiTheme="minorHAnsi"/>
                <w:sz w:val="16"/>
                <w:szCs w:val="16"/>
              </w:rPr>
            </w:pPr>
            <w:r w:rsidRPr="00236418">
              <w:rPr>
                <w:rFonts w:asciiTheme="minorHAnsi" w:hAnsiTheme="minorHAnsi"/>
                <w:sz w:val="16"/>
                <w:szCs w:val="16"/>
              </w:rPr>
              <w:t>Matériels et fournitures</w:t>
            </w:r>
          </w:p>
        </w:tc>
        <w:tc>
          <w:tcPr>
            <w:tcW w:w="693" w:type="dxa"/>
            <w:vAlign w:val="center"/>
          </w:tcPr>
          <w:p w14:paraId="6944639A" w14:textId="26B86AA0"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19</w:t>
            </w:r>
          </w:p>
        </w:tc>
        <w:tc>
          <w:tcPr>
            <w:tcW w:w="872" w:type="dxa"/>
            <w:vAlign w:val="center"/>
          </w:tcPr>
          <w:p w14:paraId="7FADEAC6" w14:textId="6CBBB1AF"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9</w:t>
            </w:r>
          </w:p>
        </w:tc>
        <w:tc>
          <w:tcPr>
            <w:tcW w:w="693" w:type="dxa"/>
            <w:vAlign w:val="center"/>
          </w:tcPr>
          <w:p w14:paraId="4E14BA58" w14:textId="0C198324"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11</w:t>
            </w:r>
          </w:p>
        </w:tc>
        <w:tc>
          <w:tcPr>
            <w:tcW w:w="872" w:type="dxa"/>
            <w:vAlign w:val="center"/>
          </w:tcPr>
          <w:p w14:paraId="0C3DAB19" w14:textId="26E33FA0"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11</w:t>
            </w:r>
          </w:p>
        </w:tc>
        <w:tc>
          <w:tcPr>
            <w:tcW w:w="693" w:type="dxa"/>
            <w:vAlign w:val="center"/>
          </w:tcPr>
          <w:p w14:paraId="34D98B7D" w14:textId="1F8C4BA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w:t>
            </w:r>
          </w:p>
        </w:tc>
        <w:tc>
          <w:tcPr>
            <w:tcW w:w="872" w:type="dxa"/>
            <w:vAlign w:val="center"/>
          </w:tcPr>
          <w:p w14:paraId="18C91719" w14:textId="6C346287"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w:t>
            </w:r>
          </w:p>
        </w:tc>
        <w:tc>
          <w:tcPr>
            <w:tcW w:w="711" w:type="dxa"/>
            <w:vAlign w:val="center"/>
          </w:tcPr>
          <w:p w14:paraId="7587E801" w14:textId="622C6EBB"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w:t>
            </w:r>
          </w:p>
        </w:tc>
        <w:tc>
          <w:tcPr>
            <w:tcW w:w="872" w:type="dxa"/>
            <w:vAlign w:val="center"/>
          </w:tcPr>
          <w:p w14:paraId="79DC6AF7" w14:textId="7DCBC791"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w:t>
            </w:r>
          </w:p>
        </w:tc>
        <w:tc>
          <w:tcPr>
            <w:tcW w:w="718" w:type="dxa"/>
            <w:vAlign w:val="center"/>
          </w:tcPr>
          <w:p w14:paraId="180088A2" w14:textId="708B3C7B"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5</w:t>
            </w:r>
          </w:p>
        </w:tc>
        <w:tc>
          <w:tcPr>
            <w:tcW w:w="890" w:type="dxa"/>
            <w:vAlign w:val="center"/>
          </w:tcPr>
          <w:p w14:paraId="67866EEA" w14:textId="76144BB8"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w:t>
            </w:r>
          </w:p>
        </w:tc>
        <w:tc>
          <w:tcPr>
            <w:tcW w:w="695" w:type="dxa"/>
            <w:vAlign w:val="center"/>
          </w:tcPr>
          <w:p w14:paraId="2B59EC76" w14:textId="7B874BF4"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w:t>
            </w:r>
          </w:p>
        </w:tc>
        <w:tc>
          <w:tcPr>
            <w:tcW w:w="876" w:type="dxa"/>
            <w:vAlign w:val="center"/>
          </w:tcPr>
          <w:p w14:paraId="33D14276" w14:textId="0B8A232F" w:rsidR="00DF6159" w:rsidRPr="00236418" w:rsidRDefault="005E1AB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0</w:t>
            </w:r>
          </w:p>
        </w:tc>
      </w:tr>
      <w:tr w:rsidR="00DF6159" w:rsidRPr="00236418" w14:paraId="7E6C16DF" w14:textId="77777777" w:rsidTr="00202734">
        <w:tc>
          <w:tcPr>
            <w:tcW w:w="1102" w:type="dxa"/>
          </w:tcPr>
          <w:p w14:paraId="64A7B744" w14:textId="77777777" w:rsidR="00DF6159" w:rsidRPr="00236418" w:rsidRDefault="00DF6159" w:rsidP="009B3D24">
            <w:pPr>
              <w:pStyle w:val="TableText0"/>
              <w:rPr>
                <w:rFonts w:asciiTheme="minorHAnsi" w:hAnsiTheme="minorHAnsi"/>
                <w:sz w:val="16"/>
                <w:szCs w:val="16"/>
              </w:rPr>
            </w:pPr>
            <w:r w:rsidRPr="00236418">
              <w:rPr>
                <w:rFonts w:asciiTheme="minorHAnsi" w:hAnsiTheme="minorHAnsi"/>
                <w:sz w:val="16"/>
                <w:szCs w:val="16"/>
              </w:rPr>
              <w:t xml:space="preserve">Expéditions, </w:t>
            </w:r>
            <w:r w:rsidRPr="00236418">
              <w:rPr>
                <w:rFonts w:asciiTheme="minorHAnsi" w:hAnsiTheme="minorHAnsi"/>
                <w:sz w:val="16"/>
                <w:szCs w:val="16"/>
              </w:rPr>
              <w:br/>
              <w:t>télécommunications</w:t>
            </w:r>
          </w:p>
        </w:tc>
        <w:tc>
          <w:tcPr>
            <w:tcW w:w="693" w:type="dxa"/>
            <w:vAlign w:val="center"/>
          </w:tcPr>
          <w:p w14:paraId="112E9521" w14:textId="0BDF333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24</w:t>
            </w:r>
          </w:p>
        </w:tc>
        <w:tc>
          <w:tcPr>
            <w:tcW w:w="872" w:type="dxa"/>
            <w:vAlign w:val="center"/>
          </w:tcPr>
          <w:p w14:paraId="431BDC45" w14:textId="26B59A5B"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19</w:t>
            </w:r>
          </w:p>
        </w:tc>
        <w:tc>
          <w:tcPr>
            <w:tcW w:w="693" w:type="dxa"/>
            <w:vAlign w:val="center"/>
          </w:tcPr>
          <w:p w14:paraId="1EDE0F45" w14:textId="49C8AA1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19</w:t>
            </w:r>
          </w:p>
        </w:tc>
        <w:tc>
          <w:tcPr>
            <w:tcW w:w="872" w:type="dxa"/>
            <w:vAlign w:val="center"/>
          </w:tcPr>
          <w:p w14:paraId="47FC997E" w14:textId="0933910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r w:rsidR="00282DA2" w:rsidRPr="00236418">
              <w:rPr>
                <w:rFonts w:asciiTheme="minorHAnsi" w:hAnsiTheme="minorHAnsi" w:cs="Arial"/>
                <w:color w:val="000000"/>
                <w:sz w:val="18"/>
                <w:szCs w:val="18"/>
                <w:lang w:eastAsia="zh-CN"/>
              </w:rPr>
              <w:t>9</w:t>
            </w:r>
          </w:p>
        </w:tc>
        <w:tc>
          <w:tcPr>
            <w:tcW w:w="693" w:type="dxa"/>
            <w:vAlign w:val="center"/>
          </w:tcPr>
          <w:p w14:paraId="40993EEE" w14:textId="643F6FD4"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9</w:t>
            </w:r>
          </w:p>
        </w:tc>
        <w:tc>
          <w:tcPr>
            <w:tcW w:w="872" w:type="dxa"/>
            <w:vAlign w:val="center"/>
          </w:tcPr>
          <w:p w14:paraId="5210073A" w14:textId="357D9D01"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6</w:t>
            </w:r>
          </w:p>
        </w:tc>
        <w:tc>
          <w:tcPr>
            <w:tcW w:w="711" w:type="dxa"/>
            <w:vAlign w:val="center"/>
          </w:tcPr>
          <w:p w14:paraId="4BF222F2" w14:textId="5DA0EA74"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12</w:t>
            </w:r>
          </w:p>
        </w:tc>
        <w:tc>
          <w:tcPr>
            <w:tcW w:w="872" w:type="dxa"/>
            <w:vAlign w:val="center"/>
          </w:tcPr>
          <w:p w14:paraId="233386D1" w14:textId="00155F5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r w:rsidR="00282DA2" w:rsidRPr="00236418">
              <w:rPr>
                <w:rFonts w:asciiTheme="minorHAnsi" w:hAnsiTheme="minorHAnsi" w:cs="Arial"/>
                <w:color w:val="000000"/>
                <w:sz w:val="18"/>
                <w:szCs w:val="18"/>
                <w:lang w:eastAsia="zh-CN"/>
              </w:rPr>
              <w:t>6</w:t>
            </w:r>
          </w:p>
        </w:tc>
        <w:tc>
          <w:tcPr>
            <w:tcW w:w="718" w:type="dxa"/>
            <w:vAlign w:val="center"/>
          </w:tcPr>
          <w:p w14:paraId="0AC7BECB" w14:textId="289C2E7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w:t>
            </w:r>
          </w:p>
        </w:tc>
        <w:tc>
          <w:tcPr>
            <w:tcW w:w="890" w:type="dxa"/>
            <w:vAlign w:val="center"/>
          </w:tcPr>
          <w:p w14:paraId="2BEF346F" w14:textId="21E98AC5"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c>
          <w:tcPr>
            <w:tcW w:w="695" w:type="dxa"/>
            <w:vAlign w:val="center"/>
          </w:tcPr>
          <w:p w14:paraId="12BB5321" w14:textId="2BDF868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p>
        </w:tc>
        <w:tc>
          <w:tcPr>
            <w:tcW w:w="876" w:type="dxa"/>
            <w:vAlign w:val="center"/>
          </w:tcPr>
          <w:p w14:paraId="3770D36F" w14:textId="08B7496C"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w:t>
            </w:r>
          </w:p>
        </w:tc>
      </w:tr>
      <w:tr w:rsidR="00DF6159" w:rsidRPr="00236418" w14:paraId="71BEBA3E" w14:textId="77777777" w:rsidTr="00202734">
        <w:tc>
          <w:tcPr>
            <w:tcW w:w="1102" w:type="dxa"/>
          </w:tcPr>
          <w:p w14:paraId="13B66924" w14:textId="77777777" w:rsidR="00DF6159" w:rsidRPr="00236418" w:rsidRDefault="00DF6159" w:rsidP="009B3D24">
            <w:pPr>
              <w:pStyle w:val="TableText0"/>
              <w:rPr>
                <w:rFonts w:asciiTheme="minorHAnsi" w:hAnsiTheme="minorHAnsi"/>
                <w:sz w:val="16"/>
                <w:szCs w:val="16"/>
              </w:rPr>
            </w:pPr>
            <w:r w:rsidRPr="00236418">
              <w:rPr>
                <w:rFonts w:asciiTheme="minorHAnsi" w:hAnsiTheme="minorHAnsi"/>
                <w:sz w:val="16"/>
                <w:szCs w:val="16"/>
              </w:rPr>
              <w:t>Autres charges</w:t>
            </w:r>
          </w:p>
        </w:tc>
        <w:tc>
          <w:tcPr>
            <w:tcW w:w="693" w:type="dxa"/>
            <w:vAlign w:val="center"/>
          </w:tcPr>
          <w:p w14:paraId="57EC54EE" w14:textId="0CBBF26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47</w:t>
            </w:r>
          </w:p>
        </w:tc>
        <w:tc>
          <w:tcPr>
            <w:tcW w:w="872" w:type="dxa"/>
            <w:vAlign w:val="center"/>
          </w:tcPr>
          <w:p w14:paraId="208319E9" w14:textId="5A79E855"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39</w:t>
            </w:r>
          </w:p>
        </w:tc>
        <w:tc>
          <w:tcPr>
            <w:tcW w:w="693" w:type="dxa"/>
            <w:vAlign w:val="center"/>
          </w:tcPr>
          <w:p w14:paraId="6085C540" w14:textId="3231E134"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30</w:t>
            </w:r>
          </w:p>
        </w:tc>
        <w:tc>
          <w:tcPr>
            <w:tcW w:w="872" w:type="dxa"/>
            <w:vAlign w:val="center"/>
          </w:tcPr>
          <w:p w14:paraId="06ED1EA4" w14:textId="5C9114CD"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30</w:t>
            </w:r>
          </w:p>
        </w:tc>
        <w:tc>
          <w:tcPr>
            <w:tcW w:w="693" w:type="dxa"/>
            <w:vAlign w:val="center"/>
          </w:tcPr>
          <w:p w14:paraId="51BD2CC1" w14:textId="70B2054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5</w:t>
            </w:r>
          </w:p>
        </w:tc>
        <w:tc>
          <w:tcPr>
            <w:tcW w:w="872" w:type="dxa"/>
            <w:vAlign w:val="center"/>
          </w:tcPr>
          <w:p w14:paraId="616AC446" w14:textId="70BFBE93"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2</w:t>
            </w:r>
          </w:p>
        </w:tc>
        <w:tc>
          <w:tcPr>
            <w:tcW w:w="711" w:type="dxa"/>
            <w:vAlign w:val="center"/>
          </w:tcPr>
          <w:p w14:paraId="57F89B4D" w14:textId="014F3AE9"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7</w:t>
            </w:r>
          </w:p>
        </w:tc>
        <w:tc>
          <w:tcPr>
            <w:tcW w:w="872" w:type="dxa"/>
            <w:vAlign w:val="center"/>
          </w:tcPr>
          <w:p w14:paraId="776ACC0F" w14:textId="534136A1"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4</w:t>
            </w:r>
          </w:p>
        </w:tc>
        <w:tc>
          <w:tcPr>
            <w:tcW w:w="718" w:type="dxa"/>
            <w:vAlign w:val="center"/>
          </w:tcPr>
          <w:p w14:paraId="57235BA7" w14:textId="0AAEBDA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3</w:t>
            </w:r>
          </w:p>
        </w:tc>
        <w:tc>
          <w:tcPr>
            <w:tcW w:w="890" w:type="dxa"/>
            <w:vAlign w:val="center"/>
          </w:tcPr>
          <w:p w14:paraId="027FE76B" w14:textId="177D5979"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p>
        </w:tc>
        <w:tc>
          <w:tcPr>
            <w:tcW w:w="695" w:type="dxa"/>
            <w:vAlign w:val="center"/>
          </w:tcPr>
          <w:p w14:paraId="7FDDADDD" w14:textId="4C100988"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p>
        </w:tc>
        <w:tc>
          <w:tcPr>
            <w:tcW w:w="876" w:type="dxa"/>
            <w:vAlign w:val="center"/>
          </w:tcPr>
          <w:p w14:paraId="7663E7C0" w14:textId="33B45FD5" w:rsidR="00DF6159" w:rsidRPr="00236418" w:rsidRDefault="005E1AB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236418">
              <w:rPr>
                <w:rFonts w:asciiTheme="minorHAnsi" w:hAnsiTheme="minorHAnsi" w:cs="Arial"/>
                <w:color w:val="000000"/>
                <w:sz w:val="18"/>
                <w:szCs w:val="18"/>
                <w:lang w:eastAsia="zh-CN"/>
              </w:rPr>
              <w:t>1</w:t>
            </w:r>
          </w:p>
        </w:tc>
      </w:tr>
      <w:tr w:rsidR="00DF6159" w:rsidRPr="00236418" w14:paraId="05E4B2AF" w14:textId="77777777" w:rsidTr="00202734">
        <w:tc>
          <w:tcPr>
            <w:tcW w:w="1102" w:type="dxa"/>
          </w:tcPr>
          <w:p w14:paraId="3CFBC25A" w14:textId="77777777" w:rsidR="00DF6159" w:rsidRPr="00236418" w:rsidRDefault="00DF6159" w:rsidP="009B3D24">
            <w:pPr>
              <w:pStyle w:val="TableText0"/>
              <w:rPr>
                <w:rFonts w:asciiTheme="minorHAnsi" w:hAnsiTheme="minorHAnsi"/>
                <w:b/>
                <w:bCs/>
                <w:sz w:val="16"/>
                <w:szCs w:val="16"/>
              </w:rPr>
            </w:pPr>
            <w:r w:rsidRPr="00236418">
              <w:rPr>
                <w:rFonts w:asciiTheme="minorHAnsi" w:hAnsiTheme="minorHAnsi"/>
                <w:b/>
                <w:bCs/>
                <w:sz w:val="16"/>
                <w:szCs w:val="16"/>
              </w:rPr>
              <w:t>Total (milliers CHF)</w:t>
            </w:r>
          </w:p>
        </w:tc>
        <w:tc>
          <w:tcPr>
            <w:tcW w:w="693" w:type="dxa"/>
            <w:vAlign w:val="center"/>
          </w:tcPr>
          <w:p w14:paraId="215BCAD8" w14:textId="203E2A71"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2 2</w:t>
            </w:r>
            <w:r w:rsidR="00282DA2" w:rsidRPr="00236418">
              <w:rPr>
                <w:rFonts w:asciiTheme="minorHAnsi" w:hAnsiTheme="minorHAnsi" w:cs="Arial"/>
                <w:b/>
                <w:bCs/>
                <w:color w:val="000000"/>
                <w:sz w:val="18"/>
                <w:szCs w:val="18"/>
                <w:lang w:eastAsia="zh-CN"/>
              </w:rPr>
              <w:t>25</w:t>
            </w:r>
          </w:p>
        </w:tc>
        <w:tc>
          <w:tcPr>
            <w:tcW w:w="872" w:type="dxa"/>
            <w:vAlign w:val="center"/>
          </w:tcPr>
          <w:p w14:paraId="59817345" w14:textId="62753DB6"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 xml:space="preserve">2 </w:t>
            </w:r>
            <w:r w:rsidR="00282DA2" w:rsidRPr="00236418">
              <w:rPr>
                <w:rFonts w:asciiTheme="minorHAnsi" w:hAnsiTheme="minorHAnsi" w:cs="Arial"/>
                <w:b/>
                <w:bCs/>
                <w:color w:val="000000"/>
                <w:sz w:val="18"/>
                <w:szCs w:val="18"/>
                <w:lang w:eastAsia="zh-CN"/>
              </w:rPr>
              <w:t>161</w:t>
            </w:r>
          </w:p>
        </w:tc>
        <w:tc>
          <w:tcPr>
            <w:tcW w:w="693" w:type="dxa"/>
            <w:vAlign w:val="center"/>
          </w:tcPr>
          <w:p w14:paraId="562FFDC0" w14:textId="3E994389"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 xml:space="preserve">2 </w:t>
            </w:r>
            <w:r w:rsidR="00282DA2" w:rsidRPr="00236418">
              <w:rPr>
                <w:rFonts w:asciiTheme="minorHAnsi" w:hAnsiTheme="minorHAnsi" w:cs="Arial"/>
                <w:b/>
                <w:bCs/>
                <w:color w:val="000000"/>
                <w:sz w:val="18"/>
                <w:szCs w:val="18"/>
                <w:lang w:eastAsia="zh-CN"/>
              </w:rPr>
              <w:t>204</w:t>
            </w:r>
          </w:p>
        </w:tc>
        <w:tc>
          <w:tcPr>
            <w:tcW w:w="872" w:type="dxa"/>
            <w:vAlign w:val="center"/>
          </w:tcPr>
          <w:p w14:paraId="0A2686DF" w14:textId="17FCDC93"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 xml:space="preserve">2 </w:t>
            </w:r>
            <w:r w:rsidR="00A976C2" w:rsidRPr="00236418">
              <w:rPr>
                <w:rFonts w:asciiTheme="minorHAnsi" w:hAnsiTheme="minorHAnsi" w:cs="Arial"/>
                <w:b/>
                <w:bCs/>
                <w:color w:val="000000"/>
                <w:sz w:val="18"/>
                <w:szCs w:val="18"/>
                <w:lang w:eastAsia="zh-CN"/>
              </w:rPr>
              <w:t>153</w:t>
            </w:r>
          </w:p>
        </w:tc>
        <w:tc>
          <w:tcPr>
            <w:tcW w:w="693" w:type="dxa"/>
            <w:vAlign w:val="center"/>
          </w:tcPr>
          <w:p w14:paraId="0310BD81" w14:textId="79C860F7"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9</w:t>
            </w:r>
            <w:r w:rsidR="00282DA2" w:rsidRPr="00236418">
              <w:rPr>
                <w:rFonts w:asciiTheme="minorHAnsi" w:hAnsiTheme="minorHAnsi" w:cs="Arial"/>
                <w:b/>
                <w:bCs/>
                <w:color w:val="000000"/>
                <w:sz w:val="18"/>
                <w:szCs w:val="18"/>
                <w:lang w:eastAsia="zh-CN"/>
              </w:rPr>
              <w:t>55</w:t>
            </w:r>
          </w:p>
        </w:tc>
        <w:tc>
          <w:tcPr>
            <w:tcW w:w="872" w:type="dxa"/>
            <w:vAlign w:val="center"/>
          </w:tcPr>
          <w:p w14:paraId="3442C2F3" w14:textId="48035550" w:rsidR="00DF6159" w:rsidRPr="00236418"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938</w:t>
            </w:r>
          </w:p>
        </w:tc>
        <w:tc>
          <w:tcPr>
            <w:tcW w:w="711" w:type="dxa"/>
            <w:vAlign w:val="center"/>
          </w:tcPr>
          <w:p w14:paraId="003DA9E4" w14:textId="01D70B8A"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1 4</w:t>
            </w:r>
            <w:r w:rsidR="00282DA2" w:rsidRPr="00236418">
              <w:rPr>
                <w:rFonts w:asciiTheme="minorHAnsi" w:hAnsiTheme="minorHAnsi" w:cs="Arial"/>
                <w:b/>
                <w:bCs/>
                <w:color w:val="000000"/>
                <w:sz w:val="18"/>
                <w:szCs w:val="18"/>
                <w:lang w:eastAsia="zh-CN"/>
              </w:rPr>
              <w:t>26</w:t>
            </w:r>
          </w:p>
        </w:tc>
        <w:tc>
          <w:tcPr>
            <w:tcW w:w="872" w:type="dxa"/>
            <w:vAlign w:val="center"/>
          </w:tcPr>
          <w:p w14:paraId="58AB507D" w14:textId="67924445"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 xml:space="preserve">1 </w:t>
            </w:r>
            <w:r w:rsidR="00282DA2" w:rsidRPr="00236418">
              <w:rPr>
                <w:rFonts w:asciiTheme="minorHAnsi" w:hAnsiTheme="minorHAnsi" w:cs="Arial"/>
                <w:b/>
                <w:bCs/>
                <w:color w:val="000000"/>
                <w:sz w:val="18"/>
                <w:szCs w:val="18"/>
                <w:lang w:eastAsia="zh-CN"/>
              </w:rPr>
              <w:t>343</w:t>
            </w:r>
          </w:p>
        </w:tc>
        <w:tc>
          <w:tcPr>
            <w:tcW w:w="718" w:type="dxa"/>
            <w:vAlign w:val="center"/>
          </w:tcPr>
          <w:p w14:paraId="3F3BC240" w14:textId="6CAF961F"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4</w:t>
            </w:r>
            <w:r w:rsidR="005E1AB1" w:rsidRPr="00236418">
              <w:rPr>
                <w:rFonts w:asciiTheme="minorHAnsi" w:hAnsiTheme="minorHAnsi" w:cs="Arial"/>
                <w:b/>
                <w:bCs/>
                <w:color w:val="000000"/>
                <w:sz w:val="18"/>
                <w:szCs w:val="18"/>
                <w:lang w:eastAsia="zh-CN"/>
              </w:rPr>
              <w:t>79</w:t>
            </w:r>
          </w:p>
        </w:tc>
        <w:tc>
          <w:tcPr>
            <w:tcW w:w="890" w:type="dxa"/>
            <w:vAlign w:val="center"/>
          </w:tcPr>
          <w:p w14:paraId="7297D642" w14:textId="3EDE2962"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41</w:t>
            </w:r>
            <w:r w:rsidR="005E1AB1" w:rsidRPr="00236418">
              <w:rPr>
                <w:rFonts w:asciiTheme="minorHAnsi" w:hAnsiTheme="minorHAnsi" w:cs="Arial"/>
                <w:b/>
                <w:bCs/>
                <w:color w:val="000000"/>
                <w:sz w:val="18"/>
                <w:szCs w:val="18"/>
                <w:lang w:eastAsia="zh-CN"/>
              </w:rPr>
              <w:t>8</w:t>
            </w:r>
          </w:p>
        </w:tc>
        <w:tc>
          <w:tcPr>
            <w:tcW w:w="695" w:type="dxa"/>
            <w:vAlign w:val="center"/>
          </w:tcPr>
          <w:p w14:paraId="460386FB" w14:textId="35D348F0"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50</w:t>
            </w:r>
            <w:r w:rsidR="005E1AB1" w:rsidRPr="00236418">
              <w:rPr>
                <w:rFonts w:asciiTheme="minorHAnsi" w:hAnsiTheme="minorHAnsi" w:cs="Arial"/>
                <w:b/>
                <w:bCs/>
                <w:color w:val="000000"/>
                <w:sz w:val="18"/>
                <w:szCs w:val="18"/>
                <w:lang w:eastAsia="zh-CN"/>
              </w:rPr>
              <w:t>7</w:t>
            </w:r>
          </w:p>
        </w:tc>
        <w:tc>
          <w:tcPr>
            <w:tcW w:w="876" w:type="dxa"/>
            <w:vAlign w:val="center"/>
          </w:tcPr>
          <w:p w14:paraId="105E1F55" w14:textId="604BC961" w:rsidR="00DF6159" w:rsidRPr="00236418"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236418">
              <w:rPr>
                <w:rFonts w:asciiTheme="minorHAnsi" w:hAnsiTheme="minorHAnsi" w:cs="Arial"/>
                <w:b/>
                <w:bCs/>
                <w:color w:val="000000"/>
                <w:sz w:val="18"/>
                <w:szCs w:val="18"/>
                <w:lang w:eastAsia="zh-CN"/>
              </w:rPr>
              <w:t>5</w:t>
            </w:r>
            <w:r w:rsidR="005E1AB1" w:rsidRPr="00236418">
              <w:rPr>
                <w:rFonts w:asciiTheme="minorHAnsi" w:hAnsiTheme="minorHAnsi" w:cs="Arial"/>
                <w:b/>
                <w:bCs/>
                <w:color w:val="000000"/>
                <w:sz w:val="18"/>
                <w:szCs w:val="18"/>
                <w:lang w:eastAsia="zh-CN"/>
              </w:rPr>
              <w:t>14</w:t>
            </w:r>
          </w:p>
        </w:tc>
      </w:tr>
    </w:tbl>
    <w:p w14:paraId="224D7F58" w14:textId="70B37F5A" w:rsidR="00DC087C" w:rsidRPr="00236418" w:rsidRDefault="00DC087C" w:rsidP="009B3D24">
      <w:pPr>
        <w:spacing w:before="240"/>
        <w:rPr>
          <w:color w:val="000000"/>
        </w:rPr>
      </w:pPr>
      <w:r w:rsidRPr="00236418">
        <w:t>En 2019, une attention particulière a été accordé</w:t>
      </w:r>
      <w:r w:rsidR="00083799" w:rsidRPr="00236418">
        <w:t>e</w:t>
      </w:r>
      <w:r w:rsidRPr="00236418">
        <w:t xml:space="preserve"> au travail de renforcement de la présence régionale de l'UIT par le </w:t>
      </w:r>
      <w:r w:rsidR="00DF6159" w:rsidRPr="00236418">
        <w:t>biais d'un ensemble de mesures</w:t>
      </w:r>
      <w:r w:rsidRPr="00236418">
        <w:t xml:space="preserve"> GAR</w:t>
      </w:r>
      <w:r w:rsidR="00DF6159" w:rsidRPr="00236418">
        <w:t xml:space="preserve"> visant à permettre à l'Union d'être plus réactive aux besoins particuliers des régions et de </w:t>
      </w:r>
      <w:r w:rsidR="00DF6159" w:rsidRPr="00236418">
        <w:rPr>
          <w:color w:val="000000"/>
        </w:rPr>
        <w:t xml:space="preserve">fournir efficacement et dans les meilleurs délais des </w:t>
      </w:r>
      <w:r w:rsidRPr="00236418">
        <w:rPr>
          <w:color w:val="000000"/>
        </w:rPr>
        <w:t>produits</w:t>
      </w:r>
      <w:r w:rsidR="00DF6159" w:rsidRPr="00236418">
        <w:rPr>
          <w:color w:val="000000"/>
        </w:rPr>
        <w:t xml:space="preserve"> et des services de qualité aux niveaux national et régional. </w:t>
      </w:r>
      <w:r w:rsidR="00083799" w:rsidRPr="00236418">
        <w:rPr>
          <w:color w:val="000000"/>
        </w:rPr>
        <w:t>En 2019, 19</w:t>
      </w:r>
      <w:r w:rsidR="00202734" w:rsidRPr="00236418">
        <w:rPr>
          <w:color w:val="000000"/>
        </w:rPr>
        <w:t> </w:t>
      </w:r>
      <w:r w:rsidRPr="00236418">
        <w:rPr>
          <w:color w:val="000000"/>
        </w:rPr>
        <w:t>nouveaux accords de projet ont été signés. Au moment où le présent rapport a été établi, 61</w:t>
      </w:r>
      <w:r w:rsidR="00202734" w:rsidRPr="00236418">
        <w:rPr>
          <w:color w:val="000000"/>
        </w:rPr>
        <w:t> </w:t>
      </w:r>
      <w:r w:rsidRPr="00236418">
        <w:rPr>
          <w:color w:val="000000"/>
        </w:rPr>
        <w:t>projets et initiatives régionales étaient en cours pour une valeur de plus de 80 000 000 USD.</w:t>
      </w:r>
    </w:p>
    <w:p w14:paraId="063AD550" w14:textId="4E5F3DFF" w:rsidR="00DF6159" w:rsidRPr="00236418" w:rsidRDefault="00DF6159" w:rsidP="00081C96">
      <w:pPr>
        <w:pStyle w:val="Heading1"/>
        <w:spacing w:before="240" w:after="120"/>
        <w:rPr>
          <w:sz w:val="24"/>
          <w:szCs w:val="24"/>
        </w:rPr>
      </w:pPr>
      <w:bookmarkStart w:id="2279" w:name="_Toc482801524"/>
      <w:bookmarkStart w:id="2280" w:name="_Toc511649503"/>
      <w:bookmarkStart w:id="2281" w:name="_Toc511649866"/>
      <w:bookmarkStart w:id="2282" w:name="_Toc511649989"/>
      <w:bookmarkStart w:id="2283" w:name="_Toc511651249"/>
      <w:bookmarkStart w:id="2284" w:name="_Toc511724112"/>
      <w:bookmarkStart w:id="2285" w:name="_Toc511739101"/>
      <w:bookmarkStart w:id="2286" w:name="_Toc511741272"/>
      <w:bookmarkStart w:id="2287" w:name="_Toc10450785"/>
      <w:bookmarkStart w:id="2288" w:name="_Toc41566371"/>
      <w:bookmarkStart w:id="2289" w:name="_Toc41567382"/>
      <w:bookmarkStart w:id="2290" w:name="_Toc41567878"/>
      <w:bookmarkStart w:id="2291" w:name="_Toc41814975"/>
      <w:r w:rsidRPr="00236418">
        <w:rPr>
          <w:sz w:val="24"/>
          <w:szCs w:val="24"/>
        </w:rPr>
        <w:t>Note 26</w:t>
      </w:r>
      <w:r w:rsidRPr="00236418">
        <w:rPr>
          <w:sz w:val="24"/>
          <w:szCs w:val="24"/>
        </w:rPr>
        <w:tab/>
        <w:t>Rapprochement entre les montants budgétés et les montants effectifs</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14:paraId="1A16028E" w14:textId="77777777" w:rsidR="00DF6159" w:rsidRPr="00236418" w:rsidRDefault="00DF6159" w:rsidP="009B3D24">
      <w:pPr>
        <w:rPr>
          <w:b/>
        </w:rPr>
      </w:pPr>
      <w:bookmarkStart w:id="2292" w:name="_Toc269839112"/>
      <w:bookmarkStart w:id="2293" w:name="_Toc268007571"/>
      <w:r w:rsidRPr="00236418">
        <w:t>Les états financiers incluent:</w:t>
      </w:r>
    </w:p>
    <w:p w14:paraId="596CC6AB" w14:textId="77777777" w:rsidR="00DF6159" w:rsidRPr="00236418" w:rsidRDefault="00DF6159" w:rsidP="009B3D24">
      <w:pPr>
        <w:pStyle w:val="enumlev1"/>
      </w:pPr>
      <w:r w:rsidRPr="00236418">
        <w:t>•</w:t>
      </w:r>
      <w:r w:rsidRPr="00236418">
        <w:tab/>
        <w:t>Le budget ordinaire de l'UIT.</w:t>
      </w:r>
    </w:p>
    <w:p w14:paraId="3D0E7A18" w14:textId="77777777" w:rsidR="00DF6159" w:rsidRPr="00236418" w:rsidRDefault="00DF6159" w:rsidP="009B3D24">
      <w:pPr>
        <w:pStyle w:val="enumlev1"/>
      </w:pPr>
      <w:r w:rsidRPr="00236418">
        <w:t>•</w:t>
      </w:r>
      <w:r w:rsidRPr="00236418">
        <w:tab/>
        <w:t>Les manifestations ITU Telecom.</w:t>
      </w:r>
    </w:p>
    <w:p w14:paraId="6F6EBABD" w14:textId="77777777" w:rsidR="00DF6159" w:rsidRPr="00236418" w:rsidRDefault="00DF6159" w:rsidP="009B3D24">
      <w:pPr>
        <w:pStyle w:val="enumlev1"/>
      </w:pPr>
      <w:r w:rsidRPr="00236418">
        <w:t>•</w:t>
      </w:r>
      <w:r w:rsidRPr="00236418">
        <w:tab/>
        <w:t>Les contributions volontaires.</w:t>
      </w:r>
    </w:p>
    <w:p w14:paraId="05FEE491" w14:textId="77777777" w:rsidR="00DF6159" w:rsidRPr="00236418" w:rsidRDefault="00DF6159" w:rsidP="009B3D24">
      <w:pPr>
        <w:pStyle w:val="enumlev1"/>
      </w:pPr>
      <w:r w:rsidRPr="00236418">
        <w:t>•</w:t>
      </w:r>
      <w:r w:rsidRPr="00236418">
        <w:tab/>
        <w:t>Les caisses d'assurance.</w:t>
      </w:r>
    </w:p>
    <w:p w14:paraId="1E93448D" w14:textId="77777777" w:rsidR="00DF6159" w:rsidRPr="00236418" w:rsidRDefault="00DF6159" w:rsidP="009B3D24">
      <w:pPr>
        <w:pStyle w:val="enumlev1"/>
      </w:pPr>
      <w:r w:rsidRPr="00236418">
        <w:t>•</w:t>
      </w:r>
      <w:r w:rsidRPr="00236418">
        <w:tab/>
        <w:t>Les projets PNUD, FAS et FDTIC.</w:t>
      </w:r>
    </w:p>
    <w:p w14:paraId="12B99FB4" w14:textId="77777777" w:rsidR="00DF6159" w:rsidRPr="00236418" w:rsidRDefault="00DF6159" w:rsidP="009B3D24">
      <w:pPr>
        <w:rPr>
          <w:b/>
          <w:color w:val="000000" w:themeColor="text1"/>
        </w:rPr>
      </w:pPr>
      <w:r w:rsidRPr="00236418">
        <w:t>Le budget et les États financiers de l'Union sont établis sur des bases différentes. Le budget 2018</w:t>
      </w:r>
      <w:r w:rsidRPr="00236418">
        <w:noBreakHyphen/>
        <w:t xml:space="preserve">2019 est établi sur une base mixte avec quelques éléments spécifiques qui ne sont pas traités selon une comptabilité d'engagement. De plus, le budget de l'Union traite uniquement de l'activité de l'Union </w:t>
      </w:r>
      <w:r w:rsidRPr="00236418">
        <w:rPr>
          <w:color w:val="000000" w:themeColor="text1"/>
        </w:rPr>
        <w:t>excluant les activités financées par les contributions volontaires, les projets et les fonds.</w:t>
      </w:r>
    </w:p>
    <w:p w14:paraId="763084FE" w14:textId="77777777" w:rsidR="00DF6159" w:rsidRPr="00236418" w:rsidRDefault="00DF6159" w:rsidP="009B3D24">
      <w:r w:rsidRPr="00236418">
        <w:t>Les États financiers de l'Union sont établis selon la méthode de la comptabilité d'exercice en utilisant une classification fondée sur la nature des charges figurant dans l'état de la performance financière (voir Tableau II).</w:t>
      </w:r>
    </w:p>
    <w:p w14:paraId="2AA5ED59" w14:textId="2ED5D9E5" w:rsidR="00DF6159" w:rsidRPr="00236418" w:rsidRDefault="00DF6159" w:rsidP="009B3D24">
      <w:r w:rsidRPr="00236418">
        <w:t xml:space="preserve">Les différences de périmètres sont dues aux fonds extrabudgétaires, lesquels ne sont pas inscrits au budget ordinaire. Pour rapprocher le résultat définitif selon le contrôle budgétaire du résultat net de l'exercice après ajustements IPSAS, il est nécessaire de tenir compte des différences entre la présentation budgétaire et la comptabilité d'exercice (voir Tableau V). Dans le budget, les dépenses en équipements non fongibles sont comptabilisées comme charges d'investissement. </w:t>
      </w:r>
      <w:r w:rsidRPr="00236418">
        <w:lastRenderedPageBreak/>
        <w:t>En</w:t>
      </w:r>
      <w:r w:rsidR="001908F2">
        <w:t> </w:t>
      </w:r>
      <w:r w:rsidRPr="00236418">
        <w:t>comptabilité d'exercice, les équipements non fongibles (poste de plus de 5 000 CHF) sont inscrits sur les comptes d'immobilisation et amortis sur leur durée probable d'utilisation à l'exception des actifs immobilisés acquis avec des fonds extrabudgétaires et transférés au bénéficiaire du projet. La charge d'amortissement liée aux immobilisations est comptabilisée dans l'état de la performance financière et non prise en compte dans le budget.</w:t>
      </w:r>
    </w:p>
    <w:p w14:paraId="3A8F341E" w14:textId="77777777" w:rsidR="00DF6159" w:rsidRPr="00236418" w:rsidRDefault="00DF6159" w:rsidP="009B3D24">
      <w:pPr>
        <w:rPr>
          <w:b/>
        </w:rPr>
      </w:pPr>
      <w:r w:rsidRPr="00236418">
        <w:t>Dans le budget, les charges correspondant aux avantages du personnel sont prises en compte au fur et à mesure de leur versement, tandis qu'en comptabilité d'exercice, une partie des charges est estimée par un actuaire selon une méthodologie définie dans les normes comptables. Les engagements au titre l'assurance maladie après la cessation de service sont comptabilisés dans l'état de la situation financière, comme indiqué dans la Note 17. Les différences de change réalisées et non réalisées ne sont pas prises en compte dans le budget mais reflétées dans l'état de la performance financière. Il en est de même pour la provision pour les créances douteuses et la reconnaissance des stocks. Le remboursement du prêt FIPOI n'a pas été considéré comme une charge dans l'état de la performance financière même s'il avait été budgété.</w:t>
      </w:r>
    </w:p>
    <w:p w14:paraId="22CF3300" w14:textId="77777777" w:rsidR="00DF6159" w:rsidRPr="00236418" w:rsidRDefault="00DF6159" w:rsidP="009B3D24">
      <w:pPr>
        <w:rPr>
          <w:rFonts w:cs="Calibri"/>
          <w:bCs/>
          <w:color w:val="000000" w:themeColor="text1"/>
        </w:rPr>
      </w:pPr>
      <w:r w:rsidRPr="00236418">
        <w:rPr>
          <w:rFonts w:cs="Calibri"/>
          <w:bCs/>
          <w:color w:val="000000" w:themeColor="text1"/>
        </w:rPr>
        <w:t xml:space="preserve">Enfin, les intérêts liés aux prêts sans intérêts accordés par la FIPOI ont été calculés aux conditions normales du marché et n'ont pas été versés mais ont été reconnus en contribution et charge en nature dans l'état de la performance financière. </w:t>
      </w:r>
    </w:p>
    <w:p w14:paraId="01E44126" w14:textId="52D0B0B5" w:rsidR="00DF6159" w:rsidRPr="00236418" w:rsidRDefault="00DF6159" w:rsidP="009B3D24">
      <w:pPr>
        <w:spacing w:after="240"/>
        <w:rPr>
          <w:rFonts w:cs="Calibri"/>
          <w:bCs/>
          <w:color w:val="000000" w:themeColor="text1"/>
        </w:rPr>
      </w:pPr>
      <w:r w:rsidRPr="00236418">
        <w:rPr>
          <w:rFonts w:cs="Calibri"/>
          <w:bCs/>
          <w:color w:val="000000" w:themeColor="text1"/>
        </w:rPr>
        <w:t>Pour l'exercice financier 201</w:t>
      </w:r>
      <w:r w:rsidR="00FA47FC" w:rsidRPr="00236418">
        <w:rPr>
          <w:rFonts w:cs="Calibri"/>
          <w:bCs/>
          <w:color w:val="000000" w:themeColor="text1"/>
        </w:rPr>
        <w:t>9</w:t>
      </w:r>
      <w:r w:rsidRPr="00236418">
        <w:rPr>
          <w:rFonts w:cs="Calibri"/>
          <w:bCs/>
          <w:color w:val="000000" w:themeColor="text1"/>
        </w:rPr>
        <w:t>, les produits et les charges ont été budgétés à un montant de</w:t>
      </w:r>
      <w:r w:rsidR="00FA47FC" w:rsidRPr="00236418">
        <w:rPr>
          <w:rFonts w:cs="Calibri"/>
          <w:bCs/>
          <w:color w:val="000000" w:themeColor="text1"/>
        </w:rPr>
        <w:t xml:space="preserve"> </w:t>
      </w:r>
      <w:r w:rsidRPr="00236418">
        <w:rPr>
          <w:rFonts w:cs="Calibri"/>
          <w:bCs/>
          <w:color w:val="000000" w:themeColor="text1"/>
        </w:rPr>
        <w:t>1</w:t>
      </w:r>
      <w:r w:rsidR="00FA47FC" w:rsidRPr="00236418">
        <w:rPr>
          <w:rFonts w:cs="Calibri"/>
          <w:bCs/>
          <w:color w:val="000000" w:themeColor="text1"/>
        </w:rPr>
        <w:t>64</w:t>
      </w:r>
      <w:r w:rsidRPr="00236418">
        <w:rPr>
          <w:rFonts w:cs="Calibri"/>
          <w:bCs/>
          <w:color w:val="000000" w:themeColor="text1"/>
        </w:rPr>
        <w:t>,</w:t>
      </w:r>
      <w:r w:rsidR="00FA47FC" w:rsidRPr="00236418">
        <w:rPr>
          <w:rFonts w:cs="Calibri"/>
          <w:bCs/>
          <w:color w:val="000000" w:themeColor="text1"/>
        </w:rPr>
        <w:t>74 </w:t>
      </w:r>
      <w:r w:rsidRPr="00236418">
        <w:rPr>
          <w:rFonts w:cs="Calibri"/>
          <w:bCs/>
          <w:color w:val="000000" w:themeColor="text1"/>
        </w:rPr>
        <w:t xml:space="preserve">millions CHF. Une surveillance constante des charges ainsi qu'une augmentation des produits provenant du recouvrement des coûts et des ventes des publications ont permis de dégager un excédent budgétaire de </w:t>
      </w:r>
      <w:r w:rsidR="00FA47FC" w:rsidRPr="00236418">
        <w:rPr>
          <w:rFonts w:cs="Calibri"/>
          <w:bCs/>
          <w:color w:val="000000" w:themeColor="text1"/>
        </w:rPr>
        <w:t>4</w:t>
      </w:r>
      <w:r w:rsidRPr="00236418">
        <w:rPr>
          <w:rFonts w:cs="Calibri"/>
          <w:bCs/>
          <w:color w:val="000000" w:themeColor="text1"/>
        </w:rPr>
        <w:t>,</w:t>
      </w:r>
      <w:r w:rsidR="00FA47FC" w:rsidRPr="00236418">
        <w:rPr>
          <w:rFonts w:cs="Calibri"/>
          <w:bCs/>
          <w:color w:val="000000" w:themeColor="text1"/>
        </w:rPr>
        <w:t>78</w:t>
      </w:r>
      <w:r w:rsidRPr="00236418">
        <w:rPr>
          <w:rFonts w:cs="Calibri"/>
          <w:bCs/>
          <w:color w:val="000000" w:themeColor="text1"/>
        </w:rPr>
        <w:t xml:space="preserve"> millions CHF.</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1382"/>
        <w:gridCol w:w="1382"/>
        <w:gridCol w:w="1382"/>
        <w:gridCol w:w="1383"/>
      </w:tblGrid>
      <w:tr w:rsidR="00DF6159" w:rsidRPr="00236418" w14:paraId="4CCC7A70" w14:textId="77777777" w:rsidTr="006538EB">
        <w:trPr>
          <w:jc w:val="center"/>
        </w:trPr>
        <w:tc>
          <w:tcPr>
            <w:tcW w:w="4181" w:type="dxa"/>
            <w:vMerge w:val="restart"/>
          </w:tcPr>
          <w:p w14:paraId="2AB358F0" w14:textId="77777777" w:rsidR="00DF6159" w:rsidRPr="00236418" w:rsidRDefault="00DF6159" w:rsidP="009B3D24">
            <w:pPr>
              <w:pStyle w:val="Tabletext"/>
              <w:keepNext/>
              <w:keepLines/>
              <w:spacing w:before="20" w:after="20"/>
              <w:rPr>
                <w:sz w:val="18"/>
                <w:szCs w:val="18"/>
                <w:lang w:eastAsia="zh-CN"/>
              </w:rPr>
            </w:pPr>
          </w:p>
        </w:tc>
        <w:tc>
          <w:tcPr>
            <w:tcW w:w="5529" w:type="dxa"/>
            <w:gridSpan w:val="4"/>
          </w:tcPr>
          <w:p w14:paraId="3D67A908" w14:textId="7D553D71" w:rsidR="00DF6159" w:rsidRPr="00236418" w:rsidRDefault="00DF6159" w:rsidP="009B3D24">
            <w:pPr>
              <w:pStyle w:val="Tabletext"/>
              <w:keepNext/>
              <w:keepLines/>
              <w:spacing w:before="20" w:after="20"/>
              <w:jc w:val="center"/>
              <w:rPr>
                <w:b/>
                <w:bCs/>
                <w:sz w:val="18"/>
                <w:szCs w:val="18"/>
                <w:lang w:eastAsia="zh-CN"/>
              </w:rPr>
            </w:pPr>
            <w:r w:rsidRPr="00236418">
              <w:rPr>
                <w:b/>
                <w:bCs/>
                <w:sz w:val="18"/>
                <w:szCs w:val="18"/>
                <w:lang w:eastAsia="zh-CN"/>
              </w:rPr>
              <w:t>201</w:t>
            </w:r>
            <w:r w:rsidR="00FA47FC" w:rsidRPr="00236418">
              <w:rPr>
                <w:b/>
                <w:bCs/>
                <w:sz w:val="18"/>
                <w:szCs w:val="18"/>
                <w:lang w:eastAsia="zh-CN"/>
              </w:rPr>
              <w:t>9</w:t>
            </w:r>
          </w:p>
        </w:tc>
      </w:tr>
      <w:tr w:rsidR="00DF6159" w:rsidRPr="00236418" w14:paraId="59D765D0" w14:textId="77777777" w:rsidTr="006538EB">
        <w:trPr>
          <w:jc w:val="center"/>
        </w:trPr>
        <w:tc>
          <w:tcPr>
            <w:tcW w:w="4181" w:type="dxa"/>
            <w:vMerge/>
          </w:tcPr>
          <w:p w14:paraId="5B81EF0E" w14:textId="77777777" w:rsidR="00DF6159" w:rsidRPr="00236418" w:rsidRDefault="00DF6159" w:rsidP="009B3D24">
            <w:pPr>
              <w:pStyle w:val="Tabletext"/>
              <w:keepNext/>
              <w:keepLines/>
              <w:spacing w:before="20" w:after="20"/>
              <w:rPr>
                <w:sz w:val="18"/>
                <w:szCs w:val="18"/>
                <w:lang w:eastAsia="zh-CN"/>
              </w:rPr>
            </w:pPr>
          </w:p>
        </w:tc>
        <w:tc>
          <w:tcPr>
            <w:tcW w:w="1382" w:type="dxa"/>
            <w:tcBorders>
              <w:bottom w:val="single" w:sz="4" w:space="0" w:color="auto"/>
            </w:tcBorders>
          </w:tcPr>
          <w:p w14:paraId="22BCDA28" w14:textId="77777777" w:rsidR="00DF6159" w:rsidRPr="00236418" w:rsidRDefault="00DF6159" w:rsidP="009B3D24">
            <w:pPr>
              <w:pStyle w:val="Tabletext"/>
              <w:keepNext/>
              <w:keepLines/>
              <w:spacing w:before="20" w:after="20"/>
              <w:jc w:val="center"/>
              <w:rPr>
                <w:b/>
                <w:bCs/>
                <w:sz w:val="18"/>
                <w:szCs w:val="18"/>
                <w:lang w:eastAsia="zh-CN"/>
              </w:rPr>
            </w:pPr>
            <w:r w:rsidRPr="00236418">
              <w:rPr>
                <w:b/>
                <w:bCs/>
                <w:sz w:val="18"/>
                <w:szCs w:val="18"/>
                <w:lang w:eastAsia="zh-CN"/>
              </w:rPr>
              <w:t>Opérationnel</w:t>
            </w:r>
          </w:p>
        </w:tc>
        <w:tc>
          <w:tcPr>
            <w:tcW w:w="1382" w:type="dxa"/>
            <w:tcBorders>
              <w:bottom w:val="single" w:sz="4" w:space="0" w:color="auto"/>
            </w:tcBorders>
          </w:tcPr>
          <w:p w14:paraId="420A03DA" w14:textId="77777777" w:rsidR="00DF6159" w:rsidRPr="00236418" w:rsidRDefault="00DF6159" w:rsidP="009B3D24">
            <w:pPr>
              <w:pStyle w:val="Tabletext"/>
              <w:spacing w:before="20" w:after="20"/>
              <w:jc w:val="center"/>
              <w:rPr>
                <w:b/>
                <w:bCs/>
                <w:sz w:val="18"/>
                <w:szCs w:val="18"/>
                <w:lang w:eastAsia="zh-CN"/>
              </w:rPr>
            </w:pPr>
            <w:r w:rsidRPr="00236418">
              <w:rPr>
                <w:b/>
                <w:bCs/>
                <w:sz w:val="18"/>
                <w:szCs w:val="18"/>
                <w:lang w:eastAsia="zh-CN"/>
              </w:rPr>
              <w:t>Placement</w:t>
            </w:r>
          </w:p>
        </w:tc>
        <w:tc>
          <w:tcPr>
            <w:tcW w:w="1382" w:type="dxa"/>
            <w:tcBorders>
              <w:bottom w:val="single" w:sz="4" w:space="0" w:color="auto"/>
            </w:tcBorders>
          </w:tcPr>
          <w:p w14:paraId="15429B70" w14:textId="77777777" w:rsidR="00DF6159" w:rsidRPr="00236418" w:rsidRDefault="00DF6159" w:rsidP="009B3D24">
            <w:pPr>
              <w:pStyle w:val="Tabletext"/>
              <w:spacing w:before="20" w:after="20"/>
              <w:jc w:val="center"/>
              <w:rPr>
                <w:b/>
                <w:bCs/>
                <w:sz w:val="18"/>
                <w:szCs w:val="18"/>
                <w:lang w:eastAsia="zh-CN"/>
              </w:rPr>
            </w:pPr>
            <w:r w:rsidRPr="00236418">
              <w:rPr>
                <w:b/>
                <w:bCs/>
                <w:sz w:val="18"/>
                <w:szCs w:val="18"/>
                <w:lang w:eastAsia="zh-CN"/>
              </w:rPr>
              <w:t>Financement</w:t>
            </w:r>
          </w:p>
        </w:tc>
        <w:tc>
          <w:tcPr>
            <w:tcW w:w="1383" w:type="dxa"/>
            <w:tcBorders>
              <w:bottom w:val="single" w:sz="4" w:space="0" w:color="auto"/>
            </w:tcBorders>
          </w:tcPr>
          <w:p w14:paraId="3751D7FA" w14:textId="77777777" w:rsidR="00DF6159" w:rsidRPr="00236418" w:rsidRDefault="00DF6159" w:rsidP="009B3D24">
            <w:pPr>
              <w:pStyle w:val="Tabletext"/>
              <w:spacing w:before="20" w:after="20"/>
              <w:jc w:val="center"/>
              <w:rPr>
                <w:b/>
                <w:bCs/>
                <w:sz w:val="18"/>
                <w:szCs w:val="18"/>
                <w:lang w:eastAsia="zh-CN"/>
              </w:rPr>
            </w:pPr>
            <w:r w:rsidRPr="00236418">
              <w:rPr>
                <w:b/>
                <w:bCs/>
                <w:sz w:val="18"/>
                <w:szCs w:val="18"/>
                <w:lang w:eastAsia="zh-CN"/>
              </w:rPr>
              <w:t>Total</w:t>
            </w:r>
          </w:p>
        </w:tc>
      </w:tr>
      <w:tr w:rsidR="00DF6159" w:rsidRPr="00236418" w14:paraId="0A88EE17" w14:textId="77777777" w:rsidTr="006538EB">
        <w:trPr>
          <w:jc w:val="center"/>
        </w:trPr>
        <w:tc>
          <w:tcPr>
            <w:tcW w:w="4181" w:type="dxa"/>
            <w:tcBorders>
              <w:bottom w:val="nil"/>
            </w:tcBorders>
          </w:tcPr>
          <w:p w14:paraId="3769CE28" w14:textId="77777777" w:rsidR="00DF6159" w:rsidRPr="00236418" w:rsidRDefault="00DF6159" w:rsidP="009B3D24">
            <w:pPr>
              <w:pStyle w:val="Tabletext"/>
              <w:keepNext/>
              <w:keepLines/>
              <w:spacing w:before="20" w:after="20"/>
              <w:rPr>
                <w:sz w:val="18"/>
                <w:szCs w:val="18"/>
                <w:lang w:eastAsia="zh-CN"/>
              </w:rPr>
            </w:pPr>
          </w:p>
        </w:tc>
        <w:tc>
          <w:tcPr>
            <w:tcW w:w="5529" w:type="dxa"/>
            <w:gridSpan w:val="4"/>
            <w:tcBorders>
              <w:bottom w:val="single" w:sz="4" w:space="0" w:color="auto"/>
            </w:tcBorders>
            <w:vAlign w:val="center"/>
          </w:tcPr>
          <w:p w14:paraId="71169617" w14:textId="77777777" w:rsidR="00DF6159" w:rsidRPr="00236418" w:rsidRDefault="00DF6159" w:rsidP="009B3D24">
            <w:pPr>
              <w:pStyle w:val="Tabletext"/>
              <w:keepNext/>
              <w:keepLines/>
              <w:spacing w:before="20" w:after="20"/>
              <w:jc w:val="center"/>
              <w:rPr>
                <w:sz w:val="18"/>
                <w:szCs w:val="18"/>
                <w:lang w:eastAsia="zh-CN"/>
              </w:rPr>
            </w:pPr>
            <w:r w:rsidRPr="00236418">
              <w:rPr>
                <w:sz w:val="18"/>
                <w:szCs w:val="18"/>
                <w:lang w:eastAsia="zh-CN"/>
              </w:rPr>
              <w:t>En milliers de CHF</w:t>
            </w:r>
          </w:p>
        </w:tc>
      </w:tr>
      <w:tr w:rsidR="00FA47FC" w:rsidRPr="00236418" w14:paraId="181176EE" w14:textId="77777777" w:rsidTr="006538EB">
        <w:trPr>
          <w:jc w:val="center"/>
        </w:trPr>
        <w:tc>
          <w:tcPr>
            <w:tcW w:w="4181" w:type="dxa"/>
            <w:tcBorders>
              <w:top w:val="nil"/>
              <w:bottom w:val="nil"/>
            </w:tcBorders>
          </w:tcPr>
          <w:p w14:paraId="4222940A" w14:textId="77777777" w:rsidR="00FA47FC" w:rsidRPr="00236418" w:rsidRDefault="00FA47FC" w:rsidP="009B3D24">
            <w:pPr>
              <w:pStyle w:val="Tabletext"/>
              <w:keepNext/>
              <w:keepLines/>
              <w:spacing w:before="20" w:after="20"/>
              <w:rPr>
                <w:b/>
                <w:bCs/>
                <w:sz w:val="18"/>
                <w:szCs w:val="18"/>
                <w:lang w:eastAsia="zh-CN"/>
              </w:rPr>
            </w:pPr>
            <w:r w:rsidRPr="00236418">
              <w:rPr>
                <w:b/>
                <w:bCs/>
                <w:sz w:val="18"/>
                <w:szCs w:val="18"/>
                <w:lang w:eastAsia="zh-CN"/>
              </w:rPr>
              <w:t>Résultats sur une base comparable</w:t>
            </w:r>
          </w:p>
        </w:tc>
        <w:tc>
          <w:tcPr>
            <w:tcW w:w="1382" w:type="dxa"/>
            <w:tcBorders>
              <w:top w:val="single" w:sz="4" w:space="0" w:color="auto"/>
              <w:bottom w:val="nil"/>
            </w:tcBorders>
            <w:vAlign w:val="center"/>
          </w:tcPr>
          <w:p w14:paraId="43961980" w14:textId="461AD080"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4 778</w:t>
            </w:r>
          </w:p>
        </w:tc>
        <w:tc>
          <w:tcPr>
            <w:tcW w:w="1382" w:type="dxa"/>
            <w:tcBorders>
              <w:top w:val="single" w:sz="4" w:space="0" w:color="auto"/>
              <w:bottom w:val="nil"/>
            </w:tcBorders>
            <w:vAlign w:val="center"/>
          </w:tcPr>
          <w:p w14:paraId="705D237B"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single" w:sz="4" w:space="0" w:color="auto"/>
              <w:bottom w:val="nil"/>
            </w:tcBorders>
            <w:vAlign w:val="center"/>
          </w:tcPr>
          <w:p w14:paraId="402719AC"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single" w:sz="4" w:space="0" w:color="auto"/>
              <w:bottom w:val="nil"/>
            </w:tcBorders>
            <w:vAlign w:val="center"/>
          </w:tcPr>
          <w:p w14:paraId="3710BC38" w14:textId="3129A42B"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4 778</w:t>
            </w:r>
          </w:p>
        </w:tc>
      </w:tr>
      <w:tr w:rsidR="00FA47FC" w:rsidRPr="00236418" w14:paraId="62AC392E" w14:textId="77777777" w:rsidTr="006538EB">
        <w:trPr>
          <w:jc w:val="center"/>
        </w:trPr>
        <w:tc>
          <w:tcPr>
            <w:tcW w:w="4181" w:type="dxa"/>
            <w:tcBorders>
              <w:top w:val="nil"/>
              <w:bottom w:val="nil"/>
            </w:tcBorders>
          </w:tcPr>
          <w:p w14:paraId="710C3FFB" w14:textId="77777777" w:rsidR="00FA47FC" w:rsidRPr="00236418" w:rsidRDefault="00FA47FC" w:rsidP="009B3D24">
            <w:pPr>
              <w:pStyle w:val="Tabletext"/>
              <w:keepNext/>
              <w:keepLines/>
              <w:spacing w:before="20" w:after="20"/>
              <w:rPr>
                <w:sz w:val="18"/>
                <w:szCs w:val="18"/>
                <w:lang w:eastAsia="zh-CN"/>
              </w:rPr>
            </w:pPr>
            <w:r w:rsidRPr="00236418">
              <w:rPr>
                <w:sz w:val="18"/>
                <w:szCs w:val="18"/>
                <w:lang w:eastAsia="zh-CN"/>
              </w:rPr>
              <w:t>Variation et utilisation de la provision pour créances douteuses</w:t>
            </w:r>
          </w:p>
        </w:tc>
        <w:tc>
          <w:tcPr>
            <w:tcW w:w="1382" w:type="dxa"/>
            <w:tcBorders>
              <w:top w:val="nil"/>
              <w:bottom w:val="nil"/>
            </w:tcBorders>
            <w:vAlign w:val="center"/>
          </w:tcPr>
          <w:p w14:paraId="7DFF70DF" w14:textId="16EF2405"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576</w:t>
            </w:r>
          </w:p>
        </w:tc>
        <w:tc>
          <w:tcPr>
            <w:tcW w:w="1382" w:type="dxa"/>
            <w:tcBorders>
              <w:top w:val="nil"/>
              <w:bottom w:val="nil"/>
            </w:tcBorders>
            <w:vAlign w:val="center"/>
          </w:tcPr>
          <w:p w14:paraId="4B9A2268"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7326D24F"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335F1B6F" w14:textId="258BE4DB"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576</w:t>
            </w:r>
          </w:p>
        </w:tc>
      </w:tr>
      <w:tr w:rsidR="00FA47FC" w:rsidRPr="00236418" w14:paraId="6D165A46" w14:textId="77777777" w:rsidTr="006538EB">
        <w:trPr>
          <w:trHeight w:val="285"/>
          <w:jc w:val="center"/>
        </w:trPr>
        <w:tc>
          <w:tcPr>
            <w:tcW w:w="4181" w:type="dxa"/>
            <w:tcBorders>
              <w:top w:val="nil"/>
            </w:tcBorders>
          </w:tcPr>
          <w:p w14:paraId="041A7AF9" w14:textId="77777777" w:rsidR="00FA47FC" w:rsidRPr="00236418" w:rsidRDefault="00FA47FC" w:rsidP="009B3D24">
            <w:pPr>
              <w:pStyle w:val="Tabletext"/>
              <w:keepNext/>
              <w:keepLines/>
              <w:spacing w:before="20" w:after="20"/>
              <w:rPr>
                <w:sz w:val="18"/>
                <w:szCs w:val="18"/>
                <w:lang w:eastAsia="zh-CN"/>
              </w:rPr>
            </w:pPr>
            <w:r w:rsidRPr="00236418">
              <w:rPr>
                <w:sz w:val="18"/>
                <w:szCs w:val="18"/>
                <w:lang w:eastAsia="zh-CN"/>
              </w:rPr>
              <w:t>Comptabilisation des stocks</w:t>
            </w:r>
          </w:p>
        </w:tc>
        <w:tc>
          <w:tcPr>
            <w:tcW w:w="1382" w:type="dxa"/>
            <w:tcBorders>
              <w:top w:val="nil"/>
            </w:tcBorders>
            <w:vAlign w:val="center"/>
          </w:tcPr>
          <w:p w14:paraId="06EC4D18" w14:textId="5952DAB1"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48</w:t>
            </w:r>
          </w:p>
        </w:tc>
        <w:tc>
          <w:tcPr>
            <w:tcW w:w="1382" w:type="dxa"/>
            <w:tcBorders>
              <w:top w:val="nil"/>
            </w:tcBorders>
            <w:vAlign w:val="center"/>
          </w:tcPr>
          <w:p w14:paraId="325652C2"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tcBorders>
            <w:vAlign w:val="center"/>
          </w:tcPr>
          <w:p w14:paraId="34B1A96E"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tcBorders>
            <w:vAlign w:val="center"/>
          </w:tcPr>
          <w:p w14:paraId="1EBDA958" w14:textId="02D77A3B"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48</w:t>
            </w:r>
          </w:p>
        </w:tc>
      </w:tr>
      <w:tr w:rsidR="00FA47FC" w:rsidRPr="00236418" w14:paraId="56644002" w14:textId="77777777" w:rsidTr="006538EB">
        <w:trPr>
          <w:jc w:val="center"/>
        </w:trPr>
        <w:tc>
          <w:tcPr>
            <w:tcW w:w="4181" w:type="dxa"/>
            <w:tcBorders>
              <w:top w:val="nil"/>
              <w:bottom w:val="nil"/>
            </w:tcBorders>
          </w:tcPr>
          <w:p w14:paraId="0D92304F" w14:textId="77777777" w:rsidR="00FA47FC" w:rsidRPr="00236418" w:rsidRDefault="00FA47FC" w:rsidP="009B3D24">
            <w:pPr>
              <w:pStyle w:val="Tabletext"/>
              <w:spacing w:before="20" w:after="20"/>
              <w:rPr>
                <w:sz w:val="18"/>
                <w:szCs w:val="18"/>
                <w:lang w:eastAsia="zh-CN"/>
              </w:rPr>
            </w:pPr>
            <w:r w:rsidRPr="00236418">
              <w:rPr>
                <w:sz w:val="18"/>
                <w:szCs w:val="18"/>
                <w:lang w:eastAsia="zh-CN"/>
              </w:rPr>
              <w:t>Capitalisation des stocks</w:t>
            </w:r>
          </w:p>
        </w:tc>
        <w:tc>
          <w:tcPr>
            <w:tcW w:w="1382" w:type="dxa"/>
            <w:tcBorders>
              <w:top w:val="nil"/>
              <w:bottom w:val="nil"/>
            </w:tcBorders>
            <w:vAlign w:val="center"/>
          </w:tcPr>
          <w:p w14:paraId="3C540A5C" w14:textId="5A9CAA6A"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 </w:t>
            </w:r>
          </w:p>
        </w:tc>
        <w:tc>
          <w:tcPr>
            <w:tcW w:w="1382" w:type="dxa"/>
            <w:tcBorders>
              <w:top w:val="nil"/>
              <w:bottom w:val="nil"/>
            </w:tcBorders>
            <w:vAlign w:val="center"/>
          </w:tcPr>
          <w:p w14:paraId="7F1E4615" w14:textId="18F28E5F"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Arial"/>
                <w:color w:val="000000"/>
                <w:sz w:val="18"/>
                <w:szCs w:val="18"/>
                <w:lang w:eastAsia="zh-CN"/>
              </w:rPr>
              <w:t>1 653</w:t>
            </w:r>
          </w:p>
        </w:tc>
        <w:tc>
          <w:tcPr>
            <w:tcW w:w="1382" w:type="dxa"/>
            <w:tcBorders>
              <w:top w:val="nil"/>
              <w:bottom w:val="nil"/>
            </w:tcBorders>
            <w:vAlign w:val="center"/>
          </w:tcPr>
          <w:p w14:paraId="47738B97"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36BEF25A" w14:textId="1F78E6A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1 653</w:t>
            </w:r>
          </w:p>
        </w:tc>
      </w:tr>
      <w:tr w:rsidR="00FA47FC" w:rsidRPr="00236418" w14:paraId="53EECE6F" w14:textId="77777777" w:rsidTr="006538EB">
        <w:trPr>
          <w:jc w:val="center"/>
        </w:trPr>
        <w:tc>
          <w:tcPr>
            <w:tcW w:w="4181" w:type="dxa"/>
            <w:tcBorders>
              <w:top w:val="nil"/>
              <w:bottom w:val="nil"/>
            </w:tcBorders>
          </w:tcPr>
          <w:p w14:paraId="5EF87A58" w14:textId="77777777" w:rsidR="00FA47FC" w:rsidRPr="00236418" w:rsidRDefault="00FA47FC" w:rsidP="009B3D24">
            <w:pPr>
              <w:pStyle w:val="Tabletext"/>
              <w:spacing w:before="20" w:after="20"/>
              <w:rPr>
                <w:sz w:val="18"/>
                <w:szCs w:val="18"/>
                <w:lang w:eastAsia="zh-CN"/>
              </w:rPr>
            </w:pPr>
            <w:r w:rsidRPr="00236418">
              <w:rPr>
                <w:sz w:val="18"/>
                <w:szCs w:val="18"/>
                <w:lang w:eastAsia="zh-CN"/>
              </w:rPr>
              <w:t>Amortissements</w:t>
            </w:r>
          </w:p>
        </w:tc>
        <w:tc>
          <w:tcPr>
            <w:tcW w:w="1382" w:type="dxa"/>
            <w:tcBorders>
              <w:top w:val="nil"/>
              <w:bottom w:val="nil"/>
            </w:tcBorders>
            <w:vAlign w:val="center"/>
          </w:tcPr>
          <w:p w14:paraId="7D7A7834" w14:textId="267CC853"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–4 452</w:t>
            </w:r>
          </w:p>
        </w:tc>
        <w:tc>
          <w:tcPr>
            <w:tcW w:w="1382" w:type="dxa"/>
            <w:tcBorders>
              <w:top w:val="nil"/>
              <w:bottom w:val="nil"/>
            </w:tcBorders>
            <w:vAlign w:val="center"/>
          </w:tcPr>
          <w:p w14:paraId="5E6254DB"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7D5E3A09"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22E55B5D" w14:textId="7C355781"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–4 452</w:t>
            </w:r>
          </w:p>
        </w:tc>
      </w:tr>
      <w:tr w:rsidR="00FA47FC" w:rsidRPr="00236418" w14:paraId="16421ADE" w14:textId="77777777" w:rsidTr="006538EB">
        <w:trPr>
          <w:jc w:val="center"/>
        </w:trPr>
        <w:tc>
          <w:tcPr>
            <w:tcW w:w="4181" w:type="dxa"/>
            <w:tcBorders>
              <w:top w:val="nil"/>
              <w:bottom w:val="nil"/>
            </w:tcBorders>
          </w:tcPr>
          <w:p w14:paraId="0B725564" w14:textId="77777777" w:rsidR="00FA47FC" w:rsidRPr="00236418" w:rsidRDefault="00FA47FC" w:rsidP="009B3D24">
            <w:pPr>
              <w:pStyle w:val="Tabletext"/>
              <w:spacing w:before="20" w:after="20"/>
              <w:rPr>
                <w:sz w:val="18"/>
                <w:szCs w:val="18"/>
                <w:lang w:eastAsia="zh-CN"/>
              </w:rPr>
            </w:pPr>
            <w:r w:rsidRPr="00236418">
              <w:rPr>
                <w:sz w:val="18"/>
                <w:szCs w:val="18"/>
                <w:lang w:eastAsia="zh-CN"/>
              </w:rPr>
              <w:t>Gains et pertes de change</w:t>
            </w:r>
          </w:p>
        </w:tc>
        <w:tc>
          <w:tcPr>
            <w:tcW w:w="1382" w:type="dxa"/>
            <w:tcBorders>
              <w:top w:val="nil"/>
              <w:bottom w:val="nil"/>
            </w:tcBorders>
            <w:vAlign w:val="center"/>
          </w:tcPr>
          <w:p w14:paraId="3C42815F" w14:textId="05CE27A5"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7 906</w:t>
            </w:r>
          </w:p>
        </w:tc>
        <w:tc>
          <w:tcPr>
            <w:tcW w:w="1382" w:type="dxa"/>
            <w:tcBorders>
              <w:top w:val="nil"/>
              <w:bottom w:val="nil"/>
            </w:tcBorders>
            <w:vAlign w:val="center"/>
          </w:tcPr>
          <w:p w14:paraId="5E69DB26"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1E091F24"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5EFC75DA" w14:textId="256AE19B"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7 906</w:t>
            </w:r>
          </w:p>
        </w:tc>
      </w:tr>
      <w:tr w:rsidR="00FA47FC" w:rsidRPr="00236418" w14:paraId="4ABE4D3A" w14:textId="77777777" w:rsidTr="006538EB">
        <w:trPr>
          <w:jc w:val="center"/>
        </w:trPr>
        <w:tc>
          <w:tcPr>
            <w:tcW w:w="4181" w:type="dxa"/>
            <w:tcBorders>
              <w:top w:val="nil"/>
              <w:bottom w:val="nil"/>
            </w:tcBorders>
          </w:tcPr>
          <w:p w14:paraId="010D74FE" w14:textId="77777777" w:rsidR="00FA47FC" w:rsidRPr="00236418" w:rsidRDefault="00FA47FC" w:rsidP="009B3D24">
            <w:pPr>
              <w:pStyle w:val="Tabletext"/>
              <w:spacing w:before="20" w:after="20"/>
              <w:rPr>
                <w:sz w:val="18"/>
                <w:szCs w:val="18"/>
                <w:lang w:eastAsia="zh-CN"/>
              </w:rPr>
            </w:pPr>
            <w:r w:rsidRPr="00236418">
              <w:rPr>
                <w:sz w:val="18"/>
                <w:szCs w:val="18"/>
                <w:lang w:eastAsia="zh-CN"/>
              </w:rPr>
              <w:t>ASHI</w:t>
            </w:r>
          </w:p>
        </w:tc>
        <w:tc>
          <w:tcPr>
            <w:tcW w:w="1382" w:type="dxa"/>
            <w:tcBorders>
              <w:top w:val="nil"/>
              <w:bottom w:val="nil"/>
            </w:tcBorders>
            <w:vAlign w:val="center"/>
          </w:tcPr>
          <w:p w14:paraId="7C4DEC8B" w14:textId="35D5FDD6"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–71 694</w:t>
            </w:r>
          </w:p>
        </w:tc>
        <w:tc>
          <w:tcPr>
            <w:tcW w:w="1382" w:type="dxa"/>
            <w:tcBorders>
              <w:top w:val="nil"/>
              <w:bottom w:val="nil"/>
            </w:tcBorders>
            <w:vAlign w:val="center"/>
          </w:tcPr>
          <w:p w14:paraId="54787A25"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2CF2C72B"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78CF7B68" w14:textId="105DC6F6"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–71 694</w:t>
            </w:r>
          </w:p>
        </w:tc>
      </w:tr>
      <w:tr w:rsidR="00FA47FC" w:rsidRPr="00236418" w14:paraId="4AC981E5" w14:textId="77777777" w:rsidTr="006538EB">
        <w:trPr>
          <w:jc w:val="center"/>
        </w:trPr>
        <w:tc>
          <w:tcPr>
            <w:tcW w:w="4181" w:type="dxa"/>
            <w:tcBorders>
              <w:top w:val="nil"/>
              <w:bottom w:val="nil"/>
            </w:tcBorders>
          </w:tcPr>
          <w:p w14:paraId="01A57B12" w14:textId="77777777" w:rsidR="00FA47FC" w:rsidRPr="00236418" w:rsidRDefault="00FA47FC" w:rsidP="009B3D24">
            <w:pPr>
              <w:pStyle w:val="Tabletext"/>
              <w:spacing w:before="20" w:after="20"/>
              <w:rPr>
                <w:sz w:val="18"/>
                <w:szCs w:val="18"/>
                <w:lang w:eastAsia="zh-CN"/>
              </w:rPr>
            </w:pPr>
            <w:r w:rsidRPr="00236418">
              <w:rPr>
                <w:sz w:val="18"/>
                <w:szCs w:val="18"/>
                <w:lang w:eastAsia="zh-CN"/>
              </w:rPr>
              <w:t>Remboursement prêt FIPOI non considéré comme charge</w:t>
            </w:r>
          </w:p>
        </w:tc>
        <w:tc>
          <w:tcPr>
            <w:tcW w:w="1382" w:type="dxa"/>
            <w:tcBorders>
              <w:top w:val="nil"/>
              <w:bottom w:val="nil"/>
            </w:tcBorders>
            <w:vAlign w:val="center"/>
          </w:tcPr>
          <w:p w14:paraId="446F2294" w14:textId="6FB82171"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 </w:t>
            </w:r>
          </w:p>
        </w:tc>
        <w:tc>
          <w:tcPr>
            <w:tcW w:w="1382" w:type="dxa"/>
            <w:tcBorders>
              <w:top w:val="nil"/>
              <w:bottom w:val="nil"/>
            </w:tcBorders>
            <w:vAlign w:val="center"/>
          </w:tcPr>
          <w:p w14:paraId="768E54B7"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4D54EAB0"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Arial"/>
                <w:color w:val="000000"/>
                <w:sz w:val="18"/>
                <w:szCs w:val="18"/>
                <w:lang w:eastAsia="zh-CN"/>
              </w:rPr>
              <w:t>1 493</w:t>
            </w:r>
          </w:p>
        </w:tc>
        <w:tc>
          <w:tcPr>
            <w:tcW w:w="1383" w:type="dxa"/>
            <w:tcBorders>
              <w:top w:val="nil"/>
              <w:bottom w:val="nil"/>
            </w:tcBorders>
            <w:vAlign w:val="center"/>
          </w:tcPr>
          <w:p w14:paraId="4DBC45AB" w14:textId="78A68210"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1 493</w:t>
            </w:r>
          </w:p>
        </w:tc>
      </w:tr>
      <w:tr w:rsidR="00FA47FC" w:rsidRPr="00236418" w14:paraId="4768A794" w14:textId="77777777" w:rsidTr="006538EB">
        <w:trPr>
          <w:jc w:val="center"/>
        </w:trPr>
        <w:tc>
          <w:tcPr>
            <w:tcW w:w="4181" w:type="dxa"/>
            <w:tcBorders>
              <w:top w:val="nil"/>
              <w:bottom w:val="nil"/>
            </w:tcBorders>
          </w:tcPr>
          <w:p w14:paraId="2F8900B0" w14:textId="77777777" w:rsidR="00FA47FC" w:rsidRPr="00236418" w:rsidRDefault="00FA47FC" w:rsidP="009B3D24">
            <w:pPr>
              <w:pStyle w:val="Tabletext"/>
              <w:spacing w:before="20" w:after="20"/>
              <w:rPr>
                <w:sz w:val="18"/>
                <w:szCs w:val="18"/>
                <w:lang w:eastAsia="zh-CN"/>
              </w:rPr>
            </w:pPr>
            <w:r w:rsidRPr="00236418">
              <w:rPr>
                <w:sz w:val="18"/>
                <w:szCs w:val="18"/>
                <w:lang w:eastAsia="zh-CN"/>
              </w:rPr>
              <w:t>Produits en nature</w:t>
            </w:r>
          </w:p>
        </w:tc>
        <w:tc>
          <w:tcPr>
            <w:tcW w:w="1382" w:type="dxa"/>
            <w:tcBorders>
              <w:top w:val="nil"/>
              <w:bottom w:val="nil"/>
            </w:tcBorders>
            <w:vAlign w:val="center"/>
          </w:tcPr>
          <w:p w14:paraId="35EC3941" w14:textId="2C11DA5D"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841</w:t>
            </w:r>
          </w:p>
        </w:tc>
        <w:tc>
          <w:tcPr>
            <w:tcW w:w="1382" w:type="dxa"/>
            <w:tcBorders>
              <w:top w:val="nil"/>
              <w:bottom w:val="nil"/>
            </w:tcBorders>
            <w:vAlign w:val="center"/>
          </w:tcPr>
          <w:p w14:paraId="425D39DF"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0D81EFE4"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4CDCA311" w14:textId="26D89095"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841</w:t>
            </w:r>
          </w:p>
        </w:tc>
      </w:tr>
      <w:tr w:rsidR="00FA47FC" w:rsidRPr="00236418" w14:paraId="321F736A" w14:textId="77777777" w:rsidTr="006538EB">
        <w:trPr>
          <w:jc w:val="center"/>
        </w:trPr>
        <w:tc>
          <w:tcPr>
            <w:tcW w:w="4181" w:type="dxa"/>
            <w:tcBorders>
              <w:top w:val="nil"/>
              <w:bottom w:val="nil"/>
            </w:tcBorders>
          </w:tcPr>
          <w:p w14:paraId="14F1C1E5" w14:textId="77777777" w:rsidR="00FA47FC" w:rsidRPr="00236418" w:rsidRDefault="00FA47FC" w:rsidP="009B3D24">
            <w:pPr>
              <w:pStyle w:val="Tabletext"/>
              <w:spacing w:before="20" w:after="20"/>
              <w:rPr>
                <w:sz w:val="18"/>
                <w:szCs w:val="18"/>
                <w:lang w:eastAsia="zh-CN"/>
              </w:rPr>
            </w:pPr>
            <w:r w:rsidRPr="00236418">
              <w:rPr>
                <w:sz w:val="18"/>
                <w:szCs w:val="18"/>
                <w:lang w:eastAsia="zh-CN"/>
              </w:rPr>
              <w:t>Charges en nature</w:t>
            </w:r>
          </w:p>
        </w:tc>
        <w:tc>
          <w:tcPr>
            <w:tcW w:w="1382" w:type="dxa"/>
            <w:tcBorders>
              <w:top w:val="nil"/>
              <w:bottom w:val="nil"/>
            </w:tcBorders>
            <w:vAlign w:val="center"/>
          </w:tcPr>
          <w:p w14:paraId="19A81B9A" w14:textId="304D69DD"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–841</w:t>
            </w:r>
          </w:p>
        </w:tc>
        <w:tc>
          <w:tcPr>
            <w:tcW w:w="1382" w:type="dxa"/>
            <w:tcBorders>
              <w:top w:val="nil"/>
              <w:bottom w:val="nil"/>
            </w:tcBorders>
            <w:vAlign w:val="center"/>
          </w:tcPr>
          <w:p w14:paraId="61379944"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2CFFB9FE"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698F1B84" w14:textId="5D2F65D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–841</w:t>
            </w:r>
          </w:p>
        </w:tc>
      </w:tr>
      <w:tr w:rsidR="00FA47FC" w:rsidRPr="00236418" w14:paraId="4DD7417A" w14:textId="77777777" w:rsidTr="006538EB">
        <w:trPr>
          <w:trHeight w:val="238"/>
          <w:jc w:val="center"/>
        </w:trPr>
        <w:tc>
          <w:tcPr>
            <w:tcW w:w="4181" w:type="dxa"/>
            <w:tcBorders>
              <w:top w:val="nil"/>
              <w:bottom w:val="nil"/>
            </w:tcBorders>
          </w:tcPr>
          <w:p w14:paraId="7B9B88E3" w14:textId="77777777" w:rsidR="00FA47FC" w:rsidRPr="00236418" w:rsidRDefault="00FA47FC" w:rsidP="009B3D24">
            <w:pPr>
              <w:pStyle w:val="Tabletext"/>
              <w:spacing w:before="20" w:after="20"/>
              <w:rPr>
                <w:sz w:val="18"/>
                <w:szCs w:val="18"/>
                <w:lang w:eastAsia="zh-CN"/>
              </w:rPr>
            </w:pPr>
            <w:r w:rsidRPr="00236418">
              <w:rPr>
                <w:sz w:val="18"/>
                <w:szCs w:val="18"/>
                <w:lang w:eastAsia="zh-CN"/>
              </w:rPr>
              <w:t>Vente d'actifs</w:t>
            </w:r>
          </w:p>
        </w:tc>
        <w:tc>
          <w:tcPr>
            <w:tcW w:w="1382" w:type="dxa"/>
            <w:tcBorders>
              <w:top w:val="nil"/>
              <w:bottom w:val="nil"/>
            </w:tcBorders>
            <w:vAlign w:val="center"/>
          </w:tcPr>
          <w:p w14:paraId="18DF7570" w14:textId="7409EF66"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2</w:t>
            </w:r>
          </w:p>
        </w:tc>
        <w:tc>
          <w:tcPr>
            <w:tcW w:w="1382" w:type="dxa"/>
            <w:tcBorders>
              <w:top w:val="nil"/>
              <w:bottom w:val="nil"/>
            </w:tcBorders>
            <w:vAlign w:val="center"/>
          </w:tcPr>
          <w:p w14:paraId="4FA8FEA9"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213E8358"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76419AA9" w14:textId="7E62CE68"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2</w:t>
            </w:r>
          </w:p>
        </w:tc>
      </w:tr>
      <w:tr w:rsidR="00FA47FC" w:rsidRPr="00236418" w14:paraId="516CDBB1" w14:textId="77777777" w:rsidTr="006538EB">
        <w:trPr>
          <w:trHeight w:val="263"/>
          <w:jc w:val="center"/>
        </w:trPr>
        <w:tc>
          <w:tcPr>
            <w:tcW w:w="4181" w:type="dxa"/>
            <w:tcBorders>
              <w:top w:val="nil"/>
              <w:bottom w:val="single" w:sz="4" w:space="0" w:color="auto"/>
            </w:tcBorders>
          </w:tcPr>
          <w:p w14:paraId="55F7B75E" w14:textId="77777777" w:rsidR="00FA47FC" w:rsidRPr="00236418" w:rsidRDefault="00FA47FC" w:rsidP="009B3D24">
            <w:pPr>
              <w:pStyle w:val="Tabletext"/>
              <w:spacing w:before="20" w:after="20"/>
              <w:rPr>
                <w:sz w:val="18"/>
                <w:szCs w:val="18"/>
                <w:lang w:eastAsia="zh-CN"/>
              </w:rPr>
            </w:pPr>
            <w:r w:rsidRPr="00236418">
              <w:rPr>
                <w:sz w:val="18"/>
                <w:szCs w:val="18"/>
                <w:lang w:eastAsia="zh-CN"/>
              </w:rPr>
              <w:t>Divers</w:t>
            </w:r>
          </w:p>
        </w:tc>
        <w:tc>
          <w:tcPr>
            <w:tcW w:w="1382" w:type="dxa"/>
            <w:tcBorders>
              <w:top w:val="nil"/>
              <w:bottom w:val="single" w:sz="4" w:space="0" w:color="auto"/>
            </w:tcBorders>
            <w:vAlign w:val="center"/>
          </w:tcPr>
          <w:p w14:paraId="1B426705" w14:textId="390BC41D"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–26</w:t>
            </w:r>
          </w:p>
        </w:tc>
        <w:tc>
          <w:tcPr>
            <w:tcW w:w="1382" w:type="dxa"/>
            <w:tcBorders>
              <w:top w:val="nil"/>
              <w:bottom w:val="single" w:sz="4" w:space="0" w:color="auto"/>
            </w:tcBorders>
            <w:vAlign w:val="center"/>
          </w:tcPr>
          <w:p w14:paraId="5D76E46F"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single" w:sz="4" w:space="0" w:color="auto"/>
            </w:tcBorders>
            <w:vAlign w:val="center"/>
          </w:tcPr>
          <w:p w14:paraId="35266A50"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single" w:sz="4" w:space="0" w:color="auto"/>
            </w:tcBorders>
            <w:vAlign w:val="center"/>
          </w:tcPr>
          <w:p w14:paraId="1DC95FCC" w14:textId="2F955BCD"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–26</w:t>
            </w:r>
          </w:p>
        </w:tc>
      </w:tr>
      <w:tr w:rsidR="00FA47FC" w:rsidRPr="00236418" w14:paraId="5D785E93" w14:textId="77777777" w:rsidTr="006538EB">
        <w:trPr>
          <w:jc w:val="center"/>
        </w:trPr>
        <w:tc>
          <w:tcPr>
            <w:tcW w:w="4181" w:type="dxa"/>
            <w:tcBorders>
              <w:top w:val="single" w:sz="4" w:space="0" w:color="auto"/>
            </w:tcBorders>
          </w:tcPr>
          <w:p w14:paraId="5834F32F" w14:textId="77777777" w:rsidR="00FA47FC" w:rsidRPr="00236418" w:rsidRDefault="00FA47FC" w:rsidP="009B3D24">
            <w:pPr>
              <w:pStyle w:val="Tabletext"/>
              <w:spacing w:before="20" w:after="20"/>
              <w:rPr>
                <w:b/>
                <w:bCs/>
                <w:sz w:val="18"/>
                <w:szCs w:val="18"/>
                <w:lang w:eastAsia="zh-CN"/>
              </w:rPr>
            </w:pPr>
            <w:r w:rsidRPr="00236418">
              <w:rPr>
                <w:b/>
                <w:bCs/>
                <w:sz w:val="18"/>
                <w:szCs w:val="18"/>
                <w:lang w:eastAsia="zh-CN"/>
              </w:rPr>
              <w:t xml:space="preserve">Total des différences IPSAS </w:t>
            </w:r>
          </w:p>
        </w:tc>
        <w:tc>
          <w:tcPr>
            <w:tcW w:w="1382" w:type="dxa"/>
            <w:tcBorders>
              <w:top w:val="single" w:sz="4" w:space="0" w:color="auto"/>
            </w:tcBorders>
            <w:vAlign w:val="center"/>
          </w:tcPr>
          <w:p w14:paraId="026242C5" w14:textId="0E6C48D4"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 xml:space="preserve">–67 640 </w:t>
            </w:r>
          </w:p>
        </w:tc>
        <w:tc>
          <w:tcPr>
            <w:tcW w:w="1382" w:type="dxa"/>
            <w:tcBorders>
              <w:top w:val="single" w:sz="4" w:space="0" w:color="auto"/>
            </w:tcBorders>
            <w:vAlign w:val="center"/>
          </w:tcPr>
          <w:p w14:paraId="0EA83A3D" w14:textId="18283E30"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1 653</w:t>
            </w:r>
          </w:p>
        </w:tc>
        <w:tc>
          <w:tcPr>
            <w:tcW w:w="1382" w:type="dxa"/>
            <w:tcBorders>
              <w:top w:val="single" w:sz="4" w:space="0" w:color="auto"/>
            </w:tcBorders>
            <w:vAlign w:val="center"/>
          </w:tcPr>
          <w:p w14:paraId="66CEF241"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1 493</w:t>
            </w:r>
          </w:p>
        </w:tc>
        <w:tc>
          <w:tcPr>
            <w:tcW w:w="1383" w:type="dxa"/>
            <w:tcBorders>
              <w:top w:val="single" w:sz="4" w:space="0" w:color="auto"/>
            </w:tcBorders>
            <w:vAlign w:val="center"/>
          </w:tcPr>
          <w:p w14:paraId="2C308C05" w14:textId="0FEF903B"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–64 494</w:t>
            </w:r>
          </w:p>
        </w:tc>
      </w:tr>
      <w:tr w:rsidR="00FA47FC" w:rsidRPr="00236418" w14:paraId="1ACC2649" w14:textId="77777777" w:rsidTr="006538EB">
        <w:trPr>
          <w:trHeight w:val="199"/>
          <w:jc w:val="center"/>
        </w:trPr>
        <w:tc>
          <w:tcPr>
            <w:tcW w:w="4181" w:type="dxa"/>
            <w:tcBorders>
              <w:bottom w:val="nil"/>
            </w:tcBorders>
          </w:tcPr>
          <w:p w14:paraId="6DD12788" w14:textId="77777777" w:rsidR="00FA47FC" w:rsidRPr="00236418" w:rsidRDefault="00FA47FC" w:rsidP="009B3D24">
            <w:pPr>
              <w:pStyle w:val="Tabletext"/>
              <w:spacing w:before="20" w:after="20"/>
              <w:rPr>
                <w:sz w:val="18"/>
                <w:szCs w:val="18"/>
                <w:lang w:eastAsia="zh-CN"/>
              </w:rPr>
            </w:pPr>
            <w:r w:rsidRPr="00236418">
              <w:rPr>
                <w:sz w:val="18"/>
                <w:szCs w:val="18"/>
                <w:lang w:eastAsia="zh-CN"/>
              </w:rPr>
              <w:t>Gain Fonds 1000/1010</w:t>
            </w:r>
          </w:p>
        </w:tc>
        <w:tc>
          <w:tcPr>
            <w:tcW w:w="1382" w:type="dxa"/>
            <w:tcBorders>
              <w:bottom w:val="nil"/>
            </w:tcBorders>
            <w:vAlign w:val="center"/>
          </w:tcPr>
          <w:p w14:paraId="0BE68F76" w14:textId="0F525E50"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 xml:space="preserve">–62 862 </w:t>
            </w:r>
          </w:p>
        </w:tc>
        <w:tc>
          <w:tcPr>
            <w:tcW w:w="1382" w:type="dxa"/>
            <w:tcBorders>
              <w:bottom w:val="nil"/>
            </w:tcBorders>
            <w:vAlign w:val="center"/>
          </w:tcPr>
          <w:p w14:paraId="271A4982" w14:textId="663D849B"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Arial"/>
                <w:color w:val="000000"/>
                <w:sz w:val="18"/>
                <w:szCs w:val="18"/>
                <w:lang w:eastAsia="zh-CN"/>
              </w:rPr>
              <w:t>1 653</w:t>
            </w:r>
          </w:p>
        </w:tc>
        <w:tc>
          <w:tcPr>
            <w:tcW w:w="1382" w:type="dxa"/>
            <w:tcBorders>
              <w:bottom w:val="nil"/>
            </w:tcBorders>
            <w:vAlign w:val="center"/>
          </w:tcPr>
          <w:p w14:paraId="3682B713"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Arial"/>
                <w:color w:val="000000"/>
                <w:sz w:val="18"/>
                <w:szCs w:val="18"/>
                <w:lang w:eastAsia="zh-CN"/>
              </w:rPr>
              <w:t>1 493</w:t>
            </w:r>
          </w:p>
        </w:tc>
        <w:tc>
          <w:tcPr>
            <w:tcW w:w="1383" w:type="dxa"/>
            <w:tcBorders>
              <w:bottom w:val="nil"/>
            </w:tcBorders>
            <w:vAlign w:val="center"/>
          </w:tcPr>
          <w:p w14:paraId="4FB62C3E" w14:textId="747CE938"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–59 716</w:t>
            </w:r>
          </w:p>
        </w:tc>
      </w:tr>
      <w:tr w:rsidR="00FA47FC" w:rsidRPr="00236418" w14:paraId="0BC60D89" w14:textId="77777777" w:rsidTr="006538EB">
        <w:trPr>
          <w:jc w:val="center"/>
        </w:trPr>
        <w:tc>
          <w:tcPr>
            <w:tcW w:w="4181" w:type="dxa"/>
            <w:tcBorders>
              <w:top w:val="nil"/>
            </w:tcBorders>
          </w:tcPr>
          <w:p w14:paraId="24E5773E" w14:textId="77777777" w:rsidR="00FA47FC" w:rsidRPr="00236418" w:rsidRDefault="00FA47FC" w:rsidP="009B3D24">
            <w:pPr>
              <w:pStyle w:val="Tabletext"/>
              <w:spacing w:before="20" w:after="20"/>
              <w:rPr>
                <w:sz w:val="18"/>
                <w:szCs w:val="18"/>
                <w:lang w:eastAsia="zh-CN"/>
              </w:rPr>
            </w:pPr>
            <w:r w:rsidRPr="00236418">
              <w:rPr>
                <w:sz w:val="18"/>
                <w:szCs w:val="18"/>
                <w:lang w:eastAsia="zh-CN"/>
              </w:rPr>
              <w:t xml:space="preserve">Augmentation des réserves du Fonds 1010 </w:t>
            </w:r>
          </w:p>
        </w:tc>
        <w:tc>
          <w:tcPr>
            <w:tcW w:w="1382" w:type="dxa"/>
            <w:tcBorders>
              <w:top w:val="nil"/>
            </w:tcBorders>
            <w:vAlign w:val="center"/>
          </w:tcPr>
          <w:p w14:paraId="121C4C42" w14:textId="420F0C1C"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 xml:space="preserve">170 </w:t>
            </w:r>
          </w:p>
        </w:tc>
        <w:tc>
          <w:tcPr>
            <w:tcW w:w="1382" w:type="dxa"/>
            <w:tcBorders>
              <w:top w:val="nil"/>
            </w:tcBorders>
            <w:vAlign w:val="center"/>
          </w:tcPr>
          <w:p w14:paraId="62A6456F"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tcBorders>
            <w:vAlign w:val="center"/>
          </w:tcPr>
          <w:p w14:paraId="1FC29BC7"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tcBorders>
            <w:vAlign w:val="center"/>
          </w:tcPr>
          <w:p w14:paraId="07DEDCB7" w14:textId="770BF59D"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236418">
              <w:rPr>
                <w:rFonts w:cs="Calibri"/>
                <w:color w:val="000000"/>
                <w:sz w:val="18"/>
                <w:szCs w:val="18"/>
                <w:lang w:eastAsia="en-GB"/>
              </w:rPr>
              <w:t>170</w:t>
            </w:r>
          </w:p>
        </w:tc>
      </w:tr>
      <w:tr w:rsidR="00FA47FC" w:rsidRPr="00236418" w14:paraId="46DE066A" w14:textId="77777777" w:rsidTr="006538EB">
        <w:trPr>
          <w:jc w:val="center"/>
        </w:trPr>
        <w:tc>
          <w:tcPr>
            <w:tcW w:w="4181" w:type="dxa"/>
          </w:tcPr>
          <w:p w14:paraId="4801E4F6" w14:textId="77777777" w:rsidR="00FA47FC" w:rsidRPr="00236418" w:rsidRDefault="00FA47FC" w:rsidP="009B3D24">
            <w:pPr>
              <w:pStyle w:val="Tabletext"/>
              <w:spacing w:before="20" w:after="20"/>
              <w:rPr>
                <w:b/>
                <w:bCs/>
                <w:sz w:val="18"/>
                <w:szCs w:val="18"/>
                <w:lang w:eastAsia="zh-CN"/>
              </w:rPr>
            </w:pPr>
            <w:r w:rsidRPr="00236418">
              <w:rPr>
                <w:b/>
                <w:bCs/>
                <w:sz w:val="18"/>
                <w:szCs w:val="18"/>
                <w:lang w:eastAsia="zh-CN"/>
              </w:rPr>
              <w:t>Total excédent</w:t>
            </w:r>
          </w:p>
        </w:tc>
        <w:tc>
          <w:tcPr>
            <w:tcW w:w="1382" w:type="dxa"/>
            <w:vAlign w:val="center"/>
          </w:tcPr>
          <w:p w14:paraId="0BB980F2" w14:textId="16623CC6"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 xml:space="preserve">–62 692 </w:t>
            </w:r>
          </w:p>
        </w:tc>
        <w:tc>
          <w:tcPr>
            <w:tcW w:w="1382" w:type="dxa"/>
            <w:vAlign w:val="center"/>
          </w:tcPr>
          <w:p w14:paraId="669473A4" w14:textId="63C1C6D2"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1 653</w:t>
            </w:r>
          </w:p>
        </w:tc>
        <w:tc>
          <w:tcPr>
            <w:tcW w:w="1382" w:type="dxa"/>
            <w:vAlign w:val="center"/>
          </w:tcPr>
          <w:p w14:paraId="68254F77"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1 493</w:t>
            </w:r>
          </w:p>
        </w:tc>
        <w:tc>
          <w:tcPr>
            <w:tcW w:w="1383" w:type="dxa"/>
            <w:vAlign w:val="center"/>
          </w:tcPr>
          <w:p w14:paraId="7A666FDA" w14:textId="77A140D2"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–59 546</w:t>
            </w:r>
          </w:p>
        </w:tc>
      </w:tr>
      <w:tr w:rsidR="00FA47FC" w:rsidRPr="00236418" w14:paraId="6BAA968B" w14:textId="77777777" w:rsidTr="006538EB">
        <w:trPr>
          <w:jc w:val="center"/>
        </w:trPr>
        <w:tc>
          <w:tcPr>
            <w:tcW w:w="4181" w:type="dxa"/>
          </w:tcPr>
          <w:p w14:paraId="4EA8F30A" w14:textId="77777777" w:rsidR="00FA47FC" w:rsidRPr="00236418" w:rsidRDefault="00FA47FC" w:rsidP="009B3D24">
            <w:pPr>
              <w:pStyle w:val="Tabletext"/>
              <w:spacing w:before="20" w:after="20"/>
              <w:rPr>
                <w:b/>
                <w:bCs/>
                <w:sz w:val="18"/>
                <w:szCs w:val="18"/>
                <w:lang w:eastAsia="zh-CN"/>
              </w:rPr>
            </w:pPr>
            <w:r w:rsidRPr="00236418">
              <w:rPr>
                <w:b/>
                <w:bCs/>
                <w:sz w:val="18"/>
                <w:szCs w:val="18"/>
                <w:lang w:eastAsia="zh-CN"/>
              </w:rPr>
              <w:t>Différences de périmètre</w:t>
            </w:r>
          </w:p>
        </w:tc>
        <w:tc>
          <w:tcPr>
            <w:tcW w:w="1382" w:type="dxa"/>
            <w:vAlign w:val="center"/>
          </w:tcPr>
          <w:p w14:paraId="42809B01" w14:textId="21C5BDEB"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 xml:space="preserve">2 083 </w:t>
            </w:r>
          </w:p>
        </w:tc>
        <w:tc>
          <w:tcPr>
            <w:tcW w:w="1382" w:type="dxa"/>
            <w:vAlign w:val="center"/>
          </w:tcPr>
          <w:p w14:paraId="5AC73D11"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p>
        </w:tc>
        <w:tc>
          <w:tcPr>
            <w:tcW w:w="1382" w:type="dxa"/>
            <w:vAlign w:val="center"/>
          </w:tcPr>
          <w:p w14:paraId="287EAEDC"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p>
        </w:tc>
        <w:tc>
          <w:tcPr>
            <w:tcW w:w="1383" w:type="dxa"/>
            <w:vAlign w:val="center"/>
          </w:tcPr>
          <w:p w14:paraId="1F07072A" w14:textId="20DA7402"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2 083</w:t>
            </w:r>
          </w:p>
        </w:tc>
      </w:tr>
      <w:tr w:rsidR="00FA47FC" w:rsidRPr="00236418" w14:paraId="5B8C6D62" w14:textId="77777777" w:rsidTr="006538EB">
        <w:trPr>
          <w:jc w:val="center"/>
        </w:trPr>
        <w:tc>
          <w:tcPr>
            <w:tcW w:w="4181" w:type="dxa"/>
          </w:tcPr>
          <w:p w14:paraId="0A5E4CDC" w14:textId="77777777" w:rsidR="00FA47FC" w:rsidRPr="00236418" w:rsidRDefault="00FA47FC" w:rsidP="009B3D24">
            <w:pPr>
              <w:pStyle w:val="Tabletext"/>
              <w:spacing w:before="20" w:after="20"/>
              <w:rPr>
                <w:b/>
                <w:bCs/>
                <w:sz w:val="18"/>
                <w:szCs w:val="18"/>
                <w:lang w:eastAsia="zh-CN"/>
              </w:rPr>
            </w:pPr>
            <w:r w:rsidRPr="00236418">
              <w:rPr>
                <w:b/>
                <w:bCs/>
                <w:sz w:val="18"/>
                <w:szCs w:val="18"/>
                <w:lang w:eastAsia="zh-CN"/>
              </w:rPr>
              <w:t>Excédent tel que montré dans l'état de la performance financière</w:t>
            </w:r>
          </w:p>
        </w:tc>
        <w:tc>
          <w:tcPr>
            <w:tcW w:w="1382" w:type="dxa"/>
            <w:vAlign w:val="center"/>
          </w:tcPr>
          <w:p w14:paraId="5EB738DC" w14:textId="21460204"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–60 609</w:t>
            </w:r>
          </w:p>
        </w:tc>
        <w:tc>
          <w:tcPr>
            <w:tcW w:w="1382" w:type="dxa"/>
            <w:vAlign w:val="center"/>
          </w:tcPr>
          <w:p w14:paraId="360D3ED1" w14:textId="20F44624"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1 653</w:t>
            </w:r>
          </w:p>
        </w:tc>
        <w:tc>
          <w:tcPr>
            <w:tcW w:w="1382" w:type="dxa"/>
            <w:vAlign w:val="center"/>
          </w:tcPr>
          <w:p w14:paraId="352FAB2C" w14:textId="77777777"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Arial"/>
                <w:b/>
                <w:bCs/>
                <w:color w:val="000000"/>
                <w:sz w:val="18"/>
                <w:szCs w:val="18"/>
                <w:lang w:eastAsia="zh-CN"/>
              </w:rPr>
              <w:t>1 493</w:t>
            </w:r>
          </w:p>
        </w:tc>
        <w:tc>
          <w:tcPr>
            <w:tcW w:w="1383" w:type="dxa"/>
            <w:vAlign w:val="center"/>
          </w:tcPr>
          <w:p w14:paraId="00C68943" w14:textId="0040BF2A" w:rsidR="00FA47FC" w:rsidRPr="00236418"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236418">
              <w:rPr>
                <w:rFonts w:cs="Calibri"/>
                <w:b/>
                <w:bCs/>
                <w:color w:val="000000"/>
                <w:sz w:val="18"/>
                <w:szCs w:val="18"/>
                <w:lang w:eastAsia="en-GB"/>
              </w:rPr>
              <w:t>–57 463</w:t>
            </w:r>
          </w:p>
        </w:tc>
      </w:tr>
    </w:tbl>
    <w:p w14:paraId="00237437" w14:textId="77777777" w:rsidR="00412FA6" w:rsidRPr="00236418" w:rsidRDefault="00412FA6" w:rsidP="00081C96">
      <w:pPr>
        <w:pStyle w:val="Heading1"/>
        <w:spacing w:before="240" w:after="120"/>
        <w:rPr>
          <w:sz w:val="24"/>
          <w:szCs w:val="24"/>
        </w:rPr>
      </w:pPr>
      <w:bookmarkStart w:id="2294" w:name="_Toc329178808"/>
      <w:bookmarkStart w:id="2295" w:name="_Toc329181781"/>
      <w:bookmarkStart w:id="2296" w:name="_Toc329202609"/>
      <w:bookmarkStart w:id="2297" w:name="_Toc329205041"/>
      <w:bookmarkStart w:id="2298" w:name="_Toc329206878"/>
      <w:bookmarkStart w:id="2299" w:name="_Toc358379958"/>
      <w:bookmarkStart w:id="2300" w:name="_Toc358380501"/>
      <w:bookmarkStart w:id="2301" w:name="_Toc387166669"/>
      <w:bookmarkStart w:id="2302" w:name="_Toc395260954"/>
      <w:bookmarkStart w:id="2303" w:name="_Toc395511741"/>
      <w:bookmarkStart w:id="2304" w:name="_Toc452138643"/>
      <w:bookmarkStart w:id="2305" w:name="_Toc452139092"/>
      <w:bookmarkStart w:id="2306" w:name="_Toc452139456"/>
      <w:bookmarkStart w:id="2307" w:name="_Toc452139862"/>
      <w:bookmarkStart w:id="2308" w:name="_Toc452140736"/>
      <w:bookmarkStart w:id="2309" w:name="_Toc482801525"/>
      <w:bookmarkStart w:id="2310" w:name="_Toc511649504"/>
      <w:bookmarkStart w:id="2311" w:name="_Toc511649867"/>
      <w:bookmarkStart w:id="2312" w:name="_Toc511649990"/>
      <w:bookmarkStart w:id="2313" w:name="_Toc511651250"/>
      <w:bookmarkStart w:id="2314" w:name="_Toc511724113"/>
      <w:bookmarkStart w:id="2315" w:name="_Toc511739102"/>
      <w:bookmarkStart w:id="2316" w:name="_Toc511741273"/>
      <w:bookmarkStart w:id="2317" w:name="_Toc10450786"/>
      <w:bookmarkStart w:id="2318" w:name="_Toc41566372"/>
      <w:bookmarkStart w:id="2319" w:name="_Toc41567383"/>
      <w:bookmarkStart w:id="2320" w:name="_Toc41567879"/>
      <w:r w:rsidRPr="00236418">
        <w:rPr>
          <w:sz w:val="24"/>
          <w:szCs w:val="24"/>
        </w:rPr>
        <w:br w:type="page"/>
      </w:r>
    </w:p>
    <w:p w14:paraId="354D4296" w14:textId="14FB1A0F" w:rsidR="00DF6159" w:rsidRPr="00236418" w:rsidRDefault="00DF6159" w:rsidP="00081C96">
      <w:pPr>
        <w:pStyle w:val="Heading1"/>
        <w:spacing w:before="240" w:after="120"/>
        <w:rPr>
          <w:sz w:val="24"/>
          <w:szCs w:val="24"/>
        </w:rPr>
      </w:pPr>
      <w:bookmarkStart w:id="2321" w:name="_Toc41814976"/>
      <w:r w:rsidRPr="00236418">
        <w:rPr>
          <w:sz w:val="24"/>
          <w:szCs w:val="24"/>
        </w:rPr>
        <w:lastRenderedPageBreak/>
        <w:t>Note 27</w:t>
      </w:r>
      <w:r w:rsidRPr="00236418">
        <w:rPr>
          <w:sz w:val="24"/>
          <w:szCs w:val="24"/>
        </w:rPr>
        <w:tab/>
        <w:t>Informations relatives aux parties liées</w:t>
      </w:r>
      <w:bookmarkEnd w:id="2292"/>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r w:rsidRPr="00236418">
        <w:rPr>
          <w:sz w:val="24"/>
          <w:szCs w:val="24"/>
        </w:rPr>
        <w:t xml:space="preserve"> </w:t>
      </w:r>
      <w:bookmarkEnd w:id="2293"/>
    </w:p>
    <w:p w14:paraId="70004EB4" w14:textId="77777777" w:rsidR="00DF6159" w:rsidRPr="00236418" w:rsidRDefault="00DF6159" w:rsidP="009B3D24">
      <w:r w:rsidRPr="00236418">
        <w:t>L'entité suivante est à considérer comme partie liée:</w:t>
      </w:r>
    </w:p>
    <w:p w14:paraId="56D843E7" w14:textId="77777777" w:rsidR="00DF6159" w:rsidRPr="00236418" w:rsidRDefault="00DF6159" w:rsidP="009B3D24">
      <w:pPr>
        <w:pStyle w:val="enumlev1"/>
        <w:rPr>
          <w:color w:val="000000"/>
        </w:rPr>
      </w:pPr>
      <w:r w:rsidRPr="00236418">
        <w:rPr>
          <w:color w:val="000000"/>
        </w:rPr>
        <w:t>–</w:t>
      </w:r>
      <w:r w:rsidRPr="00236418">
        <w:rPr>
          <w:color w:val="000000"/>
        </w:rPr>
        <w:tab/>
        <w:t xml:space="preserve">La </w:t>
      </w:r>
      <w:r w:rsidRPr="00236418">
        <w:t>Caisse commune des pensions du personnel des Nations Unies (CCPPNU).</w:t>
      </w:r>
    </w:p>
    <w:p w14:paraId="41B1E024" w14:textId="77777777" w:rsidR="00DF6159" w:rsidRPr="00236418" w:rsidRDefault="00DF6159" w:rsidP="009B3D24">
      <w:r w:rsidRPr="00236418">
        <w:t>Le Conseil d'Administration de l'Union se compose de 48 États Membres, sans désignation de personnes spécifiques</w:t>
      </w:r>
      <w:r w:rsidRPr="00236418">
        <w:rPr>
          <w:rFonts w:cstheme="minorHAnsi"/>
          <w:bCs/>
          <w:color w:val="000000" w:themeColor="text1"/>
          <w:spacing w:val="-4"/>
          <w:w w:val="105"/>
        </w:rPr>
        <w:t>.</w:t>
      </w:r>
    </w:p>
    <w:p w14:paraId="5FF09C25" w14:textId="353887AD" w:rsidR="00DF6159" w:rsidRPr="00236418" w:rsidRDefault="00DF6159" w:rsidP="009B3D24">
      <w:r w:rsidRPr="00236418">
        <w:t>L'Union est gérée par le Secrétaire général, qui en assure la direction, aidé en cela par le Vice</w:t>
      </w:r>
      <w:r w:rsidR="00FC47EC" w:rsidRPr="00236418">
        <w:noBreakHyphen/>
      </w:r>
      <w:r w:rsidRPr="00236418">
        <w:t xml:space="preserve">Secrétaire général et par trois Directeurs des Secteurs suivants (cadres de haut niveau siégeant au Conseil exécutif): le Secteur des radiocommunications (UIT-R), le Secteur de la normalisation des télécommunications (UIT-T) et le Secteur du développement des télécommunications (UIT-D). </w:t>
      </w:r>
      <w:r w:rsidRPr="00236418">
        <w:rPr>
          <w:color w:val="000000"/>
        </w:rPr>
        <w:t xml:space="preserve">Les cinq fonctionnaires élus sont assistés par </w:t>
      </w:r>
      <w:r w:rsidR="00FC47EC" w:rsidRPr="00236418">
        <w:rPr>
          <w:color w:val="000000"/>
        </w:rPr>
        <w:t>trois</w:t>
      </w:r>
      <w:r w:rsidRPr="00236418">
        <w:rPr>
          <w:color w:val="000000"/>
        </w:rPr>
        <w:t xml:space="preserve"> hauts responsables de grade D.2 et 1</w:t>
      </w:r>
      <w:r w:rsidR="00FC47EC" w:rsidRPr="00236418">
        <w:rPr>
          <w:color w:val="000000"/>
        </w:rPr>
        <w:t>8</w:t>
      </w:r>
      <w:r w:rsidRPr="00236418">
        <w:rPr>
          <w:color w:val="000000"/>
        </w:rPr>
        <w:t xml:space="preserve"> autres responsables de grade D.1 (chefs de département et ou d'unité).</w:t>
      </w:r>
    </w:p>
    <w:p w14:paraId="2CA313D4" w14:textId="77777777" w:rsidR="00DF6159" w:rsidRPr="00236418" w:rsidRDefault="00DF6159" w:rsidP="009B3D24">
      <w:r w:rsidRPr="00236418">
        <w:t xml:space="preserve">La rémunération globale payée au personnel clé de direction comprend le traitement net, l'indemnité de poste, des indemnités comme l'indemnité pour frais de représentation, l'indemnité d'affectation, l'indemnité de rapatriement, les congés accumulés, l'allocation logement, et l'expédition des effets personnels. </w:t>
      </w:r>
    </w:p>
    <w:p w14:paraId="073C846F" w14:textId="77777777" w:rsidR="00DF6159" w:rsidRPr="00236418" w:rsidRDefault="00DF6159" w:rsidP="009B3D24">
      <w:pPr>
        <w:rPr>
          <w:rFonts w:asciiTheme="minorHAnsi" w:eastAsia="Calibri" w:hAnsiTheme="minorHAnsi"/>
          <w:color w:val="000000" w:themeColor="text1"/>
        </w:rPr>
      </w:pPr>
      <w:r w:rsidRPr="00236418">
        <w:rPr>
          <w:rFonts w:asciiTheme="minorHAnsi" w:eastAsia="Calibri" w:hAnsiTheme="minorHAnsi"/>
          <w:color w:val="000000" w:themeColor="text1"/>
        </w:rPr>
        <w:t>Le personnel clé de direction a également droit aux mêmes prestations que le personnel de la catégorie professionnelle, à savoir:</w:t>
      </w:r>
    </w:p>
    <w:p w14:paraId="37B156B0" w14:textId="77777777" w:rsidR="00DF6159" w:rsidRPr="00236418" w:rsidRDefault="00DF6159" w:rsidP="009B3D24">
      <w:pPr>
        <w:pStyle w:val="enumlev1"/>
      </w:pPr>
      <w:r w:rsidRPr="00236418">
        <w:t>–</w:t>
      </w:r>
      <w:r w:rsidRPr="00236418">
        <w:tab/>
        <w:t>Les congés dans les foyers.</w:t>
      </w:r>
    </w:p>
    <w:p w14:paraId="295778E7" w14:textId="77777777" w:rsidR="00DF6159" w:rsidRPr="00236418" w:rsidRDefault="00DF6159" w:rsidP="009B3D24">
      <w:pPr>
        <w:pStyle w:val="enumlev1"/>
      </w:pPr>
      <w:r w:rsidRPr="00236418">
        <w:t>–</w:t>
      </w:r>
      <w:r w:rsidRPr="00236418">
        <w:tab/>
        <w:t>L'indemnité pour frais d'études.</w:t>
      </w:r>
    </w:p>
    <w:p w14:paraId="1BC5FD07" w14:textId="77777777" w:rsidR="00DF6159" w:rsidRPr="00236418" w:rsidRDefault="00DF6159" w:rsidP="009B3D24">
      <w:pPr>
        <w:pStyle w:val="enumlev1"/>
      </w:pPr>
      <w:r w:rsidRPr="00236418">
        <w:t>–</w:t>
      </w:r>
      <w:r w:rsidRPr="00236418">
        <w:tab/>
        <w:t>Des prestations après la cessation de service.</w:t>
      </w:r>
    </w:p>
    <w:p w14:paraId="1588B77C" w14:textId="77777777" w:rsidR="00DF6159" w:rsidRPr="00236418" w:rsidRDefault="00DF6159" w:rsidP="009B3D24">
      <w:pPr>
        <w:rPr>
          <w:rFonts w:cstheme="minorHAnsi"/>
          <w:b/>
          <w:bCs/>
          <w:spacing w:val="-4"/>
          <w:w w:val="105"/>
        </w:rPr>
      </w:pPr>
      <w:r w:rsidRPr="00236418">
        <w:t>Ces prestations ne peuvent pas être quantifiées séparément de façon fiable</w:t>
      </w:r>
      <w:r w:rsidRPr="00236418">
        <w:rPr>
          <w:rFonts w:cstheme="minorHAnsi"/>
          <w:bCs/>
          <w:spacing w:val="-4"/>
          <w:w w:val="105"/>
        </w:rPr>
        <w:t>.</w:t>
      </w:r>
    </w:p>
    <w:p w14:paraId="38F3BD87" w14:textId="77777777" w:rsidR="00DF6159" w:rsidRPr="00236418" w:rsidRDefault="00DF6159" w:rsidP="009B3D24">
      <w:pPr>
        <w:spacing w:after="240"/>
      </w:pPr>
      <w:r w:rsidRPr="00236418">
        <w:t>Les membres du personnel clé de direction sont participants ordinaires à la Caisse commune des pensions du personnel des Nations Unies.</w:t>
      </w:r>
    </w:p>
    <w:p w14:paraId="0D8BE7D6" w14:textId="77777777" w:rsidR="00DF6159" w:rsidRPr="00236418" w:rsidRDefault="00DF6159" w:rsidP="009B3D24">
      <w:pPr>
        <w:spacing w:before="60"/>
        <w:rPr>
          <w:sz w:val="2"/>
          <w:szCs w:val="2"/>
        </w:rPr>
      </w:pPr>
    </w:p>
    <w:tbl>
      <w:tblPr>
        <w:tblW w:w="97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74"/>
        <w:gridCol w:w="1275"/>
        <w:gridCol w:w="1560"/>
        <w:gridCol w:w="1417"/>
        <w:gridCol w:w="1604"/>
      </w:tblGrid>
      <w:tr w:rsidR="00DF6159" w:rsidRPr="00236418" w14:paraId="33EC442E" w14:textId="77777777" w:rsidTr="006538EB">
        <w:trPr>
          <w:jc w:val="center"/>
        </w:trPr>
        <w:tc>
          <w:tcPr>
            <w:tcW w:w="3874" w:type="dxa"/>
            <w:tcBorders>
              <w:bottom w:val="nil"/>
              <w:right w:val="single" w:sz="4" w:space="0" w:color="auto"/>
            </w:tcBorders>
          </w:tcPr>
          <w:p w14:paraId="4B49AD12" w14:textId="77777777" w:rsidR="00DF6159" w:rsidRPr="00236418" w:rsidRDefault="00DF6159" w:rsidP="009B3D24">
            <w:pPr>
              <w:pStyle w:val="Tablehead"/>
              <w:spacing w:before="0" w:after="0"/>
              <w:rPr>
                <w:sz w:val="20"/>
              </w:rPr>
            </w:pPr>
          </w:p>
        </w:tc>
        <w:tc>
          <w:tcPr>
            <w:tcW w:w="2835" w:type="dxa"/>
            <w:gridSpan w:val="2"/>
            <w:tcBorders>
              <w:top w:val="single" w:sz="4" w:space="0" w:color="auto"/>
              <w:left w:val="single" w:sz="4" w:space="0" w:color="auto"/>
              <w:bottom w:val="nil"/>
              <w:right w:val="single" w:sz="4" w:space="0" w:color="auto"/>
            </w:tcBorders>
          </w:tcPr>
          <w:p w14:paraId="64816B72" w14:textId="556FCC5E" w:rsidR="00DF6159" w:rsidRPr="00236418" w:rsidRDefault="00DF6159" w:rsidP="009B3D24">
            <w:pPr>
              <w:pStyle w:val="Tablehead"/>
              <w:spacing w:before="0" w:after="0"/>
              <w:rPr>
                <w:sz w:val="20"/>
              </w:rPr>
            </w:pPr>
            <w:r w:rsidRPr="00236418">
              <w:rPr>
                <w:sz w:val="20"/>
              </w:rPr>
              <w:t>31.12.201</w:t>
            </w:r>
            <w:r w:rsidR="00FC47EC" w:rsidRPr="00236418">
              <w:rPr>
                <w:sz w:val="20"/>
              </w:rPr>
              <w:t>9</w:t>
            </w:r>
          </w:p>
        </w:tc>
        <w:tc>
          <w:tcPr>
            <w:tcW w:w="3021" w:type="dxa"/>
            <w:gridSpan w:val="2"/>
            <w:tcBorders>
              <w:left w:val="single" w:sz="4" w:space="0" w:color="auto"/>
              <w:bottom w:val="nil"/>
            </w:tcBorders>
          </w:tcPr>
          <w:p w14:paraId="5403E16F" w14:textId="463D6185" w:rsidR="00DF6159" w:rsidRPr="00236418" w:rsidRDefault="00DF6159" w:rsidP="009B3D24">
            <w:pPr>
              <w:pStyle w:val="Tablehead"/>
              <w:spacing w:before="0" w:after="0"/>
              <w:rPr>
                <w:sz w:val="20"/>
              </w:rPr>
            </w:pPr>
            <w:r w:rsidRPr="00236418">
              <w:rPr>
                <w:sz w:val="20"/>
              </w:rPr>
              <w:t>31.12.201</w:t>
            </w:r>
            <w:r w:rsidR="00FC47EC" w:rsidRPr="00236418">
              <w:rPr>
                <w:sz w:val="20"/>
              </w:rPr>
              <w:t>8</w:t>
            </w:r>
          </w:p>
        </w:tc>
      </w:tr>
      <w:tr w:rsidR="00DF6159" w:rsidRPr="00236418" w14:paraId="0413140E" w14:textId="77777777" w:rsidTr="006538EB">
        <w:trPr>
          <w:jc w:val="center"/>
        </w:trPr>
        <w:tc>
          <w:tcPr>
            <w:tcW w:w="3874" w:type="dxa"/>
            <w:tcBorders>
              <w:top w:val="nil"/>
              <w:bottom w:val="single" w:sz="4" w:space="0" w:color="auto"/>
              <w:right w:val="single" w:sz="4" w:space="0" w:color="auto"/>
            </w:tcBorders>
          </w:tcPr>
          <w:p w14:paraId="0A005EEC" w14:textId="77777777" w:rsidR="00DF6159" w:rsidRPr="00236418" w:rsidRDefault="00DF6159" w:rsidP="009B3D24">
            <w:pPr>
              <w:pStyle w:val="Tablehead"/>
              <w:spacing w:before="0" w:after="0"/>
              <w:rPr>
                <w:sz w:val="20"/>
              </w:rPr>
            </w:pPr>
            <w:r w:rsidRPr="00236418">
              <w:rPr>
                <w:sz w:val="20"/>
              </w:rPr>
              <w:t>En milliers de CHF</w:t>
            </w:r>
          </w:p>
        </w:tc>
        <w:tc>
          <w:tcPr>
            <w:tcW w:w="1275" w:type="dxa"/>
            <w:tcBorders>
              <w:top w:val="nil"/>
              <w:left w:val="single" w:sz="4" w:space="0" w:color="auto"/>
              <w:bottom w:val="single" w:sz="4" w:space="0" w:color="auto"/>
            </w:tcBorders>
            <w:tcMar>
              <w:left w:w="57" w:type="dxa"/>
              <w:right w:w="57" w:type="dxa"/>
            </w:tcMar>
          </w:tcPr>
          <w:p w14:paraId="4B463EC7" w14:textId="77777777" w:rsidR="00DF6159" w:rsidRPr="00236418" w:rsidRDefault="00DF6159" w:rsidP="009B3D24">
            <w:pPr>
              <w:pStyle w:val="Tablehead"/>
              <w:spacing w:before="0" w:after="0"/>
              <w:rPr>
                <w:sz w:val="20"/>
              </w:rPr>
            </w:pPr>
            <w:r w:rsidRPr="00236418">
              <w:rPr>
                <w:sz w:val="20"/>
              </w:rPr>
              <w:t>Nombre de personnes</w:t>
            </w:r>
          </w:p>
        </w:tc>
        <w:tc>
          <w:tcPr>
            <w:tcW w:w="1560" w:type="dxa"/>
            <w:tcBorders>
              <w:top w:val="nil"/>
              <w:bottom w:val="single" w:sz="4" w:space="0" w:color="auto"/>
              <w:right w:val="single" w:sz="4" w:space="0" w:color="auto"/>
            </w:tcBorders>
            <w:tcMar>
              <w:left w:w="57" w:type="dxa"/>
              <w:right w:w="57" w:type="dxa"/>
            </w:tcMar>
          </w:tcPr>
          <w:p w14:paraId="60E3373A" w14:textId="77777777" w:rsidR="00DF6159" w:rsidRPr="00236418" w:rsidRDefault="00DF6159" w:rsidP="009B3D24">
            <w:pPr>
              <w:pStyle w:val="Tablehead"/>
              <w:spacing w:before="0" w:after="0"/>
              <w:rPr>
                <w:sz w:val="20"/>
              </w:rPr>
            </w:pPr>
            <w:r w:rsidRPr="00236418">
              <w:rPr>
                <w:sz w:val="20"/>
              </w:rPr>
              <w:t>Rémunérations globales</w:t>
            </w:r>
          </w:p>
        </w:tc>
        <w:tc>
          <w:tcPr>
            <w:tcW w:w="1417" w:type="dxa"/>
            <w:tcBorders>
              <w:top w:val="nil"/>
              <w:left w:val="single" w:sz="4" w:space="0" w:color="auto"/>
              <w:bottom w:val="single" w:sz="4" w:space="0" w:color="auto"/>
            </w:tcBorders>
            <w:tcMar>
              <w:left w:w="57" w:type="dxa"/>
              <w:right w:w="57" w:type="dxa"/>
            </w:tcMar>
          </w:tcPr>
          <w:p w14:paraId="07CA8B3C" w14:textId="77777777" w:rsidR="00DF6159" w:rsidRPr="00236418" w:rsidRDefault="00DF6159" w:rsidP="009B3D24">
            <w:pPr>
              <w:pStyle w:val="Tablehead"/>
              <w:spacing w:before="0" w:after="0"/>
              <w:rPr>
                <w:sz w:val="20"/>
              </w:rPr>
            </w:pPr>
            <w:r w:rsidRPr="00236418">
              <w:rPr>
                <w:sz w:val="20"/>
              </w:rPr>
              <w:t>Nombre de personnes</w:t>
            </w:r>
          </w:p>
        </w:tc>
        <w:tc>
          <w:tcPr>
            <w:tcW w:w="1604" w:type="dxa"/>
            <w:tcBorders>
              <w:top w:val="nil"/>
              <w:bottom w:val="single" w:sz="4" w:space="0" w:color="auto"/>
            </w:tcBorders>
            <w:tcMar>
              <w:left w:w="57" w:type="dxa"/>
              <w:right w:w="57" w:type="dxa"/>
            </w:tcMar>
          </w:tcPr>
          <w:p w14:paraId="004C2423" w14:textId="77777777" w:rsidR="00DF6159" w:rsidRPr="00236418" w:rsidRDefault="00DF6159" w:rsidP="009B3D24">
            <w:pPr>
              <w:pStyle w:val="Tablehead"/>
              <w:spacing w:before="0" w:after="0"/>
              <w:rPr>
                <w:sz w:val="20"/>
              </w:rPr>
            </w:pPr>
            <w:r w:rsidRPr="00236418">
              <w:rPr>
                <w:sz w:val="20"/>
              </w:rPr>
              <w:t>Rémunérations globales</w:t>
            </w:r>
          </w:p>
        </w:tc>
      </w:tr>
      <w:tr w:rsidR="00EA1E46" w:rsidRPr="00236418" w14:paraId="004B6171" w14:textId="77777777" w:rsidTr="006538EB">
        <w:trPr>
          <w:jc w:val="center"/>
        </w:trPr>
        <w:tc>
          <w:tcPr>
            <w:tcW w:w="3874" w:type="dxa"/>
            <w:tcBorders>
              <w:top w:val="nil"/>
              <w:right w:val="single" w:sz="4" w:space="0" w:color="auto"/>
            </w:tcBorders>
          </w:tcPr>
          <w:p w14:paraId="6AF51F8C" w14:textId="77777777" w:rsidR="00EA1E46" w:rsidRPr="00236418" w:rsidRDefault="00EA1E46" w:rsidP="009B3D24">
            <w:pPr>
              <w:pStyle w:val="Tabletext"/>
              <w:spacing w:before="0" w:after="0"/>
              <w:rPr>
                <w:rFonts w:eastAsia="Calibri"/>
                <w:sz w:val="20"/>
              </w:rPr>
            </w:pPr>
            <w:r w:rsidRPr="00236418">
              <w:rPr>
                <w:rFonts w:eastAsia="Calibri"/>
                <w:sz w:val="20"/>
              </w:rPr>
              <w:t>5 fonctionnaires élus</w:t>
            </w:r>
          </w:p>
        </w:tc>
        <w:tc>
          <w:tcPr>
            <w:tcW w:w="1275" w:type="dxa"/>
            <w:tcBorders>
              <w:top w:val="nil"/>
              <w:left w:val="single" w:sz="4" w:space="0" w:color="auto"/>
            </w:tcBorders>
            <w:vAlign w:val="center"/>
          </w:tcPr>
          <w:p w14:paraId="58C82A7D" w14:textId="77777777"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5</w:t>
            </w:r>
          </w:p>
        </w:tc>
        <w:tc>
          <w:tcPr>
            <w:tcW w:w="1560" w:type="dxa"/>
            <w:tcBorders>
              <w:top w:val="nil"/>
              <w:right w:val="single" w:sz="4" w:space="0" w:color="auto"/>
            </w:tcBorders>
            <w:vAlign w:val="center"/>
          </w:tcPr>
          <w:p w14:paraId="1212F560" w14:textId="6EDE0619"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2 270</w:t>
            </w:r>
          </w:p>
        </w:tc>
        <w:tc>
          <w:tcPr>
            <w:tcW w:w="1417" w:type="dxa"/>
            <w:tcBorders>
              <w:top w:val="nil"/>
              <w:left w:val="single" w:sz="4" w:space="0" w:color="auto"/>
            </w:tcBorders>
            <w:vAlign w:val="center"/>
          </w:tcPr>
          <w:p w14:paraId="7C5C0FEE" w14:textId="1729E159"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5</w:t>
            </w:r>
          </w:p>
        </w:tc>
        <w:tc>
          <w:tcPr>
            <w:tcW w:w="1604" w:type="dxa"/>
            <w:tcBorders>
              <w:top w:val="nil"/>
            </w:tcBorders>
            <w:vAlign w:val="center"/>
          </w:tcPr>
          <w:p w14:paraId="72DC162B" w14:textId="071F1082"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2 139</w:t>
            </w:r>
          </w:p>
        </w:tc>
      </w:tr>
      <w:tr w:rsidR="00EA1E46" w:rsidRPr="00236418" w14:paraId="2CBDB01C" w14:textId="77777777" w:rsidTr="006538EB">
        <w:trPr>
          <w:jc w:val="center"/>
        </w:trPr>
        <w:tc>
          <w:tcPr>
            <w:tcW w:w="3874" w:type="dxa"/>
            <w:tcBorders>
              <w:top w:val="single" w:sz="4" w:space="0" w:color="auto"/>
              <w:bottom w:val="single" w:sz="4" w:space="0" w:color="auto"/>
              <w:right w:val="single" w:sz="4" w:space="0" w:color="auto"/>
            </w:tcBorders>
          </w:tcPr>
          <w:p w14:paraId="66E5DC3A" w14:textId="77777777" w:rsidR="00EA1E46" w:rsidRPr="00236418" w:rsidRDefault="00EA1E46" w:rsidP="009B3D24">
            <w:pPr>
              <w:pStyle w:val="Tabletext"/>
              <w:spacing w:before="0" w:after="0"/>
              <w:rPr>
                <w:rFonts w:eastAsia="Calibri"/>
                <w:b/>
                <w:bCs/>
                <w:sz w:val="20"/>
              </w:rPr>
            </w:pPr>
            <w:r w:rsidRPr="00236418">
              <w:rPr>
                <w:rFonts w:eastAsia="Calibri"/>
                <w:b/>
                <w:bCs/>
                <w:sz w:val="20"/>
              </w:rPr>
              <w:t>Principaux dirigeants</w:t>
            </w:r>
          </w:p>
        </w:tc>
        <w:tc>
          <w:tcPr>
            <w:tcW w:w="1275" w:type="dxa"/>
            <w:tcBorders>
              <w:top w:val="single" w:sz="4" w:space="0" w:color="auto"/>
              <w:left w:val="single" w:sz="4" w:space="0" w:color="auto"/>
              <w:bottom w:val="single" w:sz="4" w:space="0" w:color="auto"/>
            </w:tcBorders>
            <w:vAlign w:val="center"/>
          </w:tcPr>
          <w:p w14:paraId="1B3E9569" w14:textId="77777777"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5</w:t>
            </w:r>
          </w:p>
        </w:tc>
        <w:tc>
          <w:tcPr>
            <w:tcW w:w="1560" w:type="dxa"/>
            <w:tcBorders>
              <w:top w:val="single" w:sz="4" w:space="0" w:color="auto"/>
              <w:bottom w:val="single" w:sz="4" w:space="0" w:color="auto"/>
              <w:right w:val="single" w:sz="4" w:space="0" w:color="auto"/>
            </w:tcBorders>
            <w:vAlign w:val="center"/>
          </w:tcPr>
          <w:p w14:paraId="4AF69411" w14:textId="4633E5E0"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2 270</w:t>
            </w:r>
          </w:p>
        </w:tc>
        <w:tc>
          <w:tcPr>
            <w:tcW w:w="1417" w:type="dxa"/>
            <w:tcBorders>
              <w:top w:val="single" w:sz="4" w:space="0" w:color="auto"/>
              <w:left w:val="single" w:sz="4" w:space="0" w:color="auto"/>
              <w:bottom w:val="single" w:sz="4" w:space="0" w:color="auto"/>
            </w:tcBorders>
            <w:vAlign w:val="center"/>
          </w:tcPr>
          <w:p w14:paraId="709B2F7B" w14:textId="3CB6D160"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5</w:t>
            </w:r>
          </w:p>
        </w:tc>
        <w:tc>
          <w:tcPr>
            <w:tcW w:w="1604" w:type="dxa"/>
            <w:tcBorders>
              <w:top w:val="single" w:sz="4" w:space="0" w:color="auto"/>
              <w:bottom w:val="single" w:sz="4" w:space="0" w:color="auto"/>
            </w:tcBorders>
            <w:vAlign w:val="center"/>
          </w:tcPr>
          <w:p w14:paraId="0C7983B0" w14:textId="4DC8EE11"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2 139</w:t>
            </w:r>
          </w:p>
        </w:tc>
      </w:tr>
      <w:tr w:rsidR="00EA1E46" w:rsidRPr="00236418" w14:paraId="3009D856" w14:textId="77777777" w:rsidTr="006538EB">
        <w:trPr>
          <w:jc w:val="center"/>
        </w:trPr>
        <w:tc>
          <w:tcPr>
            <w:tcW w:w="3874" w:type="dxa"/>
            <w:tcBorders>
              <w:right w:val="single" w:sz="4" w:space="0" w:color="auto"/>
            </w:tcBorders>
          </w:tcPr>
          <w:p w14:paraId="0419EC5B" w14:textId="77777777" w:rsidR="00EA1E46" w:rsidRPr="00236418" w:rsidRDefault="00EA1E46" w:rsidP="009B3D24">
            <w:pPr>
              <w:pStyle w:val="Tabletext"/>
              <w:spacing w:before="0" w:after="0"/>
              <w:rPr>
                <w:rFonts w:eastAsia="Calibri"/>
                <w:sz w:val="20"/>
              </w:rPr>
            </w:pPr>
            <w:r w:rsidRPr="00236418">
              <w:rPr>
                <w:rFonts w:eastAsia="Calibri"/>
                <w:sz w:val="20"/>
              </w:rPr>
              <w:t>Directeurs D.2</w:t>
            </w:r>
          </w:p>
        </w:tc>
        <w:tc>
          <w:tcPr>
            <w:tcW w:w="1275" w:type="dxa"/>
            <w:tcBorders>
              <w:left w:val="single" w:sz="4" w:space="0" w:color="auto"/>
            </w:tcBorders>
            <w:vAlign w:val="center"/>
          </w:tcPr>
          <w:p w14:paraId="718D0BCA" w14:textId="7187D01F"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3</w:t>
            </w:r>
          </w:p>
        </w:tc>
        <w:tc>
          <w:tcPr>
            <w:tcW w:w="1560" w:type="dxa"/>
            <w:tcBorders>
              <w:right w:val="single" w:sz="4" w:space="0" w:color="auto"/>
            </w:tcBorders>
            <w:vAlign w:val="center"/>
          </w:tcPr>
          <w:p w14:paraId="4B0A2F15" w14:textId="0CBA1345"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775</w:t>
            </w:r>
          </w:p>
        </w:tc>
        <w:tc>
          <w:tcPr>
            <w:tcW w:w="1417" w:type="dxa"/>
            <w:tcBorders>
              <w:left w:val="single" w:sz="4" w:space="0" w:color="auto"/>
            </w:tcBorders>
            <w:vAlign w:val="center"/>
          </w:tcPr>
          <w:p w14:paraId="60BD0547" w14:textId="4C8B12A3"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4</w:t>
            </w:r>
          </w:p>
        </w:tc>
        <w:tc>
          <w:tcPr>
            <w:tcW w:w="1604" w:type="dxa"/>
            <w:vAlign w:val="center"/>
          </w:tcPr>
          <w:p w14:paraId="4E806E07" w14:textId="3061EDC6"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1 148</w:t>
            </w:r>
          </w:p>
        </w:tc>
      </w:tr>
      <w:tr w:rsidR="00EA1E46" w:rsidRPr="00236418" w14:paraId="0062A57B" w14:textId="77777777" w:rsidTr="006538EB">
        <w:trPr>
          <w:jc w:val="center"/>
        </w:trPr>
        <w:tc>
          <w:tcPr>
            <w:tcW w:w="3874" w:type="dxa"/>
            <w:tcBorders>
              <w:bottom w:val="nil"/>
              <w:right w:val="single" w:sz="4" w:space="0" w:color="auto"/>
            </w:tcBorders>
          </w:tcPr>
          <w:p w14:paraId="04BD3443" w14:textId="77777777" w:rsidR="00EA1E46" w:rsidRPr="00236418" w:rsidRDefault="00EA1E46" w:rsidP="009B3D24">
            <w:pPr>
              <w:pStyle w:val="Tabletext"/>
              <w:spacing w:before="0" w:after="0"/>
              <w:rPr>
                <w:rFonts w:eastAsia="Calibri"/>
                <w:sz w:val="20"/>
              </w:rPr>
            </w:pPr>
            <w:r w:rsidRPr="00236418">
              <w:rPr>
                <w:rFonts w:eastAsia="Calibri"/>
                <w:sz w:val="20"/>
              </w:rPr>
              <w:t>Directeurs D.1</w:t>
            </w:r>
          </w:p>
        </w:tc>
        <w:tc>
          <w:tcPr>
            <w:tcW w:w="1275" w:type="dxa"/>
            <w:tcBorders>
              <w:left w:val="single" w:sz="4" w:space="0" w:color="auto"/>
              <w:bottom w:val="nil"/>
            </w:tcBorders>
            <w:vAlign w:val="center"/>
          </w:tcPr>
          <w:p w14:paraId="698A99B9" w14:textId="26940F6D"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18</w:t>
            </w:r>
          </w:p>
        </w:tc>
        <w:tc>
          <w:tcPr>
            <w:tcW w:w="1560" w:type="dxa"/>
            <w:tcBorders>
              <w:bottom w:val="nil"/>
              <w:right w:val="single" w:sz="4" w:space="0" w:color="auto"/>
            </w:tcBorders>
            <w:vAlign w:val="center"/>
          </w:tcPr>
          <w:p w14:paraId="05382E92" w14:textId="4DB4E19C"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5 728</w:t>
            </w:r>
          </w:p>
        </w:tc>
        <w:tc>
          <w:tcPr>
            <w:tcW w:w="1417" w:type="dxa"/>
            <w:tcBorders>
              <w:left w:val="single" w:sz="4" w:space="0" w:color="auto"/>
              <w:bottom w:val="nil"/>
            </w:tcBorders>
            <w:vAlign w:val="center"/>
          </w:tcPr>
          <w:p w14:paraId="575F3AC7" w14:textId="0E56CAFD"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17</w:t>
            </w:r>
          </w:p>
        </w:tc>
        <w:tc>
          <w:tcPr>
            <w:tcW w:w="1604" w:type="dxa"/>
            <w:tcBorders>
              <w:bottom w:val="nil"/>
            </w:tcBorders>
            <w:vAlign w:val="center"/>
          </w:tcPr>
          <w:p w14:paraId="7B5ED6C8" w14:textId="37EB987A"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236418">
              <w:rPr>
                <w:rFonts w:cs="Arial"/>
                <w:color w:val="000000"/>
                <w:sz w:val="22"/>
                <w:szCs w:val="22"/>
                <w:lang w:eastAsia="zh-CN"/>
              </w:rPr>
              <w:t>5 102</w:t>
            </w:r>
          </w:p>
        </w:tc>
      </w:tr>
      <w:tr w:rsidR="00EA1E46" w:rsidRPr="00236418" w14:paraId="7129E9BB" w14:textId="77777777" w:rsidTr="006538EB">
        <w:trPr>
          <w:jc w:val="center"/>
        </w:trPr>
        <w:tc>
          <w:tcPr>
            <w:tcW w:w="3874" w:type="dxa"/>
            <w:tcBorders>
              <w:top w:val="single" w:sz="4" w:space="0" w:color="auto"/>
              <w:bottom w:val="single" w:sz="4" w:space="0" w:color="auto"/>
              <w:right w:val="single" w:sz="4" w:space="0" w:color="auto"/>
            </w:tcBorders>
          </w:tcPr>
          <w:p w14:paraId="637305AC" w14:textId="77777777" w:rsidR="00EA1E46" w:rsidRPr="00236418" w:rsidRDefault="00EA1E46" w:rsidP="009B3D24">
            <w:pPr>
              <w:pStyle w:val="Tabletext"/>
              <w:spacing w:before="0" w:after="0"/>
              <w:rPr>
                <w:rFonts w:eastAsia="Calibri"/>
                <w:b/>
                <w:bCs/>
                <w:sz w:val="20"/>
              </w:rPr>
            </w:pPr>
            <w:r w:rsidRPr="00236418">
              <w:rPr>
                <w:rFonts w:eastAsia="Calibri"/>
                <w:b/>
                <w:bCs/>
                <w:sz w:val="20"/>
              </w:rPr>
              <w:t>Total des chefs de départements</w:t>
            </w:r>
          </w:p>
        </w:tc>
        <w:tc>
          <w:tcPr>
            <w:tcW w:w="1275" w:type="dxa"/>
            <w:tcBorders>
              <w:top w:val="single" w:sz="4" w:space="0" w:color="auto"/>
              <w:left w:val="single" w:sz="4" w:space="0" w:color="auto"/>
              <w:bottom w:val="single" w:sz="4" w:space="0" w:color="auto"/>
            </w:tcBorders>
            <w:vAlign w:val="center"/>
          </w:tcPr>
          <w:p w14:paraId="4EAD74D9" w14:textId="77777777"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21</w:t>
            </w:r>
          </w:p>
        </w:tc>
        <w:tc>
          <w:tcPr>
            <w:tcW w:w="1560" w:type="dxa"/>
            <w:tcBorders>
              <w:top w:val="single" w:sz="4" w:space="0" w:color="auto"/>
              <w:bottom w:val="single" w:sz="4" w:space="0" w:color="auto"/>
              <w:right w:val="single" w:sz="4" w:space="0" w:color="auto"/>
            </w:tcBorders>
            <w:vAlign w:val="center"/>
          </w:tcPr>
          <w:p w14:paraId="6F687721" w14:textId="6C951600"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6 503</w:t>
            </w:r>
          </w:p>
        </w:tc>
        <w:tc>
          <w:tcPr>
            <w:tcW w:w="1417" w:type="dxa"/>
            <w:tcBorders>
              <w:top w:val="single" w:sz="4" w:space="0" w:color="auto"/>
              <w:left w:val="single" w:sz="4" w:space="0" w:color="auto"/>
              <w:bottom w:val="single" w:sz="4" w:space="0" w:color="auto"/>
            </w:tcBorders>
            <w:vAlign w:val="center"/>
          </w:tcPr>
          <w:p w14:paraId="15AF2613" w14:textId="32B6023C"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21</w:t>
            </w:r>
          </w:p>
        </w:tc>
        <w:tc>
          <w:tcPr>
            <w:tcW w:w="1604" w:type="dxa"/>
            <w:tcBorders>
              <w:top w:val="single" w:sz="4" w:space="0" w:color="auto"/>
              <w:bottom w:val="single" w:sz="4" w:space="0" w:color="auto"/>
            </w:tcBorders>
            <w:vAlign w:val="center"/>
          </w:tcPr>
          <w:p w14:paraId="7B546EC1" w14:textId="6445481A"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6 250</w:t>
            </w:r>
          </w:p>
        </w:tc>
      </w:tr>
      <w:tr w:rsidR="00EA1E46" w:rsidRPr="00236418" w14:paraId="14A0EEE9" w14:textId="77777777" w:rsidTr="006538EB">
        <w:trPr>
          <w:trHeight w:val="349"/>
          <w:jc w:val="center"/>
        </w:trPr>
        <w:tc>
          <w:tcPr>
            <w:tcW w:w="3874" w:type="dxa"/>
            <w:tcBorders>
              <w:top w:val="single" w:sz="4" w:space="0" w:color="auto"/>
              <w:bottom w:val="single" w:sz="4" w:space="0" w:color="auto"/>
              <w:right w:val="single" w:sz="4" w:space="0" w:color="auto"/>
            </w:tcBorders>
            <w:vAlign w:val="center"/>
          </w:tcPr>
          <w:p w14:paraId="6FF8A271" w14:textId="77777777" w:rsidR="00EA1E46" w:rsidRPr="00236418" w:rsidRDefault="00EA1E46" w:rsidP="009B3D24">
            <w:pPr>
              <w:pStyle w:val="Tabletext"/>
              <w:spacing w:before="0" w:after="0"/>
              <w:rPr>
                <w:rFonts w:eastAsia="Calibri"/>
                <w:b/>
                <w:bCs/>
                <w:sz w:val="20"/>
              </w:rPr>
            </w:pPr>
            <w:r w:rsidRPr="00236418">
              <w:rPr>
                <w:rFonts w:eastAsia="Calibri"/>
                <w:b/>
                <w:bCs/>
                <w:sz w:val="20"/>
              </w:rPr>
              <w:t>Total des principaux dirigeants – UIT</w:t>
            </w:r>
          </w:p>
        </w:tc>
        <w:tc>
          <w:tcPr>
            <w:tcW w:w="1275" w:type="dxa"/>
            <w:tcBorders>
              <w:top w:val="single" w:sz="4" w:space="0" w:color="auto"/>
              <w:left w:val="single" w:sz="4" w:space="0" w:color="auto"/>
              <w:bottom w:val="single" w:sz="4" w:space="0" w:color="auto"/>
            </w:tcBorders>
            <w:vAlign w:val="center"/>
          </w:tcPr>
          <w:p w14:paraId="307CBE77" w14:textId="77777777"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26</w:t>
            </w:r>
          </w:p>
        </w:tc>
        <w:tc>
          <w:tcPr>
            <w:tcW w:w="1560" w:type="dxa"/>
            <w:tcBorders>
              <w:top w:val="single" w:sz="4" w:space="0" w:color="auto"/>
              <w:bottom w:val="single" w:sz="4" w:space="0" w:color="auto"/>
              <w:right w:val="single" w:sz="4" w:space="0" w:color="auto"/>
            </w:tcBorders>
            <w:vAlign w:val="center"/>
          </w:tcPr>
          <w:p w14:paraId="3CA3A6FC" w14:textId="4455F083"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8 773</w:t>
            </w:r>
          </w:p>
        </w:tc>
        <w:tc>
          <w:tcPr>
            <w:tcW w:w="1417" w:type="dxa"/>
            <w:tcBorders>
              <w:top w:val="single" w:sz="4" w:space="0" w:color="auto"/>
              <w:left w:val="single" w:sz="4" w:space="0" w:color="auto"/>
              <w:bottom w:val="single" w:sz="4" w:space="0" w:color="auto"/>
            </w:tcBorders>
            <w:vAlign w:val="center"/>
          </w:tcPr>
          <w:p w14:paraId="6D49DD86" w14:textId="0B8085BA"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26</w:t>
            </w:r>
          </w:p>
        </w:tc>
        <w:tc>
          <w:tcPr>
            <w:tcW w:w="1604" w:type="dxa"/>
            <w:tcBorders>
              <w:top w:val="single" w:sz="4" w:space="0" w:color="auto"/>
              <w:bottom w:val="single" w:sz="4" w:space="0" w:color="auto"/>
            </w:tcBorders>
            <w:vAlign w:val="center"/>
          </w:tcPr>
          <w:p w14:paraId="45C43E90" w14:textId="50EBE7BC" w:rsidR="00EA1E46" w:rsidRPr="00236418"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236418">
              <w:rPr>
                <w:rFonts w:cs="Arial"/>
                <w:b/>
                <w:bCs/>
                <w:color w:val="000000"/>
                <w:sz w:val="22"/>
                <w:szCs w:val="22"/>
                <w:lang w:eastAsia="zh-CN"/>
              </w:rPr>
              <w:t>8 389</w:t>
            </w:r>
          </w:p>
        </w:tc>
      </w:tr>
    </w:tbl>
    <w:p w14:paraId="7CFA16E4" w14:textId="77777777" w:rsidR="00DF6159" w:rsidRPr="00236418" w:rsidRDefault="00DF6159" w:rsidP="00081C96">
      <w:pPr>
        <w:pStyle w:val="Heading1"/>
        <w:spacing w:before="240"/>
        <w:rPr>
          <w:sz w:val="24"/>
          <w:szCs w:val="24"/>
        </w:rPr>
      </w:pPr>
      <w:bookmarkStart w:id="2322" w:name="_Toc358379959"/>
      <w:bookmarkStart w:id="2323" w:name="_Toc358380502"/>
      <w:bookmarkStart w:id="2324" w:name="_Toc387166670"/>
      <w:bookmarkStart w:id="2325" w:name="_Toc395260955"/>
      <w:bookmarkStart w:id="2326" w:name="_Toc395511742"/>
      <w:bookmarkStart w:id="2327" w:name="_Toc452138644"/>
      <w:bookmarkStart w:id="2328" w:name="_Toc452139093"/>
      <w:bookmarkStart w:id="2329" w:name="_Toc452139457"/>
      <w:bookmarkStart w:id="2330" w:name="_Toc452139863"/>
      <w:bookmarkStart w:id="2331" w:name="_Toc452140737"/>
      <w:bookmarkStart w:id="2332" w:name="_Toc482801526"/>
      <w:bookmarkStart w:id="2333" w:name="_Toc511649505"/>
      <w:bookmarkStart w:id="2334" w:name="_Toc511649868"/>
      <w:bookmarkStart w:id="2335" w:name="_Toc511649991"/>
      <w:bookmarkStart w:id="2336" w:name="_Toc511651251"/>
      <w:bookmarkStart w:id="2337" w:name="_Toc511724114"/>
      <w:bookmarkStart w:id="2338" w:name="_Toc511739103"/>
      <w:bookmarkStart w:id="2339" w:name="_Toc511741274"/>
      <w:bookmarkStart w:id="2340" w:name="_Toc10450787"/>
      <w:bookmarkStart w:id="2341" w:name="_Toc41566373"/>
      <w:bookmarkStart w:id="2342" w:name="_Toc41567384"/>
      <w:bookmarkStart w:id="2343" w:name="_Toc41567880"/>
      <w:bookmarkStart w:id="2344" w:name="_Toc41814977"/>
      <w:r w:rsidRPr="00236418">
        <w:rPr>
          <w:sz w:val="24"/>
          <w:szCs w:val="24"/>
        </w:rPr>
        <w:t>Note 28</w:t>
      </w:r>
      <w:r w:rsidRPr="00236418">
        <w:rPr>
          <w:sz w:val="24"/>
          <w:szCs w:val="24"/>
        </w:rPr>
        <w:tab/>
        <w:t>Engagements</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14:paraId="214D1627" w14:textId="77777777" w:rsidR="00DF6159" w:rsidRPr="00236418" w:rsidRDefault="00DF6159" w:rsidP="009B3D24">
      <w:r w:rsidRPr="00236418">
        <w:t>L'UIT a conclu un contrat avec un prestataire tiers pour la location, l'installation et l'entretien de systèmes d'impression numérique noir/blanc et couleur. Ce contrat est entré en vigueur en 2014. Il arrivera à échéance en 2020. L'UIT n'a aucun contrat de location-financement. Les loyers payables dans le cadre de contrats de location opérationnelle sont comptabilisés en charges dans l'état de la performance financière. L'UIT s'acquittera de coûts supplémentaires, le cas échéant en fonction du nombre de photocopies effectivement traitées, sur la base d'un coût par page défini par contrat.</w:t>
      </w:r>
    </w:p>
    <w:p w14:paraId="114B7581" w14:textId="77777777" w:rsidR="00412FA6" w:rsidRPr="00236418" w:rsidRDefault="00412FA6" w:rsidP="009B3D24">
      <w:r w:rsidRPr="00236418">
        <w:br w:type="page"/>
      </w:r>
    </w:p>
    <w:p w14:paraId="25578A3F" w14:textId="69DE540D" w:rsidR="00DF6159" w:rsidRPr="00236418" w:rsidRDefault="00DF6159" w:rsidP="00412FA6">
      <w:pPr>
        <w:spacing w:after="120"/>
        <w:rPr>
          <w:lang w:eastAsia="fr-FR"/>
        </w:rPr>
      </w:pPr>
      <w:r w:rsidRPr="00236418">
        <w:lastRenderedPageBreak/>
        <w:t>Les paiements futurs minimums à effectuer au titre de ce contrat sont les suivants:</w:t>
      </w:r>
      <w:bookmarkStart w:id="2345" w:name="_MON_1394891130"/>
      <w:bookmarkStart w:id="2346" w:name="_MON_1397396555"/>
      <w:bookmarkStart w:id="2347" w:name="_MON_1394891244"/>
      <w:bookmarkEnd w:id="2345"/>
      <w:bookmarkEnd w:id="2346"/>
      <w:bookmarkEnd w:id="2347"/>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E"/>
      </w:tblPr>
      <w:tblGrid>
        <w:gridCol w:w="6707"/>
        <w:gridCol w:w="1441"/>
        <w:gridCol w:w="1441"/>
      </w:tblGrid>
      <w:tr w:rsidR="00DF6159" w:rsidRPr="00236418" w14:paraId="6ED3A602" w14:textId="77777777" w:rsidTr="00EA1E46">
        <w:trPr>
          <w:jc w:val="center"/>
        </w:trPr>
        <w:tc>
          <w:tcPr>
            <w:tcW w:w="6707" w:type="dxa"/>
            <w:tcBorders>
              <w:top w:val="single" w:sz="4" w:space="0" w:color="auto"/>
              <w:bottom w:val="single" w:sz="4" w:space="0" w:color="auto"/>
              <w:right w:val="single" w:sz="4" w:space="0" w:color="auto"/>
            </w:tcBorders>
          </w:tcPr>
          <w:p w14:paraId="257CBF8D" w14:textId="77777777" w:rsidR="00DF6159" w:rsidRPr="00236418" w:rsidRDefault="00DF6159" w:rsidP="009B3D24">
            <w:pPr>
              <w:pStyle w:val="Tablehead"/>
              <w:spacing w:before="0" w:after="0"/>
              <w:jc w:val="left"/>
              <w:rPr>
                <w:sz w:val="20"/>
              </w:rPr>
            </w:pPr>
            <w:r w:rsidRPr="00236418">
              <w:rPr>
                <w:sz w:val="20"/>
              </w:rPr>
              <w:t>En milliers de CHF</w:t>
            </w:r>
          </w:p>
        </w:tc>
        <w:tc>
          <w:tcPr>
            <w:tcW w:w="1441" w:type="dxa"/>
            <w:tcBorders>
              <w:top w:val="single" w:sz="4" w:space="0" w:color="auto"/>
              <w:bottom w:val="single" w:sz="4" w:space="0" w:color="auto"/>
              <w:right w:val="single" w:sz="4" w:space="0" w:color="auto"/>
            </w:tcBorders>
          </w:tcPr>
          <w:p w14:paraId="3DCD5572" w14:textId="1E473576" w:rsidR="00DF6159" w:rsidRPr="00236418" w:rsidRDefault="00DF6159" w:rsidP="009B3D24">
            <w:pPr>
              <w:pStyle w:val="Tablehead"/>
              <w:spacing w:before="0" w:after="0"/>
              <w:rPr>
                <w:sz w:val="20"/>
              </w:rPr>
            </w:pPr>
            <w:r w:rsidRPr="00236418">
              <w:rPr>
                <w:sz w:val="20"/>
              </w:rPr>
              <w:t>31.12.201</w:t>
            </w:r>
            <w:r w:rsidR="00EA1E46" w:rsidRPr="00236418">
              <w:rPr>
                <w:sz w:val="20"/>
              </w:rPr>
              <w:t>9</w:t>
            </w:r>
          </w:p>
        </w:tc>
        <w:tc>
          <w:tcPr>
            <w:tcW w:w="1441" w:type="dxa"/>
            <w:tcBorders>
              <w:top w:val="single" w:sz="4" w:space="0" w:color="auto"/>
              <w:left w:val="single" w:sz="4" w:space="0" w:color="auto"/>
              <w:bottom w:val="single" w:sz="4" w:space="0" w:color="auto"/>
            </w:tcBorders>
          </w:tcPr>
          <w:p w14:paraId="0953CC5C" w14:textId="5EC6E9F4" w:rsidR="00DF6159" w:rsidRPr="00236418" w:rsidRDefault="00DF6159" w:rsidP="009B3D24">
            <w:pPr>
              <w:pStyle w:val="Tablehead"/>
              <w:spacing w:before="0" w:after="0"/>
              <w:rPr>
                <w:sz w:val="20"/>
              </w:rPr>
            </w:pPr>
            <w:r w:rsidRPr="00236418">
              <w:rPr>
                <w:sz w:val="20"/>
              </w:rPr>
              <w:t>31.12.201</w:t>
            </w:r>
            <w:r w:rsidR="00EA1E46" w:rsidRPr="00236418">
              <w:rPr>
                <w:sz w:val="20"/>
              </w:rPr>
              <w:t>8</w:t>
            </w:r>
          </w:p>
        </w:tc>
      </w:tr>
      <w:tr w:rsidR="00DF6159" w:rsidRPr="00236418" w14:paraId="4EABD3D9" w14:textId="77777777" w:rsidTr="00EA1E46">
        <w:trPr>
          <w:jc w:val="center"/>
        </w:trPr>
        <w:tc>
          <w:tcPr>
            <w:tcW w:w="6707" w:type="dxa"/>
            <w:tcBorders>
              <w:top w:val="single" w:sz="4" w:space="0" w:color="auto"/>
              <w:right w:val="single" w:sz="4" w:space="0" w:color="auto"/>
            </w:tcBorders>
          </w:tcPr>
          <w:p w14:paraId="2F1176C4" w14:textId="77777777" w:rsidR="00DF6159" w:rsidRPr="00236418" w:rsidRDefault="00DF6159" w:rsidP="009B3D24">
            <w:pPr>
              <w:pStyle w:val="Tabletext"/>
              <w:spacing w:before="0" w:after="0"/>
              <w:rPr>
                <w:rFonts w:eastAsia="Calibri"/>
                <w:sz w:val="20"/>
              </w:rPr>
            </w:pPr>
            <w:r w:rsidRPr="00236418">
              <w:rPr>
                <w:rFonts w:eastAsia="Calibri"/>
                <w:sz w:val="20"/>
              </w:rPr>
              <w:t>Moins d'une année</w:t>
            </w:r>
          </w:p>
        </w:tc>
        <w:tc>
          <w:tcPr>
            <w:tcW w:w="1441" w:type="dxa"/>
            <w:tcBorders>
              <w:top w:val="single" w:sz="4" w:space="0" w:color="auto"/>
              <w:right w:val="single" w:sz="4" w:space="0" w:color="auto"/>
            </w:tcBorders>
            <w:tcMar>
              <w:right w:w="284" w:type="dxa"/>
            </w:tcMar>
          </w:tcPr>
          <w:p w14:paraId="4C06091B" w14:textId="77777777" w:rsidR="00DF6159" w:rsidRPr="00236418" w:rsidRDefault="00DF6159" w:rsidP="009B3D24">
            <w:pPr>
              <w:pStyle w:val="Tabletext"/>
              <w:spacing w:before="20" w:after="20"/>
              <w:ind w:right="425"/>
              <w:jc w:val="right"/>
              <w:rPr>
                <w:sz w:val="20"/>
              </w:rPr>
            </w:pPr>
            <w:r w:rsidRPr="00236418">
              <w:rPr>
                <w:sz w:val="20"/>
              </w:rPr>
              <w:t>278</w:t>
            </w:r>
          </w:p>
        </w:tc>
        <w:tc>
          <w:tcPr>
            <w:tcW w:w="1441" w:type="dxa"/>
            <w:tcBorders>
              <w:top w:val="single" w:sz="4" w:space="0" w:color="auto"/>
              <w:left w:val="single" w:sz="4" w:space="0" w:color="auto"/>
            </w:tcBorders>
            <w:tcMar>
              <w:right w:w="284" w:type="dxa"/>
            </w:tcMar>
          </w:tcPr>
          <w:p w14:paraId="1E982ABA" w14:textId="77777777" w:rsidR="00DF6159" w:rsidRPr="00236418" w:rsidRDefault="00DF6159" w:rsidP="009B3D24">
            <w:pPr>
              <w:pStyle w:val="Tabletext"/>
              <w:spacing w:before="20" w:after="20"/>
              <w:ind w:right="425"/>
              <w:jc w:val="right"/>
              <w:rPr>
                <w:sz w:val="20"/>
              </w:rPr>
            </w:pPr>
            <w:r w:rsidRPr="00236418">
              <w:rPr>
                <w:sz w:val="20"/>
              </w:rPr>
              <w:t>278</w:t>
            </w:r>
          </w:p>
        </w:tc>
      </w:tr>
      <w:tr w:rsidR="00DF6159" w:rsidRPr="00236418" w14:paraId="5AC79B97" w14:textId="77777777" w:rsidTr="006538EB">
        <w:trPr>
          <w:jc w:val="center"/>
        </w:trPr>
        <w:tc>
          <w:tcPr>
            <w:tcW w:w="6707" w:type="dxa"/>
            <w:tcBorders>
              <w:top w:val="nil"/>
              <w:right w:val="single" w:sz="4" w:space="0" w:color="auto"/>
            </w:tcBorders>
          </w:tcPr>
          <w:p w14:paraId="30EB011A" w14:textId="77777777" w:rsidR="00DF6159" w:rsidRPr="00236418" w:rsidRDefault="00DF6159" w:rsidP="009B3D24">
            <w:pPr>
              <w:pStyle w:val="Tabletext"/>
              <w:spacing w:before="0" w:after="0"/>
              <w:rPr>
                <w:rFonts w:eastAsia="Calibri"/>
                <w:sz w:val="20"/>
              </w:rPr>
            </w:pPr>
            <w:r w:rsidRPr="00236418">
              <w:rPr>
                <w:rFonts w:eastAsia="Calibri"/>
                <w:sz w:val="20"/>
              </w:rPr>
              <w:t>De 1 à 5 ans</w:t>
            </w:r>
          </w:p>
        </w:tc>
        <w:tc>
          <w:tcPr>
            <w:tcW w:w="1441" w:type="dxa"/>
            <w:tcBorders>
              <w:top w:val="nil"/>
              <w:right w:val="single" w:sz="4" w:space="0" w:color="auto"/>
            </w:tcBorders>
            <w:tcMar>
              <w:right w:w="284" w:type="dxa"/>
            </w:tcMar>
          </w:tcPr>
          <w:p w14:paraId="4296110C" w14:textId="69BE26B2" w:rsidR="00DF6159" w:rsidRPr="00236418" w:rsidRDefault="00EA1E46" w:rsidP="009B3D24">
            <w:pPr>
              <w:pStyle w:val="Tabletext"/>
              <w:spacing w:before="20" w:after="20"/>
              <w:ind w:right="425"/>
              <w:jc w:val="right"/>
              <w:rPr>
                <w:sz w:val="20"/>
              </w:rPr>
            </w:pPr>
            <w:r w:rsidRPr="00236418">
              <w:rPr>
                <w:sz w:val="20"/>
              </w:rPr>
              <w:t>–</w:t>
            </w:r>
          </w:p>
        </w:tc>
        <w:tc>
          <w:tcPr>
            <w:tcW w:w="1441" w:type="dxa"/>
            <w:tcBorders>
              <w:top w:val="nil"/>
              <w:left w:val="single" w:sz="4" w:space="0" w:color="auto"/>
            </w:tcBorders>
            <w:tcMar>
              <w:right w:w="284" w:type="dxa"/>
            </w:tcMar>
          </w:tcPr>
          <w:p w14:paraId="1218C198" w14:textId="22A0629B" w:rsidR="00DF6159" w:rsidRPr="00236418" w:rsidRDefault="00EA1E46" w:rsidP="009B3D24">
            <w:pPr>
              <w:pStyle w:val="Tabletext"/>
              <w:spacing w:before="20" w:after="20"/>
              <w:ind w:right="425"/>
              <w:jc w:val="right"/>
              <w:rPr>
                <w:sz w:val="20"/>
              </w:rPr>
            </w:pPr>
            <w:r w:rsidRPr="00236418">
              <w:rPr>
                <w:sz w:val="20"/>
              </w:rPr>
              <w:t>278</w:t>
            </w:r>
          </w:p>
        </w:tc>
      </w:tr>
      <w:tr w:rsidR="00DF6159" w:rsidRPr="00236418" w14:paraId="633B8434" w14:textId="77777777" w:rsidTr="006538EB">
        <w:trPr>
          <w:jc w:val="center"/>
        </w:trPr>
        <w:tc>
          <w:tcPr>
            <w:tcW w:w="6707" w:type="dxa"/>
            <w:tcBorders>
              <w:top w:val="nil"/>
              <w:right w:val="single" w:sz="4" w:space="0" w:color="auto"/>
            </w:tcBorders>
          </w:tcPr>
          <w:p w14:paraId="36A8D29D" w14:textId="77777777" w:rsidR="00DF6159" w:rsidRPr="00236418" w:rsidRDefault="00DF6159" w:rsidP="009B3D24">
            <w:pPr>
              <w:pStyle w:val="Tabletext"/>
              <w:spacing w:before="0" w:after="0"/>
              <w:rPr>
                <w:rFonts w:eastAsia="Calibri"/>
                <w:sz w:val="20"/>
              </w:rPr>
            </w:pPr>
            <w:r w:rsidRPr="00236418">
              <w:rPr>
                <w:rFonts w:eastAsia="Calibri"/>
                <w:sz w:val="20"/>
              </w:rPr>
              <w:t>Plus de 5 ans</w:t>
            </w:r>
          </w:p>
        </w:tc>
        <w:tc>
          <w:tcPr>
            <w:tcW w:w="1441" w:type="dxa"/>
            <w:tcBorders>
              <w:top w:val="nil"/>
              <w:right w:val="single" w:sz="4" w:space="0" w:color="auto"/>
            </w:tcBorders>
            <w:tcMar>
              <w:right w:w="284" w:type="dxa"/>
            </w:tcMar>
          </w:tcPr>
          <w:p w14:paraId="05A493F3" w14:textId="77777777" w:rsidR="00DF6159" w:rsidRPr="00236418" w:rsidRDefault="00DF6159" w:rsidP="009B3D24">
            <w:pPr>
              <w:pStyle w:val="Tabletext"/>
              <w:spacing w:before="20" w:after="20"/>
              <w:ind w:right="425"/>
              <w:jc w:val="right"/>
              <w:rPr>
                <w:sz w:val="20"/>
              </w:rPr>
            </w:pPr>
            <w:r w:rsidRPr="00236418">
              <w:rPr>
                <w:sz w:val="20"/>
              </w:rPr>
              <w:t>–</w:t>
            </w:r>
          </w:p>
        </w:tc>
        <w:tc>
          <w:tcPr>
            <w:tcW w:w="1441" w:type="dxa"/>
            <w:tcBorders>
              <w:top w:val="nil"/>
              <w:left w:val="single" w:sz="4" w:space="0" w:color="auto"/>
            </w:tcBorders>
            <w:tcMar>
              <w:right w:w="284" w:type="dxa"/>
            </w:tcMar>
          </w:tcPr>
          <w:p w14:paraId="15CC8CA0" w14:textId="77777777" w:rsidR="00DF6159" w:rsidRPr="00236418" w:rsidRDefault="00DF6159" w:rsidP="009B3D24">
            <w:pPr>
              <w:pStyle w:val="Tabletext"/>
              <w:spacing w:before="20" w:after="20"/>
              <w:ind w:right="425"/>
              <w:jc w:val="right"/>
              <w:rPr>
                <w:sz w:val="20"/>
              </w:rPr>
            </w:pPr>
            <w:r w:rsidRPr="00236418">
              <w:rPr>
                <w:sz w:val="20"/>
              </w:rPr>
              <w:t>–</w:t>
            </w:r>
          </w:p>
        </w:tc>
      </w:tr>
      <w:tr w:rsidR="00DF6159" w:rsidRPr="00236418" w14:paraId="7D65DFBC" w14:textId="77777777" w:rsidTr="006538EB">
        <w:trPr>
          <w:trHeight w:val="318"/>
          <w:jc w:val="center"/>
        </w:trPr>
        <w:tc>
          <w:tcPr>
            <w:tcW w:w="6707" w:type="dxa"/>
            <w:tcBorders>
              <w:top w:val="single" w:sz="4" w:space="0" w:color="auto"/>
              <w:bottom w:val="single" w:sz="4" w:space="0" w:color="auto"/>
              <w:right w:val="single" w:sz="4" w:space="0" w:color="auto"/>
            </w:tcBorders>
            <w:vAlign w:val="center"/>
          </w:tcPr>
          <w:p w14:paraId="26B70934" w14:textId="77777777" w:rsidR="00DF6159" w:rsidRPr="00236418" w:rsidRDefault="00DF6159" w:rsidP="009B3D24">
            <w:pPr>
              <w:pStyle w:val="Tablehead"/>
              <w:spacing w:before="0" w:after="0"/>
              <w:jc w:val="left"/>
              <w:rPr>
                <w:sz w:val="20"/>
              </w:rPr>
            </w:pPr>
            <w:r w:rsidRPr="00236418">
              <w:rPr>
                <w:sz w:val="20"/>
              </w:rPr>
              <w:t>Engagement de leasing</w:t>
            </w:r>
          </w:p>
        </w:tc>
        <w:tc>
          <w:tcPr>
            <w:tcW w:w="1441" w:type="dxa"/>
            <w:tcBorders>
              <w:top w:val="single" w:sz="4" w:space="0" w:color="auto"/>
              <w:bottom w:val="single" w:sz="4" w:space="0" w:color="auto"/>
              <w:right w:val="single" w:sz="4" w:space="0" w:color="auto"/>
            </w:tcBorders>
            <w:tcMar>
              <w:right w:w="284" w:type="dxa"/>
            </w:tcMar>
            <w:vAlign w:val="center"/>
          </w:tcPr>
          <w:p w14:paraId="56E8DD5E" w14:textId="7D175D72" w:rsidR="00DF6159" w:rsidRPr="00236418" w:rsidRDefault="00EA1E46" w:rsidP="009B3D24">
            <w:pPr>
              <w:pStyle w:val="Tabletext"/>
              <w:spacing w:before="0" w:after="0"/>
              <w:ind w:right="425"/>
              <w:jc w:val="right"/>
              <w:rPr>
                <w:b/>
                <w:bCs/>
                <w:sz w:val="20"/>
              </w:rPr>
            </w:pPr>
            <w:r w:rsidRPr="00236418">
              <w:rPr>
                <w:b/>
                <w:bCs/>
                <w:sz w:val="20"/>
              </w:rPr>
              <w:t>278</w:t>
            </w:r>
          </w:p>
        </w:tc>
        <w:tc>
          <w:tcPr>
            <w:tcW w:w="1441" w:type="dxa"/>
            <w:tcBorders>
              <w:top w:val="single" w:sz="4" w:space="0" w:color="auto"/>
              <w:left w:val="single" w:sz="4" w:space="0" w:color="auto"/>
              <w:bottom w:val="single" w:sz="4" w:space="0" w:color="auto"/>
            </w:tcBorders>
            <w:tcMar>
              <w:right w:w="284" w:type="dxa"/>
            </w:tcMar>
            <w:vAlign w:val="center"/>
          </w:tcPr>
          <w:p w14:paraId="3E8131F2" w14:textId="2F066292" w:rsidR="00DF6159" w:rsidRPr="00236418" w:rsidRDefault="00EA1E46" w:rsidP="009B3D24">
            <w:pPr>
              <w:pStyle w:val="Tabletext"/>
              <w:spacing w:before="0" w:after="0"/>
              <w:ind w:right="425"/>
              <w:jc w:val="right"/>
              <w:rPr>
                <w:b/>
                <w:bCs/>
                <w:sz w:val="20"/>
              </w:rPr>
            </w:pPr>
            <w:r w:rsidRPr="00236418">
              <w:rPr>
                <w:b/>
                <w:bCs/>
                <w:sz w:val="20"/>
              </w:rPr>
              <w:t>556</w:t>
            </w:r>
          </w:p>
        </w:tc>
      </w:tr>
    </w:tbl>
    <w:p w14:paraId="484532CC" w14:textId="77777777" w:rsidR="00DF6159" w:rsidRPr="00236418" w:rsidRDefault="00DF6159" w:rsidP="009B3D24">
      <w:r w:rsidRPr="00236418">
        <w:t>L'Union a des engagements contractuels avec différents prestataires de services. Ces contrats qui sont résiliables à court terme ne représentent pas un engagement financier défini à l'avance.</w:t>
      </w:r>
    </w:p>
    <w:p w14:paraId="21BA8D8F" w14:textId="77777777" w:rsidR="00DF6159" w:rsidRPr="00236418" w:rsidRDefault="00DF6159" w:rsidP="00081C96">
      <w:pPr>
        <w:pStyle w:val="Heading1"/>
        <w:spacing w:before="240" w:after="120"/>
        <w:rPr>
          <w:sz w:val="24"/>
          <w:szCs w:val="24"/>
        </w:rPr>
      </w:pPr>
      <w:bookmarkStart w:id="2348" w:name="_Toc268007574"/>
      <w:bookmarkStart w:id="2349" w:name="_Toc329178810"/>
      <w:bookmarkStart w:id="2350" w:name="_Toc329181783"/>
      <w:bookmarkStart w:id="2351" w:name="_Toc329202611"/>
      <w:bookmarkStart w:id="2352" w:name="_Toc329205043"/>
      <w:bookmarkStart w:id="2353" w:name="_Toc329206880"/>
      <w:bookmarkStart w:id="2354" w:name="_Toc358379960"/>
      <w:bookmarkStart w:id="2355" w:name="_Toc358380503"/>
      <w:bookmarkStart w:id="2356" w:name="_Toc387166671"/>
      <w:bookmarkStart w:id="2357" w:name="_Toc395260956"/>
      <w:bookmarkStart w:id="2358" w:name="_Toc395511743"/>
      <w:bookmarkStart w:id="2359" w:name="_Toc452138645"/>
      <w:bookmarkStart w:id="2360" w:name="_Toc452139094"/>
      <w:bookmarkStart w:id="2361" w:name="_Toc452139458"/>
      <w:bookmarkStart w:id="2362" w:name="_Toc452139864"/>
      <w:bookmarkStart w:id="2363" w:name="_Toc452140738"/>
      <w:bookmarkStart w:id="2364" w:name="_Toc482801527"/>
      <w:bookmarkStart w:id="2365" w:name="_Toc511649506"/>
      <w:bookmarkStart w:id="2366" w:name="_Toc511649869"/>
      <w:bookmarkStart w:id="2367" w:name="_Toc511649992"/>
      <w:bookmarkStart w:id="2368" w:name="_Toc511651252"/>
      <w:bookmarkStart w:id="2369" w:name="_Toc511724115"/>
      <w:bookmarkStart w:id="2370" w:name="_Toc511739104"/>
      <w:bookmarkStart w:id="2371" w:name="_Toc511741275"/>
      <w:bookmarkStart w:id="2372" w:name="_Toc10450788"/>
      <w:bookmarkStart w:id="2373" w:name="_Toc41566374"/>
      <w:bookmarkStart w:id="2374" w:name="_Toc41567385"/>
      <w:bookmarkStart w:id="2375" w:name="_Toc41567881"/>
      <w:bookmarkStart w:id="2376" w:name="_Toc41814978"/>
      <w:r w:rsidRPr="00236418">
        <w:rPr>
          <w:sz w:val="24"/>
          <w:szCs w:val="24"/>
        </w:rPr>
        <w:t>Note 29</w:t>
      </w:r>
      <w:r w:rsidRPr="00236418">
        <w:rPr>
          <w:sz w:val="24"/>
          <w:szCs w:val="24"/>
        </w:rPr>
        <w:tab/>
        <w:t>Événements postérieurs à la date du bilan</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14:paraId="322C4457" w14:textId="14491DCF" w:rsidR="004D0058" w:rsidRPr="00236418" w:rsidRDefault="004D0058" w:rsidP="009B3D24">
      <w:r w:rsidRPr="00236418">
        <w:t>Après la clôture des comptes pour l'exercice financier 2019, l'UIT, comme le reste du monde, a dû faire face à la crise liée à l'épidémie de Covid-19. Conformément aux normes comptables généralement acceptées en la matière, la Partie IX du présent rapport de gestion financière contient les Notes relatives aux états financiers qui indique</w:t>
      </w:r>
      <w:r w:rsidR="00415F4C" w:rsidRPr="00236418">
        <w:t>nt</w:t>
      </w:r>
      <w:r w:rsidRPr="00236418">
        <w:t xml:space="preserve"> de manière détaillée toutes les mesures prises par la direction de l'UIT pour faire face à l'épidémie de Covid-19.</w:t>
      </w:r>
    </w:p>
    <w:p w14:paraId="72875BE9" w14:textId="77777777" w:rsidR="00DF6159" w:rsidRPr="00236418" w:rsidRDefault="00DF6159" w:rsidP="009B3D24">
      <w:pPr>
        <w:pStyle w:val="Heading1"/>
      </w:pPr>
      <w:bookmarkStart w:id="2377" w:name="_Toc329202612"/>
      <w:bookmarkStart w:id="2378" w:name="_Toc329205044"/>
      <w:bookmarkStart w:id="2379" w:name="_Toc329206881"/>
      <w:bookmarkStart w:id="2380" w:name="_Toc358379324"/>
      <w:bookmarkStart w:id="2381" w:name="_Toc358379961"/>
      <w:bookmarkStart w:id="2382" w:name="_Toc358380504"/>
      <w:bookmarkStart w:id="2383" w:name="_Toc387167505"/>
      <w:bookmarkStart w:id="2384" w:name="_Toc395260957"/>
      <w:bookmarkStart w:id="2385" w:name="_Toc395261099"/>
      <w:bookmarkStart w:id="2386" w:name="_Toc395511744"/>
      <w:bookmarkStart w:id="2387" w:name="_Toc452138646"/>
      <w:bookmarkStart w:id="2388" w:name="_Toc452139095"/>
      <w:bookmarkStart w:id="2389" w:name="_Toc452139459"/>
      <w:bookmarkStart w:id="2390" w:name="_Toc452139865"/>
      <w:bookmarkStart w:id="2391" w:name="_Toc452140739"/>
      <w:bookmarkStart w:id="2392" w:name="_Toc482888041"/>
      <w:bookmarkStart w:id="2393" w:name="_Toc482888792"/>
      <w:bookmarkStart w:id="2394" w:name="_Toc511649507"/>
      <w:bookmarkStart w:id="2395" w:name="_Toc511649870"/>
      <w:bookmarkStart w:id="2396" w:name="_Toc511649993"/>
      <w:bookmarkStart w:id="2397" w:name="_Toc511650113"/>
      <w:bookmarkStart w:id="2398" w:name="_Toc511650607"/>
      <w:bookmarkStart w:id="2399" w:name="_Toc511651253"/>
      <w:bookmarkStart w:id="2400" w:name="_Toc511724116"/>
      <w:bookmarkStart w:id="2401" w:name="_Toc511739105"/>
      <w:bookmarkStart w:id="2402" w:name="_Toc511740829"/>
      <w:bookmarkStart w:id="2403" w:name="_Toc511741276"/>
      <w:r w:rsidRPr="00236418">
        <w:br w:type="page"/>
      </w:r>
    </w:p>
    <w:p w14:paraId="4DDDEAA3" w14:textId="361CA4F9" w:rsidR="00DF6159" w:rsidRPr="00236418" w:rsidRDefault="00DF6159" w:rsidP="009B3D24">
      <w:pPr>
        <w:pStyle w:val="Heading1"/>
      </w:pPr>
      <w:bookmarkStart w:id="2404" w:name="_Toc10450789"/>
      <w:bookmarkStart w:id="2405" w:name="_Toc41566375"/>
      <w:bookmarkStart w:id="2406" w:name="_Toc41567386"/>
      <w:bookmarkStart w:id="2407" w:name="_Toc41567882"/>
      <w:bookmarkStart w:id="2408" w:name="_Toc41814979"/>
      <w:r w:rsidRPr="00236418">
        <w:lastRenderedPageBreak/>
        <w:t>I</w:t>
      </w:r>
      <w:r w:rsidRPr="00236418">
        <w:tab/>
        <w:t>BUDGET ORDINAIRE (ANNEXE B1)</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557F45C2" w14:textId="77777777" w:rsidR="00DF6159" w:rsidRPr="00236418" w:rsidRDefault="00DF6159" w:rsidP="009B3D24">
      <w:pPr>
        <w:pStyle w:val="Headingb"/>
      </w:pPr>
      <w:bookmarkStart w:id="2409" w:name="_Toc358379325"/>
      <w:bookmarkStart w:id="2410" w:name="_Toc358380505"/>
      <w:bookmarkStart w:id="2411" w:name="_Toc387167506"/>
      <w:bookmarkStart w:id="2412" w:name="_Toc452138647"/>
      <w:bookmarkStart w:id="2413" w:name="_Toc452139096"/>
      <w:bookmarkStart w:id="2414" w:name="_Toc452139460"/>
      <w:bookmarkStart w:id="2415" w:name="_Toc452139866"/>
      <w:bookmarkStart w:id="2416" w:name="_Toc452140740"/>
      <w:bookmarkStart w:id="2417" w:name="_Toc482888793"/>
      <w:bookmarkStart w:id="2418" w:name="_Toc511649508"/>
      <w:bookmarkStart w:id="2419" w:name="_Toc511649871"/>
      <w:bookmarkStart w:id="2420" w:name="_Toc511649994"/>
      <w:bookmarkStart w:id="2421" w:name="_Toc511650114"/>
      <w:bookmarkStart w:id="2422" w:name="_Toc511650608"/>
      <w:bookmarkStart w:id="2423" w:name="_Toc511651254"/>
      <w:bookmarkStart w:id="2424" w:name="_Toc511724117"/>
      <w:bookmarkStart w:id="2425" w:name="_Toc511739106"/>
      <w:bookmarkStart w:id="2426" w:name="_Toc511741277"/>
      <w:bookmarkStart w:id="2427" w:name="_Toc10450790"/>
      <w:bookmarkStart w:id="2428" w:name="_Toc41566376"/>
      <w:bookmarkStart w:id="2429" w:name="_Toc41814980"/>
      <w:r w:rsidRPr="00236418">
        <w:t xml:space="preserve">Budget </w:t>
      </w:r>
      <w:bookmarkEnd w:id="2409"/>
      <w:bookmarkEnd w:id="2410"/>
      <w:r w:rsidRPr="00236418">
        <w:t>ordinaire</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14:paraId="0EA3F574" w14:textId="7151AA02" w:rsidR="00DF6159" w:rsidRPr="00236418" w:rsidRDefault="0046001B" w:rsidP="009B3D24">
      <w:r w:rsidRPr="00236418">
        <w:t>5</w:t>
      </w:r>
      <w:r w:rsidR="0075692D">
        <w:t>6</w:t>
      </w:r>
      <w:r w:rsidR="00DF6159" w:rsidRPr="00236418">
        <w:tab/>
        <w:t>Pendant l'exercice 201</w:t>
      </w:r>
      <w:r w:rsidRPr="00236418">
        <w:t>9</w:t>
      </w:r>
      <w:r w:rsidR="00DF6159" w:rsidRPr="00236418">
        <w:t>, les produits ainsi que les charges budgétés représentaient 1</w:t>
      </w:r>
      <w:r w:rsidRPr="00236418">
        <w:t>64</w:t>
      </w:r>
      <w:r w:rsidR="00DF6159" w:rsidRPr="00236418">
        <w:t>,</w:t>
      </w:r>
      <w:r w:rsidRPr="00236418">
        <w:t>74 </w:t>
      </w:r>
      <w:r w:rsidR="00DF6159" w:rsidRPr="00236418">
        <w:t>millions CHF.</w:t>
      </w:r>
      <w:bookmarkStart w:id="2430" w:name="_Toc358379326"/>
      <w:bookmarkStart w:id="2431" w:name="_Toc358380506"/>
    </w:p>
    <w:p w14:paraId="430C0BAD" w14:textId="77777777" w:rsidR="00DF6159" w:rsidRPr="00236418" w:rsidRDefault="00DF6159" w:rsidP="009B3D24">
      <w:pPr>
        <w:pStyle w:val="Headingb"/>
      </w:pPr>
      <w:bookmarkStart w:id="2432" w:name="_Toc511649509"/>
      <w:bookmarkStart w:id="2433" w:name="_Toc511649872"/>
      <w:bookmarkStart w:id="2434" w:name="_Toc511649995"/>
      <w:bookmarkStart w:id="2435" w:name="_Toc511650115"/>
      <w:bookmarkStart w:id="2436" w:name="_Toc511650609"/>
      <w:bookmarkStart w:id="2437" w:name="_Toc511651255"/>
      <w:bookmarkStart w:id="2438" w:name="_Toc511724118"/>
      <w:bookmarkStart w:id="2439" w:name="_Toc511739107"/>
      <w:bookmarkStart w:id="2440" w:name="_Toc511741278"/>
      <w:bookmarkStart w:id="2441" w:name="_Toc10450791"/>
      <w:bookmarkStart w:id="2442" w:name="_Toc41566377"/>
      <w:bookmarkStart w:id="2443" w:name="_Toc41814981"/>
      <w:r w:rsidRPr="00236418">
        <w:t>Produits</w:t>
      </w:r>
      <w:bookmarkEnd w:id="2432"/>
      <w:bookmarkEnd w:id="2433"/>
      <w:bookmarkEnd w:id="2434"/>
      <w:bookmarkEnd w:id="2435"/>
      <w:bookmarkEnd w:id="2436"/>
      <w:bookmarkEnd w:id="2437"/>
      <w:bookmarkEnd w:id="2438"/>
      <w:bookmarkEnd w:id="2439"/>
      <w:bookmarkEnd w:id="2440"/>
      <w:bookmarkEnd w:id="2441"/>
      <w:bookmarkEnd w:id="2442"/>
      <w:bookmarkEnd w:id="2443"/>
    </w:p>
    <w:p w14:paraId="4028CFF4" w14:textId="32FBFAF8" w:rsidR="00DF6159" w:rsidRPr="00236418" w:rsidRDefault="0046001B" w:rsidP="009B3D24">
      <w:r w:rsidRPr="00236418">
        <w:t>5</w:t>
      </w:r>
      <w:r w:rsidR="0075692D">
        <w:t>7</w:t>
      </w:r>
      <w:r w:rsidR="00DF6159" w:rsidRPr="00236418">
        <w:tab/>
        <w:t>Un budget de 1,25 million CHF a été attribué pour les projets Bâtiment (0,75 million CHF) et TIC (0,5 million CHF) pour l'année 201</w:t>
      </w:r>
      <w:r w:rsidRPr="00236418">
        <w:t>9</w:t>
      </w:r>
      <w:r w:rsidR="00DF6159" w:rsidRPr="00236418">
        <w:t>. Les charges connexes pour l'année 201</w:t>
      </w:r>
      <w:r w:rsidRPr="00236418">
        <w:t>9</w:t>
      </w:r>
      <w:r w:rsidR="00DF6159" w:rsidRPr="00236418">
        <w:t xml:space="preserve"> sont incluses dans les charges totales du Secrétariat général.</w:t>
      </w:r>
    </w:p>
    <w:p w14:paraId="78BE90E3" w14:textId="77777777" w:rsidR="00DF6159" w:rsidRPr="00236418" w:rsidRDefault="00DF6159" w:rsidP="009B3D24">
      <w:pPr>
        <w:pStyle w:val="Headingb"/>
        <w:rPr>
          <w:bCs/>
        </w:rPr>
      </w:pPr>
      <w:bookmarkStart w:id="2444" w:name="_Toc482888795"/>
      <w:bookmarkStart w:id="2445" w:name="_Toc511649510"/>
      <w:bookmarkStart w:id="2446" w:name="_Toc511649873"/>
      <w:bookmarkStart w:id="2447" w:name="_Toc511649996"/>
      <w:bookmarkStart w:id="2448" w:name="_Toc511650116"/>
      <w:bookmarkStart w:id="2449" w:name="_Toc511650610"/>
      <w:bookmarkStart w:id="2450" w:name="_Toc511651256"/>
      <w:bookmarkStart w:id="2451" w:name="_Toc511724119"/>
      <w:bookmarkStart w:id="2452" w:name="_Toc511739108"/>
      <w:bookmarkStart w:id="2453" w:name="_Toc511741279"/>
      <w:bookmarkStart w:id="2454" w:name="_Toc10450792"/>
      <w:bookmarkStart w:id="2455" w:name="_Toc41566378"/>
      <w:bookmarkStart w:id="2456" w:name="_Toc41814982"/>
      <w:r w:rsidRPr="00236418">
        <w:t>Contributions mise en recouvrement</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p>
    <w:bookmarkEnd w:id="2430"/>
    <w:bookmarkEnd w:id="2431"/>
    <w:p w14:paraId="41C95F15" w14:textId="64D817CE" w:rsidR="00DF6159" w:rsidRPr="00236418" w:rsidRDefault="0046001B" w:rsidP="009B3D24">
      <w:r w:rsidRPr="00236418">
        <w:t>5</w:t>
      </w:r>
      <w:r w:rsidR="0075692D">
        <w:t>8</w:t>
      </w:r>
      <w:r w:rsidR="00DF6159" w:rsidRPr="00236418">
        <w:tab/>
        <w:t>Les recettes provenant des contributions mises en recouvrement sont budgétées à 124,4 millions CHF par an pour l'exercice biennal2018-2019. Le total des contributions effectivement mises en compte s'est élevé à 12</w:t>
      </w:r>
      <w:r w:rsidRPr="00236418">
        <w:t>6</w:t>
      </w:r>
      <w:r w:rsidR="00DF6159" w:rsidRPr="00236418">
        <w:t>,</w:t>
      </w:r>
      <w:r w:rsidRPr="00236418">
        <w:t>48</w:t>
      </w:r>
      <w:r w:rsidR="00DF6159" w:rsidRPr="00236418">
        <w:t> millions CHF en 201</w:t>
      </w:r>
      <w:r w:rsidRPr="00236418">
        <w:t>9</w:t>
      </w:r>
      <w:r w:rsidR="00DF6159" w:rsidRPr="00236418">
        <w:t>.</w:t>
      </w:r>
    </w:p>
    <w:p w14:paraId="655183F7" w14:textId="59693B14" w:rsidR="00DF6159" w:rsidRPr="00236418" w:rsidRDefault="0046001B" w:rsidP="009B3D24">
      <w:pPr>
        <w:rPr>
          <w:bCs/>
        </w:rPr>
      </w:pPr>
      <w:r w:rsidRPr="00236418">
        <w:t>5</w:t>
      </w:r>
      <w:r w:rsidR="0075692D">
        <w:t>9</w:t>
      </w:r>
      <w:r w:rsidR="00DF6159" w:rsidRPr="00236418">
        <w:tab/>
      </w:r>
      <w:r w:rsidR="00DF6159" w:rsidRPr="00236418">
        <w:rPr>
          <w:bCs/>
        </w:rPr>
        <w:t>En 201</w:t>
      </w:r>
      <w:r w:rsidRPr="00236418">
        <w:rPr>
          <w:bCs/>
        </w:rPr>
        <w:t>9</w:t>
      </w:r>
      <w:r w:rsidR="00DF6159" w:rsidRPr="00236418">
        <w:rPr>
          <w:bCs/>
        </w:rPr>
        <w:t xml:space="preserve">, l'UIT </w:t>
      </w:r>
      <w:r w:rsidRPr="00236418">
        <w:rPr>
          <w:bCs/>
        </w:rPr>
        <w:t xml:space="preserve">a </w:t>
      </w:r>
      <w:r w:rsidR="00DF6159" w:rsidRPr="00236418">
        <w:rPr>
          <w:bCs/>
        </w:rPr>
        <w:t xml:space="preserve">continué d'atteindre de nouveaux acteurs en vue de diversifier et de renforcer </w:t>
      </w:r>
      <w:r w:rsidR="00F72E4B" w:rsidRPr="00236418">
        <w:rPr>
          <w:bCs/>
        </w:rPr>
        <w:t>sa composition</w:t>
      </w:r>
      <w:r w:rsidR="00DF6159" w:rsidRPr="00236418">
        <w:rPr>
          <w:bCs/>
        </w:rPr>
        <w:t xml:space="preserve"> et</w:t>
      </w:r>
      <w:r w:rsidR="00F72E4B" w:rsidRPr="00236418">
        <w:rPr>
          <w:bCs/>
        </w:rPr>
        <w:t>, ce faisant,</w:t>
      </w:r>
      <w:r w:rsidR="00DF6159" w:rsidRPr="00236418">
        <w:rPr>
          <w:bCs/>
        </w:rPr>
        <w:t xml:space="preserve"> la participation de ses membres du secteur privé</w:t>
      </w:r>
      <w:r w:rsidR="00DE472F" w:rsidRPr="00236418">
        <w:rPr>
          <w:bCs/>
        </w:rPr>
        <w:t xml:space="preserve"> et des milieux universitaires</w:t>
      </w:r>
      <w:r w:rsidR="00DF6159" w:rsidRPr="00236418">
        <w:rPr>
          <w:bCs/>
        </w:rPr>
        <w:t xml:space="preserve"> a </w:t>
      </w:r>
      <w:r w:rsidR="00DE472F" w:rsidRPr="00236418">
        <w:rPr>
          <w:bCs/>
        </w:rPr>
        <w:t>continué d'évoluer</w:t>
      </w:r>
      <w:r w:rsidR="00DF6159" w:rsidRPr="00236418">
        <w:rPr>
          <w:bCs/>
        </w:rPr>
        <w:t>, reflétant la constante évolution de l'écosystème des</w:t>
      </w:r>
      <w:r w:rsidR="00412FA6" w:rsidRPr="00236418">
        <w:rPr>
          <w:bCs/>
        </w:rPr>
        <w:t> </w:t>
      </w:r>
      <w:r w:rsidR="00DF6159" w:rsidRPr="00236418">
        <w:rPr>
          <w:bCs/>
        </w:rPr>
        <w:t>TIC.</w:t>
      </w:r>
    </w:p>
    <w:p w14:paraId="35272588" w14:textId="7B5BDCFA" w:rsidR="00DE2E13" w:rsidRPr="00236418" w:rsidRDefault="0075692D" w:rsidP="009B3D24">
      <w:pPr>
        <w:rPr>
          <w:bCs/>
        </w:rPr>
      </w:pPr>
      <w:r>
        <w:t>60</w:t>
      </w:r>
      <w:r w:rsidR="00DF6159" w:rsidRPr="00236418">
        <w:tab/>
      </w:r>
      <w:r w:rsidR="00DF6159" w:rsidRPr="00236418">
        <w:rPr>
          <w:bCs/>
        </w:rPr>
        <w:t>En 201</w:t>
      </w:r>
      <w:r w:rsidR="0046001B" w:rsidRPr="00236418">
        <w:rPr>
          <w:bCs/>
        </w:rPr>
        <w:t>9</w:t>
      </w:r>
      <w:r w:rsidR="00DF6159" w:rsidRPr="00236418">
        <w:rPr>
          <w:bCs/>
        </w:rPr>
        <w:t xml:space="preserve">, </w:t>
      </w:r>
      <w:r w:rsidR="00DE2E13" w:rsidRPr="00236418">
        <w:rPr>
          <w:bCs/>
        </w:rPr>
        <w:t>l'UIT comptait plus de 1</w:t>
      </w:r>
      <w:r w:rsidR="00202734" w:rsidRPr="00236418">
        <w:rPr>
          <w:bCs/>
        </w:rPr>
        <w:t xml:space="preserve"> </w:t>
      </w:r>
      <w:r w:rsidR="00DE2E13" w:rsidRPr="00236418">
        <w:rPr>
          <w:bCs/>
        </w:rPr>
        <w:t xml:space="preserve">200 membres au total, avec 900 entités du secteur privé. </w:t>
      </w:r>
      <w:r w:rsidR="00DF6159" w:rsidRPr="00236418">
        <w:t>Il s'agit des niveaux les plus élevés jamais atteints à ce jour</w:t>
      </w:r>
      <w:r w:rsidR="00DF6159" w:rsidRPr="00236418">
        <w:rPr>
          <w:bCs/>
        </w:rPr>
        <w:t xml:space="preserve">. L'UIT a attiré plus de 100 nouveaux membres au cours de l'année, tout en maintenant le taux annuel de perte de membres à </w:t>
      </w:r>
      <w:r w:rsidR="006A4196" w:rsidRPr="00236418">
        <w:rPr>
          <w:bCs/>
        </w:rPr>
        <w:t>moins de</w:t>
      </w:r>
      <w:r w:rsidR="00412FA6" w:rsidRPr="00236418">
        <w:rPr>
          <w:bCs/>
        </w:rPr>
        <w:t> </w:t>
      </w:r>
      <w:r w:rsidR="00DF6159" w:rsidRPr="00236418">
        <w:rPr>
          <w:bCs/>
        </w:rPr>
        <w:t xml:space="preserve">5%. </w:t>
      </w:r>
      <w:r w:rsidR="00DE2E13" w:rsidRPr="00236418">
        <w:rPr>
          <w:bCs/>
        </w:rPr>
        <w:t>L'UIT-T a attiré la plupart des nouveaux membres du secteur privé. En ce qui concerne les régions, la plus forte progression concerne l'Asie-Pacifique, suivie de l'Europe, de la région Amériques et de l'Afrique.</w:t>
      </w:r>
    </w:p>
    <w:p w14:paraId="5D2EDAE8" w14:textId="41ACDF96" w:rsidR="00DF6159" w:rsidRPr="00236418" w:rsidRDefault="0075692D" w:rsidP="009B3D24">
      <w:r>
        <w:t>61</w:t>
      </w:r>
      <w:r w:rsidR="00DF6159" w:rsidRPr="00236418">
        <w:tab/>
        <w:t xml:space="preserve">Au total, l'UIT </w:t>
      </w:r>
      <w:r w:rsidR="001C2740" w:rsidRPr="00236418">
        <w:t xml:space="preserve">compte deux fois plus de nouveaux membres qu'elle n'en a perdus en </w:t>
      </w:r>
      <w:r w:rsidR="0046001B" w:rsidRPr="00236418">
        <w:t xml:space="preserve">2019. </w:t>
      </w:r>
      <w:r w:rsidR="001C2740" w:rsidRPr="00236418">
        <w:t xml:space="preserve">La progression du nombre de Membres de Secteur à part entière a aidé à accroître les </w:t>
      </w:r>
      <w:r w:rsidR="00211526" w:rsidRPr="00236418">
        <w:t>produits</w:t>
      </w:r>
      <w:r w:rsidR="001C2740" w:rsidRPr="00236418">
        <w:t xml:space="preserve"> par rapport aux années précédentes</w:t>
      </w:r>
      <w:r w:rsidR="0046001B" w:rsidRPr="00236418">
        <w:t>.</w:t>
      </w:r>
    </w:p>
    <w:p w14:paraId="6990CC00" w14:textId="77777777" w:rsidR="00DF6159" w:rsidRPr="00236418" w:rsidRDefault="00DF6159" w:rsidP="009B3D24">
      <w:pPr>
        <w:pStyle w:val="Headingb"/>
      </w:pPr>
      <w:bookmarkStart w:id="2457" w:name="_Toc387167507"/>
      <w:bookmarkStart w:id="2458" w:name="_Toc452138649"/>
      <w:bookmarkStart w:id="2459" w:name="_Toc452139098"/>
      <w:bookmarkStart w:id="2460" w:name="_Toc452139462"/>
      <w:bookmarkStart w:id="2461" w:name="_Toc452139868"/>
      <w:bookmarkStart w:id="2462" w:name="_Toc452140742"/>
      <w:bookmarkStart w:id="2463" w:name="_Toc482888796"/>
      <w:bookmarkStart w:id="2464" w:name="_Toc511649511"/>
      <w:bookmarkStart w:id="2465" w:name="_Toc511649874"/>
      <w:bookmarkStart w:id="2466" w:name="_Toc511649997"/>
      <w:bookmarkStart w:id="2467" w:name="_Toc511650117"/>
      <w:bookmarkStart w:id="2468" w:name="_Toc511650611"/>
      <w:bookmarkStart w:id="2469" w:name="_Toc511651257"/>
      <w:bookmarkStart w:id="2470" w:name="_Toc511724120"/>
      <w:bookmarkStart w:id="2471" w:name="_Toc511739109"/>
      <w:bookmarkStart w:id="2472" w:name="_Toc511741280"/>
      <w:bookmarkStart w:id="2473" w:name="_Toc10450793"/>
      <w:bookmarkStart w:id="2474" w:name="_Toc41566379"/>
      <w:bookmarkStart w:id="2475" w:name="_Toc41814983"/>
      <w:r w:rsidRPr="00236418">
        <w:t>Recettes au titre de l'appui aux projets</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14:paraId="6945EDFB" w14:textId="147FB11A" w:rsidR="00A67EC6" w:rsidRPr="00236418" w:rsidRDefault="0031403B" w:rsidP="009B3D24">
      <w:r w:rsidRPr="00236418">
        <w:t>6</w:t>
      </w:r>
      <w:r w:rsidR="0075692D">
        <w:t>2</w:t>
      </w:r>
      <w:r w:rsidR="00DF6159" w:rsidRPr="00236418">
        <w:tab/>
        <w:t>Les recettes au titre de l'appui aux projets étaient budgétées à 1,37 million CHF pour 201</w:t>
      </w:r>
      <w:r w:rsidRPr="00236418">
        <w:t>9</w:t>
      </w:r>
      <w:r w:rsidR="00DF6159" w:rsidRPr="00236418">
        <w:t xml:space="preserve">. Les recettes effectives se sont élevées à 0,4 million CHF, </w:t>
      </w:r>
      <w:r w:rsidR="00A67EC6" w:rsidRPr="00236418">
        <w:t>comme en</w:t>
      </w:r>
      <w:r w:rsidRPr="00236418">
        <w:t xml:space="preserve"> 2018. </w:t>
      </w:r>
      <w:r w:rsidR="00A67EC6" w:rsidRPr="00236418">
        <w:t xml:space="preserve">Les recettes sont </w:t>
      </w:r>
      <w:r w:rsidR="006A4196" w:rsidRPr="00236418">
        <w:t>comptabilisées</w:t>
      </w:r>
      <w:r w:rsidR="00A67EC6" w:rsidRPr="00236418">
        <w:t xml:space="preserve"> uniquement si les projets sont mis en œuvre. </w:t>
      </w:r>
    </w:p>
    <w:p w14:paraId="56A19086" w14:textId="77777777" w:rsidR="00DF6159" w:rsidRPr="00236418" w:rsidRDefault="00DF6159" w:rsidP="009B3D24">
      <w:pPr>
        <w:pStyle w:val="Headingb"/>
      </w:pPr>
      <w:bookmarkStart w:id="2476" w:name="_Toc358379327"/>
      <w:bookmarkStart w:id="2477" w:name="_Toc358380507"/>
      <w:bookmarkStart w:id="2478" w:name="_Toc387167508"/>
      <w:bookmarkStart w:id="2479" w:name="_Toc452138650"/>
      <w:bookmarkStart w:id="2480" w:name="_Toc452139099"/>
      <w:bookmarkStart w:id="2481" w:name="_Toc452139463"/>
      <w:bookmarkStart w:id="2482" w:name="_Toc452139869"/>
      <w:bookmarkStart w:id="2483" w:name="_Toc452140743"/>
      <w:bookmarkStart w:id="2484" w:name="_Toc482888797"/>
      <w:bookmarkStart w:id="2485" w:name="_Toc511649512"/>
      <w:bookmarkStart w:id="2486" w:name="_Toc511649875"/>
      <w:bookmarkStart w:id="2487" w:name="_Toc511649998"/>
      <w:bookmarkStart w:id="2488" w:name="_Toc511650118"/>
      <w:bookmarkStart w:id="2489" w:name="_Toc511650612"/>
      <w:bookmarkStart w:id="2490" w:name="_Toc511651258"/>
      <w:bookmarkStart w:id="2491" w:name="_Toc511724121"/>
      <w:bookmarkStart w:id="2492" w:name="_Toc511739110"/>
      <w:bookmarkStart w:id="2493" w:name="_Toc511741281"/>
      <w:bookmarkStart w:id="2494" w:name="_Toc10450794"/>
      <w:bookmarkStart w:id="2495" w:name="_Toc41566380"/>
      <w:bookmarkStart w:id="2496" w:name="_Toc41814984"/>
      <w:bookmarkStart w:id="2497" w:name="_Toc358379328"/>
      <w:bookmarkStart w:id="2498" w:name="_Toc358380508"/>
      <w:bookmarkStart w:id="2499" w:name="_Toc387167509"/>
      <w:bookmarkStart w:id="2500" w:name="_Toc452138651"/>
      <w:bookmarkStart w:id="2501" w:name="_Toc452139100"/>
      <w:bookmarkStart w:id="2502" w:name="_Toc452139464"/>
      <w:bookmarkStart w:id="2503" w:name="_Toc452139870"/>
      <w:bookmarkStart w:id="2504" w:name="_Toc452140744"/>
      <w:r w:rsidRPr="00236418">
        <w:t>Ventes de publications</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14:paraId="4CAC2EB1" w14:textId="62375D72" w:rsidR="00211526" w:rsidRPr="00236418" w:rsidRDefault="0031403B" w:rsidP="009B3D24">
      <w:r w:rsidRPr="00236418">
        <w:t>6</w:t>
      </w:r>
      <w:r w:rsidR="0075692D">
        <w:t>3</w:t>
      </w:r>
      <w:r w:rsidR="00DF6159" w:rsidRPr="00236418">
        <w:tab/>
      </w:r>
      <w:r w:rsidR="00211526" w:rsidRPr="00236418">
        <w:t>En 2019, les produits des ventes de publications ont augmenté de 13% par rapport à l'année précédente, pour atteindre 15,61 millions CHF, ce qui représente 82% des prévisions budgétées.</w:t>
      </w:r>
    </w:p>
    <w:p w14:paraId="7C96DA3C" w14:textId="13BD3A6F" w:rsidR="00211526" w:rsidRPr="00236418" w:rsidRDefault="0031403B" w:rsidP="009B3D24">
      <w:r w:rsidRPr="00236418">
        <w:t>6</w:t>
      </w:r>
      <w:r w:rsidR="0075692D">
        <w:t>4</w:t>
      </w:r>
      <w:r w:rsidRPr="00236418">
        <w:tab/>
      </w:r>
      <w:r w:rsidR="00211526" w:rsidRPr="00236418">
        <w:t>Les ventes ont augmenté principalement en raison de la publication</w:t>
      </w:r>
      <w:r w:rsidR="006A4196" w:rsidRPr="00236418">
        <w:t>,</w:t>
      </w:r>
      <w:r w:rsidR="00211526" w:rsidRPr="00236418">
        <w:t xml:space="preserve"> </w:t>
      </w:r>
      <w:r w:rsidR="006A4196" w:rsidRPr="00236418">
        <w:t xml:space="preserve">en avril et décembre respectivement, </w:t>
      </w:r>
      <w:r w:rsidR="00211526" w:rsidRPr="00236418">
        <w:t>des éditi</w:t>
      </w:r>
      <w:r w:rsidR="00DD27ED" w:rsidRPr="00236418">
        <w:t>on</w:t>
      </w:r>
      <w:r w:rsidR="00211526" w:rsidRPr="00236418">
        <w:t xml:space="preserve">s </w:t>
      </w:r>
      <w:r w:rsidR="00DD27ED" w:rsidRPr="00236418">
        <w:t xml:space="preserve">de </w:t>
      </w:r>
      <w:r w:rsidR="00211526" w:rsidRPr="00236418">
        <w:t xml:space="preserve">2019 </w:t>
      </w:r>
      <w:r w:rsidR="00DD27ED" w:rsidRPr="00236418">
        <w:t>des publications de service (services maritimes) phares de l'UIT-R que sont la Liste V et la Liste IV.</w:t>
      </w:r>
      <w:r w:rsidR="00211526" w:rsidRPr="00236418">
        <w:t xml:space="preserve"> </w:t>
      </w:r>
      <w:r w:rsidR="00DD27ED" w:rsidRPr="00236418">
        <w:t xml:space="preserve">Les activités de développement des ventes ont </w:t>
      </w:r>
      <w:r w:rsidR="006A4196" w:rsidRPr="00236418">
        <w:t>consisté</w:t>
      </w:r>
      <w:r w:rsidR="00DD27ED" w:rsidRPr="00236418">
        <w:t xml:space="preserve"> à </w:t>
      </w:r>
      <w:r w:rsidR="006A4196" w:rsidRPr="00236418">
        <w:t xml:space="preserve">ajouter </w:t>
      </w:r>
      <w:r w:rsidR="00DD27ED" w:rsidRPr="00236418">
        <w:t xml:space="preserve">six nouveaux revendeurs dans le monde en 2019, afin de continuer à élargir les canaux de diffusion, ainsi qu'à </w:t>
      </w:r>
      <w:r w:rsidR="006A4196" w:rsidRPr="00236418">
        <w:t>renforcer</w:t>
      </w:r>
      <w:r w:rsidR="00DD27ED" w:rsidRPr="00236418">
        <w:t xml:space="preserve"> des campagnes </w:t>
      </w:r>
      <w:r w:rsidR="001B4A19" w:rsidRPr="00236418">
        <w:t xml:space="preserve">menées auprès des inspecteurs des ports afin </w:t>
      </w:r>
      <w:r w:rsidR="005D502D" w:rsidRPr="00236418">
        <w:t xml:space="preserve">de faire connaître les nouveaux éléments concernant la lutte contre la contrefaçon </w:t>
      </w:r>
      <w:r w:rsidR="006A4196" w:rsidRPr="00236418">
        <w:t>figurant</w:t>
      </w:r>
      <w:r w:rsidR="005D502D" w:rsidRPr="00236418">
        <w:t xml:space="preserve"> dans toutes les publications de service de l'UIT relatives au service maritime.</w:t>
      </w:r>
    </w:p>
    <w:p w14:paraId="26CC8D95" w14:textId="107C5839" w:rsidR="005F44E3" w:rsidRPr="00236418" w:rsidRDefault="0031403B" w:rsidP="009B3D24">
      <w:r w:rsidRPr="00236418">
        <w:t>6</w:t>
      </w:r>
      <w:r w:rsidR="0075692D">
        <w:t>5</w:t>
      </w:r>
      <w:r w:rsidRPr="00236418">
        <w:tab/>
      </w:r>
      <w:r w:rsidR="005F44E3" w:rsidRPr="00236418">
        <w:t xml:space="preserve">Bien que la grande majorité des contenus et titres de l'UIT soit désormais accessible gratuitement en ligne, les grands clients traditionnels utilisant les statistiques sur les télécommunications dans le monde (par exemple, </w:t>
      </w:r>
      <w:r w:rsidRPr="00236418">
        <w:t xml:space="preserve">Economist Intelligence Unit, Financial Times, </w:t>
      </w:r>
      <w:r w:rsidRPr="00236418">
        <w:lastRenderedPageBreak/>
        <w:t>Ernst &amp; Young, etc.</w:t>
      </w:r>
      <w:r w:rsidR="005F44E3" w:rsidRPr="00236418">
        <w:t xml:space="preserve">) ont renouvelé l'accord de licence personnalisé en matière de données qu'ils avaient signé pour la base de données de l'UIT-D sur les indicateurs des télécommunications/TIC dans le monde et continuent donc de verser des redevances annuelles à l'UIT. </w:t>
      </w:r>
    </w:p>
    <w:p w14:paraId="16A379D6" w14:textId="55D606CD" w:rsidR="00DF6159" w:rsidRPr="00236418" w:rsidRDefault="00DF6159" w:rsidP="009B3D24">
      <w:pPr>
        <w:pStyle w:val="Headingb"/>
      </w:pPr>
      <w:bookmarkStart w:id="2505" w:name="_Toc482888798"/>
      <w:bookmarkStart w:id="2506" w:name="_Toc511649513"/>
      <w:bookmarkStart w:id="2507" w:name="_Toc511649876"/>
      <w:bookmarkStart w:id="2508" w:name="_Toc511649999"/>
      <w:bookmarkStart w:id="2509" w:name="_Toc511650119"/>
      <w:bookmarkStart w:id="2510" w:name="_Toc511650613"/>
      <w:bookmarkStart w:id="2511" w:name="_Toc511651259"/>
      <w:bookmarkStart w:id="2512" w:name="_Toc511724122"/>
      <w:bookmarkStart w:id="2513" w:name="_Toc511739111"/>
      <w:bookmarkStart w:id="2514" w:name="_Toc511741282"/>
      <w:bookmarkStart w:id="2515" w:name="_Toc10450795"/>
      <w:bookmarkStart w:id="2516" w:name="_Toc41566381"/>
      <w:bookmarkStart w:id="2517" w:name="_Toc41814985"/>
      <w:r w:rsidRPr="00236418">
        <w:t>Produits et services au titre du recouvrement des coûts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1885B606" w14:textId="75401970" w:rsidR="00DF6159" w:rsidRPr="00236418" w:rsidRDefault="00D36A18" w:rsidP="009B3D24">
      <w:pPr>
        <w:rPr>
          <w:color w:val="000000"/>
        </w:rPr>
      </w:pPr>
      <w:r w:rsidRPr="00236418">
        <w:t>6</w:t>
      </w:r>
      <w:r w:rsidR="0075692D">
        <w:t>6</w:t>
      </w:r>
      <w:r w:rsidR="00DF6159" w:rsidRPr="00236418">
        <w:tab/>
        <w:t>Les produits et services au titre du recouvrement des coûts ont été estimés à 16 millions CHF dans le budget ordinaire pour 201</w:t>
      </w:r>
      <w:r w:rsidRPr="00236418">
        <w:t>9</w:t>
      </w:r>
      <w:r w:rsidR="00DF6159" w:rsidRPr="00236418">
        <w:t>. Les revenus effectifs se sont élevés à </w:t>
      </w:r>
      <w:r w:rsidRPr="00236418">
        <w:t>13,</w:t>
      </w:r>
      <w:r w:rsidR="00A3701F" w:rsidRPr="00236418">
        <w:t>7</w:t>
      </w:r>
      <w:r w:rsidRPr="00236418">
        <w:t>2</w:t>
      </w:r>
      <w:r w:rsidR="00DF6159" w:rsidRPr="00236418">
        <w:t xml:space="preserve"> millions CHF (</w:t>
      </w:r>
      <w:r w:rsidRPr="00236418">
        <w:t>21</w:t>
      </w:r>
      <w:r w:rsidR="00DF6159" w:rsidRPr="00236418">
        <w:t> millions CHF en 201</w:t>
      </w:r>
      <w:r w:rsidRPr="00236418">
        <w:t>8</w:t>
      </w:r>
      <w:r w:rsidR="00DF6159" w:rsidRPr="00236418">
        <w:t xml:space="preserve">). Cette </w:t>
      </w:r>
      <w:r w:rsidR="00A3701F" w:rsidRPr="00236418">
        <w:t>baisse</w:t>
      </w:r>
      <w:r w:rsidR="00DF6159" w:rsidRPr="00236418">
        <w:t xml:space="preserve"> est </w:t>
      </w:r>
      <w:r w:rsidR="00A3701F" w:rsidRPr="00236418">
        <w:t xml:space="preserve">principalement </w:t>
      </w:r>
      <w:r w:rsidR="00DF6159" w:rsidRPr="00236418">
        <w:t xml:space="preserve">due </w:t>
      </w:r>
      <w:r w:rsidR="00A3701F" w:rsidRPr="00236418">
        <w:t>à la diminution du nombre de</w:t>
      </w:r>
      <w:r w:rsidR="00DF6159" w:rsidRPr="00236418">
        <w:t xml:space="preserve"> </w:t>
      </w:r>
      <w:r w:rsidR="00DF6159" w:rsidRPr="00236418">
        <w:rPr>
          <w:color w:val="000000"/>
        </w:rPr>
        <w:t>fiches de notification de réseau à satellite.</w:t>
      </w:r>
    </w:p>
    <w:p w14:paraId="5C37F4EF" w14:textId="62318041" w:rsidR="00A3701F" w:rsidRPr="00236418" w:rsidRDefault="00D36A18" w:rsidP="009B3D24">
      <w:r w:rsidRPr="00236418">
        <w:t>6</w:t>
      </w:r>
      <w:r w:rsidR="0075692D">
        <w:t>7</w:t>
      </w:r>
      <w:r w:rsidRPr="00236418">
        <w:tab/>
      </w:r>
      <w:r w:rsidR="00A3701F" w:rsidRPr="00236418">
        <w:t xml:space="preserve">En 2019, du fait de la tenue de la CMR-19, les opérateurs de </w:t>
      </w:r>
      <w:r w:rsidR="00381337" w:rsidRPr="00236418">
        <w:t xml:space="preserve">réseaux à </w:t>
      </w:r>
      <w:r w:rsidR="00A3701F" w:rsidRPr="00236418">
        <w:t>satellite ont attendu la</w:t>
      </w:r>
      <w:r w:rsidR="00381337" w:rsidRPr="00236418">
        <w:t xml:space="preserve"> fin de la</w:t>
      </w:r>
      <w:r w:rsidR="00A3701F" w:rsidRPr="00236418">
        <w:t xml:space="preserve"> CMR pour soumettre leurs fiches de notification</w:t>
      </w:r>
      <w:r w:rsidR="00381337" w:rsidRPr="00236418">
        <w:t>,</w:t>
      </w:r>
      <w:r w:rsidR="00A3701F" w:rsidRPr="00236418">
        <w:t xml:space="preserve"> afin de bénéficier des nouvelles conditions définies par la Conférence. Étant donné que les factures </w:t>
      </w:r>
      <w:r w:rsidR="00381337" w:rsidRPr="00236418">
        <w:t>concernant</w:t>
      </w:r>
      <w:r w:rsidR="00A3701F" w:rsidRPr="00236418">
        <w:t xml:space="preserve"> les fiches de notification reçues à la fin des mois de novembre et décembre 2019 sont émises en début d'année</w:t>
      </w:r>
      <w:r w:rsidR="00836425" w:rsidRPr="00236418">
        <w:t> </w:t>
      </w:r>
      <w:r w:rsidR="00A3701F" w:rsidRPr="00236418">
        <w:t>2020, elles ne sont pas prises en compte dans l'exercice 2019, mais le seront dans l'exercice 2020. À titre de première confirmation, au 24 mars 2020, les factures émises représentaient un montant de 4 314 460 CHF, ce qui, avec une extrapolation linéaire, donne un montant de 18 798 718 CHF pour le reste de l'année 2020.</w:t>
      </w:r>
    </w:p>
    <w:p w14:paraId="7CA9C229" w14:textId="29D91D26" w:rsidR="00A3701F" w:rsidRPr="00236418" w:rsidRDefault="00D36A18" w:rsidP="009B3D24">
      <w:r w:rsidRPr="00236418">
        <w:t>6</w:t>
      </w:r>
      <w:r w:rsidR="0075692D">
        <w:t>8</w:t>
      </w:r>
      <w:r w:rsidRPr="00236418">
        <w:tab/>
      </w:r>
      <w:r w:rsidR="00A3701F" w:rsidRPr="00236418">
        <w:t xml:space="preserve">En outre, la tendance observée dans le secteur spatial à utiliser </w:t>
      </w:r>
      <w:r w:rsidR="00AA3CBC" w:rsidRPr="00236418">
        <w:t>plus de satellites non géostationnaires que géostationnaires se répercute dans les soumissions à l'UIT. En 2019, pour la première fois depuis 10</w:t>
      </w:r>
      <w:r w:rsidR="00381337" w:rsidRPr="00236418">
        <w:t xml:space="preserve"> ans</w:t>
      </w:r>
      <w:r w:rsidR="00AA3CBC" w:rsidRPr="00236418">
        <w:t xml:space="preserve">, le nombre de demandes de coordination pour des satellites géostationnaires a baissé par rapport à l'année précédente. </w:t>
      </w:r>
      <w:r w:rsidR="00A1751E" w:rsidRPr="00236418">
        <w:t xml:space="preserve">Parallèlement, le nombre de demandes concernant des satellites non géostationnaires a augmenté, mais </w:t>
      </w:r>
      <w:r w:rsidR="005A0FC9" w:rsidRPr="00236418">
        <w:t>la</w:t>
      </w:r>
      <w:r w:rsidR="00A1751E" w:rsidRPr="00236418">
        <w:t xml:space="preserve"> notification </w:t>
      </w:r>
      <w:r w:rsidR="005A0FC9" w:rsidRPr="00236418">
        <w:t xml:space="preserve">de ce type de satellite </w:t>
      </w:r>
      <w:r w:rsidR="00A1751E" w:rsidRPr="00236418">
        <w:t>est généralement moins coûteuse que les notifications de satellites géostationnaires.</w:t>
      </w:r>
    </w:p>
    <w:p w14:paraId="5CA4CF42" w14:textId="77777777" w:rsidR="00DF6159" w:rsidRPr="00236418" w:rsidRDefault="00DF6159" w:rsidP="009B3D24">
      <w:pPr>
        <w:pStyle w:val="Headingb"/>
      </w:pPr>
      <w:bookmarkStart w:id="2518" w:name="_Toc358379329"/>
      <w:bookmarkStart w:id="2519" w:name="_Toc358380509"/>
      <w:bookmarkStart w:id="2520" w:name="_Toc387167510"/>
      <w:bookmarkStart w:id="2521" w:name="_Toc452138652"/>
      <w:bookmarkStart w:id="2522" w:name="_Toc452139101"/>
      <w:bookmarkStart w:id="2523" w:name="_Toc452139465"/>
      <w:bookmarkStart w:id="2524" w:name="_Toc452139871"/>
      <w:bookmarkStart w:id="2525" w:name="_Toc452140745"/>
      <w:bookmarkStart w:id="2526" w:name="_Toc482888799"/>
      <w:bookmarkStart w:id="2527" w:name="_Toc511649514"/>
      <w:bookmarkStart w:id="2528" w:name="_Toc511649877"/>
      <w:bookmarkStart w:id="2529" w:name="_Toc511650000"/>
      <w:bookmarkStart w:id="2530" w:name="_Toc511650120"/>
      <w:bookmarkStart w:id="2531" w:name="_Toc511650614"/>
      <w:bookmarkStart w:id="2532" w:name="_Toc511651260"/>
      <w:bookmarkStart w:id="2533" w:name="_Toc511724123"/>
      <w:bookmarkStart w:id="2534" w:name="_Toc511739112"/>
      <w:bookmarkStart w:id="2535" w:name="_Toc511741283"/>
      <w:bookmarkStart w:id="2536" w:name="_Toc10450796"/>
      <w:bookmarkStart w:id="2537" w:name="_Toc41566382"/>
      <w:bookmarkStart w:id="2538" w:name="_Toc41814986"/>
      <w:r w:rsidRPr="00236418">
        <w:t>Intérêts créditeurs</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14:paraId="39AFF0F7" w14:textId="5236E7B0" w:rsidR="00DF6159" w:rsidRPr="00236418" w:rsidRDefault="00D36A18" w:rsidP="009B3D24">
      <w:pPr>
        <w:rPr>
          <w:rFonts w:eastAsia="SimSun"/>
        </w:rPr>
      </w:pPr>
      <w:r w:rsidRPr="00236418">
        <w:t>6</w:t>
      </w:r>
      <w:r w:rsidR="0075692D">
        <w:t>9</w:t>
      </w:r>
      <w:r w:rsidR="00DF6159" w:rsidRPr="00236418">
        <w:tab/>
        <w:t>Le montant des intérêts créditeurs a été budgété à 0,3 million CHF. Le montant effectif s'est élevé à </w:t>
      </w:r>
      <w:r w:rsidRPr="00236418">
        <w:t>408</w:t>
      </w:r>
      <w:r w:rsidR="00DF6159" w:rsidRPr="00236418">
        <w:t xml:space="preserve"> 000 CHF (</w:t>
      </w:r>
      <w:r w:rsidRPr="00236418">
        <w:t>377</w:t>
      </w:r>
      <w:r w:rsidR="00DF6159" w:rsidRPr="00236418">
        <w:t xml:space="preserve"> 000 CHF en 201</w:t>
      </w:r>
      <w:r w:rsidRPr="00236418">
        <w:t>8</w:t>
      </w:r>
      <w:r w:rsidR="00DF6159" w:rsidRPr="00236418">
        <w:t>).</w:t>
      </w:r>
      <w:r w:rsidR="00DF6159" w:rsidRPr="00236418">
        <w:rPr>
          <w:rFonts w:eastAsia="SimSun" w:cs="Arial"/>
        </w:rPr>
        <w:t xml:space="preserve"> En dépit des conditions de marché inchangées concernant le franc suisse, l'UIT a été en mesure d'effectuer des dépôts en USD dont les taux garantissent un bon rendement.</w:t>
      </w:r>
    </w:p>
    <w:p w14:paraId="2DBC1357" w14:textId="77777777" w:rsidR="00DF6159" w:rsidRPr="00236418" w:rsidRDefault="00DF6159" w:rsidP="009B3D24">
      <w:pPr>
        <w:pStyle w:val="Headingb"/>
      </w:pPr>
      <w:bookmarkStart w:id="2539" w:name="_Toc358379330"/>
      <w:bookmarkStart w:id="2540" w:name="_Toc358380510"/>
      <w:bookmarkStart w:id="2541" w:name="_Toc387167511"/>
      <w:bookmarkStart w:id="2542" w:name="_Toc452138653"/>
      <w:bookmarkStart w:id="2543" w:name="_Toc452139102"/>
      <w:bookmarkStart w:id="2544" w:name="_Toc452139466"/>
      <w:bookmarkStart w:id="2545" w:name="_Toc452139872"/>
      <w:bookmarkStart w:id="2546" w:name="_Toc452140746"/>
      <w:bookmarkStart w:id="2547" w:name="_Toc482888800"/>
      <w:bookmarkStart w:id="2548" w:name="_Toc511649515"/>
      <w:bookmarkStart w:id="2549" w:name="_Toc511649878"/>
      <w:bookmarkStart w:id="2550" w:name="_Toc511650001"/>
      <w:bookmarkStart w:id="2551" w:name="_Toc511650121"/>
      <w:bookmarkStart w:id="2552" w:name="_Toc511650615"/>
      <w:bookmarkStart w:id="2553" w:name="_Toc511651261"/>
      <w:bookmarkStart w:id="2554" w:name="_Toc511724124"/>
      <w:bookmarkStart w:id="2555" w:name="_Toc511739113"/>
      <w:bookmarkStart w:id="2556" w:name="_Toc511741284"/>
      <w:bookmarkStart w:id="2557" w:name="_Toc10450797"/>
      <w:bookmarkStart w:id="2558" w:name="_Toc41566383"/>
      <w:bookmarkStart w:id="2559" w:name="_Toc41814987"/>
      <w:r w:rsidRPr="00236418">
        <w:t>Charges</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233EC1C1" w14:textId="1EE468C3" w:rsidR="00DF6159" w:rsidRPr="00236418" w:rsidRDefault="0075692D" w:rsidP="009B3D24">
      <w:pPr>
        <w:rPr>
          <w:color w:val="000000" w:themeColor="text1"/>
        </w:rPr>
      </w:pPr>
      <w:r>
        <w:t>70</w:t>
      </w:r>
      <w:r w:rsidR="00DF6159" w:rsidRPr="00236418">
        <w:tab/>
        <w:t xml:space="preserve">Des informations relatives aux charges sont fournies dans </w:t>
      </w:r>
      <w:r w:rsidR="00DF6159" w:rsidRPr="00236418">
        <w:rPr>
          <w:color w:val="000000" w:themeColor="text1"/>
        </w:rPr>
        <w:t>la Note 23.</w:t>
      </w:r>
    </w:p>
    <w:p w14:paraId="399BD817" w14:textId="127696F7" w:rsidR="00DF6159" w:rsidRPr="00236418" w:rsidRDefault="00D36A18" w:rsidP="009B3D24">
      <w:r w:rsidRPr="00236418">
        <w:t>7</w:t>
      </w:r>
      <w:r w:rsidR="0075692D">
        <w:t>1</w:t>
      </w:r>
      <w:r w:rsidR="00DF6159" w:rsidRPr="00236418">
        <w:tab/>
        <w:t xml:space="preserve">Les </w:t>
      </w:r>
      <w:r w:rsidR="00A1751E" w:rsidRPr="00236418">
        <w:t>charges</w:t>
      </w:r>
      <w:r w:rsidR="00DF6159" w:rsidRPr="00236418">
        <w:t xml:space="preserve"> totales du Bureau de la normalisation des télécommunications (TSB) se sont chiffrées à 13,</w:t>
      </w:r>
      <w:r w:rsidRPr="00236418">
        <w:t>46</w:t>
      </w:r>
      <w:r w:rsidR="00DF6159" w:rsidRPr="00236418">
        <w:t xml:space="preserve"> millions CHF en 201</w:t>
      </w:r>
      <w:r w:rsidRPr="00236418">
        <w:t>9</w:t>
      </w:r>
      <w:r w:rsidR="00DF6159" w:rsidRPr="00236418">
        <w:t>, soit 9</w:t>
      </w:r>
      <w:r w:rsidRPr="00236418">
        <w:t>9,8</w:t>
      </w:r>
      <w:r w:rsidR="00DF6159" w:rsidRPr="00236418">
        <w:t>% du budget approuvé de 13,</w:t>
      </w:r>
      <w:r w:rsidRPr="00236418">
        <w:t>48</w:t>
      </w:r>
      <w:r w:rsidR="00DF6159" w:rsidRPr="00236418">
        <w:t xml:space="preserve"> millions CHF.</w:t>
      </w:r>
    </w:p>
    <w:p w14:paraId="419EEFFA" w14:textId="213B6A90" w:rsidR="00A1751E" w:rsidRPr="00236418" w:rsidRDefault="00D36A18" w:rsidP="009B3D24">
      <w:r w:rsidRPr="00236418">
        <w:t>7</w:t>
      </w:r>
      <w:r w:rsidR="0075692D">
        <w:t>2</w:t>
      </w:r>
      <w:r w:rsidRPr="00236418">
        <w:tab/>
      </w:r>
      <w:r w:rsidR="00A1751E" w:rsidRPr="00236418">
        <w:t>E</w:t>
      </w:r>
      <w:r w:rsidRPr="00236418">
        <w:t xml:space="preserve">n 2019, </w:t>
      </w:r>
      <w:r w:rsidR="00A1751E" w:rsidRPr="00236418">
        <w:t>l'UIT-R a eu beaucoup de travail avec la Conférence mondiale des radiocommunications, l'Assemblée des radiocommunication et la Réunion de préparation à la Conférence. Un</w:t>
      </w:r>
      <w:r w:rsidR="00836425" w:rsidRPr="00236418">
        <w:t>e</w:t>
      </w:r>
      <w:r w:rsidR="00A1751E" w:rsidRPr="00236418">
        <w:t xml:space="preserve"> part importante du travail accompli par le Bureau concernait ces manifestations.</w:t>
      </w:r>
    </w:p>
    <w:p w14:paraId="27845699" w14:textId="02A840EB" w:rsidR="00D36A18" w:rsidRPr="00236418" w:rsidRDefault="00D36A18" w:rsidP="009B3D24">
      <w:pPr>
        <w:rPr>
          <w:bCs/>
        </w:rPr>
      </w:pPr>
      <w:r w:rsidRPr="00236418">
        <w:t>7</w:t>
      </w:r>
      <w:r w:rsidR="0075692D">
        <w:t>3</w:t>
      </w:r>
      <w:r w:rsidRPr="00236418">
        <w:tab/>
      </w:r>
      <w:r w:rsidR="00543B7E" w:rsidRPr="00236418">
        <w:rPr>
          <w:bCs/>
        </w:rPr>
        <w:t xml:space="preserve">Les dépenses totales </w:t>
      </w:r>
      <w:r w:rsidR="00A1751E" w:rsidRPr="00236418">
        <w:rPr>
          <w:bCs/>
        </w:rPr>
        <w:t>pour les activités de l'UIT-R</w:t>
      </w:r>
      <w:r w:rsidR="00543B7E" w:rsidRPr="00236418">
        <w:rPr>
          <w:bCs/>
        </w:rPr>
        <w:t xml:space="preserve"> se sont élevées à 2</w:t>
      </w:r>
      <w:r w:rsidR="00A1751E" w:rsidRPr="00236418">
        <w:rPr>
          <w:bCs/>
        </w:rPr>
        <w:t>8</w:t>
      </w:r>
      <w:r w:rsidR="00543B7E" w:rsidRPr="00236418">
        <w:rPr>
          <w:bCs/>
        </w:rPr>
        <w:t xml:space="preserve"> millions CHF en 201</w:t>
      </w:r>
      <w:r w:rsidR="00A1751E" w:rsidRPr="00236418">
        <w:rPr>
          <w:bCs/>
        </w:rPr>
        <w:t>9</w:t>
      </w:r>
      <w:r w:rsidR="00543B7E" w:rsidRPr="00236418">
        <w:rPr>
          <w:bCs/>
        </w:rPr>
        <w:t xml:space="preserve">, soit </w:t>
      </w:r>
      <w:r w:rsidR="00A1751E" w:rsidRPr="00236418">
        <w:rPr>
          <w:bCs/>
        </w:rPr>
        <w:t>89</w:t>
      </w:r>
      <w:r w:rsidR="00543B7E" w:rsidRPr="00236418">
        <w:rPr>
          <w:bCs/>
        </w:rPr>
        <w:t xml:space="preserve">% du budget approuvé de </w:t>
      </w:r>
      <w:r w:rsidR="00A1751E" w:rsidRPr="00236418">
        <w:rPr>
          <w:bCs/>
        </w:rPr>
        <w:t>31,5</w:t>
      </w:r>
      <w:r w:rsidR="00543B7E" w:rsidRPr="00236418">
        <w:rPr>
          <w:bCs/>
        </w:rPr>
        <w:t xml:space="preserve"> millions CHF.</w:t>
      </w:r>
    </w:p>
    <w:p w14:paraId="66C36BE4" w14:textId="5838D31B" w:rsidR="001439AA" w:rsidRPr="00236418" w:rsidRDefault="00543B7E" w:rsidP="009B3D24">
      <w:r w:rsidRPr="00236418">
        <w:t>7</w:t>
      </w:r>
      <w:r w:rsidR="0075692D">
        <w:t>4</w:t>
      </w:r>
      <w:r w:rsidRPr="00236418">
        <w:tab/>
      </w:r>
      <w:r w:rsidR="001439AA" w:rsidRPr="00236418">
        <w:t>Afin de veiller à ce que le travail du BDT soit mené de la manière la plus efficace possible avec des résultats concrets et mesurables produisant des effets réels, le Bureau a étendu son approche de gestion axée sur les résultats à la planification, la mise en œuvre, le suivi et l'évaluation des projets et a élaboré une théorie du changement pour chaque priorité thématique du BDT.</w:t>
      </w:r>
    </w:p>
    <w:p w14:paraId="56C83731" w14:textId="43C11452" w:rsidR="00DF6159" w:rsidRPr="00236418" w:rsidRDefault="00543B7E" w:rsidP="009B3D24">
      <w:bookmarkStart w:id="2560" w:name="_Toc358379331"/>
      <w:bookmarkStart w:id="2561" w:name="_Toc358380511"/>
      <w:bookmarkStart w:id="2562" w:name="_Toc387167512"/>
      <w:bookmarkStart w:id="2563" w:name="_Toc452138654"/>
      <w:bookmarkStart w:id="2564" w:name="_Toc452139103"/>
      <w:bookmarkStart w:id="2565" w:name="_Toc452139467"/>
      <w:bookmarkStart w:id="2566" w:name="_Toc452139873"/>
      <w:bookmarkStart w:id="2567" w:name="_Toc452140747"/>
      <w:bookmarkStart w:id="2568" w:name="_Toc482888801"/>
      <w:bookmarkStart w:id="2569" w:name="_Toc511649516"/>
      <w:bookmarkStart w:id="2570" w:name="_Toc511649879"/>
      <w:bookmarkStart w:id="2571" w:name="_Toc511650002"/>
      <w:bookmarkStart w:id="2572" w:name="_Toc511650122"/>
      <w:bookmarkStart w:id="2573" w:name="_Toc511650616"/>
      <w:bookmarkStart w:id="2574" w:name="_Toc511651262"/>
      <w:bookmarkStart w:id="2575" w:name="_Toc511724125"/>
      <w:bookmarkStart w:id="2576" w:name="_Toc511739114"/>
      <w:bookmarkStart w:id="2577" w:name="_Toc511741285"/>
      <w:r w:rsidRPr="00236418">
        <w:t>7</w:t>
      </w:r>
      <w:r w:rsidR="0075692D">
        <w:t>5</w:t>
      </w:r>
      <w:r w:rsidR="00DF6159" w:rsidRPr="00236418">
        <w:tab/>
      </w:r>
      <w:r w:rsidR="00DF6159" w:rsidRPr="00236418">
        <w:rPr>
          <w:bCs/>
        </w:rPr>
        <w:t>Les dépenses totales du BDT se sont élevées à 2</w:t>
      </w:r>
      <w:r w:rsidRPr="00236418">
        <w:rPr>
          <w:bCs/>
        </w:rPr>
        <w:t>7</w:t>
      </w:r>
      <w:r w:rsidR="00DF6159" w:rsidRPr="00236418">
        <w:rPr>
          <w:bCs/>
        </w:rPr>
        <w:t>,</w:t>
      </w:r>
      <w:r w:rsidRPr="00236418">
        <w:rPr>
          <w:bCs/>
        </w:rPr>
        <w:t>2</w:t>
      </w:r>
      <w:r w:rsidR="00DF6159" w:rsidRPr="00236418">
        <w:rPr>
          <w:bCs/>
        </w:rPr>
        <w:t xml:space="preserve"> millions CHF en 201</w:t>
      </w:r>
      <w:r w:rsidRPr="00236418">
        <w:rPr>
          <w:bCs/>
        </w:rPr>
        <w:t>9</w:t>
      </w:r>
      <w:r w:rsidR="00DF6159" w:rsidRPr="00236418">
        <w:rPr>
          <w:bCs/>
        </w:rPr>
        <w:t xml:space="preserve">, soit </w:t>
      </w:r>
      <w:r w:rsidRPr="00236418">
        <w:rPr>
          <w:bCs/>
        </w:rPr>
        <w:t>59</w:t>
      </w:r>
      <w:r w:rsidR="00DF6159" w:rsidRPr="00236418">
        <w:rPr>
          <w:bCs/>
        </w:rPr>
        <w:t>,</w:t>
      </w:r>
      <w:r w:rsidRPr="00236418">
        <w:rPr>
          <w:bCs/>
        </w:rPr>
        <w:t>1</w:t>
      </w:r>
      <w:r w:rsidR="00DF6159" w:rsidRPr="00236418">
        <w:rPr>
          <w:bCs/>
        </w:rPr>
        <w:t>% du budget approuvé de 2</w:t>
      </w:r>
      <w:r w:rsidR="004249BA" w:rsidRPr="00236418">
        <w:rPr>
          <w:bCs/>
        </w:rPr>
        <w:t>8</w:t>
      </w:r>
      <w:r w:rsidR="00DF6159" w:rsidRPr="00236418">
        <w:rPr>
          <w:bCs/>
        </w:rPr>
        <w:t>,</w:t>
      </w:r>
      <w:r w:rsidR="004249BA" w:rsidRPr="00236418">
        <w:rPr>
          <w:bCs/>
        </w:rPr>
        <w:t>6</w:t>
      </w:r>
      <w:r w:rsidR="00DF6159" w:rsidRPr="00236418">
        <w:rPr>
          <w:bCs/>
        </w:rPr>
        <w:t xml:space="preserve"> millions CHF.</w:t>
      </w:r>
    </w:p>
    <w:p w14:paraId="59FA34E1" w14:textId="64E14D00" w:rsidR="00DF6159" w:rsidRPr="00236418" w:rsidRDefault="00DF6159" w:rsidP="009B3D24">
      <w:pPr>
        <w:pStyle w:val="Headingb"/>
      </w:pPr>
      <w:bookmarkStart w:id="2578" w:name="_Toc10450798"/>
      <w:bookmarkStart w:id="2579" w:name="_Toc41566384"/>
      <w:bookmarkStart w:id="2580" w:name="_Toc41814988"/>
      <w:r w:rsidRPr="00236418">
        <w:lastRenderedPageBreak/>
        <w:t>Charges non prévues au budget</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p>
    <w:p w14:paraId="3C07F570" w14:textId="3D9401DA" w:rsidR="001439AA" w:rsidRPr="00236418" w:rsidRDefault="00675012" w:rsidP="009B3D24">
      <w:r w:rsidRPr="00236418">
        <w:t>7</w:t>
      </w:r>
      <w:r w:rsidR="0075692D">
        <w:t>6</w:t>
      </w:r>
      <w:r w:rsidR="00DF6159" w:rsidRPr="00236418">
        <w:tab/>
        <w:t xml:space="preserve">Un montant de </w:t>
      </w:r>
      <w:r w:rsidRPr="00236418">
        <w:t>71</w:t>
      </w:r>
      <w:r w:rsidR="00DF6159" w:rsidRPr="00236418">
        <w:t>,</w:t>
      </w:r>
      <w:r w:rsidRPr="00236418">
        <w:t>69</w:t>
      </w:r>
      <w:r w:rsidR="00DF6159" w:rsidRPr="00236418">
        <w:t xml:space="preserve"> millions CHF a été comptabilisé en charges pour ajuster la provision pour les prestations maladie après cessation de service dues aux fonctionnaires (ASHI).</w:t>
      </w:r>
      <w:r w:rsidRPr="00236418">
        <w:t xml:space="preserve"> </w:t>
      </w:r>
      <w:r w:rsidR="001439AA" w:rsidRPr="00236418">
        <w:t>Cette augmentation importante est due à la réévaluation du coût des prestations au titre des services rendus liée à l'abandon de CIGNA au profit de l'UNSMIS. Cette charge est considérée comme statistique et ne fait pas partie des résultats budgétaires.</w:t>
      </w:r>
    </w:p>
    <w:p w14:paraId="12D42D9E" w14:textId="7672B73C" w:rsidR="00DF6159" w:rsidRPr="00236418" w:rsidRDefault="00675012" w:rsidP="009B3D24">
      <w:r w:rsidRPr="00236418">
        <w:t>7</w:t>
      </w:r>
      <w:r w:rsidR="0075692D">
        <w:t>7</w:t>
      </w:r>
      <w:r w:rsidR="00DF6159" w:rsidRPr="00236418">
        <w:tab/>
        <w:t>Une contribution en nature a été comptabilisée à la fois en charges et en produits. Cette reconnaissance de la contribution en nature fait suite à la décision du Parlement suisse, qui a pris effet le 1er janvier 1996, de renoncer à prélever des intérêts sur les prêts accordés par la Fondation des immeubles pour les organisations internationales (FIPOI). Au 31 décembre 201</w:t>
      </w:r>
      <w:r w:rsidRPr="00236418">
        <w:t>9</w:t>
      </w:r>
      <w:r w:rsidR="00DF6159" w:rsidRPr="00236418">
        <w:t>, cette contribution représente pour l'Union une économie d'environ 8</w:t>
      </w:r>
      <w:r w:rsidRPr="00236418">
        <w:t>41</w:t>
      </w:r>
      <w:r w:rsidR="00DF6159" w:rsidRPr="00236418">
        <w:t xml:space="preserve"> 000 CHF sur la base du taux d'intérêts à long terme de 3,25%.</w:t>
      </w:r>
    </w:p>
    <w:p w14:paraId="70E6B12E" w14:textId="4179E437" w:rsidR="00DF6159" w:rsidRPr="00236418" w:rsidRDefault="00675012" w:rsidP="009B3D24">
      <w:r w:rsidRPr="00236418">
        <w:t>7</w:t>
      </w:r>
      <w:r w:rsidR="0075692D">
        <w:t>8</w:t>
      </w:r>
      <w:r w:rsidR="00DF6159" w:rsidRPr="00236418">
        <w:tab/>
        <w:t>Un montant de 4,</w:t>
      </w:r>
      <w:r w:rsidRPr="00236418">
        <w:t>5</w:t>
      </w:r>
      <w:r w:rsidR="00DF6159" w:rsidRPr="00236418">
        <w:t xml:space="preserve"> millions CHF a été comptabilisé en charges. Il s'agit des dépréciations constatées au cours de l'exercice 201</w:t>
      </w:r>
      <w:r w:rsidRPr="00236418">
        <w:t>9</w:t>
      </w:r>
      <w:r w:rsidR="00DF6159" w:rsidRPr="00236418">
        <w:t>.</w:t>
      </w:r>
    </w:p>
    <w:p w14:paraId="5D28270C" w14:textId="77777777" w:rsidR="00DF6159" w:rsidRPr="00236418" w:rsidRDefault="00DF6159" w:rsidP="009B3D24">
      <w:pPr>
        <w:pStyle w:val="Headingb"/>
      </w:pPr>
      <w:bookmarkStart w:id="2581" w:name="_Toc10450799"/>
      <w:bookmarkStart w:id="2582" w:name="_Toc41566385"/>
      <w:bookmarkStart w:id="2583" w:name="_Toc41814989"/>
      <w:r w:rsidRPr="00236418">
        <w:t>Cas de fraude</w:t>
      </w:r>
      <w:bookmarkEnd w:id="2581"/>
      <w:bookmarkEnd w:id="2582"/>
      <w:bookmarkEnd w:id="2583"/>
    </w:p>
    <w:p w14:paraId="51F37919" w14:textId="46CFC055" w:rsidR="001439AA" w:rsidRPr="00236418" w:rsidRDefault="00675012" w:rsidP="009B3D24">
      <w:r w:rsidRPr="00236418">
        <w:t>7</w:t>
      </w:r>
      <w:r w:rsidR="0075692D">
        <w:t>9</w:t>
      </w:r>
      <w:r w:rsidRPr="00236418">
        <w:tab/>
      </w:r>
      <w:r w:rsidR="001439AA" w:rsidRPr="00236418">
        <w:t>Un groupe de coordination interne a été créé afin de prendre des mesures et de veiller à ce qu'un tel cas ne se reproduise pas à l'UIT. Ce groupe a déjà présenté son rapport au GTC-FHR sur la mise en œuvre des recommandations du vérificateur extérieur des comptes et du CCIG.</w:t>
      </w:r>
    </w:p>
    <w:p w14:paraId="029BD772" w14:textId="3F498E31" w:rsidR="00DF6159" w:rsidRPr="00236418" w:rsidRDefault="0075692D" w:rsidP="009B3D24">
      <w:r>
        <w:t>80</w:t>
      </w:r>
      <w:r w:rsidR="001439AA" w:rsidRPr="00236418">
        <w:tab/>
        <w:t xml:space="preserve">Ces recommandations seront présentées en détail, avec leurs dates de mise en </w:t>
      </w:r>
      <w:r w:rsidR="001C662D" w:rsidRPr="00236418">
        <w:t>œuvre</w:t>
      </w:r>
      <w:r w:rsidR="001439AA" w:rsidRPr="00236418">
        <w:t xml:space="preserve">, à la session du Conseil (Document </w:t>
      </w:r>
      <w:hyperlink r:id="rId53" w:history="1">
        <w:r w:rsidR="00675012" w:rsidRPr="00236418">
          <w:rPr>
            <w:rStyle w:val="Hyperlink"/>
          </w:rPr>
          <w:t>C20/63</w:t>
        </w:r>
      </w:hyperlink>
      <w:r w:rsidR="001439AA" w:rsidRPr="00236418">
        <w:rPr>
          <w:rStyle w:val="Hyperlink"/>
        </w:rPr>
        <w:t>)</w:t>
      </w:r>
      <w:r w:rsidR="00675012" w:rsidRPr="00236418">
        <w:t>.</w:t>
      </w:r>
    </w:p>
    <w:p w14:paraId="6625F836" w14:textId="77777777" w:rsidR="00DF6159" w:rsidRPr="00236418" w:rsidRDefault="00DF6159" w:rsidP="009B3D24">
      <w:pPr>
        <w:pStyle w:val="Headingb"/>
      </w:pPr>
      <w:bookmarkStart w:id="2584" w:name="_Toc358379333"/>
      <w:bookmarkStart w:id="2585" w:name="_Toc358380513"/>
      <w:bookmarkStart w:id="2586" w:name="_Toc387167514"/>
      <w:bookmarkStart w:id="2587" w:name="_Toc452138656"/>
      <w:bookmarkStart w:id="2588" w:name="_Toc452139105"/>
      <w:bookmarkStart w:id="2589" w:name="_Toc452139469"/>
      <w:bookmarkStart w:id="2590" w:name="_Toc452139875"/>
      <w:bookmarkStart w:id="2591" w:name="_Toc452140749"/>
      <w:bookmarkStart w:id="2592" w:name="_Toc482888803"/>
      <w:bookmarkStart w:id="2593" w:name="_Toc511649518"/>
      <w:bookmarkStart w:id="2594" w:name="_Toc511649881"/>
      <w:bookmarkStart w:id="2595" w:name="_Toc511650004"/>
      <w:bookmarkStart w:id="2596" w:name="_Toc511650124"/>
      <w:bookmarkStart w:id="2597" w:name="_Toc511650618"/>
      <w:bookmarkStart w:id="2598" w:name="_Toc511651264"/>
      <w:bookmarkStart w:id="2599" w:name="_Toc511724127"/>
      <w:bookmarkStart w:id="2600" w:name="_Toc511739116"/>
      <w:bookmarkStart w:id="2601" w:name="_Toc511741287"/>
      <w:bookmarkStart w:id="2602" w:name="_Toc10450801"/>
      <w:bookmarkStart w:id="2603" w:name="_Toc41566386"/>
      <w:bookmarkStart w:id="2604" w:name="_Toc41814990"/>
      <w:r w:rsidRPr="00236418">
        <w:t>Bourses</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14:paraId="59B02CD2" w14:textId="77777777" w:rsidR="00DF6159" w:rsidRPr="00236418" w:rsidRDefault="00DF6159" w:rsidP="009B3D24">
      <w:pPr>
        <w:pStyle w:val="Tabletitle"/>
      </w:pPr>
      <w:bookmarkStart w:id="2605" w:name="_Toc387166673"/>
      <w:bookmarkStart w:id="2606" w:name="_Toc387167515"/>
      <w:bookmarkStart w:id="2607" w:name="_Toc395260958"/>
      <w:bookmarkStart w:id="2608" w:name="_Toc395511745"/>
      <w:r w:rsidRPr="00236418">
        <w:t>Tableau en milliers de CHF</w:t>
      </w:r>
      <w:bookmarkEnd w:id="2605"/>
      <w:bookmarkEnd w:id="2606"/>
      <w:bookmarkEnd w:id="2607"/>
      <w:bookmarkEnd w:id="2608"/>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au en milliers de CHF"/>
      </w:tblPr>
      <w:tblGrid>
        <w:gridCol w:w="2847"/>
        <w:gridCol w:w="1530"/>
        <w:gridCol w:w="1717"/>
        <w:gridCol w:w="1344"/>
        <w:gridCol w:w="1618"/>
      </w:tblGrid>
      <w:tr w:rsidR="00DF6159" w:rsidRPr="00236418" w14:paraId="09C12D73" w14:textId="77777777" w:rsidTr="00D07D3D">
        <w:trPr>
          <w:trHeight w:val="780"/>
          <w:jc w:val="center"/>
        </w:trPr>
        <w:tc>
          <w:tcPr>
            <w:tcW w:w="2847" w:type="dxa"/>
            <w:tcBorders>
              <w:bottom w:val="single" w:sz="4" w:space="0" w:color="auto"/>
            </w:tcBorders>
            <w:shd w:val="clear" w:color="auto" w:fill="auto"/>
            <w:noWrap/>
            <w:vAlign w:val="center"/>
            <w:hideMark/>
          </w:tcPr>
          <w:p w14:paraId="56B46222" w14:textId="77777777" w:rsidR="00DF6159" w:rsidRPr="00236418" w:rsidRDefault="00DF6159" w:rsidP="009B3D24">
            <w:pPr>
              <w:pStyle w:val="Tablehead"/>
              <w:spacing w:before="0" w:after="0"/>
            </w:pPr>
          </w:p>
        </w:tc>
        <w:tc>
          <w:tcPr>
            <w:tcW w:w="1530" w:type="dxa"/>
            <w:tcBorders>
              <w:bottom w:val="single" w:sz="4" w:space="0" w:color="auto"/>
            </w:tcBorders>
            <w:shd w:val="clear" w:color="auto" w:fill="auto"/>
            <w:vAlign w:val="center"/>
            <w:hideMark/>
          </w:tcPr>
          <w:p w14:paraId="61259721" w14:textId="40EC8F14" w:rsidR="00DF6159" w:rsidRPr="00236418" w:rsidRDefault="00DF6159" w:rsidP="009B3D24">
            <w:pPr>
              <w:pStyle w:val="Tablehead"/>
            </w:pPr>
            <w:r w:rsidRPr="00236418">
              <w:t>Budget 201</w:t>
            </w:r>
            <w:r w:rsidR="00675012" w:rsidRPr="00236418">
              <w:t>9</w:t>
            </w:r>
          </w:p>
        </w:tc>
        <w:tc>
          <w:tcPr>
            <w:tcW w:w="1717" w:type="dxa"/>
            <w:tcBorders>
              <w:bottom w:val="single" w:sz="4" w:space="0" w:color="auto"/>
            </w:tcBorders>
            <w:shd w:val="clear" w:color="auto" w:fill="auto"/>
            <w:vAlign w:val="center"/>
            <w:hideMark/>
          </w:tcPr>
          <w:p w14:paraId="7A23B296" w14:textId="1B914B63" w:rsidR="00DF6159" w:rsidRPr="00236418" w:rsidRDefault="00DF6159" w:rsidP="009B3D24">
            <w:pPr>
              <w:pStyle w:val="Tablehead"/>
            </w:pPr>
            <w:r w:rsidRPr="00236418">
              <w:t>Charges 201</w:t>
            </w:r>
            <w:r w:rsidR="00675012" w:rsidRPr="00236418">
              <w:t>9</w:t>
            </w:r>
          </w:p>
        </w:tc>
        <w:tc>
          <w:tcPr>
            <w:tcW w:w="1344" w:type="dxa"/>
            <w:tcBorders>
              <w:bottom w:val="single" w:sz="4" w:space="0" w:color="auto"/>
            </w:tcBorders>
            <w:shd w:val="clear" w:color="auto" w:fill="auto"/>
            <w:noWrap/>
            <w:vAlign w:val="center"/>
            <w:hideMark/>
          </w:tcPr>
          <w:p w14:paraId="46873062" w14:textId="77777777" w:rsidR="00DF6159" w:rsidRPr="00236418" w:rsidRDefault="00DF6159" w:rsidP="009B3D24">
            <w:pPr>
              <w:pStyle w:val="Tablehead"/>
            </w:pPr>
            <w:r w:rsidRPr="00236418">
              <w:t>Montant disponible</w:t>
            </w:r>
          </w:p>
        </w:tc>
        <w:tc>
          <w:tcPr>
            <w:tcW w:w="1618" w:type="dxa"/>
            <w:tcBorders>
              <w:bottom w:val="single" w:sz="4" w:space="0" w:color="auto"/>
            </w:tcBorders>
            <w:shd w:val="clear" w:color="auto" w:fill="auto"/>
            <w:noWrap/>
            <w:vAlign w:val="center"/>
            <w:hideMark/>
          </w:tcPr>
          <w:p w14:paraId="4B57FE3C" w14:textId="77777777" w:rsidR="00DF6159" w:rsidRPr="00236418" w:rsidRDefault="00DF6159" w:rsidP="009B3D24">
            <w:pPr>
              <w:pStyle w:val="Tablehead"/>
            </w:pPr>
            <w:r w:rsidRPr="00236418">
              <w:t>Taux d'utilisation</w:t>
            </w:r>
          </w:p>
        </w:tc>
      </w:tr>
      <w:tr w:rsidR="00DF6159" w:rsidRPr="00236418" w14:paraId="438CBDC1" w14:textId="77777777" w:rsidTr="006538EB">
        <w:trPr>
          <w:trHeight w:val="255"/>
          <w:jc w:val="center"/>
        </w:trPr>
        <w:tc>
          <w:tcPr>
            <w:tcW w:w="2847" w:type="dxa"/>
            <w:tcBorders>
              <w:top w:val="nil"/>
              <w:bottom w:val="nil"/>
            </w:tcBorders>
            <w:shd w:val="clear" w:color="auto" w:fill="auto"/>
            <w:vAlign w:val="center"/>
            <w:hideMark/>
          </w:tcPr>
          <w:p w14:paraId="52F94C99" w14:textId="77777777" w:rsidR="00DF6159" w:rsidRPr="00236418" w:rsidRDefault="00DF6159" w:rsidP="009B3D24">
            <w:pPr>
              <w:pStyle w:val="Tabletext"/>
              <w:spacing w:before="0" w:after="0"/>
            </w:pPr>
            <w:r w:rsidRPr="00236418">
              <w:t>Budget ordinaire</w:t>
            </w:r>
          </w:p>
        </w:tc>
        <w:tc>
          <w:tcPr>
            <w:tcW w:w="1530" w:type="dxa"/>
            <w:tcBorders>
              <w:top w:val="nil"/>
              <w:bottom w:val="nil"/>
            </w:tcBorders>
            <w:shd w:val="clear" w:color="auto" w:fill="auto"/>
            <w:noWrap/>
            <w:vAlign w:val="center"/>
          </w:tcPr>
          <w:p w14:paraId="40FC6FC9" w14:textId="23A63ACE" w:rsidR="00DF6159" w:rsidRPr="00236418" w:rsidRDefault="00DF6159" w:rsidP="009B3D24">
            <w:pPr>
              <w:pStyle w:val="Tabletext"/>
              <w:spacing w:before="20" w:after="20"/>
              <w:ind w:right="17"/>
              <w:jc w:val="right"/>
              <w:rPr>
                <w:b/>
                <w:bCs/>
              </w:rPr>
            </w:pPr>
            <w:r w:rsidRPr="00236418">
              <w:rPr>
                <w:b/>
                <w:bCs/>
              </w:rPr>
              <w:t>1 5</w:t>
            </w:r>
            <w:r w:rsidR="00675012" w:rsidRPr="00236418">
              <w:rPr>
                <w:b/>
                <w:bCs/>
              </w:rPr>
              <w:t>95</w:t>
            </w:r>
          </w:p>
        </w:tc>
        <w:tc>
          <w:tcPr>
            <w:tcW w:w="1717" w:type="dxa"/>
            <w:tcBorders>
              <w:top w:val="nil"/>
              <w:bottom w:val="nil"/>
            </w:tcBorders>
            <w:shd w:val="clear" w:color="auto" w:fill="auto"/>
            <w:noWrap/>
            <w:vAlign w:val="center"/>
          </w:tcPr>
          <w:p w14:paraId="2F594292" w14:textId="528615AE" w:rsidR="00DF6159" w:rsidRPr="00236418" w:rsidRDefault="00DF6159" w:rsidP="009B3D24">
            <w:pPr>
              <w:pStyle w:val="Tabletext"/>
              <w:spacing w:before="20" w:after="20"/>
              <w:ind w:right="17"/>
              <w:jc w:val="right"/>
              <w:rPr>
                <w:b/>
                <w:bCs/>
              </w:rPr>
            </w:pPr>
            <w:r w:rsidRPr="00236418">
              <w:rPr>
                <w:b/>
                <w:bCs/>
              </w:rPr>
              <w:t>9</w:t>
            </w:r>
            <w:r w:rsidR="00675012" w:rsidRPr="00236418">
              <w:rPr>
                <w:b/>
                <w:bCs/>
              </w:rPr>
              <w:t>59</w:t>
            </w:r>
          </w:p>
        </w:tc>
        <w:tc>
          <w:tcPr>
            <w:tcW w:w="1344" w:type="dxa"/>
            <w:tcBorders>
              <w:top w:val="nil"/>
              <w:bottom w:val="nil"/>
            </w:tcBorders>
            <w:shd w:val="clear" w:color="auto" w:fill="auto"/>
            <w:noWrap/>
            <w:vAlign w:val="center"/>
          </w:tcPr>
          <w:p w14:paraId="0E5B98A2" w14:textId="49525AFF" w:rsidR="00DF6159" w:rsidRPr="00236418" w:rsidRDefault="00DF6159" w:rsidP="009B3D24">
            <w:pPr>
              <w:pStyle w:val="Tabletext"/>
              <w:spacing w:before="20" w:after="20"/>
              <w:ind w:right="17"/>
              <w:jc w:val="right"/>
              <w:rPr>
                <w:b/>
                <w:bCs/>
              </w:rPr>
            </w:pPr>
            <w:r w:rsidRPr="00236418">
              <w:rPr>
                <w:b/>
                <w:bCs/>
              </w:rPr>
              <w:t>6</w:t>
            </w:r>
            <w:r w:rsidR="00675012" w:rsidRPr="00236418">
              <w:rPr>
                <w:b/>
                <w:bCs/>
              </w:rPr>
              <w:t>09</w:t>
            </w:r>
          </w:p>
        </w:tc>
        <w:tc>
          <w:tcPr>
            <w:tcW w:w="1618" w:type="dxa"/>
            <w:tcBorders>
              <w:top w:val="nil"/>
              <w:bottom w:val="nil"/>
            </w:tcBorders>
            <w:shd w:val="clear" w:color="auto" w:fill="auto"/>
            <w:noWrap/>
            <w:vAlign w:val="center"/>
          </w:tcPr>
          <w:p w14:paraId="6AFB3E2A" w14:textId="7C37BAD1" w:rsidR="00DF6159" w:rsidRPr="00236418" w:rsidRDefault="00675012" w:rsidP="009B3D24">
            <w:pPr>
              <w:pStyle w:val="Tabletext"/>
              <w:spacing w:before="20" w:after="20"/>
              <w:ind w:right="17"/>
              <w:jc w:val="right"/>
              <w:rPr>
                <w:b/>
                <w:bCs/>
              </w:rPr>
            </w:pPr>
            <w:r w:rsidRPr="00236418">
              <w:rPr>
                <w:b/>
                <w:bCs/>
              </w:rPr>
              <w:t>60</w:t>
            </w:r>
            <w:r w:rsidR="00DF6159" w:rsidRPr="00236418">
              <w:rPr>
                <w:b/>
                <w:bCs/>
              </w:rPr>
              <w:t>%</w:t>
            </w:r>
          </w:p>
        </w:tc>
      </w:tr>
      <w:tr w:rsidR="00675012" w:rsidRPr="00236418" w14:paraId="159CC3DF" w14:textId="77777777" w:rsidTr="006538EB">
        <w:trPr>
          <w:trHeight w:val="255"/>
          <w:jc w:val="center"/>
        </w:trPr>
        <w:tc>
          <w:tcPr>
            <w:tcW w:w="2847" w:type="dxa"/>
            <w:tcBorders>
              <w:top w:val="nil"/>
              <w:bottom w:val="nil"/>
            </w:tcBorders>
            <w:shd w:val="clear" w:color="auto" w:fill="auto"/>
            <w:vAlign w:val="center"/>
          </w:tcPr>
          <w:p w14:paraId="7342EEFE" w14:textId="0762EB6D" w:rsidR="00675012" w:rsidRPr="00236418" w:rsidRDefault="00675012" w:rsidP="009B3D24">
            <w:pPr>
              <w:pStyle w:val="Tabletext"/>
              <w:spacing w:before="0" w:after="0"/>
            </w:pPr>
            <w:r w:rsidRPr="00236418">
              <w:t>SG</w:t>
            </w:r>
          </w:p>
        </w:tc>
        <w:tc>
          <w:tcPr>
            <w:tcW w:w="1530" w:type="dxa"/>
            <w:tcBorders>
              <w:top w:val="nil"/>
              <w:bottom w:val="nil"/>
            </w:tcBorders>
            <w:shd w:val="clear" w:color="auto" w:fill="auto"/>
            <w:noWrap/>
            <w:vAlign w:val="center"/>
          </w:tcPr>
          <w:p w14:paraId="69D77790" w14:textId="6E40A561" w:rsidR="00675012" w:rsidRPr="00236418" w:rsidRDefault="00675012" w:rsidP="009B3D24">
            <w:pPr>
              <w:pStyle w:val="Tabletext"/>
              <w:spacing w:before="20" w:after="20"/>
              <w:ind w:right="17"/>
              <w:jc w:val="right"/>
            </w:pPr>
            <w:r w:rsidRPr="00236418">
              <w:t>27</w:t>
            </w:r>
          </w:p>
        </w:tc>
        <w:tc>
          <w:tcPr>
            <w:tcW w:w="1717" w:type="dxa"/>
            <w:tcBorders>
              <w:top w:val="nil"/>
              <w:bottom w:val="nil"/>
            </w:tcBorders>
            <w:shd w:val="clear" w:color="auto" w:fill="auto"/>
            <w:noWrap/>
            <w:vAlign w:val="center"/>
          </w:tcPr>
          <w:p w14:paraId="0A12C1BB" w14:textId="41157BA4" w:rsidR="00675012" w:rsidRPr="00236418" w:rsidRDefault="00675012" w:rsidP="009B3D24">
            <w:pPr>
              <w:pStyle w:val="Tabletext"/>
              <w:spacing w:before="20" w:after="20"/>
              <w:ind w:right="17"/>
              <w:jc w:val="right"/>
              <w:rPr>
                <w:b/>
                <w:bCs/>
              </w:rPr>
            </w:pPr>
            <w:r w:rsidRPr="00236418">
              <w:rPr>
                <w:b/>
                <w:bCs/>
              </w:rPr>
              <w:t>0</w:t>
            </w:r>
          </w:p>
        </w:tc>
        <w:tc>
          <w:tcPr>
            <w:tcW w:w="1344" w:type="dxa"/>
            <w:tcBorders>
              <w:top w:val="nil"/>
              <w:bottom w:val="nil"/>
            </w:tcBorders>
            <w:shd w:val="clear" w:color="auto" w:fill="auto"/>
            <w:noWrap/>
            <w:vAlign w:val="center"/>
          </w:tcPr>
          <w:p w14:paraId="0C9EE46D" w14:textId="3ECF9AB8" w:rsidR="00675012" w:rsidRPr="00236418" w:rsidRDefault="00675012" w:rsidP="009B3D24">
            <w:pPr>
              <w:pStyle w:val="Tabletext"/>
              <w:spacing w:before="20" w:after="20"/>
              <w:ind w:right="17"/>
              <w:jc w:val="right"/>
            </w:pPr>
            <w:r w:rsidRPr="00236418">
              <w:t>27</w:t>
            </w:r>
          </w:p>
        </w:tc>
        <w:tc>
          <w:tcPr>
            <w:tcW w:w="1618" w:type="dxa"/>
            <w:tcBorders>
              <w:top w:val="nil"/>
              <w:bottom w:val="nil"/>
            </w:tcBorders>
            <w:shd w:val="clear" w:color="auto" w:fill="auto"/>
            <w:noWrap/>
            <w:vAlign w:val="center"/>
          </w:tcPr>
          <w:p w14:paraId="46ADD3A2" w14:textId="732041CC" w:rsidR="00675012" w:rsidRPr="00236418" w:rsidRDefault="00675012" w:rsidP="009B3D24">
            <w:pPr>
              <w:pStyle w:val="Tabletext"/>
              <w:spacing w:before="20" w:after="20"/>
              <w:ind w:right="17"/>
              <w:jc w:val="right"/>
            </w:pPr>
            <w:r w:rsidRPr="00236418">
              <w:t>0%</w:t>
            </w:r>
          </w:p>
        </w:tc>
      </w:tr>
      <w:tr w:rsidR="00DF6159" w:rsidRPr="00236418" w14:paraId="16BFF426" w14:textId="77777777" w:rsidTr="006538EB">
        <w:trPr>
          <w:trHeight w:val="255"/>
          <w:jc w:val="center"/>
        </w:trPr>
        <w:tc>
          <w:tcPr>
            <w:tcW w:w="2847" w:type="dxa"/>
            <w:tcBorders>
              <w:top w:val="nil"/>
              <w:bottom w:val="nil"/>
            </w:tcBorders>
            <w:shd w:val="clear" w:color="auto" w:fill="auto"/>
            <w:vAlign w:val="center"/>
          </w:tcPr>
          <w:p w14:paraId="09586F8E" w14:textId="77777777" w:rsidR="00DF6159" w:rsidRPr="00236418" w:rsidRDefault="00DF6159" w:rsidP="009B3D24">
            <w:pPr>
              <w:pStyle w:val="Tabletext"/>
              <w:spacing w:before="0" w:after="0"/>
            </w:pPr>
            <w:r w:rsidRPr="00236418">
              <w:t>UIT-R</w:t>
            </w:r>
          </w:p>
        </w:tc>
        <w:tc>
          <w:tcPr>
            <w:tcW w:w="1530" w:type="dxa"/>
            <w:tcBorders>
              <w:top w:val="nil"/>
              <w:bottom w:val="nil"/>
            </w:tcBorders>
            <w:shd w:val="clear" w:color="auto" w:fill="auto"/>
            <w:noWrap/>
            <w:vAlign w:val="center"/>
          </w:tcPr>
          <w:p w14:paraId="20BC5748" w14:textId="77777777" w:rsidR="00DF6159" w:rsidRPr="00236418" w:rsidRDefault="00DF6159" w:rsidP="009B3D24">
            <w:pPr>
              <w:pStyle w:val="Tabletext"/>
              <w:spacing w:before="20" w:after="20"/>
              <w:ind w:right="17"/>
              <w:jc w:val="right"/>
            </w:pPr>
            <w:r w:rsidRPr="00236418">
              <w:t>150</w:t>
            </w:r>
          </w:p>
        </w:tc>
        <w:tc>
          <w:tcPr>
            <w:tcW w:w="1717" w:type="dxa"/>
            <w:tcBorders>
              <w:top w:val="nil"/>
              <w:bottom w:val="nil"/>
            </w:tcBorders>
            <w:shd w:val="clear" w:color="auto" w:fill="auto"/>
            <w:noWrap/>
            <w:vAlign w:val="center"/>
          </w:tcPr>
          <w:p w14:paraId="746D1D93" w14:textId="56D050C7" w:rsidR="00DF6159" w:rsidRPr="00236418" w:rsidRDefault="00675012" w:rsidP="009B3D24">
            <w:pPr>
              <w:pStyle w:val="Tabletext"/>
              <w:spacing w:before="20" w:after="20"/>
              <w:ind w:right="17"/>
              <w:jc w:val="right"/>
            </w:pPr>
            <w:r w:rsidRPr="00236418">
              <w:t>32</w:t>
            </w:r>
          </w:p>
        </w:tc>
        <w:tc>
          <w:tcPr>
            <w:tcW w:w="1344" w:type="dxa"/>
            <w:tcBorders>
              <w:top w:val="nil"/>
              <w:bottom w:val="nil"/>
            </w:tcBorders>
            <w:shd w:val="clear" w:color="auto" w:fill="auto"/>
            <w:noWrap/>
            <w:vAlign w:val="center"/>
          </w:tcPr>
          <w:p w14:paraId="191487FE" w14:textId="30AFB59A" w:rsidR="00DF6159" w:rsidRPr="00236418" w:rsidRDefault="00675012" w:rsidP="009B3D24">
            <w:pPr>
              <w:pStyle w:val="Tabletext"/>
              <w:spacing w:before="20" w:after="20"/>
              <w:ind w:right="17"/>
              <w:jc w:val="right"/>
            </w:pPr>
            <w:r w:rsidRPr="00236418">
              <w:t>118</w:t>
            </w:r>
          </w:p>
        </w:tc>
        <w:tc>
          <w:tcPr>
            <w:tcW w:w="1618" w:type="dxa"/>
            <w:tcBorders>
              <w:top w:val="nil"/>
              <w:bottom w:val="nil"/>
            </w:tcBorders>
            <w:shd w:val="clear" w:color="auto" w:fill="auto"/>
            <w:noWrap/>
            <w:vAlign w:val="center"/>
          </w:tcPr>
          <w:p w14:paraId="43B1CADA" w14:textId="07E5B743" w:rsidR="00DF6159" w:rsidRPr="00236418" w:rsidRDefault="00675012" w:rsidP="009B3D24">
            <w:pPr>
              <w:pStyle w:val="Tabletext"/>
              <w:spacing w:before="20" w:after="20"/>
              <w:ind w:right="17"/>
              <w:jc w:val="right"/>
            </w:pPr>
            <w:r w:rsidRPr="00236418">
              <w:t>21</w:t>
            </w:r>
            <w:r w:rsidR="00DF6159" w:rsidRPr="00236418">
              <w:t>%</w:t>
            </w:r>
          </w:p>
        </w:tc>
      </w:tr>
      <w:tr w:rsidR="00DF6159" w:rsidRPr="00236418" w14:paraId="27244328" w14:textId="77777777" w:rsidTr="006538EB">
        <w:trPr>
          <w:trHeight w:val="255"/>
          <w:jc w:val="center"/>
        </w:trPr>
        <w:tc>
          <w:tcPr>
            <w:tcW w:w="2847" w:type="dxa"/>
            <w:tcBorders>
              <w:top w:val="nil"/>
              <w:bottom w:val="nil"/>
            </w:tcBorders>
            <w:shd w:val="clear" w:color="auto" w:fill="auto"/>
            <w:vAlign w:val="center"/>
          </w:tcPr>
          <w:p w14:paraId="5D061F4F" w14:textId="77777777" w:rsidR="00DF6159" w:rsidRPr="00236418" w:rsidRDefault="00DF6159" w:rsidP="009B3D24">
            <w:pPr>
              <w:pStyle w:val="Tabletext"/>
              <w:spacing w:before="0" w:after="0"/>
            </w:pPr>
            <w:r w:rsidRPr="00236418">
              <w:t>UIT-T</w:t>
            </w:r>
          </w:p>
        </w:tc>
        <w:tc>
          <w:tcPr>
            <w:tcW w:w="1530" w:type="dxa"/>
            <w:tcBorders>
              <w:top w:val="nil"/>
              <w:bottom w:val="nil"/>
            </w:tcBorders>
            <w:shd w:val="clear" w:color="auto" w:fill="auto"/>
            <w:noWrap/>
            <w:vAlign w:val="center"/>
          </w:tcPr>
          <w:p w14:paraId="4EEBFACE" w14:textId="77777777" w:rsidR="00DF6159" w:rsidRPr="00236418" w:rsidRDefault="00DF6159" w:rsidP="009B3D24">
            <w:pPr>
              <w:pStyle w:val="Tabletext"/>
              <w:spacing w:before="20" w:after="20"/>
              <w:ind w:right="17"/>
              <w:jc w:val="right"/>
            </w:pPr>
            <w:r w:rsidRPr="00236418">
              <w:t>450</w:t>
            </w:r>
          </w:p>
        </w:tc>
        <w:tc>
          <w:tcPr>
            <w:tcW w:w="1717" w:type="dxa"/>
            <w:tcBorders>
              <w:top w:val="nil"/>
              <w:bottom w:val="nil"/>
            </w:tcBorders>
            <w:shd w:val="clear" w:color="auto" w:fill="auto"/>
            <w:noWrap/>
            <w:vAlign w:val="center"/>
          </w:tcPr>
          <w:p w14:paraId="4E019A42" w14:textId="1EECF735" w:rsidR="00DF6159" w:rsidRPr="00236418" w:rsidRDefault="00DF6159" w:rsidP="009B3D24">
            <w:pPr>
              <w:pStyle w:val="Tabletext"/>
              <w:spacing w:before="20" w:after="20"/>
              <w:ind w:right="17"/>
              <w:jc w:val="right"/>
            </w:pPr>
            <w:r w:rsidRPr="00236418">
              <w:t>4</w:t>
            </w:r>
            <w:r w:rsidR="00675012" w:rsidRPr="00236418">
              <w:t>33</w:t>
            </w:r>
          </w:p>
        </w:tc>
        <w:tc>
          <w:tcPr>
            <w:tcW w:w="1344" w:type="dxa"/>
            <w:tcBorders>
              <w:top w:val="nil"/>
              <w:bottom w:val="nil"/>
            </w:tcBorders>
            <w:shd w:val="clear" w:color="auto" w:fill="auto"/>
            <w:noWrap/>
            <w:vAlign w:val="center"/>
          </w:tcPr>
          <w:p w14:paraId="2E87C59F" w14:textId="64DBB0A1" w:rsidR="00DF6159" w:rsidRPr="00236418" w:rsidRDefault="00675012" w:rsidP="009B3D24">
            <w:pPr>
              <w:pStyle w:val="Tabletext"/>
              <w:spacing w:before="20" w:after="20"/>
              <w:ind w:right="17"/>
              <w:jc w:val="right"/>
            </w:pPr>
            <w:r w:rsidRPr="00236418">
              <w:t>17</w:t>
            </w:r>
          </w:p>
        </w:tc>
        <w:tc>
          <w:tcPr>
            <w:tcW w:w="1618" w:type="dxa"/>
            <w:tcBorders>
              <w:top w:val="nil"/>
              <w:bottom w:val="nil"/>
            </w:tcBorders>
            <w:shd w:val="clear" w:color="auto" w:fill="auto"/>
            <w:noWrap/>
            <w:vAlign w:val="center"/>
          </w:tcPr>
          <w:p w14:paraId="29B530F7" w14:textId="282DD1E0" w:rsidR="00DF6159" w:rsidRPr="00236418" w:rsidRDefault="00DF6159" w:rsidP="009B3D24">
            <w:pPr>
              <w:pStyle w:val="Tabletext"/>
              <w:spacing w:before="20" w:after="20"/>
              <w:ind w:right="17"/>
              <w:jc w:val="right"/>
            </w:pPr>
            <w:r w:rsidRPr="00236418">
              <w:t>9</w:t>
            </w:r>
            <w:r w:rsidR="00675012" w:rsidRPr="00236418">
              <w:t>6</w:t>
            </w:r>
            <w:r w:rsidRPr="00236418">
              <w:t>%</w:t>
            </w:r>
          </w:p>
        </w:tc>
      </w:tr>
      <w:tr w:rsidR="00DF6159" w:rsidRPr="00236418" w14:paraId="4DFAE609" w14:textId="77777777" w:rsidTr="006538EB">
        <w:trPr>
          <w:trHeight w:val="255"/>
          <w:jc w:val="center"/>
        </w:trPr>
        <w:tc>
          <w:tcPr>
            <w:tcW w:w="2847" w:type="dxa"/>
            <w:tcBorders>
              <w:top w:val="nil"/>
              <w:bottom w:val="nil"/>
            </w:tcBorders>
            <w:shd w:val="clear" w:color="auto" w:fill="auto"/>
            <w:vAlign w:val="center"/>
          </w:tcPr>
          <w:p w14:paraId="35311DB0" w14:textId="77777777" w:rsidR="00DF6159" w:rsidRPr="00236418" w:rsidRDefault="00DF6159" w:rsidP="009B3D24">
            <w:pPr>
              <w:pStyle w:val="Tabletext"/>
              <w:spacing w:before="0" w:after="0"/>
            </w:pPr>
            <w:r w:rsidRPr="00236418">
              <w:t>UIT-D</w:t>
            </w:r>
          </w:p>
        </w:tc>
        <w:tc>
          <w:tcPr>
            <w:tcW w:w="1530" w:type="dxa"/>
            <w:tcBorders>
              <w:top w:val="nil"/>
              <w:bottom w:val="nil"/>
            </w:tcBorders>
            <w:shd w:val="clear" w:color="auto" w:fill="auto"/>
            <w:noWrap/>
            <w:vAlign w:val="center"/>
          </w:tcPr>
          <w:p w14:paraId="384CBFB5" w14:textId="77777777" w:rsidR="00DF6159" w:rsidRPr="00236418" w:rsidRDefault="00DF6159" w:rsidP="009B3D24">
            <w:pPr>
              <w:pStyle w:val="Tabletext"/>
              <w:spacing w:before="20" w:after="20"/>
              <w:ind w:right="17"/>
              <w:jc w:val="right"/>
            </w:pPr>
            <w:r w:rsidRPr="00236418">
              <w:t>968</w:t>
            </w:r>
          </w:p>
        </w:tc>
        <w:tc>
          <w:tcPr>
            <w:tcW w:w="1717" w:type="dxa"/>
            <w:tcBorders>
              <w:top w:val="nil"/>
              <w:bottom w:val="nil"/>
            </w:tcBorders>
            <w:shd w:val="clear" w:color="auto" w:fill="auto"/>
            <w:noWrap/>
            <w:vAlign w:val="center"/>
          </w:tcPr>
          <w:p w14:paraId="73634344" w14:textId="068BBEEF" w:rsidR="00DF6159" w:rsidRPr="00236418" w:rsidRDefault="00DF6159" w:rsidP="009B3D24">
            <w:pPr>
              <w:pStyle w:val="Tabletext"/>
              <w:spacing w:before="20" w:after="20"/>
              <w:ind w:right="17"/>
              <w:jc w:val="right"/>
            </w:pPr>
            <w:r w:rsidRPr="00236418">
              <w:t>4</w:t>
            </w:r>
            <w:r w:rsidR="00675012" w:rsidRPr="00236418">
              <w:t>94</w:t>
            </w:r>
          </w:p>
        </w:tc>
        <w:tc>
          <w:tcPr>
            <w:tcW w:w="1344" w:type="dxa"/>
            <w:tcBorders>
              <w:top w:val="nil"/>
              <w:bottom w:val="nil"/>
            </w:tcBorders>
            <w:shd w:val="clear" w:color="auto" w:fill="auto"/>
            <w:noWrap/>
            <w:vAlign w:val="center"/>
          </w:tcPr>
          <w:p w14:paraId="4218709A" w14:textId="098474C0" w:rsidR="00DF6159" w:rsidRPr="00236418" w:rsidRDefault="00675012" w:rsidP="009B3D24">
            <w:pPr>
              <w:pStyle w:val="Tabletext"/>
              <w:spacing w:before="20" w:after="20"/>
              <w:ind w:right="17"/>
              <w:jc w:val="right"/>
            </w:pPr>
            <w:r w:rsidRPr="00236418">
              <w:t>474</w:t>
            </w:r>
          </w:p>
        </w:tc>
        <w:tc>
          <w:tcPr>
            <w:tcW w:w="1618" w:type="dxa"/>
            <w:tcBorders>
              <w:top w:val="nil"/>
              <w:bottom w:val="nil"/>
            </w:tcBorders>
            <w:shd w:val="clear" w:color="auto" w:fill="auto"/>
            <w:noWrap/>
            <w:vAlign w:val="center"/>
          </w:tcPr>
          <w:p w14:paraId="3EA4A92D" w14:textId="1312C2B0" w:rsidR="00DF6159" w:rsidRPr="00236418" w:rsidRDefault="00675012" w:rsidP="009B3D24">
            <w:pPr>
              <w:pStyle w:val="Tabletext"/>
              <w:spacing w:before="20" w:after="20"/>
              <w:ind w:right="17"/>
              <w:jc w:val="right"/>
            </w:pPr>
            <w:r w:rsidRPr="00236418">
              <w:t>51</w:t>
            </w:r>
            <w:r w:rsidR="00DF6159" w:rsidRPr="00236418">
              <w:t>%</w:t>
            </w:r>
          </w:p>
        </w:tc>
      </w:tr>
      <w:tr w:rsidR="00DF6159" w:rsidRPr="00236418" w14:paraId="70F0D234" w14:textId="77777777" w:rsidTr="006538EB">
        <w:trPr>
          <w:trHeight w:val="255"/>
          <w:jc w:val="center"/>
        </w:trPr>
        <w:tc>
          <w:tcPr>
            <w:tcW w:w="2847" w:type="dxa"/>
            <w:tcBorders>
              <w:top w:val="nil"/>
              <w:bottom w:val="single" w:sz="4" w:space="0" w:color="auto"/>
            </w:tcBorders>
            <w:shd w:val="clear" w:color="auto" w:fill="auto"/>
            <w:vAlign w:val="center"/>
          </w:tcPr>
          <w:p w14:paraId="2D57B413" w14:textId="77777777" w:rsidR="00DF6159" w:rsidRPr="00236418" w:rsidRDefault="00DF6159" w:rsidP="009B3D24">
            <w:pPr>
              <w:pStyle w:val="Tabletext"/>
              <w:spacing w:before="0" w:after="0"/>
            </w:pPr>
            <w:r w:rsidRPr="00236418">
              <w:t>Fonds extrabudgétaires</w:t>
            </w:r>
          </w:p>
        </w:tc>
        <w:tc>
          <w:tcPr>
            <w:tcW w:w="1530" w:type="dxa"/>
            <w:tcBorders>
              <w:top w:val="nil"/>
              <w:bottom w:val="single" w:sz="4" w:space="0" w:color="auto"/>
            </w:tcBorders>
            <w:shd w:val="clear" w:color="auto" w:fill="auto"/>
            <w:noWrap/>
            <w:vAlign w:val="center"/>
          </w:tcPr>
          <w:p w14:paraId="18A3F759" w14:textId="7274A9C6" w:rsidR="00DF6159" w:rsidRPr="00236418" w:rsidRDefault="00DF6159" w:rsidP="009B3D24">
            <w:pPr>
              <w:pStyle w:val="Tabletext"/>
              <w:spacing w:before="20" w:after="20"/>
              <w:ind w:right="17"/>
              <w:jc w:val="right"/>
              <w:rPr>
                <w:b/>
                <w:bCs/>
              </w:rPr>
            </w:pPr>
            <w:r w:rsidRPr="00236418">
              <w:rPr>
                <w:b/>
                <w:bCs/>
              </w:rPr>
              <w:t>8</w:t>
            </w:r>
            <w:r w:rsidR="00675012" w:rsidRPr="00236418">
              <w:rPr>
                <w:b/>
                <w:bCs/>
              </w:rPr>
              <w:t>18</w:t>
            </w:r>
          </w:p>
        </w:tc>
        <w:tc>
          <w:tcPr>
            <w:tcW w:w="1717" w:type="dxa"/>
            <w:tcBorders>
              <w:top w:val="nil"/>
              <w:bottom w:val="single" w:sz="4" w:space="0" w:color="auto"/>
            </w:tcBorders>
            <w:shd w:val="clear" w:color="auto" w:fill="auto"/>
            <w:noWrap/>
            <w:vAlign w:val="center"/>
          </w:tcPr>
          <w:p w14:paraId="6554DEE2" w14:textId="5F3F2194" w:rsidR="00DF6159" w:rsidRPr="00236418" w:rsidRDefault="00675012" w:rsidP="009B3D24">
            <w:pPr>
              <w:pStyle w:val="Tabletext"/>
              <w:spacing w:before="20" w:after="20"/>
              <w:ind w:right="17"/>
              <w:jc w:val="right"/>
              <w:rPr>
                <w:b/>
                <w:bCs/>
              </w:rPr>
            </w:pPr>
            <w:r w:rsidRPr="00236418">
              <w:rPr>
                <w:b/>
                <w:bCs/>
              </w:rPr>
              <w:t>611</w:t>
            </w:r>
          </w:p>
        </w:tc>
        <w:tc>
          <w:tcPr>
            <w:tcW w:w="1344" w:type="dxa"/>
            <w:tcBorders>
              <w:top w:val="nil"/>
              <w:bottom w:val="single" w:sz="4" w:space="0" w:color="auto"/>
            </w:tcBorders>
            <w:shd w:val="clear" w:color="auto" w:fill="auto"/>
            <w:noWrap/>
            <w:vAlign w:val="center"/>
          </w:tcPr>
          <w:p w14:paraId="03F75DDF" w14:textId="581B00E0" w:rsidR="00DF6159" w:rsidRPr="00236418" w:rsidRDefault="00675012" w:rsidP="009B3D24">
            <w:pPr>
              <w:pStyle w:val="Tabletext"/>
              <w:spacing w:before="20" w:after="20"/>
              <w:ind w:right="17"/>
              <w:jc w:val="right"/>
              <w:rPr>
                <w:b/>
                <w:bCs/>
              </w:rPr>
            </w:pPr>
            <w:r w:rsidRPr="00236418">
              <w:rPr>
                <w:b/>
                <w:bCs/>
              </w:rPr>
              <w:t>207</w:t>
            </w:r>
          </w:p>
        </w:tc>
        <w:tc>
          <w:tcPr>
            <w:tcW w:w="1618" w:type="dxa"/>
            <w:tcBorders>
              <w:top w:val="nil"/>
              <w:bottom w:val="single" w:sz="4" w:space="0" w:color="auto"/>
            </w:tcBorders>
            <w:shd w:val="clear" w:color="auto" w:fill="auto"/>
            <w:noWrap/>
            <w:vAlign w:val="center"/>
          </w:tcPr>
          <w:p w14:paraId="43D8D85A" w14:textId="3C4B10D4" w:rsidR="00DF6159" w:rsidRPr="00236418" w:rsidRDefault="00675012" w:rsidP="009B3D24">
            <w:pPr>
              <w:pStyle w:val="Tabletext"/>
              <w:spacing w:before="20" w:after="20"/>
              <w:ind w:right="17"/>
              <w:jc w:val="right"/>
            </w:pPr>
            <w:r w:rsidRPr="00236418">
              <w:t>75</w:t>
            </w:r>
            <w:r w:rsidR="00DF6159" w:rsidRPr="00236418">
              <w:t>%</w:t>
            </w:r>
          </w:p>
        </w:tc>
      </w:tr>
      <w:tr w:rsidR="00DF6159" w:rsidRPr="00236418" w14:paraId="69F0026E" w14:textId="77777777" w:rsidTr="006538EB">
        <w:trPr>
          <w:trHeight w:val="255"/>
          <w:jc w:val="center"/>
        </w:trPr>
        <w:tc>
          <w:tcPr>
            <w:tcW w:w="2847" w:type="dxa"/>
            <w:tcBorders>
              <w:top w:val="single" w:sz="4" w:space="0" w:color="auto"/>
              <w:bottom w:val="single" w:sz="4" w:space="0" w:color="auto"/>
            </w:tcBorders>
            <w:shd w:val="clear" w:color="auto" w:fill="auto"/>
            <w:vAlign w:val="center"/>
          </w:tcPr>
          <w:p w14:paraId="61BD091A" w14:textId="77777777" w:rsidR="00DF6159" w:rsidRPr="00236418" w:rsidRDefault="00DF6159" w:rsidP="009B3D24">
            <w:pPr>
              <w:pStyle w:val="Tabletext"/>
              <w:spacing w:before="0" w:after="0"/>
              <w:rPr>
                <w:b/>
                <w:bCs/>
              </w:rPr>
            </w:pPr>
            <w:r w:rsidRPr="00236418">
              <w:rPr>
                <w:b/>
                <w:bCs/>
              </w:rPr>
              <w:t>Total</w:t>
            </w:r>
          </w:p>
        </w:tc>
        <w:tc>
          <w:tcPr>
            <w:tcW w:w="1530" w:type="dxa"/>
            <w:tcBorders>
              <w:top w:val="single" w:sz="4" w:space="0" w:color="auto"/>
              <w:bottom w:val="single" w:sz="4" w:space="0" w:color="auto"/>
            </w:tcBorders>
            <w:shd w:val="clear" w:color="auto" w:fill="auto"/>
            <w:noWrap/>
            <w:vAlign w:val="center"/>
          </w:tcPr>
          <w:p w14:paraId="2C132029" w14:textId="5F4F1299" w:rsidR="00DF6159" w:rsidRPr="00236418" w:rsidRDefault="00DF6159" w:rsidP="009B3D24">
            <w:pPr>
              <w:pStyle w:val="Tabletext"/>
              <w:spacing w:before="0" w:after="0"/>
              <w:ind w:right="17"/>
              <w:jc w:val="right"/>
              <w:rPr>
                <w:b/>
                <w:bCs/>
              </w:rPr>
            </w:pPr>
            <w:r w:rsidRPr="00236418">
              <w:rPr>
                <w:b/>
                <w:bCs/>
              </w:rPr>
              <w:t xml:space="preserve">2 </w:t>
            </w:r>
            <w:r w:rsidR="00675012" w:rsidRPr="00236418">
              <w:rPr>
                <w:b/>
                <w:bCs/>
              </w:rPr>
              <w:t>413</w:t>
            </w:r>
          </w:p>
        </w:tc>
        <w:tc>
          <w:tcPr>
            <w:tcW w:w="1717" w:type="dxa"/>
            <w:tcBorders>
              <w:top w:val="single" w:sz="4" w:space="0" w:color="auto"/>
              <w:bottom w:val="single" w:sz="4" w:space="0" w:color="auto"/>
            </w:tcBorders>
            <w:shd w:val="clear" w:color="auto" w:fill="auto"/>
            <w:noWrap/>
            <w:vAlign w:val="center"/>
          </w:tcPr>
          <w:p w14:paraId="74C58614" w14:textId="6DD45F12" w:rsidR="00DF6159" w:rsidRPr="00236418" w:rsidRDefault="00DF6159" w:rsidP="009B3D24">
            <w:pPr>
              <w:pStyle w:val="Tabletext"/>
              <w:spacing w:before="0" w:after="0"/>
              <w:ind w:right="17"/>
              <w:jc w:val="right"/>
              <w:rPr>
                <w:b/>
                <w:bCs/>
              </w:rPr>
            </w:pPr>
            <w:r w:rsidRPr="00236418">
              <w:rPr>
                <w:b/>
                <w:bCs/>
              </w:rPr>
              <w:t xml:space="preserve">1 </w:t>
            </w:r>
            <w:r w:rsidR="00675012" w:rsidRPr="00236418">
              <w:rPr>
                <w:b/>
                <w:bCs/>
              </w:rPr>
              <w:t>570</w:t>
            </w:r>
          </w:p>
        </w:tc>
        <w:tc>
          <w:tcPr>
            <w:tcW w:w="1344" w:type="dxa"/>
            <w:tcBorders>
              <w:top w:val="single" w:sz="4" w:space="0" w:color="auto"/>
              <w:bottom w:val="single" w:sz="4" w:space="0" w:color="auto"/>
            </w:tcBorders>
            <w:shd w:val="clear" w:color="auto" w:fill="auto"/>
            <w:noWrap/>
            <w:vAlign w:val="center"/>
          </w:tcPr>
          <w:p w14:paraId="58B5AE84" w14:textId="275D60E2" w:rsidR="00DF6159" w:rsidRPr="00236418" w:rsidRDefault="00675012" w:rsidP="009B3D24">
            <w:pPr>
              <w:pStyle w:val="Tabletext"/>
              <w:spacing w:before="0" w:after="0"/>
              <w:ind w:right="17"/>
              <w:jc w:val="right"/>
              <w:rPr>
                <w:b/>
                <w:bCs/>
              </w:rPr>
            </w:pPr>
            <w:r w:rsidRPr="00236418">
              <w:rPr>
                <w:b/>
                <w:bCs/>
              </w:rPr>
              <w:t>816</w:t>
            </w:r>
          </w:p>
        </w:tc>
        <w:tc>
          <w:tcPr>
            <w:tcW w:w="1618" w:type="dxa"/>
            <w:tcBorders>
              <w:top w:val="single" w:sz="4" w:space="0" w:color="auto"/>
              <w:bottom w:val="single" w:sz="4" w:space="0" w:color="auto"/>
            </w:tcBorders>
            <w:shd w:val="clear" w:color="auto" w:fill="auto"/>
            <w:noWrap/>
            <w:vAlign w:val="center"/>
          </w:tcPr>
          <w:p w14:paraId="4CF4E488" w14:textId="79BB67FE" w:rsidR="00DF6159" w:rsidRPr="00236418" w:rsidRDefault="00675012" w:rsidP="009B3D24">
            <w:pPr>
              <w:pStyle w:val="Tabletext"/>
              <w:spacing w:before="0" w:after="0"/>
              <w:ind w:right="17"/>
              <w:jc w:val="right"/>
              <w:rPr>
                <w:b/>
                <w:bCs/>
              </w:rPr>
            </w:pPr>
            <w:r w:rsidRPr="00236418">
              <w:rPr>
                <w:b/>
                <w:bCs/>
              </w:rPr>
              <w:t>65</w:t>
            </w:r>
            <w:r w:rsidR="00DF6159" w:rsidRPr="00236418">
              <w:rPr>
                <w:b/>
                <w:bCs/>
              </w:rPr>
              <w:t>%</w:t>
            </w:r>
          </w:p>
        </w:tc>
      </w:tr>
    </w:tbl>
    <w:p w14:paraId="4DD8DA7C" w14:textId="512C0497" w:rsidR="001C662D" w:rsidRPr="00236418" w:rsidRDefault="00927001" w:rsidP="009B3D24">
      <w:pPr>
        <w:spacing w:before="360"/>
      </w:pPr>
      <w:bookmarkStart w:id="2609" w:name="_Toc358379334"/>
      <w:bookmarkStart w:id="2610" w:name="_Toc358380514"/>
      <w:bookmarkStart w:id="2611" w:name="_Toc387167516"/>
      <w:bookmarkStart w:id="2612" w:name="_Toc452138657"/>
      <w:bookmarkStart w:id="2613" w:name="_Toc452139106"/>
      <w:bookmarkStart w:id="2614" w:name="_Toc452139470"/>
      <w:bookmarkStart w:id="2615" w:name="_Toc452139876"/>
      <w:bookmarkStart w:id="2616" w:name="_Toc452140750"/>
      <w:bookmarkStart w:id="2617" w:name="_Toc482888804"/>
      <w:bookmarkStart w:id="2618" w:name="_Toc511649519"/>
      <w:bookmarkStart w:id="2619" w:name="_Toc511649882"/>
      <w:bookmarkStart w:id="2620" w:name="_Toc511650005"/>
      <w:bookmarkStart w:id="2621" w:name="_Toc511650125"/>
      <w:bookmarkStart w:id="2622" w:name="_Toc511650619"/>
      <w:bookmarkStart w:id="2623" w:name="_Toc511651265"/>
      <w:bookmarkStart w:id="2624" w:name="_Toc511724128"/>
      <w:bookmarkStart w:id="2625" w:name="_Toc511739117"/>
      <w:bookmarkStart w:id="2626" w:name="_Toc511741288"/>
      <w:r w:rsidRPr="00236418">
        <w:t>8</w:t>
      </w:r>
      <w:r w:rsidR="0075692D">
        <w:t>1</w:t>
      </w:r>
      <w:r w:rsidRPr="00236418">
        <w:tab/>
      </w:r>
      <w:r w:rsidR="001C662D" w:rsidRPr="00236418">
        <w:t>Le taux d'utilisation du budget total est de l'ordre de 65,06</w:t>
      </w:r>
      <w:r w:rsidR="005A0FC9" w:rsidRPr="00236418">
        <w:t>%</w:t>
      </w:r>
      <w:r w:rsidR="001C662D" w:rsidRPr="00236418">
        <w:t>. La version révisée actuelle de la politique d'attribution des bourses dans le cadre d'activités financées sur le budget ordinaire de l'UIT et les lignes directrices correspondantes seront soumises à cette session du Conseil et permettront donc dans l'avenir d'accroître ce taux d'utilisation du budget affecté aux bourses. Conformément à la Résolution 213 (Dubaï, 2018) de la Conférence de plénipotentiaires, ces recommandations seront présentées en détail, avec leurs dates de mise en œuvre, à la session du Conseil (Document</w:t>
      </w:r>
      <w:hyperlink r:id="rId54" w:history="1">
        <w:r w:rsidR="001C662D" w:rsidRPr="00236418">
          <w:rPr>
            <w:rStyle w:val="Hyperlink"/>
          </w:rPr>
          <w:t>C20/50</w:t>
        </w:r>
      </w:hyperlink>
      <w:r w:rsidR="001C662D" w:rsidRPr="00236418">
        <w:rPr>
          <w:rStyle w:val="Hyperlink"/>
        </w:rPr>
        <w:t>)</w:t>
      </w:r>
      <w:r w:rsidR="001C662D" w:rsidRPr="00236418">
        <w:t>.</w:t>
      </w:r>
    </w:p>
    <w:p w14:paraId="0350BC1E" w14:textId="77777777" w:rsidR="00D07D3D" w:rsidRPr="00236418" w:rsidRDefault="00D07D3D" w:rsidP="009B3D24">
      <w:pPr>
        <w:spacing w:before="360"/>
      </w:pPr>
      <w:r w:rsidRPr="00236418">
        <w:br w:type="page"/>
      </w:r>
    </w:p>
    <w:p w14:paraId="379A2BAD" w14:textId="3C6B816B" w:rsidR="00DF6159" w:rsidRPr="00236418" w:rsidRDefault="00DF6159" w:rsidP="009B3D24">
      <w:pPr>
        <w:spacing w:before="360"/>
        <w:rPr>
          <w:u w:val="single"/>
        </w:rPr>
      </w:pPr>
      <w:r w:rsidRPr="00236418">
        <w:rPr>
          <w:u w:val="single"/>
        </w:rPr>
        <w:lastRenderedPageBreak/>
        <w:t>Représentation géographique</w:t>
      </w:r>
    </w:p>
    <w:p w14:paraId="292CC561" w14:textId="359CD38F" w:rsidR="007123F8" w:rsidRPr="00236418" w:rsidRDefault="007123F8" w:rsidP="009B3D24">
      <w:pPr>
        <w:pStyle w:val="Figure"/>
      </w:pPr>
      <w:r w:rsidRPr="00236418">
        <w:rPr>
          <w:noProof/>
          <w:lang w:val="en-US"/>
        </w:rPr>
        <w:drawing>
          <wp:inline distT="0" distB="0" distL="0" distR="0" wp14:anchorId="5C6CED10" wp14:editId="5DCFA3A7">
            <wp:extent cx="4572000" cy="2909887"/>
            <wp:effectExtent l="0" t="0" r="0" b="5080"/>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F9239FD" w14:textId="77777777" w:rsidR="00DF6159" w:rsidRPr="00236418" w:rsidRDefault="00DF6159" w:rsidP="009B3D24">
      <w:pPr>
        <w:pStyle w:val="Heading1"/>
      </w:pPr>
      <w:bookmarkStart w:id="2627" w:name="_Toc511649520"/>
      <w:bookmarkStart w:id="2628" w:name="_Toc511649883"/>
      <w:bookmarkStart w:id="2629" w:name="_Toc511650006"/>
      <w:bookmarkStart w:id="2630" w:name="_Toc511650126"/>
      <w:bookmarkStart w:id="2631" w:name="_Toc511650620"/>
      <w:bookmarkStart w:id="2632" w:name="_Toc511651266"/>
      <w:bookmarkStart w:id="2633" w:name="_Toc511724129"/>
      <w:bookmarkStart w:id="2634" w:name="_Toc511739118"/>
      <w:bookmarkStart w:id="2635" w:name="_Toc511740830"/>
      <w:bookmarkStart w:id="2636" w:name="_Toc511741289"/>
      <w:bookmarkStart w:id="2637" w:name="_Toc10450803"/>
      <w:bookmarkStart w:id="2638" w:name="_Toc41566387"/>
      <w:bookmarkStart w:id="2639" w:name="_Toc41567387"/>
      <w:bookmarkStart w:id="2640" w:name="_Toc41567883"/>
      <w:bookmarkStart w:id="2641" w:name="_Toc41814991"/>
      <w:bookmarkStart w:id="2642" w:name="_Toc329202613"/>
      <w:bookmarkStart w:id="2643" w:name="_Toc329205045"/>
      <w:bookmarkStart w:id="2644" w:name="_Toc329206882"/>
      <w:bookmarkStart w:id="2645" w:name="_Toc358379335"/>
      <w:bookmarkStart w:id="2646" w:name="_Toc358379962"/>
      <w:bookmarkStart w:id="2647" w:name="_Toc358380515"/>
      <w:bookmarkStart w:id="2648" w:name="_Toc387167517"/>
      <w:bookmarkStart w:id="2649" w:name="_Toc395260959"/>
      <w:bookmarkStart w:id="2650" w:name="_Toc395261100"/>
      <w:bookmarkStart w:id="2651" w:name="_Toc395511746"/>
      <w:bookmarkStart w:id="2652" w:name="_Toc452138658"/>
      <w:bookmarkStart w:id="2653" w:name="_Toc452139107"/>
      <w:bookmarkStart w:id="2654" w:name="_Toc452139471"/>
      <w:bookmarkStart w:id="2655" w:name="_Toc452139877"/>
      <w:bookmarkStart w:id="2656" w:name="_Toc452140751"/>
      <w:bookmarkStart w:id="2657" w:name="_Toc482888042"/>
      <w:bookmarkStart w:id="2658" w:name="_Toc482888805"/>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rsidRPr="00236418">
        <w:t>II</w:t>
      </w:r>
      <w:r w:rsidRPr="00236418">
        <w:tab/>
        <w:t>NOUVEAUX LOCAUX DU SIÈGE (ANNEXE B2)</w:t>
      </w:r>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14:paraId="17D2B0F1" w14:textId="739C285A" w:rsidR="001C662D" w:rsidRPr="00236418" w:rsidRDefault="007123F8" w:rsidP="009B3D24">
      <w:r w:rsidRPr="00236418">
        <w:t>8</w:t>
      </w:r>
      <w:r w:rsidR="0075692D">
        <w:t>2</w:t>
      </w:r>
      <w:r w:rsidRPr="00236418">
        <w:tab/>
        <w:t xml:space="preserve">En avril 2019, </w:t>
      </w:r>
      <w:r w:rsidR="001C662D" w:rsidRPr="00236418">
        <w:t>une équipe interne de projet dédiée a été créée</w:t>
      </w:r>
      <w:r w:rsidR="005A0FC9" w:rsidRPr="00236418">
        <w:t>; elle</w:t>
      </w:r>
      <w:r w:rsidR="001C662D" w:rsidRPr="00236418">
        <w:t xml:space="preserve"> travaille conjointement avec Hill International, cabinet de conseil renommé spécialisé dans </w:t>
      </w:r>
      <w:r w:rsidR="005A0FC9" w:rsidRPr="00236418">
        <w:t>la gestion d</w:t>
      </w:r>
      <w:r w:rsidR="001C662D" w:rsidRPr="00236418">
        <w:t>es projet de construction et des risques</w:t>
      </w:r>
      <w:r w:rsidR="005A0FC9" w:rsidRPr="00236418">
        <w:t xml:space="preserve"> associés</w:t>
      </w:r>
      <w:r w:rsidR="001C662D" w:rsidRPr="00236418">
        <w:t>, qui est le prestataire retenu pour fournir des services d'appui externes pour le projet de construction.</w:t>
      </w:r>
    </w:p>
    <w:p w14:paraId="01BB91F1" w14:textId="1EF2A0EE" w:rsidR="003B33DE" w:rsidRPr="00236418" w:rsidRDefault="007123F8" w:rsidP="009B3D24">
      <w:r w:rsidRPr="00236418">
        <w:t>8</w:t>
      </w:r>
      <w:r w:rsidR="0075692D">
        <w:t>3</w:t>
      </w:r>
      <w:r w:rsidRPr="00236418">
        <w:tab/>
      </w:r>
      <w:r w:rsidR="003B33DE" w:rsidRPr="00236418">
        <w:t>À sa session additionnelle tenue en septembre 2019, le Conseil, par sa Décision 619, a approuvé le programme de référence du projet et son coût conformément au financement disponible et a fixé le montant à CHF 170,13 millions CHF.</w:t>
      </w:r>
    </w:p>
    <w:p w14:paraId="2104206A" w14:textId="0B195351" w:rsidR="003B33DE" w:rsidRPr="00236418" w:rsidRDefault="007123F8" w:rsidP="009B3D24">
      <w:r w:rsidRPr="00236418">
        <w:t>8</w:t>
      </w:r>
      <w:r w:rsidR="0075692D">
        <w:t>4</w:t>
      </w:r>
      <w:r w:rsidR="00DF6159" w:rsidRPr="00236418">
        <w:tab/>
      </w:r>
      <w:r w:rsidR="003B33DE" w:rsidRPr="00236418">
        <w:t xml:space="preserve">Les documents à l'appui de la demande concernant la seconde tranche du prêt </w:t>
      </w:r>
      <w:r w:rsidR="001C2D0D" w:rsidRPr="00236418">
        <w:t xml:space="preserve">ont été </w:t>
      </w:r>
      <w:r w:rsidR="003B33DE" w:rsidRPr="00236418">
        <w:t>soumis au pays hôte en décembre 2019. Une réponse est attendue d'ici à la fin de l'année 2020.</w:t>
      </w:r>
    </w:p>
    <w:p w14:paraId="25FBC262" w14:textId="7399D1A7" w:rsidR="003B33DE" w:rsidRPr="00236418" w:rsidRDefault="007123F8" w:rsidP="009B3D24">
      <w:r w:rsidRPr="00236418">
        <w:t>8</w:t>
      </w:r>
      <w:r w:rsidR="0075692D">
        <w:t>5</w:t>
      </w:r>
      <w:r w:rsidRPr="00236418">
        <w:tab/>
      </w:r>
      <w:r w:rsidR="003B33DE" w:rsidRPr="00236418">
        <w:t>En</w:t>
      </w:r>
      <w:r w:rsidRPr="00236418">
        <w:t xml:space="preserve"> 2020, </w:t>
      </w:r>
      <w:r w:rsidR="003B33DE" w:rsidRPr="00236418">
        <w:t>la conception et le coût du projet continueront d'être peaufinés et la demande de permis de construire sera soumise d'ici à la fin de l'année. Toutefois, les conséquences de la pandémie de Covid-19 pourraient modifier ce calendrier.</w:t>
      </w:r>
    </w:p>
    <w:p w14:paraId="12C3610D" w14:textId="2E7AD1B5" w:rsidR="00DF6159" w:rsidRPr="00236418" w:rsidRDefault="00DF6159" w:rsidP="009B3D24">
      <w:r w:rsidRPr="00236418">
        <w:t>8</w:t>
      </w:r>
      <w:r w:rsidR="0075692D">
        <w:t>6</w:t>
      </w:r>
      <w:r w:rsidRPr="00236418">
        <w:tab/>
        <w:t xml:space="preserve">Un prêt de </w:t>
      </w:r>
      <w:r w:rsidR="00692A90" w:rsidRPr="00236418">
        <w:t>3</w:t>
      </w:r>
      <w:r w:rsidRPr="00236418">
        <w:t xml:space="preserve"> </w:t>
      </w:r>
      <w:r w:rsidR="00692A90" w:rsidRPr="00236418">
        <w:t>250</w:t>
      </w:r>
      <w:r w:rsidRPr="00236418">
        <w:t xml:space="preserve"> 000 CHF a été reçu et, en 201</w:t>
      </w:r>
      <w:r w:rsidR="00692A90" w:rsidRPr="00236418">
        <w:t>9</w:t>
      </w:r>
      <w:r w:rsidRPr="00236418">
        <w:t xml:space="preserve">, les dépenses liées au projet de nouveau bâtiment se sont chiffrées à </w:t>
      </w:r>
      <w:r w:rsidR="00692A90" w:rsidRPr="00236418">
        <w:t>2</w:t>
      </w:r>
      <w:r w:rsidRPr="00236418">
        <w:t xml:space="preserve"> </w:t>
      </w:r>
      <w:r w:rsidR="00692A90" w:rsidRPr="00236418">
        <w:t>6</w:t>
      </w:r>
      <w:r w:rsidRPr="00236418">
        <w:t xml:space="preserve">79 </w:t>
      </w:r>
      <w:r w:rsidR="00692A90" w:rsidRPr="00236418">
        <w:t>855</w:t>
      </w:r>
      <w:r w:rsidRPr="00236418">
        <w:t xml:space="preserve"> CHF.</w:t>
      </w:r>
    </w:p>
    <w:p w14:paraId="6C6EE18C" w14:textId="35080F92" w:rsidR="00DF6159" w:rsidRPr="00236418" w:rsidRDefault="00DF6159" w:rsidP="009B3D24">
      <w:pPr>
        <w:pStyle w:val="Heading1"/>
      </w:pPr>
      <w:bookmarkStart w:id="2659" w:name="_Toc511649521"/>
      <w:bookmarkStart w:id="2660" w:name="_Toc511649884"/>
      <w:bookmarkStart w:id="2661" w:name="_Toc511650007"/>
      <w:bookmarkStart w:id="2662" w:name="_Toc511650127"/>
      <w:bookmarkStart w:id="2663" w:name="_Toc511650621"/>
      <w:bookmarkStart w:id="2664" w:name="_Toc511651267"/>
      <w:bookmarkStart w:id="2665" w:name="_Toc511724130"/>
      <w:bookmarkStart w:id="2666" w:name="_Toc511739119"/>
      <w:bookmarkStart w:id="2667" w:name="_Toc511740831"/>
      <w:bookmarkStart w:id="2668" w:name="_Toc511741290"/>
      <w:bookmarkStart w:id="2669" w:name="_Toc10450804"/>
      <w:bookmarkStart w:id="2670" w:name="_Toc41566388"/>
      <w:bookmarkStart w:id="2671" w:name="_Toc41567388"/>
      <w:bookmarkStart w:id="2672" w:name="_Toc41567884"/>
      <w:bookmarkStart w:id="2673" w:name="_Toc41814992"/>
      <w:r w:rsidRPr="00236418">
        <w:t>III</w:t>
      </w:r>
      <w:r w:rsidRPr="00236418">
        <w:tab/>
        <w:t>CAISSE D'ASSURANCE (ANNEXE B3)</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74CFB00B" w14:textId="265F12DE" w:rsidR="00DF6159" w:rsidRPr="00236418" w:rsidRDefault="00DF6159" w:rsidP="009B3D24">
      <w:r w:rsidRPr="00236418">
        <w:t>8</w:t>
      </w:r>
      <w:r w:rsidR="0075692D">
        <w:t>7</w:t>
      </w:r>
      <w:r w:rsidRPr="00236418">
        <w:tab/>
        <w:t xml:space="preserve">La Caisse d'assurance du personnel de l'UIT couvre l'ensemble des fonds garantissant les pensions du personnel qui était en fonction avant le 1er janvier 1960, date à laquelle l'UIT a été affiliée à la Caisse commune des pensions du personnel des Nations Unies. </w:t>
      </w:r>
      <w:r w:rsidR="00692A90" w:rsidRPr="00236418">
        <w:t>À</w:t>
      </w:r>
      <w:r w:rsidRPr="00236418">
        <w:t xml:space="preserve"> l'origine, elle se composait de plusieurs fonds et comptes individuels. Fin 201</w:t>
      </w:r>
      <w:r w:rsidR="00692A90" w:rsidRPr="00236418">
        <w:t>9</w:t>
      </w:r>
      <w:r w:rsidRPr="00236418">
        <w:t>, le Fonds de réserve et des compléments a servi 2</w:t>
      </w:r>
      <w:r w:rsidR="00692A90" w:rsidRPr="00236418">
        <w:t>1</w:t>
      </w:r>
      <w:r w:rsidRPr="00236418">
        <w:rPr>
          <w:color w:val="000000" w:themeColor="text1"/>
        </w:rPr>
        <w:t xml:space="preserve"> </w:t>
      </w:r>
      <w:r w:rsidRPr="00236418">
        <w:t xml:space="preserve">pensions de retraites et </w:t>
      </w:r>
      <w:r w:rsidR="00692A90" w:rsidRPr="00236418">
        <w:t>17</w:t>
      </w:r>
      <w:r w:rsidRPr="00236418">
        <w:t xml:space="preserve"> pensions de survivants, et le Fonds d'intervention a permis d'assister les fonctionnaires et les pensionnés se trouvant dans une situation financière difficile. Le dernier calcul des engagements à provisionner pour les assurés de la Caisse d'assurance du personnel de l'UIT a été effectué le 31 décembre 2011.</w:t>
      </w:r>
    </w:p>
    <w:p w14:paraId="5EA17D52" w14:textId="6620D1AC" w:rsidR="00DF6159" w:rsidRPr="00236418" w:rsidRDefault="00DF6159" w:rsidP="001C2D0D">
      <w:pPr>
        <w:keepLines/>
      </w:pPr>
      <w:r w:rsidRPr="00236418">
        <w:lastRenderedPageBreak/>
        <w:t>8</w:t>
      </w:r>
      <w:r w:rsidR="0075692D">
        <w:t>8</w:t>
      </w:r>
      <w:r w:rsidRPr="00236418">
        <w:tab/>
        <w:t>Conformément à la Résolution 7 (Genève, 1959) de la Conférence de plénipotentiaires), le personnel de l'UIT est affilié à partir du 1er janvier 1960, à la Caisse commune des pensions du personnel des Nations Unies. Aux termes de l'Article 86 de ses Statuts, la Caisse d'assurance du personnel de l'UIT est administrée par l'Union. La fortune de la Caisse d'assurance est à placer en valeurs pupillaires. Les comptes de cette Caisse sont vérifiés par le Vérificateur extérieur dans le cadre des contrôles périodiques des comptes de l'Union.</w:t>
      </w:r>
    </w:p>
    <w:p w14:paraId="74519F35" w14:textId="5AE8E243" w:rsidR="00DF6159" w:rsidRPr="00236418" w:rsidRDefault="00DF6159" w:rsidP="009B3D24">
      <w:r w:rsidRPr="00236418">
        <w:t>8</w:t>
      </w:r>
      <w:r w:rsidR="0075692D">
        <w:t>9</w:t>
      </w:r>
      <w:r w:rsidRPr="00236418">
        <w:tab/>
        <w:t>Un compte courant est ouvert pour chacun des deux fonds restants auprès du Crédit Mutuel en France. Le Fonds de réserve et des compléments a présenté un déficit de1</w:t>
      </w:r>
      <w:r w:rsidR="00692A90" w:rsidRPr="00236418">
        <w:t>6</w:t>
      </w:r>
      <w:r w:rsidRPr="00236418">
        <w:t> </w:t>
      </w:r>
      <w:r w:rsidR="00692A90" w:rsidRPr="00236418">
        <w:t>864</w:t>
      </w:r>
      <w:r w:rsidRPr="00236418">
        <w:t>,80 CHF.</w:t>
      </w:r>
    </w:p>
    <w:p w14:paraId="7A55AE16" w14:textId="1F6F55D9" w:rsidR="00DF6159" w:rsidRPr="00236418" w:rsidRDefault="00DF6159" w:rsidP="009B3D24">
      <w:pPr>
        <w:pStyle w:val="Heading1"/>
      </w:pPr>
      <w:bookmarkStart w:id="2674" w:name="_Toc70850583"/>
      <w:bookmarkStart w:id="2675" w:name="_Toc329202614"/>
      <w:bookmarkStart w:id="2676" w:name="_Toc329205046"/>
      <w:bookmarkStart w:id="2677" w:name="_Toc329206883"/>
      <w:bookmarkStart w:id="2678" w:name="_Toc358379336"/>
      <w:bookmarkStart w:id="2679" w:name="_Toc358379963"/>
      <w:bookmarkStart w:id="2680" w:name="_Toc358380516"/>
      <w:bookmarkStart w:id="2681" w:name="_Toc387167518"/>
      <w:bookmarkStart w:id="2682" w:name="_Toc395260960"/>
      <w:bookmarkStart w:id="2683" w:name="_Toc395261101"/>
      <w:bookmarkStart w:id="2684" w:name="_Toc395511747"/>
      <w:bookmarkStart w:id="2685" w:name="_Toc452138659"/>
      <w:bookmarkStart w:id="2686" w:name="_Toc452139108"/>
      <w:bookmarkStart w:id="2687" w:name="_Toc452139472"/>
      <w:bookmarkStart w:id="2688" w:name="_Toc452139878"/>
      <w:bookmarkStart w:id="2689" w:name="_Toc452140752"/>
      <w:bookmarkStart w:id="2690" w:name="_Toc482888043"/>
      <w:bookmarkStart w:id="2691" w:name="_Toc482888806"/>
      <w:bookmarkStart w:id="2692" w:name="_Toc511649522"/>
      <w:bookmarkStart w:id="2693" w:name="_Toc511649885"/>
      <w:bookmarkStart w:id="2694" w:name="_Toc511650008"/>
      <w:bookmarkStart w:id="2695" w:name="_Toc511650128"/>
      <w:bookmarkStart w:id="2696" w:name="_Toc511650622"/>
      <w:bookmarkStart w:id="2697" w:name="_Toc511651268"/>
      <w:bookmarkStart w:id="2698" w:name="_Toc511724131"/>
      <w:bookmarkStart w:id="2699" w:name="_Toc511739120"/>
      <w:bookmarkStart w:id="2700" w:name="_Toc511740832"/>
      <w:bookmarkStart w:id="2701" w:name="_Toc511741291"/>
      <w:bookmarkStart w:id="2702" w:name="_Toc10450805"/>
      <w:bookmarkStart w:id="2703" w:name="_Toc41566389"/>
      <w:bookmarkStart w:id="2704" w:name="_Toc41567389"/>
      <w:bookmarkStart w:id="2705" w:name="_Toc41567885"/>
      <w:bookmarkStart w:id="2706" w:name="_Toc41814993"/>
      <w:r w:rsidRPr="00236418">
        <w:t>IV</w:t>
      </w:r>
      <w:r w:rsidRPr="00236418">
        <w:tab/>
        <w:t>PROGRAMME DES NATIONS UNIES</w:t>
      </w:r>
      <w:bookmarkEnd w:id="2674"/>
      <w:bookmarkEnd w:id="2675"/>
      <w:bookmarkEnd w:id="2676"/>
      <w:bookmarkEnd w:id="2677"/>
      <w:bookmarkEnd w:id="2678"/>
      <w:bookmarkEnd w:id="2679"/>
      <w:bookmarkEnd w:id="2680"/>
      <w:bookmarkEnd w:id="2681"/>
      <w:bookmarkEnd w:id="2682"/>
      <w:bookmarkEnd w:id="2683"/>
      <w:bookmarkEnd w:id="2684"/>
      <w:r w:rsidRPr="00236418">
        <w:t xml:space="preserve"> POUR LE DÉVELOPPEMENT</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14:paraId="44046952" w14:textId="53D8100A" w:rsidR="00DF6159" w:rsidRPr="00236418" w:rsidRDefault="0075692D" w:rsidP="009B3D24">
      <w:r>
        <w:t>90</w:t>
      </w:r>
      <w:r w:rsidR="00DF6159" w:rsidRPr="00236418">
        <w:tab/>
        <w:t>Selon la catégorie de projets PNUD, l'UIT peut être l'agent d'exécution exclusif ou exécuter le projet conjointement avec le PNUD.</w:t>
      </w:r>
    </w:p>
    <w:p w14:paraId="784934D8" w14:textId="2695955B" w:rsidR="00DF6159" w:rsidRPr="00236418" w:rsidRDefault="00692A90" w:rsidP="009B3D24">
      <w:r w:rsidRPr="00236418">
        <w:t>9</w:t>
      </w:r>
      <w:r w:rsidR="0075692D">
        <w:t>1</w:t>
      </w:r>
      <w:r w:rsidR="00DF6159" w:rsidRPr="00236418">
        <w:tab/>
        <w:t>D'une manière générale, il existe deux catégories de projets PNUD: les projets exécutés par l'UIT et les projets exécutés par les gouvernements.</w:t>
      </w:r>
    </w:p>
    <w:p w14:paraId="2B7D3C4E" w14:textId="10310364" w:rsidR="00DF6159" w:rsidRPr="00236418" w:rsidRDefault="00692A90" w:rsidP="009B3D24">
      <w:r w:rsidRPr="00236418">
        <w:t>9</w:t>
      </w:r>
      <w:r w:rsidR="005D77FE">
        <w:t>2</w:t>
      </w:r>
      <w:r w:rsidR="00DF6159" w:rsidRPr="00236418">
        <w:tab/>
        <w:t xml:space="preserve">Pour les projets exécutés partiellement ou en totalité par l'UIT, le PNUD fixe un budget à l'intention de l'UIT. </w:t>
      </w:r>
      <w:r w:rsidR="000406A5" w:rsidRPr="00236418">
        <w:t>À</w:t>
      </w:r>
      <w:r w:rsidR="00DF6159" w:rsidRPr="00236418">
        <w:t xml:space="preserve"> la fin de chaque année, le PNUD rembourse à l'UIT la totalité des dépenses encourues dans le cadre de ce budget, sur la base du "Project Delivery Report" (PDR). Au titre de son appui aux projets, l'UIT perçoit une allocation calculée au prorata des dépenses enregistrées dans les PDR.</w:t>
      </w:r>
    </w:p>
    <w:p w14:paraId="7E7F3D4C" w14:textId="40E4F9CA" w:rsidR="00DF6159" w:rsidRPr="00236418" w:rsidRDefault="00692A90" w:rsidP="009B3D24">
      <w:r w:rsidRPr="00236418">
        <w:t>9</w:t>
      </w:r>
      <w:r w:rsidR="005D77FE">
        <w:t>3</w:t>
      </w:r>
      <w:r w:rsidR="00DF6159" w:rsidRPr="00236418">
        <w:tab/>
        <w:t>En 201</w:t>
      </w:r>
      <w:r w:rsidRPr="00236418">
        <w:t>9</w:t>
      </w:r>
      <w:r w:rsidR="00DF6159" w:rsidRPr="00236418">
        <w:t xml:space="preserve">, </w:t>
      </w:r>
      <w:r w:rsidR="00DF6159" w:rsidRPr="00236418">
        <w:rPr>
          <w:color w:val="000000"/>
        </w:rPr>
        <w:t xml:space="preserve">le compte du Fonds opérationnel (Operating </w:t>
      </w:r>
      <w:proofErr w:type="spellStart"/>
      <w:r w:rsidR="00DF6159" w:rsidRPr="00236418">
        <w:rPr>
          <w:color w:val="000000"/>
        </w:rPr>
        <w:t>Fund</w:t>
      </w:r>
      <w:proofErr w:type="spellEnd"/>
      <w:r w:rsidR="00DF6159" w:rsidRPr="00236418">
        <w:rPr>
          <w:color w:val="000000"/>
        </w:rPr>
        <w:t xml:space="preserve">) avec le PNUD présente un solde de </w:t>
      </w:r>
      <w:r w:rsidRPr="00236418">
        <w:t>209</w:t>
      </w:r>
      <w:r w:rsidR="00DF6159" w:rsidRPr="00236418">
        <w:t xml:space="preserve"> </w:t>
      </w:r>
      <w:r w:rsidRPr="00236418">
        <w:t>579</w:t>
      </w:r>
      <w:r w:rsidR="00DF6159" w:rsidRPr="00236418">
        <w:t xml:space="preserve"> CHF en faveur de l'UIT (3</w:t>
      </w:r>
      <w:r w:rsidRPr="00236418">
        <w:t>35</w:t>
      </w:r>
      <w:r w:rsidR="00DF6159" w:rsidRPr="00236418">
        <w:t xml:space="preserve"> </w:t>
      </w:r>
      <w:r w:rsidRPr="00236418">
        <w:t>815</w:t>
      </w:r>
      <w:r w:rsidR="00DF6159" w:rsidRPr="00236418">
        <w:t xml:space="preserve"> CHF en faveur de l'UIT en 201</w:t>
      </w:r>
      <w:r w:rsidRPr="00236418">
        <w:t>8</w:t>
      </w:r>
      <w:r w:rsidR="00DF6159" w:rsidRPr="00236418">
        <w:t>).</w:t>
      </w:r>
    </w:p>
    <w:p w14:paraId="725F78F4" w14:textId="5635189C" w:rsidR="00DF6159" w:rsidRPr="00236418" w:rsidRDefault="00DF6159" w:rsidP="009B3D24">
      <w:pPr>
        <w:pStyle w:val="Heading1"/>
      </w:pPr>
      <w:bookmarkStart w:id="2707" w:name="_Toc70850598"/>
      <w:bookmarkStart w:id="2708" w:name="_Toc329202616"/>
      <w:bookmarkStart w:id="2709" w:name="_Toc329205048"/>
      <w:bookmarkStart w:id="2710" w:name="_Toc329206885"/>
      <w:bookmarkStart w:id="2711" w:name="_Toc358379338"/>
      <w:bookmarkStart w:id="2712" w:name="_Toc358379965"/>
      <w:bookmarkStart w:id="2713" w:name="_Toc358380518"/>
      <w:bookmarkStart w:id="2714" w:name="_Toc387167520"/>
      <w:bookmarkStart w:id="2715" w:name="_Toc395260962"/>
      <w:bookmarkStart w:id="2716" w:name="_Toc395261103"/>
      <w:bookmarkStart w:id="2717" w:name="_Toc395511749"/>
      <w:bookmarkStart w:id="2718" w:name="_Toc452138660"/>
      <w:bookmarkStart w:id="2719" w:name="_Toc452139109"/>
      <w:bookmarkStart w:id="2720" w:name="_Toc452139473"/>
      <w:bookmarkStart w:id="2721" w:name="_Toc452139879"/>
      <w:bookmarkStart w:id="2722" w:name="_Toc452140753"/>
      <w:bookmarkStart w:id="2723" w:name="_Toc482888044"/>
      <w:bookmarkStart w:id="2724" w:name="_Toc482888807"/>
      <w:bookmarkStart w:id="2725" w:name="_Toc511649523"/>
      <w:bookmarkStart w:id="2726" w:name="_Toc511649886"/>
      <w:bookmarkStart w:id="2727" w:name="_Toc511650009"/>
      <w:bookmarkStart w:id="2728" w:name="_Toc511650129"/>
      <w:bookmarkStart w:id="2729" w:name="_Toc511650623"/>
      <w:bookmarkStart w:id="2730" w:name="_Toc511651269"/>
      <w:bookmarkStart w:id="2731" w:name="_Toc511724132"/>
      <w:bookmarkStart w:id="2732" w:name="_Toc511739121"/>
      <w:bookmarkStart w:id="2733" w:name="_Toc511740833"/>
      <w:bookmarkStart w:id="2734" w:name="_Toc511741292"/>
      <w:bookmarkStart w:id="2735" w:name="_Toc10450806"/>
      <w:bookmarkStart w:id="2736" w:name="_Toc41566390"/>
      <w:bookmarkStart w:id="2737" w:name="_Toc41567390"/>
      <w:bookmarkStart w:id="2738" w:name="_Toc41567886"/>
      <w:bookmarkStart w:id="2739" w:name="_Toc41814994"/>
      <w:r w:rsidRPr="00236418">
        <w:t>V</w:t>
      </w:r>
      <w:r w:rsidRPr="00236418">
        <w:tab/>
        <w:t>FONDS D'AFFECTATION SPÉCIALE</w:t>
      </w:r>
      <w:bookmarkEnd w:id="2707"/>
      <w:r w:rsidRPr="00236418">
        <w:t xml:space="preserve"> (ANNEXE B</w:t>
      </w:r>
      <w:r w:rsidR="00692A90" w:rsidRPr="00236418">
        <w:t>4</w:t>
      </w:r>
      <w:r w:rsidRPr="00236418">
        <w:t>)</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p>
    <w:p w14:paraId="53B01BA8" w14:textId="0BCD5D3C" w:rsidR="00DF6159" w:rsidRPr="00236418" w:rsidRDefault="00692A90" w:rsidP="009B3D24">
      <w:r w:rsidRPr="00236418">
        <w:t>9</w:t>
      </w:r>
      <w:r w:rsidR="005D77FE">
        <w:t>4</w:t>
      </w:r>
      <w:r w:rsidR="00DF6159" w:rsidRPr="00236418">
        <w:tab/>
        <w:t>Le Fonds spécial de coopération technique (FSCT) a été créé en vue de répondre aux besoins des pays en développement qui sollicitent de l'Union une assistance d'urgence. Ce Fonds est alimenté par des contributions volontaires soit sous forme de dons en espèces dans n'importe quelle devise, ou sous toute autre forme.</w:t>
      </w:r>
    </w:p>
    <w:p w14:paraId="2621CEFB" w14:textId="781692B1" w:rsidR="00DF6159" w:rsidRPr="00236418" w:rsidRDefault="00DF6159" w:rsidP="009B3D24">
      <w:pPr>
        <w:keepNext/>
        <w:keepLines/>
        <w:rPr>
          <w:rFonts w:cstheme="majorBidi"/>
        </w:rPr>
      </w:pPr>
      <w:r w:rsidRPr="00236418">
        <w:rPr>
          <w:rFonts w:cstheme="majorBidi"/>
        </w:rPr>
        <w:t>9</w:t>
      </w:r>
      <w:r w:rsidR="005D77FE">
        <w:rPr>
          <w:rFonts w:cstheme="majorBidi"/>
        </w:rPr>
        <w:t>5</w:t>
      </w:r>
      <w:r w:rsidRPr="00236418">
        <w:rPr>
          <w:rFonts w:cstheme="majorBidi"/>
        </w:rPr>
        <w:tab/>
        <w:t xml:space="preserve">Les crédits non utilisés pour tous les types de projets financés par des tiers ainsi que des fonds de l'UIT représentent </w:t>
      </w:r>
      <w:r w:rsidR="00692A90" w:rsidRPr="00236418">
        <w:rPr>
          <w:rFonts w:cstheme="majorBidi"/>
        </w:rPr>
        <w:t>44</w:t>
      </w:r>
      <w:r w:rsidRPr="00236418">
        <w:rPr>
          <w:rFonts w:cstheme="majorBidi"/>
        </w:rPr>
        <w:t>,</w:t>
      </w:r>
      <w:r w:rsidR="00692A90" w:rsidRPr="00236418">
        <w:rPr>
          <w:rFonts w:cstheme="majorBidi"/>
        </w:rPr>
        <w:t>8</w:t>
      </w:r>
      <w:r w:rsidRPr="00236418">
        <w:rPr>
          <w:rFonts w:cstheme="majorBidi"/>
        </w:rPr>
        <w:t xml:space="preserve"> millions CHF en 201</w:t>
      </w:r>
      <w:r w:rsidR="00692A90" w:rsidRPr="00236418">
        <w:rPr>
          <w:rFonts w:cstheme="majorBidi"/>
        </w:rPr>
        <w:t>9</w:t>
      </w:r>
      <w:r w:rsidRPr="00236418">
        <w:rPr>
          <w:rFonts w:cstheme="majorBidi"/>
        </w:rPr>
        <w:t xml:space="preserve"> (</w:t>
      </w:r>
      <w:r w:rsidRPr="00236418">
        <w:t>2</w:t>
      </w:r>
      <w:r w:rsidR="00692A90" w:rsidRPr="00236418">
        <w:t>8</w:t>
      </w:r>
      <w:r w:rsidRPr="00236418">
        <w:t>,</w:t>
      </w:r>
      <w:r w:rsidR="00692A90" w:rsidRPr="00236418">
        <w:t>5</w:t>
      </w:r>
      <w:r w:rsidRPr="00236418">
        <w:t xml:space="preserve"> millions CHF</w:t>
      </w:r>
      <w:r w:rsidRPr="00236418">
        <w:rPr>
          <w:rFonts w:cstheme="majorBidi"/>
        </w:rPr>
        <w:t xml:space="preserve"> en 201</w:t>
      </w:r>
      <w:r w:rsidR="00692A90" w:rsidRPr="00236418">
        <w:rPr>
          <w:rFonts w:cstheme="majorBidi"/>
        </w:rPr>
        <w:t>8</w:t>
      </w:r>
      <w:r w:rsidRPr="00236418">
        <w:rPr>
          <w:rFonts w:cstheme="majorBidi"/>
        </w:rPr>
        <w:t>). Le solde du Fonds de tiers en cours d'affectation qui s'élevait à</w:t>
      </w:r>
      <w:r w:rsidRPr="00236418">
        <w:t xml:space="preserve"> 1,</w:t>
      </w:r>
      <w:r w:rsidR="00692A90" w:rsidRPr="00236418">
        <w:t>7</w:t>
      </w:r>
      <w:r w:rsidRPr="00236418">
        <w:t xml:space="preserve"> million CHF fin 201</w:t>
      </w:r>
      <w:r w:rsidR="00692A90" w:rsidRPr="00236418">
        <w:t>9</w:t>
      </w:r>
      <w:r w:rsidRPr="00236418">
        <w:t xml:space="preserve"> (1,</w:t>
      </w:r>
      <w:r w:rsidR="00692A90" w:rsidRPr="00236418">
        <w:t>3</w:t>
      </w:r>
      <w:r w:rsidRPr="00236418">
        <w:t xml:space="preserve"> million CHF fin 201</w:t>
      </w:r>
      <w:r w:rsidR="00692A90" w:rsidRPr="00236418">
        <w:t>8</w:t>
      </w:r>
      <w:r w:rsidRPr="00236418">
        <w:t>) est composé des dernières sommes reçues pour les projets sur le point d'être lancés ainsi que des sommes restant après la clôture de projets. Celles-ci sont retournées aux bailleurs de fonds ou allouées à de nouveaux projets.</w:t>
      </w:r>
    </w:p>
    <w:p w14:paraId="7A0E2994" w14:textId="1AB859F1" w:rsidR="00DF6159" w:rsidRPr="00236418" w:rsidRDefault="00DF6159" w:rsidP="009B3D24">
      <w:pPr>
        <w:rPr>
          <w:rFonts w:cstheme="majorBidi"/>
        </w:rPr>
      </w:pPr>
      <w:r w:rsidRPr="00236418">
        <w:rPr>
          <w:rFonts w:cstheme="majorBidi"/>
        </w:rPr>
        <w:t>9</w:t>
      </w:r>
      <w:r w:rsidR="005D77FE">
        <w:rPr>
          <w:rFonts w:cstheme="majorBidi"/>
        </w:rPr>
        <w:t>6</w:t>
      </w:r>
      <w:r w:rsidRPr="00236418">
        <w:rPr>
          <w:rFonts w:cstheme="majorBidi"/>
        </w:rPr>
        <w:tab/>
        <w:t>En 201</w:t>
      </w:r>
      <w:r w:rsidR="00692A90" w:rsidRPr="00236418">
        <w:rPr>
          <w:rFonts w:cstheme="majorBidi"/>
        </w:rPr>
        <w:t>9</w:t>
      </w:r>
      <w:r w:rsidRPr="00236418">
        <w:rPr>
          <w:rFonts w:cstheme="majorBidi"/>
        </w:rPr>
        <w:t>, les actifs liquides</w:t>
      </w:r>
      <w:r w:rsidRPr="00236418">
        <w:t xml:space="preserve"> </w:t>
      </w:r>
      <w:r w:rsidRPr="00236418">
        <w:rPr>
          <w:rFonts w:cstheme="majorBidi"/>
        </w:rPr>
        <w:t xml:space="preserve">s'élevaient à </w:t>
      </w:r>
      <w:r w:rsidR="00692A90" w:rsidRPr="00236418">
        <w:rPr>
          <w:rFonts w:cstheme="majorBidi"/>
        </w:rPr>
        <w:t>23</w:t>
      </w:r>
      <w:r w:rsidRPr="00236418">
        <w:rPr>
          <w:rFonts w:cstheme="majorBidi"/>
        </w:rPr>
        <w:t>,</w:t>
      </w:r>
      <w:r w:rsidR="00692A90" w:rsidRPr="00236418">
        <w:rPr>
          <w:rFonts w:cstheme="majorBidi"/>
        </w:rPr>
        <w:t>9</w:t>
      </w:r>
      <w:r w:rsidRPr="00236418">
        <w:rPr>
          <w:rFonts w:cstheme="majorBidi"/>
        </w:rPr>
        <w:t xml:space="preserve"> millions </w:t>
      </w:r>
      <w:r w:rsidRPr="00236418">
        <w:t>CHF</w:t>
      </w:r>
      <w:r w:rsidRPr="00236418">
        <w:rPr>
          <w:rFonts w:cstheme="majorBidi"/>
        </w:rPr>
        <w:t xml:space="preserve"> (contre</w:t>
      </w:r>
      <w:r w:rsidRPr="00236418">
        <w:t xml:space="preserve"> </w:t>
      </w:r>
      <w:r w:rsidR="00692A90" w:rsidRPr="00236418">
        <w:t>16</w:t>
      </w:r>
      <w:r w:rsidRPr="00236418">
        <w:t>,</w:t>
      </w:r>
      <w:r w:rsidR="00692A90" w:rsidRPr="00236418">
        <w:t>4</w:t>
      </w:r>
      <w:r w:rsidRPr="00236418">
        <w:t xml:space="preserve"> millions CHF</w:t>
      </w:r>
      <w:r w:rsidRPr="00236418">
        <w:rPr>
          <w:rFonts w:cstheme="majorBidi"/>
        </w:rPr>
        <w:t xml:space="preserve"> </w:t>
      </w:r>
      <w:r w:rsidRPr="00236418">
        <w:t>en 201</w:t>
      </w:r>
      <w:r w:rsidR="00692A90" w:rsidRPr="00236418">
        <w:t>8</w:t>
      </w:r>
      <w:r w:rsidRPr="00236418">
        <w:t>)</w:t>
      </w:r>
      <w:r w:rsidRPr="00236418">
        <w:rPr>
          <w:rFonts w:cstheme="majorBidi"/>
        </w:rPr>
        <w:t>. Le montant des placements</w:t>
      </w:r>
      <w:r w:rsidRPr="00236418">
        <w:t xml:space="preserve"> s</w:t>
      </w:r>
      <w:r w:rsidRPr="00236418">
        <w:rPr>
          <w:rFonts w:cstheme="majorBidi"/>
        </w:rPr>
        <w:t xml:space="preserve">e chiffrait à </w:t>
      </w:r>
      <w:r w:rsidR="00692A90" w:rsidRPr="00236418">
        <w:rPr>
          <w:rFonts w:cstheme="majorBidi"/>
        </w:rPr>
        <w:t>13</w:t>
      </w:r>
      <w:r w:rsidRPr="00236418">
        <w:rPr>
          <w:rFonts w:cstheme="majorBidi"/>
        </w:rPr>
        <w:t>,</w:t>
      </w:r>
      <w:r w:rsidR="00692A90" w:rsidRPr="00236418">
        <w:rPr>
          <w:rFonts w:cstheme="majorBidi"/>
        </w:rPr>
        <w:t>9</w:t>
      </w:r>
      <w:r w:rsidRPr="00236418">
        <w:rPr>
          <w:rFonts w:cstheme="majorBidi"/>
        </w:rPr>
        <w:t xml:space="preserve"> millions </w:t>
      </w:r>
      <w:r w:rsidRPr="00236418">
        <w:t>CHF</w:t>
      </w:r>
      <w:r w:rsidRPr="00236418">
        <w:rPr>
          <w:rFonts w:cstheme="majorBidi"/>
        </w:rPr>
        <w:t xml:space="preserve"> fin 201</w:t>
      </w:r>
      <w:r w:rsidR="00692A90" w:rsidRPr="00236418">
        <w:rPr>
          <w:rFonts w:cstheme="majorBidi"/>
        </w:rPr>
        <w:t>9</w:t>
      </w:r>
      <w:r w:rsidRPr="00236418">
        <w:rPr>
          <w:rFonts w:cstheme="majorBidi"/>
        </w:rPr>
        <w:t xml:space="preserve"> (</w:t>
      </w:r>
      <w:r w:rsidR="00692A90" w:rsidRPr="00236418">
        <w:rPr>
          <w:rFonts w:cstheme="majorBidi"/>
        </w:rPr>
        <w:t>18</w:t>
      </w:r>
      <w:r w:rsidRPr="00236418">
        <w:rPr>
          <w:rFonts w:cstheme="majorBidi"/>
        </w:rPr>
        <w:t>,</w:t>
      </w:r>
      <w:r w:rsidR="00692A90" w:rsidRPr="00236418">
        <w:rPr>
          <w:rFonts w:cstheme="majorBidi"/>
        </w:rPr>
        <w:t>4</w:t>
      </w:r>
      <w:r w:rsidRPr="00236418">
        <w:rPr>
          <w:rFonts w:cstheme="majorBidi"/>
        </w:rPr>
        <w:t xml:space="preserve"> millions </w:t>
      </w:r>
      <w:r w:rsidRPr="00236418">
        <w:t>CHF en 201</w:t>
      </w:r>
      <w:r w:rsidR="00692A90" w:rsidRPr="00236418">
        <w:t>8</w:t>
      </w:r>
      <w:r w:rsidRPr="00236418">
        <w:t>)</w:t>
      </w:r>
      <w:r w:rsidRPr="00236418">
        <w:rPr>
          <w:rFonts w:cstheme="majorBidi"/>
        </w:rPr>
        <w:t xml:space="preserve">. Ces placements ont généré des intérêts s'élevant à </w:t>
      </w:r>
      <w:r w:rsidR="00692A90" w:rsidRPr="00236418">
        <w:rPr>
          <w:rFonts w:cstheme="majorBidi"/>
        </w:rPr>
        <w:t>447</w:t>
      </w:r>
      <w:r w:rsidRPr="00236418">
        <w:rPr>
          <w:rFonts w:cstheme="majorBidi"/>
        </w:rPr>
        <w:t xml:space="preserve"> 000 </w:t>
      </w:r>
      <w:r w:rsidRPr="00236418">
        <w:t>CHF</w:t>
      </w:r>
      <w:r w:rsidRPr="00236418">
        <w:rPr>
          <w:rFonts w:cstheme="majorBidi"/>
        </w:rPr>
        <w:t xml:space="preserve"> en 201</w:t>
      </w:r>
      <w:r w:rsidR="00692A90" w:rsidRPr="00236418">
        <w:rPr>
          <w:rFonts w:cstheme="majorBidi"/>
        </w:rPr>
        <w:t>9</w:t>
      </w:r>
      <w:r w:rsidRPr="00236418">
        <w:rPr>
          <w:rFonts w:cstheme="majorBidi"/>
        </w:rPr>
        <w:t xml:space="preserve"> (</w:t>
      </w:r>
      <w:r w:rsidR="00692A90" w:rsidRPr="00236418">
        <w:rPr>
          <w:rFonts w:cstheme="majorBidi"/>
        </w:rPr>
        <w:t>298</w:t>
      </w:r>
      <w:r w:rsidRPr="00236418">
        <w:rPr>
          <w:rFonts w:cstheme="majorBidi"/>
        </w:rPr>
        <w:t> 000 </w:t>
      </w:r>
      <w:r w:rsidRPr="00236418">
        <w:t>CHF en 201</w:t>
      </w:r>
      <w:r w:rsidR="00692A90" w:rsidRPr="00236418">
        <w:t>8</w:t>
      </w:r>
      <w:r w:rsidRPr="00236418">
        <w:rPr>
          <w:rFonts w:cstheme="majorBidi"/>
        </w:rPr>
        <w:t>).</w:t>
      </w:r>
    </w:p>
    <w:p w14:paraId="0C5E0E07" w14:textId="3BFF095E" w:rsidR="00DF6159" w:rsidRPr="00236418" w:rsidRDefault="00DF6159" w:rsidP="009B3D24">
      <w:pPr>
        <w:pStyle w:val="Headingb"/>
      </w:pPr>
      <w:bookmarkStart w:id="2740" w:name="_Toc358379339"/>
      <w:bookmarkStart w:id="2741" w:name="_Toc358380519"/>
      <w:bookmarkStart w:id="2742" w:name="_Toc387167521"/>
      <w:bookmarkStart w:id="2743" w:name="_Toc452138661"/>
      <w:bookmarkStart w:id="2744" w:name="_Toc452139110"/>
      <w:bookmarkStart w:id="2745" w:name="_Toc452139474"/>
      <w:bookmarkStart w:id="2746" w:name="_Toc452139880"/>
      <w:bookmarkStart w:id="2747" w:name="_Toc452140754"/>
      <w:bookmarkStart w:id="2748" w:name="_Toc482888808"/>
      <w:bookmarkStart w:id="2749" w:name="_Toc511649524"/>
      <w:bookmarkStart w:id="2750" w:name="_Toc511649887"/>
      <w:bookmarkStart w:id="2751" w:name="_Toc511650010"/>
      <w:bookmarkStart w:id="2752" w:name="_Toc511650130"/>
      <w:bookmarkStart w:id="2753" w:name="_Toc511650624"/>
      <w:bookmarkStart w:id="2754" w:name="_Toc511651270"/>
      <w:bookmarkStart w:id="2755" w:name="_Toc511724133"/>
      <w:bookmarkStart w:id="2756" w:name="_Toc511739122"/>
      <w:bookmarkStart w:id="2757" w:name="_Toc511741293"/>
      <w:bookmarkStart w:id="2758" w:name="_Toc10450807"/>
      <w:bookmarkStart w:id="2759" w:name="_Toc41566391"/>
      <w:bookmarkStart w:id="2760" w:name="_Toc41814995"/>
      <w:bookmarkStart w:id="2761" w:name="_Toc70850602"/>
      <w:r w:rsidRPr="00236418">
        <w:t xml:space="preserve">Dépenses relatives aux projets et dépenses d'appui </w:t>
      </w:r>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sidRPr="00236418">
        <w:t>201</w:t>
      </w:r>
      <w:bookmarkEnd w:id="2758"/>
      <w:r w:rsidR="00692A90" w:rsidRPr="00236418">
        <w:t>9</w:t>
      </w:r>
      <w:bookmarkEnd w:id="2759"/>
      <w:bookmarkEnd w:id="2760"/>
    </w:p>
    <w:p w14:paraId="0F5D7DF6" w14:textId="53A31D2E" w:rsidR="007613EF" w:rsidRPr="00236418" w:rsidRDefault="00DF6159" w:rsidP="009B3D24">
      <w:r w:rsidRPr="00236418">
        <w:t>9</w:t>
      </w:r>
      <w:r w:rsidR="005D77FE">
        <w:t>7</w:t>
      </w:r>
      <w:r w:rsidRPr="00236418">
        <w:tab/>
        <w:t>En 201</w:t>
      </w:r>
      <w:r w:rsidR="00692A90" w:rsidRPr="00236418">
        <w:t>9</w:t>
      </w:r>
      <w:r w:rsidRPr="00236418">
        <w:t>, les dépenses pour l'ensemble des projets financés sur des fonds d'affectation spéciale se sont élevées à 8,</w:t>
      </w:r>
      <w:r w:rsidR="00692A90" w:rsidRPr="00236418">
        <w:t>7</w:t>
      </w:r>
      <w:r w:rsidRPr="00236418">
        <w:t xml:space="preserve"> millions CHF, contre </w:t>
      </w:r>
      <w:r w:rsidR="00692A90" w:rsidRPr="00236418">
        <w:t>6,5</w:t>
      </w:r>
      <w:r w:rsidRPr="00236418">
        <w:t xml:space="preserve"> millions CHF en 201</w:t>
      </w:r>
      <w:r w:rsidR="00692A90" w:rsidRPr="00236418">
        <w:t>8</w:t>
      </w:r>
      <w:r w:rsidRPr="00236418">
        <w:t xml:space="preserve">. Les dépenses d'appui se sont chiffrées à </w:t>
      </w:r>
      <w:r w:rsidR="00692A90" w:rsidRPr="00236418">
        <w:t>414</w:t>
      </w:r>
      <w:r w:rsidRPr="00236418">
        <w:t xml:space="preserve"> 000 CHF en 201</w:t>
      </w:r>
      <w:r w:rsidR="00692A90" w:rsidRPr="00236418">
        <w:t>9</w:t>
      </w:r>
      <w:r w:rsidRPr="00236418">
        <w:t xml:space="preserve"> (</w:t>
      </w:r>
      <w:r w:rsidR="00692A90" w:rsidRPr="00236418">
        <w:t>425</w:t>
      </w:r>
      <w:r w:rsidRPr="00236418">
        <w:t xml:space="preserve"> 000 CHF en 201</w:t>
      </w:r>
      <w:r w:rsidR="00692A90" w:rsidRPr="00236418">
        <w:t>8</w:t>
      </w:r>
      <w:r w:rsidRPr="00236418">
        <w:t>).</w:t>
      </w:r>
    </w:p>
    <w:p w14:paraId="10961CAF" w14:textId="6335922E" w:rsidR="00DF6159" w:rsidRPr="00236418" w:rsidRDefault="00DF6159" w:rsidP="007613EF">
      <w:pPr>
        <w:pStyle w:val="Heading1"/>
        <w:spacing w:before="600"/>
      </w:pPr>
      <w:bookmarkStart w:id="2762" w:name="_Toc70850608"/>
      <w:bookmarkStart w:id="2763" w:name="_Toc329202617"/>
      <w:bookmarkStart w:id="2764" w:name="_Toc329205049"/>
      <w:bookmarkStart w:id="2765" w:name="_Toc329206886"/>
      <w:bookmarkStart w:id="2766" w:name="_Toc358379344"/>
      <w:bookmarkStart w:id="2767" w:name="_Toc358379966"/>
      <w:bookmarkStart w:id="2768" w:name="_Toc358380524"/>
      <w:bookmarkStart w:id="2769" w:name="_Toc387167522"/>
      <w:bookmarkStart w:id="2770" w:name="_Toc395260963"/>
      <w:bookmarkStart w:id="2771" w:name="_Toc395261104"/>
      <w:bookmarkStart w:id="2772" w:name="_Toc395511750"/>
      <w:bookmarkStart w:id="2773" w:name="_Toc452138662"/>
      <w:bookmarkStart w:id="2774" w:name="_Toc452139111"/>
      <w:bookmarkStart w:id="2775" w:name="_Toc452139475"/>
      <w:bookmarkStart w:id="2776" w:name="_Toc452139881"/>
      <w:bookmarkStart w:id="2777" w:name="_Toc452140755"/>
      <w:bookmarkStart w:id="2778" w:name="_Toc482888045"/>
      <w:bookmarkStart w:id="2779" w:name="_Toc482888809"/>
      <w:bookmarkStart w:id="2780" w:name="_Toc511649525"/>
      <w:bookmarkStart w:id="2781" w:name="_Toc511649888"/>
      <w:bookmarkStart w:id="2782" w:name="_Toc511650011"/>
      <w:bookmarkStart w:id="2783" w:name="_Toc511650131"/>
      <w:bookmarkStart w:id="2784" w:name="_Toc511650625"/>
      <w:bookmarkStart w:id="2785" w:name="_Toc511651271"/>
      <w:bookmarkStart w:id="2786" w:name="_Toc511724134"/>
      <w:bookmarkStart w:id="2787" w:name="_Toc511739123"/>
      <w:bookmarkStart w:id="2788" w:name="_Toc511740834"/>
      <w:bookmarkStart w:id="2789" w:name="_Toc511741294"/>
      <w:bookmarkStart w:id="2790" w:name="_Toc10450808"/>
      <w:bookmarkStart w:id="2791" w:name="_Toc41566392"/>
      <w:bookmarkStart w:id="2792" w:name="_Toc41567391"/>
      <w:bookmarkStart w:id="2793" w:name="_Toc41567887"/>
      <w:bookmarkStart w:id="2794" w:name="_Toc41814996"/>
      <w:bookmarkEnd w:id="2761"/>
      <w:r w:rsidRPr="00236418">
        <w:lastRenderedPageBreak/>
        <w:t>VI</w:t>
      </w:r>
      <w:r w:rsidRPr="00236418">
        <w:tab/>
        <w:t>CONTRIBUTIONS VOLONTAIRES</w:t>
      </w:r>
      <w:bookmarkEnd w:id="2762"/>
      <w:r w:rsidRPr="00236418">
        <w:t xml:space="preserve"> (ANNEXE B</w:t>
      </w:r>
      <w:r w:rsidR="00692A90" w:rsidRPr="00236418">
        <w:t>5</w:t>
      </w:r>
      <w:r w:rsidRPr="00236418">
        <w:t>)</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14:paraId="69D716F3" w14:textId="43DF2161" w:rsidR="00DF6159" w:rsidRPr="00236418" w:rsidRDefault="00DF6159" w:rsidP="009B3D24">
      <w:pPr>
        <w:rPr>
          <w:rFonts w:cstheme="majorBidi"/>
        </w:rPr>
      </w:pPr>
      <w:r w:rsidRPr="00236418">
        <w:rPr>
          <w:rFonts w:cstheme="majorBidi"/>
        </w:rPr>
        <w:t>9</w:t>
      </w:r>
      <w:r w:rsidR="005D77FE">
        <w:rPr>
          <w:rFonts w:cstheme="majorBidi"/>
        </w:rPr>
        <w:t>8</w:t>
      </w:r>
      <w:r w:rsidRPr="00236418">
        <w:rPr>
          <w:rFonts w:cstheme="majorBidi"/>
        </w:rPr>
        <w:tab/>
        <w:t>En 201</w:t>
      </w:r>
      <w:r w:rsidR="00692A90" w:rsidRPr="00236418">
        <w:rPr>
          <w:rFonts w:cstheme="majorBidi"/>
        </w:rPr>
        <w:t>9</w:t>
      </w:r>
      <w:r w:rsidRPr="00236418">
        <w:rPr>
          <w:rFonts w:cstheme="majorBidi"/>
        </w:rPr>
        <w:t>, les actifs liquides</w:t>
      </w:r>
      <w:r w:rsidRPr="00236418">
        <w:t xml:space="preserve"> </w:t>
      </w:r>
      <w:r w:rsidRPr="00236418">
        <w:rPr>
          <w:rFonts w:cstheme="majorBidi"/>
        </w:rPr>
        <w:t>s'élevaient à 9,</w:t>
      </w:r>
      <w:r w:rsidR="00692A90" w:rsidRPr="00236418">
        <w:rPr>
          <w:rFonts w:cstheme="majorBidi"/>
        </w:rPr>
        <w:t>4</w:t>
      </w:r>
      <w:r w:rsidRPr="00236418">
        <w:rPr>
          <w:rFonts w:cstheme="majorBidi"/>
        </w:rPr>
        <w:t xml:space="preserve"> millions </w:t>
      </w:r>
      <w:r w:rsidRPr="00236418">
        <w:t>CHF</w:t>
      </w:r>
      <w:r w:rsidRPr="00236418">
        <w:rPr>
          <w:rFonts w:cstheme="majorBidi"/>
        </w:rPr>
        <w:t xml:space="preserve"> (</w:t>
      </w:r>
      <w:r w:rsidRPr="00236418">
        <w:t>9</w:t>
      </w:r>
      <w:r w:rsidR="00692A90" w:rsidRPr="00236418">
        <w:t>,7</w:t>
      </w:r>
      <w:r w:rsidRPr="00236418">
        <w:t xml:space="preserve"> millions CHF</w:t>
      </w:r>
      <w:r w:rsidRPr="00236418">
        <w:rPr>
          <w:rFonts w:cstheme="majorBidi"/>
        </w:rPr>
        <w:t xml:space="preserve"> </w:t>
      </w:r>
      <w:r w:rsidRPr="00236418">
        <w:t>en 201</w:t>
      </w:r>
      <w:r w:rsidR="00692A90" w:rsidRPr="00236418">
        <w:t>8</w:t>
      </w:r>
      <w:r w:rsidRPr="00236418">
        <w:t>)</w:t>
      </w:r>
      <w:r w:rsidRPr="00236418">
        <w:rPr>
          <w:rFonts w:cstheme="majorBidi"/>
        </w:rPr>
        <w:t>.</w:t>
      </w:r>
    </w:p>
    <w:p w14:paraId="7B985D03" w14:textId="3F3A18E8" w:rsidR="00DF6159" w:rsidRPr="00236418" w:rsidRDefault="00DF6159" w:rsidP="009B3D24">
      <w:pPr>
        <w:rPr>
          <w:rFonts w:cstheme="majorBidi"/>
        </w:rPr>
      </w:pPr>
      <w:r w:rsidRPr="00236418">
        <w:rPr>
          <w:rFonts w:cstheme="majorBidi"/>
        </w:rPr>
        <w:t>9</w:t>
      </w:r>
      <w:r w:rsidR="005D77FE">
        <w:rPr>
          <w:rFonts w:cstheme="majorBidi"/>
        </w:rPr>
        <w:t>9</w:t>
      </w:r>
      <w:r w:rsidRPr="00236418">
        <w:rPr>
          <w:rFonts w:cstheme="majorBidi"/>
        </w:rPr>
        <w:tab/>
      </w:r>
      <w:r w:rsidRPr="00236418">
        <w:t>En 201</w:t>
      </w:r>
      <w:r w:rsidR="00692A90" w:rsidRPr="00236418">
        <w:t>9</w:t>
      </w:r>
      <w:r w:rsidRPr="00236418">
        <w:t>, les dépenses pour l'ensemble des contributions volontaires se sont chiffrées à </w:t>
      </w:r>
      <w:r w:rsidR="00692A90" w:rsidRPr="00236418">
        <w:t>4</w:t>
      </w:r>
      <w:r w:rsidRPr="00236418">
        <w:t>,</w:t>
      </w:r>
      <w:r w:rsidR="00692A90" w:rsidRPr="00236418">
        <w:t>4</w:t>
      </w:r>
      <w:r w:rsidRPr="00236418">
        <w:t xml:space="preserve"> millions CHF, contre </w:t>
      </w:r>
      <w:r w:rsidR="00692A90" w:rsidRPr="00236418">
        <w:t>4</w:t>
      </w:r>
      <w:r w:rsidRPr="00236418">
        <w:t>,</w:t>
      </w:r>
      <w:r w:rsidR="00692A90" w:rsidRPr="00236418">
        <w:t>4</w:t>
      </w:r>
      <w:r w:rsidRPr="00236418">
        <w:t xml:space="preserve"> millions CHF en 201</w:t>
      </w:r>
      <w:r w:rsidR="00692A90" w:rsidRPr="00236418">
        <w:t>8</w:t>
      </w:r>
      <w:r w:rsidRPr="00236418">
        <w:t>.</w:t>
      </w:r>
    </w:p>
    <w:p w14:paraId="1F353C25" w14:textId="514AB052" w:rsidR="00DF6159" w:rsidRPr="00236418" w:rsidRDefault="00DF6159" w:rsidP="009B3D24">
      <w:pPr>
        <w:pStyle w:val="Heading1"/>
      </w:pPr>
      <w:bookmarkStart w:id="2795" w:name="_Toc329202618"/>
      <w:bookmarkStart w:id="2796" w:name="_Toc329205050"/>
      <w:bookmarkStart w:id="2797" w:name="_Toc329206887"/>
      <w:bookmarkStart w:id="2798" w:name="_Toc358379345"/>
      <w:bookmarkStart w:id="2799" w:name="_Toc358379967"/>
      <w:bookmarkStart w:id="2800" w:name="_Toc358380525"/>
      <w:bookmarkStart w:id="2801" w:name="_Toc387167523"/>
      <w:bookmarkStart w:id="2802" w:name="_Toc395260964"/>
      <w:bookmarkStart w:id="2803" w:name="_Toc395261105"/>
      <w:bookmarkStart w:id="2804" w:name="_Toc395511751"/>
      <w:bookmarkStart w:id="2805" w:name="_Toc452138663"/>
      <w:bookmarkStart w:id="2806" w:name="_Toc452139112"/>
      <w:bookmarkStart w:id="2807" w:name="_Toc452139476"/>
      <w:bookmarkStart w:id="2808" w:name="_Toc452139882"/>
      <w:bookmarkStart w:id="2809" w:name="_Toc452140756"/>
      <w:bookmarkStart w:id="2810" w:name="_Toc482888046"/>
      <w:bookmarkStart w:id="2811" w:name="_Toc482888810"/>
      <w:bookmarkStart w:id="2812" w:name="_Toc511649526"/>
      <w:bookmarkStart w:id="2813" w:name="_Toc511649889"/>
      <w:bookmarkStart w:id="2814" w:name="_Toc511650012"/>
      <w:bookmarkStart w:id="2815" w:name="_Toc511650132"/>
      <w:bookmarkStart w:id="2816" w:name="_Toc511650626"/>
      <w:bookmarkStart w:id="2817" w:name="_Toc511651272"/>
      <w:bookmarkStart w:id="2818" w:name="_Toc511724135"/>
      <w:bookmarkStart w:id="2819" w:name="_Toc511739124"/>
      <w:bookmarkStart w:id="2820" w:name="_Toc511740835"/>
      <w:bookmarkStart w:id="2821" w:name="_Toc511741295"/>
      <w:bookmarkStart w:id="2822" w:name="_Toc10450809"/>
      <w:bookmarkStart w:id="2823" w:name="_Toc41566393"/>
      <w:bookmarkStart w:id="2824" w:name="_Toc41567392"/>
      <w:bookmarkStart w:id="2825" w:name="_Toc41567888"/>
      <w:bookmarkStart w:id="2826" w:name="_Toc41814997"/>
      <w:r w:rsidRPr="00236418">
        <w:t>VII</w:t>
      </w:r>
      <w:r w:rsidRPr="00236418">
        <w:tab/>
        <w:t>FONDS POUR LE DÉVELOPPEMENT DES TIC (FDTIC) (ANNEXE B</w:t>
      </w:r>
      <w:r w:rsidR="00692A90" w:rsidRPr="00236418">
        <w:t>6</w:t>
      </w:r>
      <w:r w:rsidRPr="00236418">
        <w:t>)</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14:paraId="58511B40" w14:textId="42750B4E" w:rsidR="00DF6159" w:rsidRPr="00236418" w:rsidRDefault="005D77FE" w:rsidP="009B3D24">
      <w:r>
        <w:t>100</w:t>
      </w:r>
      <w:r w:rsidR="00DF6159" w:rsidRPr="00236418">
        <w:tab/>
        <w:t>Le solde du Fonds pour le développement des TIC s'établissait à 4,</w:t>
      </w:r>
      <w:r w:rsidR="001D3C28" w:rsidRPr="00236418">
        <w:t>9</w:t>
      </w:r>
      <w:r w:rsidR="00DF6159" w:rsidRPr="00236418">
        <w:t xml:space="preserve"> millions CHF au 31 décembre 201</w:t>
      </w:r>
      <w:r w:rsidR="001D3C28" w:rsidRPr="00236418">
        <w:t>9</w:t>
      </w:r>
      <w:r w:rsidR="00DF6159" w:rsidRPr="00236418">
        <w:t xml:space="preserve"> (4,</w:t>
      </w:r>
      <w:r w:rsidR="001D3C28" w:rsidRPr="00236418">
        <w:t>3</w:t>
      </w:r>
      <w:r w:rsidR="00DF6159" w:rsidRPr="00236418">
        <w:t xml:space="preserve"> millions CHF au 31 décembre 201</w:t>
      </w:r>
      <w:r w:rsidR="001D3C28" w:rsidRPr="00236418">
        <w:t>8</w:t>
      </w:r>
      <w:r w:rsidR="00DF6159" w:rsidRPr="00236418">
        <w:t>).</w:t>
      </w:r>
    </w:p>
    <w:p w14:paraId="3A8F4EDA" w14:textId="53F19EC8" w:rsidR="00DF6159" w:rsidRPr="00236418" w:rsidRDefault="001D3C28" w:rsidP="009B3D24">
      <w:r w:rsidRPr="00236418">
        <w:t>10</w:t>
      </w:r>
      <w:r w:rsidR="005D77FE">
        <w:t>1</w:t>
      </w:r>
      <w:r w:rsidR="00DF6159" w:rsidRPr="00236418">
        <w:tab/>
        <w:t>En 201</w:t>
      </w:r>
      <w:r w:rsidRPr="00236418">
        <w:t>9</w:t>
      </w:r>
      <w:r w:rsidR="00DF6159" w:rsidRPr="00236418">
        <w:t xml:space="preserve">, un montant de </w:t>
      </w:r>
      <w:r w:rsidRPr="00236418">
        <w:t>124</w:t>
      </w:r>
      <w:r w:rsidR="00DF6159" w:rsidRPr="00236418">
        <w:t xml:space="preserve"> 000 CHF a été alloué au financement de projets TIC et les intérêts générés par les dépôts, qui se sont chiffrés à 7</w:t>
      </w:r>
      <w:r w:rsidRPr="00236418">
        <w:t>1</w:t>
      </w:r>
      <w:r w:rsidR="00DF6159" w:rsidRPr="00236418">
        <w:t xml:space="preserve"> 000 CHF, ont été </w:t>
      </w:r>
      <w:r w:rsidRPr="00236418">
        <w:t>transférés</w:t>
      </w:r>
      <w:r w:rsidR="00DF6159" w:rsidRPr="00236418">
        <w:t xml:space="preserve"> vers le Fonds de roulement des TIC.</w:t>
      </w:r>
    </w:p>
    <w:p w14:paraId="26D0CA8D" w14:textId="0BD8415F" w:rsidR="00DF6159" w:rsidRPr="00596807" w:rsidRDefault="00DF6159" w:rsidP="009B3D24">
      <w:pPr>
        <w:pStyle w:val="Heading1"/>
        <w:rPr>
          <w:w w:val="105"/>
          <w:lang w:val="en-US"/>
        </w:rPr>
      </w:pPr>
      <w:bookmarkStart w:id="2827" w:name="_Toc452138664"/>
      <w:bookmarkStart w:id="2828" w:name="_Toc452139113"/>
      <w:bookmarkStart w:id="2829" w:name="_Toc452139477"/>
      <w:bookmarkStart w:id="2830" w:name="_Toc452139883"/>
      <w:bookmarkStart w:id="2831" w:name="_Toc452140757"/>
      <w:bookmarkStart w:id="2832" w:name="_Toc482888047"/>
      <w:bookmarkStart w:id="2833" w:name="_Toc482888811"/>
      <w:bookmarkStart w:id="2834" w:name="_Toc511649527"/>
      <w:bookmarkStart w:id="2835" w:name="_Toc511649890"/>
      <w:bookmarkStart w:id="2836" w:name="_Toc511650013"/>
      <w:bookmarkStart w:id="2837" w:name="_Toc511650133"/>
      <w:bookmarkStart w:id="2838" w:name="_Toc511650627"/>
      <w:bookmarkStart w:id="2839" w:name="_Toc511651273"/>
      <w:bookmarkStart w:id="2840" w:name="_Toc511724136"/>
      <w:bookmarkStart w:id="2841" w:name="_Toc511739125"/>
      <w:bookmarkStart w:id="2842" w:name="_Toc511740836"/>
      <w:bookmarkStart w:id="2843" w:name="_Toc511741296"/>
      <w:bookmarkStart w:id="2844" w:name="_Toc10450810"/>
      <w:bookmarkStart w:id="2845" w:name="_Toc41566394"/>
      <w:bookmarkStart w:id="2846" w:name="_Toc41567393"/>
      <w:bookmarkStart w:id="2847" w:name="_Toc41567889"/>
      <w:bookmarkStart w:id="2848" w:name="_Toc41814998"/>
      <w:r w:rsidRPr="00596807">
        <w:rPr>
          <w:w w:val="105"/>
          <w:lang w:val="en-US"/>
        </w:rPr>
        <w:t>VIII</w:t>
      </w:r>
      <w:r w:rsidRPr="00596807">
        <w:rPr>
          <w:w w:val="105"/>
          <w:lang w:val="en-US"/>
        </w:rPr>
        <w:tab/>
        <w:t>ITU TELECOM WORLD 201</w:t>
      </w:r>
      <w:r w:rsidR="001D3C28" w:rsidRPr="00596807">
        <w:rPr>
          <w:w w:val="105"/>
          <w:lang w:val="en-US"/>
        </w:rPr>
        <w:t>9</w:t>
      </w:r>
      <w:r w:rsidRPr="00596807">
        <w:rPr>
          <w:w w:val="105"/>
          <w:lang w:val="en-US"/>
        </w:rPr>
        <w:t xml:space="preserve"> (ANNEXE B</w:t>
      </w:r>
      <w:r w:rsidR="001D3C28" w:rsidRPr="00596807">
        <w:rPr>
          <w:w w:val="105"/>
          <w:lang w:val="en-US"/>
        </w:rPr>
        <w:t>7</w:t>
      </w:r>
      <w:r w:rsidRPr="00596807">
        <w:rPr>
          <w:w w:val="105"/>
          <w:lang w:val="en-US"/>
        </w:rPr>
        <w: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14:paraId="282699E8" w14:textId="09F8379C" w:rsidR="00935164" w:rsidRPr="00236418" w:rsidRDefault="00657EF6" w:rsidP="009B3D24">
      <w:r w:rsidRPr="00236418">
        <w:t>10</w:t>
      </w:r>
      <w:r w:rsidR="005D77FE">
        <w:t>2</w:t>
      </w:r>
      <w:r w:rsidR="00DF6159" w:rsidRPr="00236418">
        <w:tab/>
      </w:r>
      <w:r w:rsidR="00935164" w:rsidRPr="00236418">
        <w:t>Au</w:t>
      </w:r>
      <w:r w:rsidRPr="00236418">
        <w:t xml:space="preserve"> 31 décembre 2019, ITU Telecom World 2019 </w:t>
      </w:r>
      <w:r w:rsidR="00935164" w:rsidRPr="00236418">
        <w:t xml:space="preserve">affichait un résultat de </w:t>
      </w:r>
      <w:r w:rsidRPr="00236418">
        <w:t xml:space="preserve">847 006,56 </w:t>
      </w:r>
      <w:r w:rsidR="00935164" w:rsidRPr="00236418">
        <w:t xml:space="preserve">CHF avec un total des produits effectifs se chiffrant à </w:t>
      </w:r>
      <w:r w:rsidRPr="00236418">
        <w:t>6 908 597</w:t>
      </w:r>
      <w:r w:rsidR="00935164" w:rsidRPr="00236418">
        <w:t>,</w:t>
      </w:r>
      <w:r w:rsidRPr="00236418">
        <w:t xml:space="preserve">06 </w:t>
      </w:r>
      <w:r w:rsidR="00935164" w:rsidRPr="00236418">
        <w:t xml:space="preserve">CHF et un total des charges effectives se chiffrant à </w:t>
      </w:r>
      <w:r w:rsidRPr="00236418">
        <w:t>6 061</w:t>
      </w:r>
      <w:r w:rsidR="00935164" w:rsidRPr="00236418">
        <w:t xml:space="preserve"> </w:t>
      </w:r>
      <w:r w:rsidRPr="00236418">
        <w:t>590,50</w:t>
      </w:r>
      <w:r w:rsidR="00E638EA" w:rsidRPr="00236418">
        <w:t xml:space="preserve"> CHF</w:t>
      </w:r>
      <w:r w:rsidR="00935164" w:rsidRPr="00236418">
        <w:t>, qui comprend la provision pour comptes débiteurs s'établissant</w:t>
      </w:r>
      <w:r w:rsidR="00E638EA" w:rsidRPr="00236418">
        <w:t xml:space="preserve"> à</w:t>
      </w:r>
      <w:r w:rsidR="00935164" w:rsidRPr="00236418">
        <w:t xml:space="preserve"> </w:t>
      </w:r>
      <w:r w:rsidRPr="00236418">
        <w:t>61</w:t>
      </w:r>
      <w:r w:rsidR="00D07D3D" w:rsidRPr="00236418">
        <w:t> </w:t>
      </w:r>
      <w:r w:rsidRPr="00236418">
        <w:t>600</w:t>
      </w:r>
      <w:r w:rsidR="00E638EA" w:rsidRPr="00236418">
        <w:t xml:space="preserve"> CHF</w:t>
      </w:r>
      <w:r w:rsidRPr="00236418">
        <w:t xml:space="preserve">, </w:t>
      </w:r>
      <w:r w:rsidR="00935164" w:rsidRPr="00236418">
        <w:t>sans quoi la manifestation aurait affiché un résultat de 908 606,56 CHF.</w:t>
      </w:r>
    </w:p>
    <w:p w14:paraId="645EAADD" w14:textId="7D734B4B" w:rsidR="00DF6159" w:rsidRPr="00236418" w:rsidRDefault="00DF6159" w:rsidP="009B3D24">
      <w:r w:rsidRPr="00236418">
        <w:t>10</w:t>
      </w:r>
      <w:r w:rsidR="005D77FE">
        <w:t>3</w:t>
      </w:r>
      <w:r w:rsidRPr="00236418">
        <w:tab/>
        <w:t>Le pays hôte a apporté des contributions en numéraire et en nature (fourniture gratuite de biens et de services), conformément à l'Accord de pays hôte conclu entre l'UIT et le Gouvernement de</w:t>
      </w:r>
      <w:r w:rsidR="00874DE5" w:rsidRPr="00236418">
        <w:t xml:space="preserve"> la</w:t>
      </w:r>
      <w:r w:rsidRPr="00236418">
        <w:t xml:space="preserve"> </w:t>
      </w:r>
      <w:r w:rsidR="00657EF6" w:rsidRPr="00236418">
        <w:t>Hongrie</w:t>
      </w:r>
      <w:r w:rsidRPr="00236418">
        <w:t xml:space="preserve">. Les contributions en numéraire apportées par le pays hôte, qui s'établissent au total à </w:t>
      </w:r>
      <w:r w:rsidR="00657EF6" w:rsidRPr="00236418">
        <w:t>2</w:t>
      </w:r>
      <w:r w:rsidRPr="00236418">
        <w:t> </w:t>
      </w:r>
      <w:r w:rsidR="00657EF6" w:rsidRPr="00236418">
        <w:t>854</w:t>
      </w:r>
      <w:r w:rsidRPr="00236418">
        <w:t> </w:t>
      </w:r>
      <w:r w:rsidR="00657EF6" w:rsidRPr="00236418">
        <w:t>484</w:t>
      </w:r>
      <w:r w:rsidRPr="00236418">
        <w:t>,</w:t>
      </w:r>
      <w:r w:rsidR="00657EF6" w:rsidRPr="00236418">
        <w:t>91</w:t>
      </w:r>
      <w:r w:rsidRPr="00236418">
        <w:t xml:space="preserve"> CHF, incluent le versement d'une somme forfaitaire </w:t>
      </w:r>
      <w:r w:rsidRPr="00236418">
        <w:rPr>
          <w:rFonts w:asciiTheme="minorHAnsi" w:hAnsiTheme="minorHAnsi"/>
        </w:rPr>
        <w:t xml:space="preserve">de </w:t>
      </w:r>
      <w:r w:rsidR="00657EF6" w:rsidRPr="00236418">
        <w:rPr>
          <w:rFonts w:asciiTheme="minorHAnsi" w:hAnsiTheme="minorHAnsi"/>
        </w:rPr>
        <w:t>2</w:t>
      </w:r>
      <w:r w:rsidRPr="00236418">
        <w:rPr>
          <w:rFonts w:asciiTheme="minorHAnsi" w:hAnsiTheme="minorHAnsi"/>
        </w:rPr>
        <w:t>,</w:t>
      </w:r>
      <w:r w:rsidR="00657EF6" w:rsidRPr="00236418">
        <w:rPr>
          <w:rFonts w:asciiTheme="minorHAnsi" w:hAnsiTheme="minorHAnsi"/>
        </w:rPr>
        <w:t>7 </w:t>
      </w:r>
      <w:r w:rsidRPr="00236418">
        <w:rPr>
          <w:rFonts w:asciiTheme="minorHAnsi" w:hAnsiTheme="minorHAnsi"/>
        </w:rPr>
        <w:t>million CHF, pour participer aux charges de base d'ITU Telecom pour la préparation, la planification et la mise en œuvre de la manifestation</w:t>
      </w:r>
      <w:r w:rsidR="00874DE5" w:rsidRPr="00236418">
        <w:rPr>
          <w:rFonts w:asciiTheme="minorHAnsi" w:hAnsiTheme="minorHAnsi"/>
        </w:rPr>
        <w:t>, y compris le programme de bourses</w:t>
      </w:r>
      <w:r w:rsidRPr="00236418">
        <w:rPr>
          <w:rFonts w:asciiTheme="minorHAnsi" w:hAnsiTheme="minorHAnsi"/>
        </w:rPr>
        <w:t>. En outre, un montant de 1</w:t>
      </w:r>
      <w:r w:rsidR="00657EF6" w:rsidRPr="00236418">
        <w:rPr>
          <w:rFonts w:asciiTheme="minorHAnsi" w:hAnsiTheme="minorHAnsi"/>
        </w:rPr>
        <w:t>54</w:t>
      </w:r>
      <w:r w:rsidRPr="00236418">
        <w:rPr>
          <w:rFonts w:asciiTheme="minorHAnsi" w:hAnsiTheme="minorHAnsi"/>
        </w:rPr>
        <w:t> </w:t>
      </w:r>
      <w:r w:rsidR="00657EF6" w:rsidRPr="00236418">
        <w:rPr>
          <w:rFonts w:asciiTheme="minorHAnsi" w:hAnsiTheme="minorHAnsi"/>
        </w:rPr>
        <w:t>484</w:t>
      </w:r>
      <w:r w:rsidRPr="00236418">
        <w:rPr>
          <w:rFonts w:asciiTheme="minorHAnsi" w:hAnsiTheme="minorHAnsi"/>
        </w:rPr>
        <w:t>,</w:t>
      </w:r>
      <w:r w:rsidR="00657EF6" w:rsidRPr="00236418">
        <w:rPr>
          <w:rFonts w:asciiTheme="minorHAnsi" w:hAnsiTheme="minorHAnsi"/>
        </w:rPr>
        <w:t>91</w:t>
      </w:r>
      <w:r w:rsidRPr="00236418">
        <w:rPr>
          <w:rFonts w:asciiTheme="minorHAnsi" w:hAnsiTheme="minorHAnsi"/>
        </w:rPr>
        <w:t xml:space="preserve"> CHF a été versé par le Gouvernement pour les fonctionnaires en mission dans le pays hôte</w:t>
      </w:r>
      <w:r w:rsidR="00874DE5" w:rsidRPr="00236418">
        <w:rPr>
          <w:rFonts w:asciiTheme="minorHAnsi" w:hAnsiTheme="minorHAnsi"/>
        </w:rPr>
        <w:t xml:space="preserve"> et les frais de transport du fret</w:t>
      </w:r>
      <w:r w:rsidRPr="00236418">
        <w:rPr>
          <w:rFonts w:asciiTheme="minorHAnsi" w:hAnsiTheme="minorHAnsi"/>
        </w:rPr>
        <w:t xml:space="preserve">. Ce soutien financier a représenté </w:t>
      </w:r>
      <w:r w:rsidR="00657EF6" w:rsidRPr="00236418">
        <w:rPr>
          <w:rFonts w:asciiTheme="minorHAnsi" w:hAnsiTheme="minorHAnsi"/>
        </w:rPr>
        <w:t>41</w:t>
      </w:r>
      <w:r w:rsidRPr="00236418">
        <w:rPr>
          <w:rFonts w:asciiTheme="minorHAnsi" w:hAnsiTheme="minorHAnsi"/>
        </w:rPr>
        <w:t>% du montant total des produits effectifs et 9</w:t>
      </w:r>
      <w:r w:rsidR="00657EF6" w:rsidRPr="00236418">
        <w:rPr>
          <w:rFonts w:asciiTheme="minorHAnsi" w:hAnsiTheme="minorHAnsi"/>
        </w:rPr>
        <w:t>6</w:t>
      </w:r>
      <w:r w:rsidRPr="00236418">
        <w:rPr>
          <w:rFonts w:asciiTheme="minorHAnsi" w:hAnsiTheme="minorHAnsi"/>
        </w:rPr>
        <w:t>% du montant budgété en tant que contribution du pays hôte. Le pays hôte a également fourni gratuitement des</w:t>
      </w:r>
      <w:r w:rsidRPr="00236418">
        <w:t xml:space="preserve"> biens et services d'une valeur non négligeable, et notamment le lieu de la manifestation avec l'électricité et les services de nettoyage, les services de sécurité, le personnel local, les équipements informatiques, etc.</w:t>
      </w:r>
    </w:p>
    <w:p w14:paraId="5A079A25" w14:textId="46C39488" w:rsidR="00DF6159" w:rsidRPr="00236418" w:rsidRDefault="00DF6159" w:rsidP="009B3D24">
      <w:r w:rsidRPr="00236418">
        <w:t>10</w:t>
      </w:r>
      <w:r w:rsidR="005D77FE">
        <w:t>4</w:t>
      </w:r>
      <w:r w:rsidRPr="00236418">
        <w:tab/>
        <w:t xml:space="preserve">Au total, la surface d'exposition payante a été de 3 </w:t>
      </w:r>
      <w:r w:rsidR="00657EF6" w:rsidRPr="00236418">
        <w:t>353</w:t>
      </w:r>
      <w:r w:rsidRPr="00236418">
        <w:t xml:space="preserve"> m</w:t>
      </w:r>
      <w:r w:rsidRPr="00236418">
        <w:rPr>
          <w:vertAlign w:val="superscript"/>
        </w:rPr>
        <w:t>2</w:t>
      </w:r>
      <w:r w:rsidRPr="00236418">
        <w:t xml:space="preserve">, dont 2 </w:t>
      </w:r>
      <w:r w:rsidR="00657EF6" w:rsidRPr="00236418">
        <w:t>616</w:t>
      </w:r>
      <w:r w:rsidRPr="00236418">
        <w:t xml:space="preserve"> m</w:t>
      </w:r>
      <w:r w:rsidRPr="00236418">
        <w:rPr>
          <w:vertAlign w:val="superscript"/>
        </w:rPr>
        <w:t>2</w:t>
      </w:r>
      <w:r w:rsidRPr="00236418">
        <w:t xml:space="preserve"> d'espace brut et 7</w:t>
      </w:r>
      <w:r w:rsidR="00657EF6" w:rsidRPr="00236418">
        <w:t>37</w:t>
      </w:r>
      <w:r w:rsidRPr="00236418">
        <w:t xml:space="preserve"> m</w:t>
      </w:r>
      <w:r w:rsidRPr="00236418">
        <w:rPr>
          <w:vertAlign w:val="superscript"/>
        </w:rPr>
        <w:t>2</w:t>
      </w:r>
      <w:r w:rsidRPr="00236418">
        <w:t xml:space="preserve"> de stands clés en main. L'espace brut loué de 2 </w:t>
      </w:r>
      <w:r w:rsidR="00657EF6" w:rsidRPr="00236418">
        <w:t>616</w:t>
      </w:r>
      <w:r w:rsidRPr="00236418">
        <w:t xml:space="preserve"> m</w:t>
      </w:r>
      <w:r w:rsidRPr="00236418">
        <w:rPr>
          <w:vertAlign w:val="superscript"/>
        </w:rPr>
        <w:t xml:space="preserve">2 </w:t>
      </w:r>
      <w:r w:rsidRPr="00236418">
        <w:t xml:space="preserve">correspond à </w:t>
      </w:r>
      <w:r w:rsidR="00657EF6" w:rsidRPr="00236418">
        <w:t>86</w:t>
      </w:r>
      <w:r w:rsidRPr="00236418">
        <w:t>%</w:t>
      </w:r>
      <w:r w:rsidRPr="00236418">
        <w:rPr>
          <w:vertAlign w:val="superscript"/>
        </w:rPr>
        <w:t xml:space="preserve"> </w:t>
      </w:r>
      <w:r w:rsidRPr="00236418">
        <w:t>de la surface de 3 </w:t>
      </w:r>
      <w:r w:rsidR="00657EF6" w:rsidRPr="00236418">
        <w:t>0</w:t>
      </w:r>
      <w:r w:rsidRPr="00236418">
        <w:t>50 m</w:t>
      </w:r>
      <w:r w:rsidRPr="00236418">
        <w:rPr>
          <w:vertAlign w:val="superscript"/>
        </w:rPr>
        <w:t xml:space="preserve">2 </w:t>
      </w:r>
      <w:r w:rsidRPr="00236418">
        <w:t xml:space="preserve">prévue dans le budget. Les produits effectifs tirés de la location de l'espace brut se sont élevés à 1 </w:t>
      </w:r>
      <w:r w:rsidR="00657EF6" w:rsidRPr="00236418">
        <w:t>260</w:t>
      </w:r>
      <w:r w:rsidRPr="00236418">
        <w:t xml:space="preserve"> </w:t>
      </w:r>
      <w:r w:rsidR="00657EF6" w:rsidRPr="00236418">
        <w:t>600</w:t>
      </w:r>
      <w:r w:rsidRPr="00236418">
        <w:t xml:space="preserve"> CHF, soit </w:t>
      </w:r>
      <w:r w:rsidR="00657EF6" w:rsidRPr="00236418">
        <w:t>83</w:t>
      </w:r>
      <w:r w:rsidRPr="00236418">
        <w:t>% du budget. En 201</w:t>
      </w:r>
      <w:r w:rsidR="00657EF6" w:rsidRPr="00236418">
        <w:t>9</w:t>
      </w:r>
      <w:r w:rsidRPr="00236418">
        <w:t xml:space="preserve">, les produits effectifs tirés de la location de l'espace brut </w:t>
      </w:r>
      <w:r w:rsidR="002613AD" w:rsidRPr="00236418">
        <w:t>ont</w:t>
      </w:r>
      <w:r w:rsidR="007D7DA1" w:rsidRPr="00236418">
        <w:t xml:space="preserve"> augmenté de 12% par rapport aux produits effectifs enregistrés en 2018 qui s'élevaient</w:t>
      </w:r>
      <w:r w:rsidRPr="00236418">
        <w:t xml:space="preserve"> à 1 </w:t>
      </w:r>
      <w:r w:rsidR="007D7DA1" w:rsidRPr="00236418">
        <w:t>121 255</w:t>
      </w:r>
      <w:r w:rsidRPr="00236418">
        <w:t xml:space="preserve"> CHF. Pour la location d'espace, des tarifs réduits ont été appliqués conformément aux politiques et aux procédures. Le total des ventes de forfaits de</w:t>
      </w:r>
      <w:r w:rsidR="00657EF6" w:rsidRPr="00236418">
        <w:t xml:space="preserve"> </w:t>
      </w:r>
      <w:r w:rsidRPr="00236418">
        <w:t xml:space="preserve">solutions clés en main s'est élevé à </w:t>
      </w:r>
      <w:r w:rsidR="00657EF6" w:rsidRPr="00236418">
        <w:t>545</w:t>
      </w:r>
      <w:r w:rsidRPr="00236418">
        <w:t xml:space="preserve"> </w:t>
      </w:r>
      <w:r w:rsidR="00657EF6" w:rsidRPr="00236418">
        <w:t>798</w:t>
      </w:r>
      <w:r w:rsidRPr="00236418">
        <w:t xml:space="preserve"> CHF pour 7</w:t>
      </w:r>
      <w:r w:rsidR="00657EF6" w:rsidRPr="00236418">
        <w:t>37</w:t>
      </w:r>
      <w:r w:rsidRPr="00236418">
        <w:t xml:space="preserve"> m</w:t>
      </w:r>
      <w:r w:rsidRPr="00236418">
        <w:rPr>
          <w:vertAlign w:val="superscript"/>
        </w:rPr>
        <w:t>2</w:t>
      </w:r>
      <w:r w:rsidRPr="00236418">
        <w:t xml:space="preserve">, ce qui correspond à </w:t>
      </w:r>
      <w:r w:rsidR="00657EF6" w:rsidRPr="00236418">
        <w:t>52</w:t>
      </w:r>
      <w:r w:rsidRPr="00236418">
        <w:t xml:space="preserve">% du montant prévu dans le budget et à </w:t>
      </w:r>
      <w:r w:rsidR="00657EF6" w:rsidRPr="00236418">
        <w:t>59</w:t>
      </w:r>
      <w:r w:rsidRPr="00236418">
        <w:t>% de l'espace qu'il était prévu de vendre (1 2</w:t>
      </w:r>
      <w:r w:rsidR="00657EF6" w:rsidRPr="00236418">
        <w:t>40</w:t>
      </w:r>
      <w:r w:rsidRPr="00236418">
        <w:t xml:space="preserve"> m</w:t>
      </w:r>
      <w:r w:rsidRPr="00236418">
        <w:rPr>
          <w:vertAlign w:val="superscript"/>
        </w:rPr>
        <w:t>2</w:t>
      </w:r>
      <w:r w:rsidRPr="00236418">
        <w:t>). En 201</w:t>
      </w:r>
      <w:r w:rsidR="00657EF6" w:rsidRPr="00236418">
        <w:t>8</w:t>
      </w:r>
      <w:r w:rsidRPr="00236418">
        <w:t xml:space="preserve">, les produits effectifs tirés des solutions clés en main se sont élevés à </w:t>
      </w:r>
      <w:r w:rsidR="00657EF6" w:rsidRPr="00236418">
        <w:t>724 300</w:t>
      </w:r>
      <w:r w:rsidRPr="00236418">
        <w:t xml:space="preserve"> CHF pour </w:t>
      </w:r>
      <w:r w:rsidR="00657EF6" w:rsidRPr="00236418">
        <w:t>798</w:t>
      </w:r>
      <w:r w:rsidRPr="00236418">
        <w:t xml:space="preserve"> m</w:t>
      </w:r>
      <w:r w:rsidRPr="00236418">
        <w:rPr>
          <w:vertAlign w:val="superscript"/>
        </w:rPr>
        <w:t>2</w:t>
      </w:r>
      <w:r w:rsidR="00657EF6" w:rsidRPr="00236418">
        <w:t>.</w:t>
      </w:r>
    </w:p>
    <w:p w14:paraId="43EB540C" w14:textId="77777777" w:rsidR="00FD545F" w:rsidRPr="00236418" w:rsidRDefault="00FD545F" w:rsidP="009B3D24">
      <w:r w:rsidRPr="00236418">
        <w:br w:type="page"/>
      </w:r>
    </w:p>
    <w:p w14:paraId="1F490261" w14:textId="5C37BD04" w:rsidR="00C32C70" w:rsidRPr="00236418" w:rsidRDefault="00657EF6" w:rsidP="009B3D24">
      <w:r w:rsidRPr="00236418">
        <w:lastRenderedPageBreak/>
        <w:t>10</w:t>
      </w:r>
      <w:r w:rsidR="005D77FE">
        <w:t>5</w:t>
      </w:r>
      <w:r w:rsidRPr="00236418">
        <w:tab/>
      </w:r>
      <w:r w:rsidR="007D7DA1" w:rsidRPr="00236418">
        <w:t xml:space="preserve">Le total des produits tirés des billets d'entrée </w:t>
      </w:r>
      <w:r w:rsidR="00E638EA" w:rsidRPr="00236418">
        <w:t>pour le</w:t>
      </w:r>
      <w:r w:rsidR="007D7DA1" w:rsidRPr="00236418">
        <w:t xml:space="preserve"> forum a dépassé</w:t>
      </w:r>
      <w:r w:rsidR="00E638EA" w:rsidRPr="00236418">
        <w:t xml:space="preserve"> de 52 096 CHF (37%)</w:t>
      </w:r>
      <w:r w:rsidR="007D7DA1" w:rsidRPr="00236418">
        <w:t xml:space="preserve"> le montant budgété. Au total, 165 billets d'entrée </w:t>
      </w:r>
      <w:r w:rsidR="00E638EA" w:rsidRPr="00236418">
        <w:t>pour le</w:t>
      </w:r>
      <w:r w:rsidR="007D7DA1" w:rsidRPr="00236418">
        <w:t xml:space="preserve"> forum ont été vendus </w:t>
      </w:r>
      <w:r w:rsidRPr="00236418">
        <w:t xml:space="preserve">(40 </w:t>
      </w:r>
      <w:r w:rsidR="007D7DA1" w:rsidRPr="00236418">
        <w:t>billets catégorie dirigeant</w:t>
      </w:r>
      <w:r w:rsidRPr="00236418">
        <w:t xml:space="preserve"> </w:t>
      </w:r>
      <w:r w:rsidR="007D7DA1" w:rsidRPr="00236418">
        <w:t>et</w:t>
      </w:r>
      <w:r w:rsidRPr="00236418">
        <w:t xml:space="preserve"> 125 </w:t>
      </w:r>
      <w:r w:rsidR="007D7DA1" w:rsidRPr="00236418">
        <w:t>billets forum</w:t>
      </w:r>
      <w:r w:rsidRPr="00236418">
        <w:t xml:space="preserve">) </w:t>
      </w:r>
      <w:r w:rsidR="007D7DA1" w:rsidRPr="00236418">
        <w:t>pour un montant de</w:t>
      </w:r>
      <w:r w:rsidRPr="00236418">
        <w:t xml:space="preserve"> 192 096 </w:t>
      </w:r>
      <w:r w:rsidR="007D7DA1" w:rsidRPr="00236418">
        <w:t xml:space="preserve">CHF </w:t>
      </w:r>
      <w:r w:rsidRPr="00236418">
        <w:t>(</w:t>
      </w:r>
      <w:r w:rsidR="007D7DA1" w:rsidRPr="00236418">
        <w:t>billets dirigeant</w:t>
      </w:r>
      <w:r w:rsidRPr="00236418">
        <w:t>: 89</w:t>
      </w:r>
      <w:r w:rsidR="00B8350F" w:rsidRPr="00236418">
        <w:t> </w:t>
      </w:r>
      <w:r w:rsidRPr="00236418">
        <w:t>040</w:t>
      </w:r>
      <w:r w:rsidR="00B8350F" w:rsidRPr="00236418">
        <w:t> </w:t>
      </w:r>
      <w:r w:rsidR="007D7DA1" w:rsidRPr="00236418">
        <w:t>CHF et billets forum</w:t>
      </w:r>
      <w:r w:rsidRPr="00236418">
        <w:t>: 103 056</w:t>
      </w:r>
      <w:r w:rsidR="007D7DA1" w:rsidRPr="00236418">
        <w:t xml:space="preserve"> CHF</w:t>
      </w:r>
      <w:r w:rsidRPr="00236418">
        <w:t xml:space="preserve">) </w:t>
      </w:r>
      <w:r w:rsidR="007D7DA1" w:rsidRPr="00236418">
        <w:t>alors que le montant budgété était de 140 000 CHF</w:t>
      </w:r>
      <w:r w:rsidR="00C32C70" w:rsidRPr="00236418">
        <w:t xml:space="preserve"> et que 174 participants étaient attendus. E</w:t>
      </w:r>
      <w:r w:rsidRPr="00236418">
        <w:t xml:space="preserve">n 2018, </w:t>
      </w:r>
      <w:r w:rsidR="00C32C70" w:rsidRPr="00236418">
        <w:t xml:space="preserve">les produits de la vente des 407 billets d'entrée </w:t>
      </w:r>
      <w:r w:rsidR="00E638EA" w:rsidRPr="00236418">
        <w:t>pour le</w:t>
      </w:r>
      <w:r w:rsidR="00C32C70" w:rsidRPr="00236418">
        <w:t xml:space="preserve"> forum s'établissaient à 315 425 CHF.</w:t>
      </w:r>
    </w:p>
    <w:p w14:paraId="70B1510F" w14:textId="7E340350" w:rsidR="00DF6159" w:rsidRPr="00236418" w:rsidRDefault="00DF6159" w:rsidP="009B3D24">
      <w:r w:rsidRPr="00236418">
        <w:t>10</w:t>
      </w:r>
      <w:r w:rsidR="005D77FE">
        <w:t>6</w:t>
      </w:r>
      <w:r w:rsidRPr="00236418">
        <w:tab/>
        <w:t>Le total des produits tirés de la vente de billets d'entrée à l'exposition s'est élevé à 4</w:t>
      </w:r>
      <w:r w:rsidR="00070C13" w:rsidRPr="00236418">
        <w:t> 760 </w:t>
      </w:r>
      <w:r w:rsidRPr="00236418">
        <w:t xml:space="preserve">CHF, ce qui représente </w:t>
      </w:r>
      <w:r w:rsidR="00070C13" w:rsidRPr="00236418">
        <w:t>95</w:t>
      </w:r>
      <w:r w:rsidRPr="00236418">
        <w:t xml:space="preserve">% du montant budgété. Les billets d'entrée pour les visiteurs étrangers coûtaient 20 CHF, tandis que </w:t>
      </w:r>
      <w:r w:rsidR="00C07BBD" w:rsidRPr="00236418">
        <w:t>l'accès était gratuit pour les ressortissant hongrois</w:t>
      </w:r>
      <w:r w:rsidRPr="00236418">
        <w:t xml:space="preserve">. </w:t>
      </w:r>
      <w:r w:rsidR="00070C13" w:rsidRPr="00236418">
        <w:t>238</w:t>
      </w:r>
      <w:r w:rsidR="00B8350F" w:rsidRPr="00236418">
        <w:t> </w:t>
      </w:r>
      <w:r w:rsidRPr="00236418">
        <w:t xml:space="preserve">visiteurs payants ont participé à la manifestation, contre </w:t>
      </w:r>
      <w:r w:rsidR="00070C13" w:rsidRPr="00236418">
        <w:t xml:space="preserve">479 </w:t>
      </w:r>
      <w:r w:rsidRPr="00236418">
        <w:t>en 201</w:t>
      </w:r>
      <w:r w:rsidR="00070C13" w:rsidRPr="00236418">
        <w:t>8</w:t>
      </w:r>
      <w:r w:rsidRPr="00236418">
        <w:t>.</w:t>
      </w:r>
    </w:p>
    <w:p w14:paraId="0061CF42" w14:textId="59C1B1CF" w:rsidR="00FF603F" w:rsidRPr="00236418" w:rsidRDefault="00DF6159" w:rsidP="009B3D24">
      <w:r w:rsidRPr="00236418">
        <w:t>10</w:t>
      </w:r>
      <w:r w:rsidR="005D77FE">
        <w:t>7</w:t>
      </w:r>
      <w:r w:rsidRPr="00236418">
        <w:tab/>
      </w:r>
      <w:r w:rsidR="00FF603F" w:rsidRPr="00236418">
        <w:t>Le total des charges effectives a représenté 92% du budget comprenant le total des charges directes (68% du budget)</w:t>
      </w:r>
      <w:r w:rsidR="002175A9" w:rsidRPr="00236418">
        <w:t xml:space="preserve"> et le total des charges de base (91% du budget)</w:t>
      </w:r>
      <w:r w:rsidR="00FF603F" w:rsidRPr="00236418">
        <w:t xml:space="preserve">. Seulement 1 872 055,96 (68%) du total des coûts directs budgétés de 2 751 000CHF ont été dépensés. Les efforts concertés déployés par ITU Telecom et le Département de la gestion des ressources </w:t>
      </w:r>
      <w:r w:rsidR="002175A9" w:rsidRPr="00236418">
        <w:t>financières</w:t>
      </w:r>
      <w:r w:rsidR="00FF603F" w:rsidRPr="00236418">
        <w:t xml:space="preserve"> afin de suivre attentivement les charges et de les réduire ont permis cette baisse du niveau des coûts directs. Malheureusement, malgré l'envoi de plusieurs rappels, certaines factures, pour un montant total de 61 600 CHF, </w:t>
      </w:r>
      <w:r w:rsidR="002175A9" w:rsidRPr="00236418">
        <w:t>restent</w:t>
      </w:r>
      <w:r w:rsidR="00FF603F" w:rsidRPr="00236418">
        <w:t xml:space="preserve"> impayées, pour lesquelles des provisions ont été faites et ajoutées aux charges.</w:t>
      </w:r>
    </w:p>
    <w:p w14:paraId="0465E78F" w14:textId="1CBA6B2F" w:rsidR="00DF6159" w:rsidRPr="00236418" w:rsidRDefault="00DF6159" w:rsidP="009B3D24">
      <w:r w:rsidRPr="00236418">
        <w:t>10</w:t>
      </w:r>
      <w:r w:rsidR="005D77FE">
        <w:t>8</w:t>
      </w:r>
      <w:r w:rsidRPr="00236418">
        <w:tab/>
        <w:t xml:space="preserve">Les charges de base comprennent le recouvrement des coûts à l'UIT et le coût du secrétariat d'ITU Telecom pendant la période où le personnel a assuré des services relatifs à la manifestation. Ces coûts indirects, d'un montant total de </w:t>
      </w:r>
      <w:r w:rsidR="00070C13" w:rsidRPr="00236418">
        <w:t>4</w:t>
      </w:r>
      <w:r w:rsidRPr="00236418">
        <w:t xml:space="preserve"> </w:t>
      </w:r>
      <w:r w:rsidR="00070C13" w:rsidRPr="00236418">
        <w:t>127</w:t>
      </w:r>
      <w:r w:rsidRPr="00236418">
        <w:t xml:space="preserve"> </w:t>
      </w:r>
      <w:r w:rsidR="00070C13" w:rsidRPr="00236418">
        <w:t>934</w:t>
      </w:r>
      <w:r w:rsidRPr="00236418">
        <w:t>,</w:t>
      </w:r>
      <w:r w:rsidR="00070C13" w:rsidRPr="00236418">
        <w:t>54</w:t>
      </w:r>
      <w:r w:rsidRPr="00236418">
        <w:t xml:space="preserve"> CHF, représentent seulement </w:t>
      </w:r>
      <w:r w:rsidR="00070C13" w:rsidRPr="00236418">
        <w:t>91</w:t>
      </w:r>
      <w:r w:rsidRPr="00236418">
        <w:t>% du budget des charges de base. Un montant fixe de 1</w:t>
      </w:r>
      <w:r w:rsidR="00FF603F" w:rsidRPr="00236418">
        <w:t>,5</w:t>
      </w:r>
      <w:r w:rsidRPr="00236418">
        <w:t xml:space="preserve"> million CHF pour le recouvrement des coûts à l'UIT a été prévu dans le budget, ce qui représente les traitements et rémunérations de fonctionnaires d'autres départements ayant rendu des services pour ITU Telecom World 201</w:t>
      </w:r>
      <w:r w:rsidR="00070C13" w:rsidRPr="00236418">
        <w:t>9</w:t>
      </w:r>
      <w:r w:rsidRPr="00236418">
        <w:t>. Le fait que les charges de base soient moins élevées est dû aux économies réalisées grâce aux postes vacants au sein du secrétariat d'ITU Telecom ainsi qu'aux détachements de fonctionnaires d'ITU Telecom dans d'autres départements de l'UIT, qui font l'objet d'un remboursement.</w:t>
      </w:r>
    </w:p>
    <w:p w14:paraId="141C7154" w14:textId="3D466495" w:rsidR="005C0761" w:rsidRPr="00236418" w:rsidRDefault="00DF6159" w:rsidP="009B3D24">
      <w:pPr>
        <w:pStyle w:val="Heading1"/>
      </w:pPr>
      <w:bookmarkStart w:id="2849" w:name="_Toc41566395"/>
      <w:bookmarkStart w:id="2850" w:name="_Toc41567394"/>
      <w:bookmarkStart w:id="2851" w:name="_Toc41567890"/>
      <w:bookmarkStart w:id="2852" w:name="_Toc41814999"/>
      <w:bookmarkStart w:id="2853" w:name="_Toc329202619"/>
      <w:bookmarkStart w:id="2854" w:name="_Toc329205051"/>
      <w:bookmarkStart w:id="2855" w:name="_Toc329206888"/>
      <w:bookmarkStart w:id="2856" w:name="_Toc358379346"/>
      <w:bookmarkStart w:id="2857" w:name="_Toc358379968"/>
      <w:bookmarkStart w:id="2858" w:name="_Toc358380526"/>
      <w:bookmarkStart w:id="2859" w:name="_Toc70850631"/>
      <w:bookmarkStart w:id="2860" w:name="_Toc387167524"/>
      <w:bookmarkStart w:id="2861" w:name="_Toc395260965"/>
      <w:bookmarkStart w:id="2862" w:name="_Toc395261106"/>
      <w:bookmarkStart w:id="2863" w:name="_Toc395511752"/>
      <w:bookmarkStart w:id="2864" w:name="_Toc452138665"/>
      <w:bookmarkStart w:id="2865" w:name="_Toc452139114"/>
      <w:bookmarkStart w:id="2866" w:name="_Toc452139478"/>
      <w:bookmarkStart w:id="2867" w:name="_Toc452139884"/>
      <w:bookmarkStart w:id="2868" w:name="_Toc452140758"/>
      <w:bookmarkStart w:id="2869" w:name="_Toc482888048"/>
      <w:bookmarkStart w:id="2870" w:name="_Toc482888812"/>
      <w:bookmarkStart w:id="2871" w:name="_Toc511649528"/>
      <w:bookmarkStart w:id="2872" w:name="_Toc511649891"/>
      <w:bookmarkStart w:id="2873" w:name="_Toc511650014"/>
      <w:bookmarkStart w:id="2874" w:name="_Toc511650134"/>
      <w:bookmarkStart w:id="2875" w:name="_Toc511650628"/>
      <w:bookmarkStart w:id="2876" w:name="_Toc511651274"/>
      <w:bookmarkStart w:id="2877" w:name="_Toc511724137"/>
      <w:bookmarkStart w:id="2878" w:name="_Toc511739126"/>
      <w:bookmarkStart w:id="2879" w:name="_Toc511740837"/>
      <w:bookmarkStart w:id="2880" w:name="_Toc511741297"/>
      <w:bookmarkStart w:id="2881" w:name="_Toc10450811"/>
      <w:r w:rsidRPr="00236418">
        <w:t>IX</w:t>
      </w:r>
      <w:r w:rsidRPr="00236418">
        <w:tab/>
      </w:r>
      <w:r w:rsidR="00511467" w:rsidRPr="00236418">
        <w:t>DÉCLARATION DE LA SITUATION FINANCIÈRE</w:t>
      </w:r>
      <w:bookmarkEnd w:id="2849"/>
      <w:bookmarkEnd w:id="2850"/>
      <w:bookmarkEnd w:id="2851"/>
      <w:bookmarkEnd w:id="2852"/>
    </w:p>
    <w:p w14:paraId="5C4A8099" w14:textId="6B697A1B" w:rsidR="00511467" w:rsidRPr="00236418" w:rsidRDefault="005C0761" w:rsidP="009B3D24">
      <w:r w:rsidRPr="00236418">
        <w:t>10</w:t>
      </w:r>
      <w:r w:rsidR="005D77FE">
        <w:t>9</w:t>
      </w:r>
      <w:r w:rsidRPr="00236418">
        <w:tab/>
      </w:r>
      <w:r w:rsidR="002175A9" w:rsidRPr="00236418">
        <w:t>Au vu des</w:t>
      </w:r>
      <w:r w:rsidR="00511467" w:rsidRPr="00236418">
        <w:t xml:space="preserve"> effets </w:t>
      </w:r>
      <w:r w:rsidR="002175A9" w:rsidRPr="00236418">
        <w:t xml:space="preserve">qu'elle a </w:t>
      </w:r>
      <w:r w:rsidR="00511467" w:rsidRPr="00236418">
        <w:t xml:space="preserve">partout dans le monde, la pandémie actuelle aura des incidences considérables sur le fonctionnement de l'organisation en 2020 sur les plans de la mise en œuvre des programmes, de la collecte des contributions et des portefeuilles </w:t>
      </w:r>
      <w:r w:rsidR="002175A9" w:rsidRPr="00236418">
        <w:t>de placements</w:t>
      </w:r>
      <w:r w:rsidR="00511467" w:rsidRPr="00236418">
        <w:t>, dont il n'est pas possible de donner une estimation fiable à l'heure actuelle.</w:t>
      </w:r>
    </w:p>
    <w:p w14:paraId="34AD4BF5" w14:textId="0954FBF6" w:rsidR="00511467" w:rsidRPr="00236418" w:rsidRDefault="005C0761" w:rsidP="009B3D24">
      <w:r w:rsidRPr="00236418">
        <w:t>1</w:t>
      </w:r>
      <w:r w:rsidR="005D77FE">
        <w:t>10</w:t>
      </w:r>
      <w:r w:rsidRPr="00236418">
        <w:tab/>
        <w:t>Face</w:t>
      </w:r>
      <w:r w:rsidR="00511467" w:rsidRPr="00236418">
        <w:t xml:space="preserve"> à cette crise </w:t>
      </w:r>
      <w:r w:rsidR="00BB1FA5" w:rsidRPr="00236418">
        <w:t>du Covid-19, la direction a réactivé deux organes afin de lutter contre ce fléau:</w:t>
      </w:r>
    </w:p>
    <w:p w14:paraId="71BD76A1" w14:textId="59B55FE4" w:rsidR="005C0761" w:rsidRPr="00236418" w:rsidRDefault="005C0761" w:rsidP="009B3D24">
      <w:pPr>
        <w:pStyle w:val="enumlev1"/>
      </w:pPr>
      <w:r w:rsidRPr="00236418">
        <w:t>–</w:t>
      </w:r>
      <w:r w:rsidRPr="00236418">
        <w:tab/>
      </w:r>
      <w:r w:rsidR="00BB1FA5" w:rsidRPr="00236418">
        <w:t>l'</w:t>
      </w:r>
      <w:r w:rsidR="002175A9" w:rsidRPr="00236418">
        <w:t>é</w:t>
      </w:r>
      <w:r w:rsidR="00BB1FA5" w:rsidRPr="00236418">
        <w:t>quipe d'intervention opérationnelle</w:t>
      </w:r>
      <w:r w:rsidRPr="00236418">
        <w:t xml:space="preserve"> (ORT)</w:t>
      </w:r>
      <w:r w:rsidR="0055770B" w:rsidRPr="00236418">
        <w:t>;</w:t>
      </w:r>
    </w:p>
    <w:p w14:paraId="0C7CE00C" w14:textId="57030A27" w:rsidR="005C0761" w:rsidRPr="00236418" w:rsidRDefault="005C0761" w:rsidP="009B3D24">
      <w:pPr>
        <w:pStyle w:val="enumlev1"/>
      </w:pPr>
      <w:r w:rsidRPr="00236418">
        <w:t>–</w:t>
      </w:r>
      <w:r w:rsidRPr="00236418">
        <w:tab/>
      </w:r>
      <w:r w:rsidR="0055770B" w:rsidRPr="00236418">
        <w:t>l</w:t>
      </w:r>
      <w:r w:rsidR="00BB1FA5" w:rsidRPr="00236418">
        <w:t>'</w:t>
      </w:r>
      <w:r w:rsidR="002175A9" w:rsidRPr="00236418">
        <w:t>é</w:t>
      </w:r>
      <w:r w:rsidR="00BB1FA5" w:rsidRPr="00236418">
        <w:t>quipe de gestion des crises</w:t>
      </w:r>
      <w:r w:rsidRPr="00236418">
        <w:t xml:space="preserve"> (CMT)</w:t>
      </w:r>
      <w:r w:rsidR="0055770B" w:rsidRPr="00236418">
        <w:t>.</w:t>
      </w:r>
    </w:p>
    <w:p w14:paraId="7AD79782" w14:textId="5F80B03B" w:rsidR="00BB1FA5" w:rsidRPr="00236418" w:rsidRDefault="005D77FE" w:rsidP="009B3D24">
      <w:r>
        <w:t>111</w:t>
      </w:r>
      <w:r w:rsidR="005C0761" w:rsidRPr="00236418">
        <w:tab/>
      </w:r>
      <w:r w:rsidR="00BB1FA5" w:rsidRPr="00236418">
        <w:t>Ces deux groupes se réunissent régulièrement afin de prendre des mesures adéquates face à la pandémie.</w:t>
      </w:r>
    </w:p>
    <w:p w14:paraId="5387A1FA" w14:textId="3C32BC07" w:rsidR="00BB1FA5" w:rsidRPr="00236418" w:rsidRDefault="005D77FE" w:rsidP="009B3D24">
      <w:pPr>
        <w:spacing w:after="240"/>
      </w:pPr>
      <w:r>
        <w:t>112</w:t>
      </w:r>
      <w:r w:rsidR="005C0761" w:rsidRPr="00236418">
        <w:tab/>
      </w:r>
      <w:r w:rsidR="00BB1FA5" w:rsidRPr="00236418">
        <w:t>Le Secrétaire général a décidé d'affecter un montant de 1 270 000 CHF pour couvrir les coûts liés à ce virus. On trouvera ci-après les détails des dépenses déjà engagées ou en cours.</w:t>
      </w:r>
    </w:p>
    <w:p w14:paraId="7ECDBFA1" w14:textId="6EC72814" w:rsidR="00B8350F" w:rsidRPr="00236418" w:rsidRDefault="00B8350F" w:rsidP="009B3D24">
      <w:pPr>
        <w:spacing w:after="240"/>
      </w:pPr>
      <w:r w:rsidRPr="00236418">
        <w:br w:type="page"/>
      </w:r>
    </w:p>
    <w:tbl>
      <w:tblPr>
        <w:tblW w:w="0" w:type="auto"/>
        <w:tblCellMar>
          <w:left w:w="0" w:type="dxa"/>
          <w:right w:w="0" w:type="dxa"/>
        </w:tblCellMar>
        <w:tblLook w:val="04A0" w:firstRow="1" w:lastRow="0" w:firstColumn="1" w:lastColumn="0" w:noHBand="0" w:noVBand="1"/>
      </w:tblPr>
      <w:tblGrid>
        <w:gridCol w:w="6663"/>
        <w:gridCol w:w="2976"/>
      </w:tblGrid>
      <w:tr w:rsidR="00BB1FA5" w:rsidRPr="00236418" w14:paraId="516824F4" w14:textId="77777777" w:rsidTr="004234B2">
        <w:trPr>
          <w:trHeight w:val="405"/>
        </w:trPr>
        <w:tc>
          <w:tcPr>
            <w:tcW w:w="6663" w:type="dxa"/>
            <w:noWrap/>
            <w:tcMar>
              <w:top w:w="0" w:type="dxa"/>
              <w:left w:w="108" w:type="dxa"/>
              <w:bottom w:w="0" w:type="dxa"/>
              <w:right w:w="108" w:type="dxa"/>
            </w:tcMar>
            <w:vAlign w:val="center"/>
            <w:hideMark/>
          </w:tcPr>
          <w:p w14:paraId="1E7C38E2" w14:textId="065C258F" w:rsidR="005C0761" w:rsidRPr="00236418" w:rsidRDefault="004234B2" w:rsidP="004234B2">
            <w:pPr>
              <w:spacing w:before="20" w:after="20"/>
            </w:pPr>
            <w:r w:rsidRPr="00236418">
              <w:lastRenderedPageBreak/>
              <w:t>pt</w:t>
            </w:r>
          </w:p>
        </w:tc>
        <w:tc>
          <w:tcPr>
            <w:tcW w:w="2976" w:type="dxa"/>
            <w:noWrap/>
            <w:tcMar>
              <w:top w:w="0" w:type="dxa"/>
              <w:left w:w="108" w:type="dxa"/>
              <w:bottom w:w="0" w:type="dxa"/>
              <w:right w:w="108" w:type="dxa"/>
            </w:tcMar>
            <w:vAlign w:val="center"/>
            <w:hideMark/>
          </w:tcPr>
          <w:p w14:paraId="1E9EE948" w14:textId="27F8087C" w:rsidR="005C0761" w:rsidRPr="00236418" w:rsidRDefault="00BB1FA5" w:rsidP="004234B2">
            <w:pPr>
              <w:pStyle w:val="Tablehead"/>
              <w:spacing w:before="20" w:after="20"/>
              <w:rPr>
                <w:i/>
                <w:iCs/>
              </w:rPr>
            </w:pPr>
            <w:r w:rsidRPr="00236418">
              <w:rPr>
                <w:i/>
                <w:iCs/>
                <w:color w:val="548DD4" w:themeColor="text2" w:themeTint="99"/>
              </w:rPr>
              <w:t xml:space="preserve">En milliers de </w:t>
            </w:r>
            <w:r w:rsidR="005C0761" w:rsidRPr="00236418">
              <w:rPr>
                <w:i/>
                <w:iCs/>
                <w:color w:val="548DD4" w:themeColor="text2" w:themeTint="99"/>
              </w:rPr>
              <w:t>CHF</w:t>
            </w:r>
          </w:p>
        </w:tc>
      </w:tr>
      <w:tr w:rsidR="00BB1FA5" w:rsidRPr="00236418" w14:paraId="2715B8BF" w14:textId="77777777" w:rsidTr="004234B2">
        <w:trPr>
          <w:trHeight w:val="300"/>
        </w:trPr>
        <w:tc>
          <w:tcPr>
            <w:tcW w:w="6663" w:type="dxa"/>
            <w:tcBorders>
              <w:top w:val="nil"/>
              <w:left w:val="nil"/>
              <w:bottom w:val="single" w:sz="8" w:space="0" w:color="auto"/>
              <w:right w:val="nil"/>
            </w:tcBorders>
            <w:noWrap/>
            <w:tcMar>
              <w:top w:w="0" w:type="dxa"/>
              <w:left w:w="108" w:type="dxa"/>
              <w:bottom w:w="0" w:type="dxa"/>
              <w:right w:w="108" w:type="dxa"/>
            </w:tcMar>
            <w:vAlign w:val="center"/>
            <w:hideMark/>
          </w:tcPr>
          <w:p w14:paraId="1F01D779" w14:textId="77777777" w:rsidR="005C0761" w:rsidRPr="00236418" w:rsidRDefault="005C0761" w:rsidP="004234B2">
            <w:pPr>
              <w:spacing w:before="20" w:after="20"/>
              <w:rPr>
                <w:b/>
                <w:bCs/>
              </w:rPr>
            </w:pPr>
            <w:r w:rsidRPr="00236418">
              <w:rPr>
                <w:b/>
                <w:bCs/>
              </w:rPr>
              <w:t> </w:t>
            </w:r>
          </w:p>
        </w:tc>
        <w:tc>
          <w:tcPr>
            <w:tcW w:w="2976" w:type="dxa"/>
            <w:tcBorders>
              <w:top w:val="nil"/>
              <w:left w:val="nil"/>
              <w:bottom w:val="single" w:sz="8" w:space="0" w:color="auto"/>
              <w:right w:val="nil"/>
            </w:tcBorders>
            <w:tcMar>
              <w:top w:w="0" w:type="dxa"/>
              <w:left w:w="108" w:type="dxa"/>
              <w:bottom w:w="0" w:type="dxa"/>
              <w:right w:w="108" w:type="dxa"/>
            </w:tcMar>
            <w:vAlign w:val="center"/>
            <w:hideMark/>
          </w:tcPr>
          <w:p w14:paraId="24B3F6F4" w14:textId="4B8A84D7" w:rsidR="005C0761" w:rsidRPr="00236418" w:rsidRDefault="0055770B" w:rsidP="004234B2">
            <w:pPr>
              <w:pStyle w:val="Tablehead"/>
              <w:spacing w:before="20" w:after="20"/>
              <w:rPr>
                <w:color w:val="17365D" w:themeColor="text2" w:themeShade="BF"/>
              </w:rPr>
            </w:pPr>
            <w:r w:rsidRPr="00236418">
              <w:rPr>
                <w:color w:val="17365D" w:themeColor="text2" w:themeShade="BF"/>
              </w:rPr>
              <w:t xml:space="preserve">Proposition d'utilisations </w:t>
            </w:r>
            <w:r w:rsidR="00BB1FA5" w:rsidRPr="00236418">
              <w:rPr>
                <w:color w:val="17365D" w:themeColor="text2" w:themeShade="BF"/>
              </w:rPr>
              <w:t>des économies réalisées en 2020</w:t>
            </w:r>
          </w:p>
        </w:tc>
      </w:tr>
      <w:tr w:rsidR="00BB1FA5" w:rsidRPr="00236418" w14:paraId="6B01736B" w14:textId="77777777" w:rsidTr="004234B2">
        <w:trPr>
          <w:trHeight w:val="240"/>
        </w:trPr>
        <w:tc>
          <w:tcPr>
            <w:tcW w:w="6663" w:type="dxa"/>
            <w:noWrap/>
            <w:tcMar>
              <w:top w:w="0" w:type="dxa"/>
              <w:left w:w="108" w:type="dxa"/>
              <w:bottom w:w="0" w:type="dxa"/>
              <w:right w:w="108" w:type="dxa"/>
            </w:tcMar>
            <w:vAlign w:val="center"/>
            <w:hideMark/>
          </w:tcPr>
          <w:p w14:paraId="075D4385" w14:textId="247D1311" w:rsidR="005C0761" w:rsidRPr="00236418" w:rsidRDefault="00BB1FA5" w:rsidP="004234B2">
            <w:pPr>
              <w:pStyle w:val="Tabletext"/>
              <w:spacing w:before="20" w:after="20"/>
              <w:rPr>
                <w:b/>
                <w:bCs/>
                <w:color w:val="C00000"/>
                <w:sz w:val="24"/>
                <w:szCs w:val="24"/>
              </w:rPr>
            </w:pPr>
            <w:r w:rsidRPr="00236418">
              <w:rPr>
                <w:b/>
                <w:bCs/>
                <w:color w:val="C00000"/>
                <w:sz w:val="24"/>
                <w:szCs w:val="24"/>
              </w:rPr>
              <w:t>Déjà comptabilisé dans la situation financière pour</w:t>
            </w:r>
            <w:r w:rsidR="005C0761" w:rsidRPr="00236418">
              <w:rPr>
                <w:b/>
                <w:bCs/>
                <w:color w:val="C00000"/>
                <w:sz w:val="24"/>
                <w:szCs w:val="24"/>
              </w:rPr>
              <w:t xml:space="preserve"> 2020 </w:t>
            </w:r>
          </w:p>
        </w:tc>
        <w:tc>
          <w:tcPr>
            <w:tcW w:w="2976" w:type="dxa"/>
            <w:noWrap/>
            <w:tcMar>
              <w:top w:w="0" w:type="dxa"/>
              <w:left w:w="108" w:type="dxa"/>
              <w:bottom w:w="0" w:type="dxa"/>
              <w:right w:w="108" w:type="dxa"/>
            </w:tcMar>
            <w:vAlign w:val="center"/>
            <w:hideMark/>
          </w:tcPr>
          <w:p w14:paraId="1FF3E769" w14:textId="4BC0CEE3" w:rsidR="005C0761" w:rsidRPr="00236418" w:rsidRDefault="005C0761" w:rsidP="004234B2">
            <w:pPr>
              <w:pStyle w:val="Tabletext"/>
              <w:spacing w:before="20" w:after="20"/>
              <w:jc w:val="right"/>
              <w:rPr>
                <w:b/>
                <w:bCs/>
                <w:color w:val="C00000"/>
                <w:sz w:val="24"/>
                <w:szCs w:val="24"/>
              </w:rPr>
            </w:pPr>
            <w:r w:rsidRPr="00236418">
              <w:rPr>
                <w:b/>
                <w:bCs/>
                <w:color w:val="C00000"/>
                <w:sz w:val="24"/>
                <w:szCs w:val="24"/>
              </w:rPr>
              <w:t>1 270</w:t>
            </w:r>
          </w:p>
        </w:tc>
      </w:tr>
      <w:tr w:rsidR="00BB1FA5" w:rsidRPr="00236418" w14:paraId="64BBCBB1" w14:textId="77777777" w:rsidTr="004234B2">
        <w:trPr>
          <w:trHeight w:val="280"/>
        </w:trPr>
        <w:tc>
          <w:tcPr>
            <w:tcW w:w="6663" w:type="dxa"/>
            <w:tcBorders>
              <w:top w:val="single" w:sz="8" w:space="0" w:color="002060"/>
              <w:left w:val="nil"/>
              <w:bottom w:val="single" w:sz="8" w:space="0" w:color="002060"/>
              <w:right w:val="nil"/>
            </w:tcBorders>
            <w:tcMar>
              <w:top w:w="0" w:type="dxa"/>
              <w:left w:w="108" w:type="dxa"/>
              <w:bottom w:w="0" w:type="dxa"/>
              <w:right w:w="108" w:type="dxa"/>
            </w:tcMar>
            <w:vAlign w:val="center"/>
            <w:hideMark/>
          </w:tcPr>
          <w:p w14:paraId="31B5CCA1" w14:textId="00415661" w:rsidR="005C0761" w:rsidRPr="00236418" w:rsidRDefault="005C0761" w:rsidP="004234B2">
            <w:pPr>
              <w:pStyle w:val="Tabletext"/>
              <w:spacing w:before="20" w:after="20"/>
              <w:rPr>
                <w:b/>
                <w:bCs/>
                <w:color w:val="548DD4" w:themeColor="text2" w:themeTint="99"/>
              </w:rPr>
            </w:pPr>
            <w:r w:rsidRPr="00236418">
              <w:rPr>
                <w:b/>
                <w:bCs/>
                <w:color w:val="548DD4" w:themeColor="text2" w:themeTint="99"/>
              </w:rPr>
              <w:t>Urgen</w:t>
            </w:r>
            <w:r w:rsidR="00BB1FA5" w:rsidRPr="00236418">
              <w:rPr>
                <w:b/>
                <w:bCs/>
                <w:color w:val="548DD4" w:themeColor="text2" w:themeTint="99"/>
              </w:rPr>
              <w:t>ce liée au</w:t>
            </w:r>
            <w:r w:rsidRPr="00236418">
              <w:rPr>
                <w:b/>
                <w:bCs/>
                <w:color w:val="548DD4" w:themeColor="text2" w:themeTint="99"/>
              </w:rPr>
              <w:t xml:space="preserve"> Covid-19</w:t>
            </w:r>
          </w:p>
        </w:tc>
        <w:tc>
          <w:tcPr>
            <w:tcW w:w="2976" w:type="dxa"/>
            <w:tcBorders>
              <w:top w:val="single" w:sz="8" w:space="0" w:color="002060"/>
              <w:left w:val="nil"/>
              <w:bottom w:val="single" w:sz="8" w:space="0" w:color="002060"/>
              <w:right w:val="nil"/>
            </w:tcBorders>
            <w:noWrap/>
            <w:tcMar>
              <w:top w:w="0" w:type="dxa"/>
              <w:left w:w="108" w:type="dxa"/>
              <w:bottom w:w="0" w:type="dxa"/>
              <w:right w:w="108" w:type="dxa"/>
            </w:tcMar>
            <w:vAlign w:val="center"/>
            <w:hideMark/>
          </w:tcPr>
          <w:p w14:paraId="2678009A" w14:textId="77777777" w:rsidR="005C0761" w:rsidRPr="00236418" w:rsidRDefault="005C0761" w:rsidP="004234B2">
            <w:pPr>
              <w:pStyle w:val="Tabletext"/>
              <w:spacing w:before="20" w:after="20"/>
              <w:jc w:val="right"/>
              <w:rPr>
                <w:b/>
                <w:bCs/>
                <w:color w:val="548DD4" w:themeColor="text2" w:themeTint="99"/>
              </w:rPr>
            </w:pPr>
            <w:r w:rsidRPr="00236418">
              <w:rPr>
                <w:b/>
                <w:bCs/>
                <w:color w:val="548DD4" w:themeColor="text2" w:themeTint="99"/>
              </w:rPr>
              <w:t>300</w:t>
            </w:r>
          </w:p>
        </w:tc>
      </w:tr>
      <w:tr w:rsidR="00BB1FA5" w:rsidRPr="00236418" w14:paraId="2BA65C45" w14:textId="77777777" w:rsidTr="004234B2">
        <w:trPr>
          <w:trHeight w:val="280"/>
        </w:trPr>
        <w:tc>
          <w:tcPr>
            <w:tcW w:w="6663" w:type="dxa"/>
            <w:tcMar>
              <w:top w:w="0" w:type="dxa"/>
              <w:left w:w="108" w:type="dxa"/>
              <w:bottom w:w="0" w:type="dxa"/>
              <w:right w:w="108" w:type="dxa"/>
            </w:tcMar>
            <w:vAlign w:val="center"/>
            <w:hideMark/>
          </w:tcPr>
          <w:p w14:paraId="1382248A" w14:textId="4232EF38" w:rsidR="005C0761" w:rsidRPr="00236418" w:rsidRDefault="00BB1FA5" w:rsidP="004234B2">
            <w:pPr>
              <w:pStyle w:val="Tabletext"/>
              <w:spacing w:before="20" w:after="20"/>
            </w:pPr>
            <w:r w:rsidRPr="00236418">
              <w:t>Outil de surveillance du bien-être du personnel</w:t>
            </w:r>
          </w:p>
        </w:tc>
        <w:tc>
          <w:tcPr>
            <w:tcW w:w="2976" w:type="dxa"/>
            <w:noWrap/>
            <w:tcMar>
              <w:top w:w="0" w:type="dxa"/>
              <w:left w:w="108" w:type="dxa"/>
              <w:bottom w:w="0" w:type="dxa"/>
              <w:right w:w="108" w:type="dxa"/>
            </w:tcMar>
            <w:vAlign w:val="center"/>
            <w:hideMark/>
          </w:tcPr>
          <w:p w14:paraId="02C07071"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50</w:t>
            </w:r>
          </w:p>
        </w:tc>
      </w:tr>
      <w:tr w:rsidR="00BB1FA5" w:rsidRPr="00236418" w14:paraId="2A5E82E5" w14:textId="77777777" w:rsidTr="004234B2">
        <w:trPr>
          <w:trHeight w:val="280"/>
        </w:trPr>
        <w:tc>
          <w:tcPr>
            <w:tcW w:w="6663" w:type="dxa"/>
            <w:tcMar>
              <w:top w:w="0" w:type="dxa"/>
              <w:left w:w="108" w:type="dxa"/>
              <w:bottom w:w="0" w:type="dxa"/>
              <w:right w:w="108" w:type="dxa"/>
            </w:tcMar>
            <w:vAlign w:val="center"/>
            <w:hideMark/>
          </w:tcPr>
          <w:p w14:paraId="282E85E8" w14:textId="1D304779" w:rsidR="005C0761" w:rsidRPr="00236418" w:rsidRDefault="00754067" w:rsidP="004234B2">
            <w:pPr>
              <w:pStyle w:val="Tabletext"/>
              <w:spacing w:before="20" w:after="20"/>
            </w:pPr>
            <w:r w:rsidRPr="00236418">
              <w:t>Respect des recommandations en matière de port du masque sur le lieu de travail</w:t>
            </w:r>
          </w:p>
        </w:tc>
        <w:tc>
          <w:tcPr>
            <w:tcW w:w="2976" w:type="dxa"/>
            <w:noWrap/>
            <w:tcMar>
              <w:top w:w="0" w:type="dxa"/>
              <w:left w:w="108" w:type="dxa"/>
              <w:bottom w:w="0" w:type="dxa"/>
              <w:right w:w="108" w:type="dxa"/>
            </w:tcMar>
            <w:vAlign w:val="center"/>
            <w:hideMark/>
          </w:tcPr>
          <w:p w14:paraId="1BD3E0A9"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50</w:t>
            </w:r>
          </w:p>
        </w:tc>
      </w:tr>
      <w:tr w:rsidR="00BB1FA5" w:rsidRPr="00236418" w14:paraId="79ADA1C9" w14:textId="77777777" w:rsidTr="004234B2">
        <w:trPr>
          <w:trHeight w:val="280"/>
        </w:trPr>
        <w:tc>
          <w:tcPr>
            <w:tcW w:w="6663" w:type="dxa"/>
            <w:tcMar>
              <w:top w:w="0" w:type="dxa"/>
              <w:left w:w="108" w:type="dxa"/>
              <w:bottom w:w="0" w:type="dxa"/>
              <w:right w:w="108" w:type="dxa"/>
            </w:tcMar>
            <w:vAlign w:val="center"/>
            <w:hideMark/>
          </w:tcPr>
          <w:p w14:paraId="06D05A52" w14:textId="0024144C" w:rsidR="005C0761" w:rsidRPr="00236418" w:rsidRDefault="00754067" w:rsidP="004234B2">
            <w:pPr>
              <w:pStyle w:val="Tabletext"/>
              <w:spacing w:before="20" w:after="20"/>
            </w:pPr>
            <w:r w:rsidRPr="00236418">
              <w:t>Services de conseil en ligne pour les fonctionnaires en télétravail</w:t>
            </w:r>
          </w:p>
        </w:tc>
        <w:tc>
          <w:tcPr>
            <w:tcW w:w="2976" w:type="dxa"/>
            <w:noWrap/>
            <w:tcMar>
              <w:top w:w="0" w:type="dxa"/>
              <w:left w:w="108" w:type="dxa"/>
              <w:bottom w:w="0" w:type="dxa"/>
              <w:right w:w="108" w:type="dxa"/>
            </w:tcMar>
            <w:vAlign w:val="center"/>
            <w:hideMark/>
          </w:tcPr>
          <w:p w14:paraId="0225A813"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50</w:t>
            </w:r>
          </w:p>
        </w:tc>
      </w:tr>
      <w:tr w:rsidR="00BB1FA5" w:rsidRPr="00236418" w14:paraId="7C3E7615" w14:textId="77777777" w:rsidTr="004234B2">
        <w:trPr>
          <w:trHeight w:val="280"/>
        </w:trPr>
        <w:tc>
          <w:tcPr>
            <w:tcW w:w="6663" w:type="dxa"/>
            <w:tcMar>
              <w:top w:w="0" w:type="dxa"/>
              <w:left w:w="108" w:type="dxa"/>
              <w:bottom w:w="0" w:type="dxa"/>
              <w:right w:w="108" w:type="dxa"/>
            </w:tcMar>
            <w:vAlign w:val="center"/>
            <w:hideMark/>
          </w:tcPr>
          <w:p w14:paraId="1524A7C4" w14:textId="0B80ED69" w:rsidR="005C0761" w:rsidRPr="00236418" w:rsidRDefault="00754067" w:rsidP="004234B2">
            <w:pPr>
              <w:pStyle w:val="Tabletext"/>
              <w:spacing w:before="20" w:after="20"/>
            </w:pPr>
            <w:r w:rsidRPr="00236418">
              <w:t>Extension à plein</w:t>
            </w:r>
            <w:r w:rsidR="002277FF" w:rsidRPr="00236418">
              <w:t xml:space="preserve"> </w:t>
            </w:r>
            <w:r w:rsidRPr="00236418">
              <w:t>temps du temps de travail du médecin jusqu'à fin 2020</w:t>
            </w:r>
          </w:p>
        </w:tc>
        <w:tc>
          <w:tcPr>
            <w:tcW w:w="2976" w:type="dxa"/>
            <w:noWrap/>
            <w:tcMar>
              <w:top w:w="0" w:type="dxa"/>
              <w:left w:w="108" w:type="dxa"/>
              <w:bottom w:w="0" w:type="dxa"/>
              <w:right w:w="108" w:type="dxa"/>
            </w:tcMar>
            <w:vAlign w:val="center"/>
            <w:hideMark/>
          </w:tcPr>
          <w:p w14:paraId="3A44CB77"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50</w:t>
            </w:r>
          </w:p>
        </w:tc>
      </w:tr>
      <w:tr w:rsidR="00BB1FA5" w:rsidRPr="00236418" w14:paraId="7B21D784" w14:textId="77777777" w:rsidTr="004234B2">
        <w:trPr>
          <w:trHeight w:val="280"/>
        </w:trPr>
        <w:tc>
          <w:tcPr>
            <w:tcW w:w="6663" w:type="dxa"/>
            <w:tcBorders>
              <w:top w:val="nil"/>
              <w:left w:val="nil"/>
              <w:bottom w:val="single" w:sz="8" w:space="0" w:color="002060"/>
              <w:right w:val="nil"/>
            </w:tcBorders>
            <w:tcMar>
              <w:top w:w="0" w:type="dxa"/>
              <w:left w:w="108" w:type="dxa"/>
              <w:bottom w:w="0" w:type="dxa"/>
              <w:right w:w="108" w:type="dxa"/>
            </w:tcMar>
            <w:vAlign w:val="center"/>
            <w:hideMark/>
          </w:tcPr>
          <w:p w14:paraId="03450C61" w14:textId="18C2D583" w:rsidR="005C0761" w:rsidRPr="00236418" w:rsidRDefault="00754067" w:rsidP="004234B2">
            <w:pPr>
              <w:pStyle w:val="Tabletext"/>
              <w:spacing w:before="20" w:after="20"/>
            </w:pPr>
            <w:r w:rsidRPr="00236418">
              <w:t xml:space="preserve">Professionnels de santé/personnel d'appui pour couvrir </w:t>
            </w:r>
            <w:r w:rsidR="002175A9" w:rsidRPr="00236418">
              <w:t>les congés annuels/congés maladie</w:t>
            </w:r>
            <w:r w:rsidRPr="00236418">
              <w:t xml:space="preserve"> </w:t>
            </w:r>
            <w:r w:rsidR="002175A9" w:rsidRPr="00236418">
              <w:t>et appui</w:t>
            </w:r>
            <w:r w:rsidRPr="00236418">
              <w:t xml:space="preserve"> pour la phase post-confinement</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0AF88563"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100</w:t>
            </w:r>
          </w:p>
        </w:tc>
      </w:tr>
      <w:tr w:rsidR="00BB1FA5" w:rsidRPr="00236418" w14:paraId="37AE6AE3" w14:textId="77777777" w:rsidTr="004234B2">
        <w:trPr>
          <w:trHeight w:val="280"/>
        </w:trPr>
        <w:tc>
          <w:tcPr>
            <w:tcW w:w="6663" w:type="dxa"/>
            <w:tcBorders>
              <w:top w:val="nil"/>
              <w:left w:val="nil"/>
              <w:bottom w:val="single" w:sz="8" w:space="0" w:color="002060"/>
              <w:right w:val="nil"/>
            </w:tcBorders>
            <w:noWrap/>
            <w:tcMar>
              <w:top w:w="0" w:type="dxa"/>
              <w:left w:w="108" w:type="dxa"/>
              <w:bottom w:w="0" w:type="dxa"/>
              <w:right w:w="108" w:type="dxa"/>
            </w:tcMar>
            <w:vAlign w:val="bottom"/>
            <w:hideMark/>
          </w:tcPr>
          <w:p w14:paraId="5C55EEC2" w14:textId="25DB6792" w:rsidR="005C0761" w:rsidRPr="00236418" w:rsidRDefault="00754067" w:rsidP="004234B2">
            <w:pPr>
              <w:pStyle w:val="Tabletext"/>
              <w:spacing w:before="20" w:after="20"/>
              <w:rPr>
                <w:b/>
                <w:bCs/>
                <w:color w:val="548DD4" w:themeColor="text2" w:themeTint="99"/>
              </w:rPr>
            </w:pPr>
            <w:r w:rsidRPr="00236418">
              <w:rPr>
                <w:b/>
                <w:bCs/>
                <w:color w:val="548DD4" w:themeColor="text2" w:themeTint="99"/>
              </w:rPr>
              <w:t>Sûreté et sécurité</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67B5774B" w14:textId="77777777" w:rsidR="005C0761" w:rsidRPr="00236418" w:rsidRDefault="005C0761" w:rsidP="004234B2">
            <w:pPr>
              <w:pStyle w:val="Tabletext"/>
              <w:spacing w:before="20" w:after="20"/>
              <w:jc w:val="right"/>
              <w:rPr>
                <w:b/>
                <w:bCs/>
                <w:color w:val="548DD4" w:themeColor="text2" w:themeTint="99"/>
              </w:rPr>
            </w:pPr>
            <w:r w:rsidRPr="00236418">
              <w:rPr>
                <w:b/>
                <w:bCs/>
                <w:color w:val="548DD4" w:themeColor="text2" w:themeTint="99"/>
              </w:rPr>
              <w:t>470</w:t>
            </w:r>
          </w:p>
        </w:tc>
      </w:tr>
      <w:tr w:rsidR="00BB1FA5" w:rsidRPr="00236418" w14:paraId="1083B926" w14:textId="77777777" w:rsidTr="004234B2">
        <w:trPr>
          <w:trHeight w:val="280"/>
        </w:trPr>
        <w:tc>
          <w:tcPr>
            <w:tcW w:w="6663" w:type="dxa"/>
            <w:tcMar>
              <w:top w:w="0" w:type="dxa"/>
              <w:left w:w="108" w:type="dxa"/>
              <w:bottom w:w="0" w:type="dxa"/>
              <w:right w:w="108" w:type="dxa"/>
            </w:tcMar>
            <w:vAlign w:val="center"/>
            <w:hideMark/>
          </w:tcPr>
          <w:p w14:paraId="39475CDC" w14:textId="5C66611F" w:rsidR="005C0761" w:rsidRPr="00236418" w:rsidRDefault="00754067" w:rsidP="004234B2">
            <w:pPr>
              <w:pStyle w:val="Tabletext"/>
              <w:spacing w:before="20" w:after="20"/>
            </w:pPr>
            <w:r w:rsidRPr="00236418">
              <w:t>Caméras infrarouge et autres équipements</w:t>
            </w:r>
          </w:p>
        </w:tc>
        <w:tc>
          <w:tcPr>
            <w:tcW w:w="2976" w:type="dxa"/>
            <w:noWrap/>
            <w:tcMar>
              <w:top w:w="0" w:type="dxa"/>
              <w:left w:w="108" w:type="dxa"/>
              <w:bottom w:w="0" w:type="dxa"/>
              <w:right w:w="108" w:type="dxa"/>
            </w:tcMar>
            <w:vAlign w:val="center"/>
            <w:hideMark/>
          </w:tcPr>
          <w:p w14:paraId="01C227F6"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100</w:t>
            </w:r>
          </w:p>
        </w:tc>
      </w:tr>
      <w:tr w:rsidR="00BB1FA5" w:rsidRPr="00236418" w14:paraId="133FD7D2" w14:textId="77777777" w:rsidTr="004234B2">
        <w:trPr>
          <w:trHeight w:val="280"/>
        </w:trPr>
        <w:tc>
          <w:tcPr>
            <w:tcW w:w="6663" w:type="dxa"/>
            <w:tcMar>
              <w:top w:w="0" w:type="dxa"/>
              <w:left w:w="108" w:type="dxa"/>
              <w:bottom w:w="0" w:type="dxa"/>
              <w:right w:w="108" w:type="dxa"/>
            </w:tcMar>
            <w:vAlign w:val="center"/>
            <w:hideMark/>
          </w:tcPr>
          <w:p w14:paraId="2862A3CD" w14:textId="0585BE9C" w:rsidR="005C0761" w:rsidRPr="00236418" w:rsidRDefault="00D11498" w:rsidP="004234B2">
            <w:pPr>
              <w:pStyle w:val="Tabletext"/>
              <w:spacing w:before="20" w:after="20"/>
            </w:pPr>
            <w:r w:rsidRPr="00236418">
              <w:t xml:space="preserve">Plans </w:t>
            </w:r>
            <w:r w:rsidR="005C0761" w:rsidRPr="00236418">
              <w:t xml:space="preserve">BCP </w:t>
            </w:r>
            <w:r w:rsidRPr="00236418">
              <w:t>dans les bureaux régionaux et les bureaux de zone</w:t>
            </w:r>
          </w:p>
        </w:tc>
        <w:tc>
          <w:tcPr>
            <w:tcW w:w="2976" w:type="dxa"/>
            <w:noWrap/>
            <w:tcMar>
              <w:top w:w="0" w:type="dxa"/>
              <w:left w:w="108" w:type="dxa"/>
              <w:bottom w:w="0" w:type="dxa"/>
              <w:right w:w="108" w:type="dxa"/>
            </w:tcMar>
            <w:vAlign w:val="center"/>
            <w:hideMark/>
          </w:tcPr>
          <w:p w14:paraId="6B32B468"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120</w:t>
            </w:r>
          </w:p>
        </w:tc>
      </w:tr>
      <w:tr w:rsidR="00BB1FA5" w:rsidRPr="00236418" w14:paraId="1AC58AF4" w14:textId="77777777" w:rsidTr="004234B2">
        <w:trPr>
          <w:trHeight w:val="280"/>
        </w:trPr>
        <w:tc>
          <w:tcPr>
            <w:tcW w:w="6663" w:type="dxa"/>
            <w:tcBorders>
              <w:top w:val="nil"/>
              <w:left w:val="nil"/>
              <w:bottom w:val="single" w:sz="8" w:space="0" w:color="002060"/>
              <w:right w:val="nil"/>
            </w:tcBorders>
            <w:tcMar>
              <w:top w:w="0" w:type="dxa"/>
              <w:left w:w="108" w:type="dxa"/>
              <w:bottom w:w="0" w:type="dxa"/>
              <w:right w:w="108" w:type="dxa"/>
            </w:tcMar>
            <w:vAlign w:val="center"/>
            <w:hideMark/>
          </w:tcPr>
          <w:p w14:paraId="13474545" w14:textId="76EE2D1A" w:rsidR="005C0761" w:rsidRPr="00236418" w:rsidRDefault="00D11498" w:rsidP="004234B2">
            <w:pPr>
              <w:pStyle w:val="Tabletext"/>
              <w:spacing w:before="20" w:after="20"/>
            </w:pPr>
            <w:r w:rsidRPr="00236418">
              <w:t xml:space="preserve">Plan </w:t>
            </w:r>
            <w:r w:rsidR="005C0761" w:rsidRPr="00236418">
              <w:t xml:space="preserve">BCP </w:t>
            </w:r>
            <w:r w:rsidRPr="00236418">
              <w:t>pour l'</w:t>
            </w:r>
            <w:r w:rsidR="005C0761" w:rsidRPr="00236418">
              <w:t xml:space="preserve">infrastructure </w:t>
            </w:r>
            <w:r w:rsidRPr="00236418">
              <w:t>TIC dans les bureaux régionaux et les bureaux de zone</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30392176"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250</w:t>
            </w:r>
          </w:p>
        </w:tc>
      </w:tr>
      <w:tr w:rsidR="00BB1FA5" w:rsidRPr="00236418" w14:paraId="438B2E54" w14:textId="77777777" w:rsidTr="004234B2">
        <w:trPr>
          <w:trHeight w:val="280"/>
        </w:trPr>
        <w:tc>
          <w:tcPr>
            <w:tcW w:w="6663" w:type="dxa"/>
            <w:tcBorders>
              <w:top w:val="nil"/>
              <w:left w:val="nil"/>
              <w:bottom w:val="single" w:sz="8" w:space="0" w:color="002060"/>
              <w:right w:val="nil"/>
            </w:tcBorders>
            <w:noWrap/>
            <w:tcMar>
              <w:top w:w="0" w:type="dxa"/>
              <w:left w:w="108" w:type="dxa"/>
              <w:bottom w:w="0" w:type="dxa"/>
              <w:right w:w="108" w:type="dxa"/>
            </w:tcMar>
            <w:vAlign w:val="bottom"/>
            <w:hideMark/>
          </w:tcPr>
          <w:p w14:paraId="27707960" w14:textId="05EE11A6" w:rsidR="005C0761" w:rsidRPr="00236418" w:rsidRDefault="00D11498" w:rsidP="004234B2">
            <w:pPr>
              <w:pStyle w:val="Tabletext"/>
              <w:spacing w:before="20" w:after="20"/>
              <w:rPr>
                <w:b/>
                <w:bCs/>
                <w:color w:val="548DD4" w:themeColor="text2" w:themeTint="99"/>
              </w:rPr>
            </w:pPr>
            <w:r w:rsidRPr="00236418">
              <w:rPr>
                <w:b/>
                <w:bCs/>
                <w:color w:val="548DD4" w:themeColor="text2" w:themeTint="99"/>
              </w:rPr>
              <w:t>Conférences virtuelles</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20ED1D56" w14:textId="77777777" w:rsidR="005C0761" w:rsidRPr="00236418" w:rsidRDefault="005C0761" w:rsidP="004234B2">
            <w:pPr>
              <w:pStyle w:val="Tabletext"/>
              <w:spacing w:before="20" w:after="20"/>
              <w:jc w:val="right"/>
              <w:rPr>
                <w:b/>
                <w:bCs/>
                <w:color w:val="548DD4" w:themeColor="text2" w:themeTint="99"/>
              </w:rPr>
            </w:pPr>
            <w:r w:rsidRPr="00236418">
              <w:rPr>
                <w:b/>
                <w:bCs/>
                <w:color w:val="548DD4" w:themeColor="text2" w:themeTint="99"/>
              </w:rPr>
              <w:t>500</w:t>
            </w:r>
          </w:p>
        </w:tc>
      </w:tr>
      <w:tr w:rsidR="00BB1FA5" w:rsidRPr="00236418" w14:paraId="2075B1BC" w14:textId="77777777" w:rsidTr="004234B2">
        <w:trPr>
          <w:trHeight w:val="280"/>
        </w:trPr>
        <w:tc>
          <w:tcPr>
            <w:tcW w:w="6663" w:type="dxa"/>
            <w:tcMar>
              <w:top w:w="0" w:type="dxa"/>
              <w:left w:w="108" w:type="dxa"/>
              <w:bottom w:w="0" w:type="dxa"/>
              <w:right w:w="108" w:type="dxa"/>
            </w:tcMar>
            <w:vAlign w:val="center"/>
            <w:hideMark/>
          </w:tcPr>
          <w:p w14:paraId="4D7D2E4C" w14:textId="381D4250" w:rsidR="005C0761" w:rsidRPr="00236418" w:rsidRDefault="00D11498" w:rsidP="004234B2">
            <w:pPr>
              <w:pStyle w:val="Tabletext"/>
              <w:spacing w:before="20" w:after="20"/>
            </w:pPr>
            <w:r w:rsidRPr="00236418">
              <w:t xml:space="preserve">Organisation de réunions virtuelles pour le Conseil, le GCDT, le </w:t>
            </w:r>
            <w:r w:rsidR="002175A9" w:rsidRPr="00236418">
              <w:t>GCR</w:t>
            </w:r>
            <w:r w:rsidRPr="00236418">
              <w:t xml:space="preserve"> et le</w:t>
            </w:r>
            <w:r w:rsidR="002277FF" w:rsidRPr="00236418">
              <w:t> </w:t>
            </w:r>
            <w:r w:rsidRPr="00236418">
              <w:t>GSR</w:t>
            </w:r>
          </w:p>
        </w:tc>
        <w:tc>
          <w:tcPr>
            <w:tcW w:w="2976" w:type="dxa"/>
            <w:noWrap/>
            <w:tcMar>
              <w:top w:w="0" w:type="dxa"/>
              <w:left w:w="108" w:type="dxa"/>
              <w:bottom w:w="0" w:type="dxa"/>
              <w:right w:w="108" w:type="dxa"/>
            </w:tcMar>
            <w:vAlign w:val="center"/>
            <w:hideMark/>
          </w:tcPr>
          <w:p w14:paraId="5665F505"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200</w:t>
            </w:r>
          </w:p>
        </w:tc>
      </w:tr>
      <w:tr w:rsidR="00BB1FA5" w:rsidRPr="00236418" w14:paraId="2994FF56" w14:textId="77777777" w:rsidTr="004234B2">
        <w:trPr>
          <w:trHeight w:val="280"/>
        </w:trPr>
        <w:tc>
          <w:tcPr>
            <w:tcW w:w="6663" w:type="dxa"/>
            <w:tcMar>
              <w:top w:w="0" w:type="dxa"/>
              <w:left w:w="108" w:type="dxa"/>
              <w:bottom w:w="0" w:type="dxa"/>
              <w:right w:w="108" w:type="dxa"/>
            </w:tcMar>
            <w:vAlign w:val="center"/>
            <w:hideMark/>
          </w:tcPr>
          <w:p w14:paraId="5E3048DF" w14:textId="5C7B051A" w:rsidR="005C0761" w:rsidRPr="00236418" w:rsidRDefault="00D11498" w:rsidP="004234B2">
            <w:pPr>
              <w:pStyle w:val="Tabletext"/>
              <w:spacing w:before="20" w:after="20"/>
            </w:pPr>
            <w:r w:rsidRPr="00236418">
              <w:t>Organisation de réunions virtuelles pour le Forum du SMSI et l'AMNT</w:t>
            </w:r>
          </w:p>
        </w:tc>
        <w:tc>
          <w:tcPr>
            <w:tcW w:w="2976" w:type="dxa"/>
            <w:noWrap/>
            <w:tcMar>
              <w:top w:w="0" w:type="dxa"/>
              <w:left w:w="108" w:type="dxa"/>
              <w:bottom w:w="0" w:type="dxa"/>
              <w:right w:w="108" w:type="dxa"/>
            </w:tcMar>
            <w:vAlign w:val="center"/>
            <w:hideMark/>
          </w:tcPr>
          <w:p w14:paraId="7D68691A" w14:textId="77777777" w:rsidR="005C0761" w:rsidRPr="00236418" w:rsidRDefault="005C0761" w:rsidP="004234B2">
            <w:pPr>
              <w:pStyle w:val="Tabletext"/>
              <w:spacing w:before="20" w:after="20"/>
              <w:jc w:val="right"/>
              <w:rPr>
                <w:color w:val="17365D" w:themeColor="text2" w:themeShade="BF"/>
              </w:rPr>
            </w:pPr>
            <w:r w:rsidRPr="00236418">
              <w:rPr>
                <w:color w:val="17365D" w:themeColor="text2" w:themeShade="BF"/>
              </w:rPr>
              <w:t>300</w:t>
            </w:r>
          </w:p>
        </w:tc>
      </w:tr>
    </w:tbl>
    <w:p w14:paraId="170B6F7A" w14:textId="4FD16157" w:rsidR="00D11498" w:rsidRPr="00236418" w:rsidRDefault="005C0761" w:rsidP="009B3D24">
      <w:pPr>
        <w:spacing w:before="240"/>
        <w:rPr>
          <w:lang w:eastAsia="en-GB"/>
        </w:rPr>
      </w:pPr>
      <w:r w:rsidRPr="00236418">
        <w:rPr>
          <w:lang w:eastAsia="en-GB"/>
        </w:rPr>
        <w:t>11</w:t>
      </w:r>
      <w:r w:rsidR="005D77FE">
        <w:rPr>
          <w:lang w:eastAsia="en-GB"/>
        </w:rPr>
        <w:t>3</w:t>
      </w:r>
      <w:r w:rsidRPr="00236418">
        <w:rPr>
          <w:lang w:eastAsia="en-GB"/>
        </w:rPr>
        <w:tab/>
      </w:r>
      <w:r w:rsidR="00D11498" w:rsidRPr="00236418">
        <w:rPr>
          <w:lang w:eastAsia="en-GB"/>
        </w:rPr>
        <w:t>Cette provision provient de la mise en œuvre du budget pour 2020 et a pu être affectée grâce à des économies réalisées dans la mise en œuvre du budget, dont un</w:t>
      </w:r>
      <w:r w:rsidR="00F36F54" w:rsidRPr="00236418">
        <w:rPr>
          <w:lang w:eastAsia="en-GB"/>
        </w:rPr>
        <w:t>e</w:t>
      </w:r>
      <w:r w:rsidR="00D11498" w:rsidRPr="00236418">
        <w:rPr>
          <w:lang w:eastAsia="en-GB"/>
        </w:rPr>
        <w:t xml:space="preserve"> part important</w:t>
      </w:r>
      <w:r w:rsidR="00F36F54" w:rsidRPr="00236418">
        <w:rPr>
          <w:lang w:eastAsia="en-GB"/>
        </w:rPr>
        <w:t>e</w:t>
      </w:r>
      <w:r w:rsidR="00D11498" w:rsidRPr="00236418">
        <w:rPr>
          <w:lang w:eastAsia="en-GB"/>
        </w:rPr>
        <w:t xml:space="preserve"> est due à l'annulation des missions à l'UIT depuis mars 2020 et jusqu'à nouvel ordre.</w:t>
      </w:r>
    </w:p>
    <w:p w14:paraId="79C3A53D" w14:textId="39240E6D" w:rsidR="00D11498" w:rsidRPr="00236418" w:rsidRDefault="005C0761" w:rsidP="009B3D24">
      <w:pPr>
        <w:rPr>
          <w:rFonts w:asciiTheme="minorHAnsi" w:hAnsiTheme="minorHAnsi" w:cstheme="minorHAnsi"/>
        </w:rPr>
      </w:pPr>
      <w:r w:rsidRPr="00236418">
        <w:rPr>
          <w:rFonts w:asciiTheme="minorHAnsi" w:hAnsiTheme="minorHAnsi" w:cstheme="minorHAnsi"/>
        </w:rPr>
        <w:t>11</w:t>
      </w:r>
      <w:r w:rsidR="005D77FE">
        <w:rPr>
          <w:rFonts w:asciiTheme="minorHAnsi" w:hAnsiTheme="minorHAnsi" w:cstheme="minorHAnsi"/>
        </w:rPr>
        <w:t>4</w:t>
      </w:r>
      <w:r w:rsidRPr="00236418">
        <w:rPr>
          <w:rFonts w:asciiTheme="minorHAnsi" w:hAnsiTheme="minorHAnsi" w:cstheme="minorHAnsi"/>
        </w:rPr>
        <w:tab/>
      </w:r>
      <w:r w:rsidR="00D11498" w:rsidRPr="00236418">
        <w:rPr>
          <w:rFonts w:asciiTheme="minorHAnsi" w:hAnsiTheme="minorHAnsi" w:cstheme="minorHAnsi"/>
        </w:rPr>
        <w:t>L'</w:t>
      </w:r>
      <w:r w:rsidRPr="00236418">
        <w:rPr>
          <w:rFonts w:asciiTheme="minorHAnsi" w:hAnsiTheme="minorHAnsi" w:cstheme="minorHAnsi"/>
        </w:rPr>
        <w:t>Annex</w:t>
      </w:r>
      <w:r w:rsidR="00D11498" w:rsidRPr="00236418">
        <w:rPr>
          <w:rFonts w:asciiTheme="minorHAnsi" w:hAnsiTheme="minorHAnsi" w:cstheme="minorHAnsi"/>
        </w:rPr>
        <w:t>e</w:t>
      </w:r>
      <w:r w:rsidRPr="00236418">
        <w:rPr>
          <w:rFonts w:asciiTheme="minorHAnsi" w:hAnsiTheme="minorHAnsi" w:cstheme="minorHAnsi"/>
        </w:rPr>
        <w:t xml:space="preserve"> F </w:t>
      </w:r>
      <w:r w:rsidR="00D11498" w:rsidRPr="00236418">
        <w:rPr>
          <w:rFonts w:asciiTheme="minorHAnsi" w:hAnsiTheme="minorHAnsi" w:cstheme="minorHAnsi"/>
        </w:rPr>
        <w:t xml:space="preserve">du présent document montre les mesures prises par la direction pour faire face à cette pandémie, mais aussi le calendrier adopté pour lutter efficacement contre ce fléau. Ces mesures </w:t>
      </w:r>
      <w:r w:rsidR="00F36F54" w:rsidRPr="00236418">
        <w:rPr>
          <w:rFonts w:asciiTheme="minorHAnsi" w:hAnsiTheme="minorHAnsi" w:cstheme="minorHAnsi"/>
        </w:rPr>
        <w:t>s'appliquent</w:t>
      </w:r>
      <w:r w:rsidR="00D11498" w:rsidRPr="00236418">
        <w:rPr>
          <w:rFonts w:asciiTheme="minorHAnsi" w:hAnsiTheme="minorHAnsi" w:cstheme="minorHAnsi"/>
        </w:rPr>
        <w:t xml:space="preserve"> non seulement </w:t>
      </w:r>
      <w:r w:rsidR="00F36F54" w:rsidRPr="00236418">
        <w:rPr>
          <w:rFonts w:asciiTheme="minorHAnsi" w:hAnsiTheme="minorHAnsi" w:cstheme="minorHAnsi"/>
        </w:rPr>
        <w:t>au</w:t>
      </w:r>
      <w:r w:rsidR="00D11498" w:rsidRPr="00236418">
        <w:rPr>
          <w:rFonts w:asciiTheme="minorHAnsi" w:hAnsiTheme="minorHAnsi" w:cstheme="minorHAnsi"/>
        </w:rPr>
        <w:t xml:space="preserve"> siège à Genève, mais aussi </w:t>
      </w:r>
      <w:r w:rsidR="00F36F54" w:rsidRPr="00236418">
        <w:rPr>
          <w:rFonts w:asciiTheme="minorHAnsi" w:hAnsiTheme="minorHAnsi" w:cstheme="minorHAnsi"/>
        </w:rPr>
        <w:t>aux</w:t>
      </w:r>
      <w:r w:rsidR="00D11498" w:rsidRPr="00236418">
        <w:rPr>
          <w:rFonts w:asciiTheme="minorHAnsi" w:hAnsiTheme="minorHAnsi" w:cstheme="minorHAnsi"/>
        </w:rPr>
        <w:t xml:space="preserve"> fonctionnaires de l'UIT des bureaux hors siège.</w:t>
      </w:r>
    </w:p>
    <w:p w14:paraId="54710F0C" w14:textId="152F9134" w:rsidR="00DF6159" w:rsidRPr="00236418" w:rsidRDefault="00B0319E" w:rsidP="009B3D24">
      <w:pPr>
        <w:pStyle w:val="Heading1"/>
      </w:pPr>
      <w:bookmarkStart w:id="2882" w:name="_Toc41566396"/>
      <w:bookmarkStart w:id="2883" w:name="_Toc41567395"/>
      <w:bookmarkStart w:id="2884" w:name="_Toc41567891"/>
      <w:bookmarkStart w:id="2885" w:name="_Toc41815000"/>
      <w:r w:rsidRPr="00236418">
        <w:rPr>
          <w:rFonts w:asciiTheme="minorHAnsi" w:hAnsiTheme="minorHAnsi" w:cstheme="minorHAnsi"/>
        </w:rPr>
        <w:t>X</w:t>
      </w:r>
      <w:r w:rsidRPr="00236418">
        <w:rPr>
          <w:rFonts w:asciiTheme="minorHAnsi" w:hAnsiTheme="minorHAnsi" w:cstheme="minorHAnsi"/>
        </w:rPr>
        <w:tab/>
      </w:r>
      <w:r w:rsidR="00DF6159" w:rsidRPr="00236418">
        <w:t>VÉRIFICATION EXTÉRIEURE DES COMPTES DE L'UNION</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14:paraId="105B1EBF" w14:textId="69D336CC" w:rsidR="00DF6159" w:rsidRPr="00236418" w:rsidRDefault="00DF6159" w:rsidP="009B3D24">
      <w:r w:rsidRPr="00236418">
        <w:t>1</w:t>
      </w:r>
      <w:r w:rsidR="00B0319E" w:rsidRPr="00236418">
        <w:t>1</w:t>
      </w:r>
      <w:r w:rsidR="005D77FE">
        <w:t>5</w:t>
      </w:r>
      <w:r w:rsidRPr="00236418">
        <w:tab/>
        <w:t xml:space="preserve">Conformément aux dispositions de </w:t>
      </w:r>
      <w:r w:rsidRPr="00236418">
        <w:rPr>
          <w:color w:val="000000"/>
        </w:rPr>
        <w:t xml:space="preserve">l'Article 28 </w:t>
      </w:r>
      <w:r w:rsidRPr="00236418">
        <w:t>du Règlement financier, le Vérificateur extérieur des comptes de l'Union est l'Institution supérieure de contrôle des finances publiques de l'Italie. Elle a été désignée par le Conseil, à sa session de 2011, selon les modalités arrêtées à la Conférence de plénipotentiaires, pour un mandat de quatre ans. La vérification des comptes est effectuée selon les normes usuelles généralement acceptées en la matière et sous réserve de toutes directives spéciales du Conseil en conformité avec le mandat additionnel pour la vérification des comptes, joint en Annexe 1 du Règlement financier.</w:t>
      </w:r>
    </w:p>
    <w:p w14:paraId="12B741A2" w14:textId="47F798EE" w:rsidR="00DF6159" w:rsidRPr="00236418" w:rsidRDefault="00DF6159" w:rsidP="009B3D24">
      <w:r w:rsidRPr="00236418">
        <w:t>1</w:t>
      </w:r>
      <w:r w:rsidR="00B0319E" w:rsidRPr="00236418">
        <w:t>1</w:t>
      </w:r>
      <w:r w:rsidR="005D77FE">
        <w:t>6</w:t>
      </w:r>
      <w:r w:rsidRPr="00236418">
        <w:tab/>
        <w:t>Conformément aux Normes comptables pour le système des Nations Unies, les informations soumises à vérification sont présentées dans des états ou des tableaux.</w:t>
      </w:r>
    </w:p>
    <w:p w14:paraId="1B5D98D4" w14:textId="39B81E4D" w:rsidR="00862C6F" w:rsidRPr="00236418" w:rsidRDefault="00DF6159" w:rsidP="009B3D24">
      <w:r w:rsidRPr="00236418">
        <w:t>1</w:t>
      </w:r>
      <w:r w:rsidR="00B0319E" w:rsidRPr="00236418">
        <w:t>1</w:t>
      </w:r>
      <w:r w:rsidR="005D77FE">
        <w:t>7</w:t>
      </w:r>
      <w:r w:rsidRPr="00236418">
        <w:tab/>
        <w:t>Les comptes audités sont soumis au Conseil pour approbation. Ils sont accompagnés des rapports du Vérificateur extérieur des comptes qui sera invité à présenter ses rapports à la séance du Conseil prévue à cet effet.</w:t>
      </w:r>
      <w:r w:rsidR="00862C6F" w:rsidRPr="00236418">
        <w:br w:type="page"/>
      </w:r>
    </w:p>
    <w:p w14:paraId="6A9EA432" w14:textId="77777777" w:rsidR="00862C6F" w:rsidRPr="00236418" w:rsidRDefault="00862C6F" w:rsidP="00862C6F">
      <w:pPr>
        <w:rPr>
          <w:sz w:val="2"/>
          <w:szCs w:val="2"/>
        </w:rPr>
      </w:pPr>
      <w:bookmarkStart w:id="2886" w:name="_Toc395260974"/>
      <w:bookmarkStart w:id="2887" w:name="_Toc395261109"/>
      <w:bookmarkStart w:id="2888" w:name="_Toc395511759"/>
      <w:bookmarkStart w:id="2889" w:name="_Toc452138672"/>
      <w:bookmarkStart w:id="2890" w:name="_Toc452139121"/>
      <w:bookmarkStart w:id="2891" w:name="_Toc482888050"/>
      <w:bookmarkStart w:id="2892" w:name="_Toc482888393"/>
      <w:bookmarkStart w:id="2893" w:name="_Toc511736686"/>
    </w:p>
    <w:p w14:paraId="630DF37E" w14:textId="77777777" w:rsidR="00862C6F" w:rsidRPr="00236418" w:rsidRDefault="00862C6F" w:rsidP="00E1454F">
      <w:pPr>
        <w:pStyle w:val="AnnexNo"/>
      </w:pPr>
      <w:bookmarkStart w:id="2894" w:name="_Toc10450812"/>
      <w:bookmarkStart w:id="2895" w:name="_Toc41815001"/>
      <w:r w:rsidRPr="00236418">
        <w:t>ANNEXE A</w:t>
      </w:r>
      <w:bookmarkEnd w:id="2886"/>
      <w:bookmarkEnd w:id="2887"/>
      <w:bookmarkEnd w:id="2888"/>
      <w:bookmarkEnd w:id="2889"/>
      <w:bookmarkEnd w:id="2890"/>
      <w:bookmarkEnd w:id="2891"/>
      <w:bookmarkEnd w:id="2892"/>
      <w:bookmarkEnd w:id="2893"/>
      <w:bookmarkEnd w:id="2894"/>
      <w:bookmarkEnd w:id="2895"/>
    </w:p>
    <w:p w14:paraId="2943271B" w14:textId="77777777" w:rsidR="00862C6F" w:rsidRPr="00236418" w:rsidRDefault="00862C6F" w:rsidP="00862C6F">
      <w:pPr>
        <w:spacing w:before="720"/>
        <w:jc w:val="center"/>
        <w:rPr>
          <w:caps/>
          <w:sz w:val="28"/>
          <w:highlight w:val="cyan"/>
        </w:rPr>
      </w:pPr>
      <w:bookmarkStart w:id="2896" w:name="_Toc10450813"/>
      <w:r w:rsidRPr="00236418">
        <w:rPr>
          <w:caps/>
          <w:sz w:val="28"/>
        </w:rPr>
        <w:t>projet de résolution</w:t>
      </w:r>
      <w:bookmarkEnd w:id="2896"/>
    </w:p>
    <w:p w14:paraId="103FF3BB" w14:textId="77777777" w:rsidR="00862C6F" w:rsidRPr="00236418" w:rsidRDefault="00862C6F" w:rsidP="00862C6F">
      <w:pPr>
        <w:spacing w:before="240" w:after="480"/>
        <w:jc w:val="center"/>
        <w:rPr>
          <w:b/>
          <w:sz w:val="28"/>
          <w:highlight w:val="yellow"/>
        </w:rPr>
      </w:pPr>
      <w:bookmarkStart w:id="2897" w:name="_Toc423505539"/>
      <w:bookmarkStart w:id="2898" w:name="_Toc423505809"/>
      <w:bookmarkStart w:id="2899" w:name="_Toc423506100"/>
      <w:bookmarkStart w:id="2900" w:name="_Toc423507893"/>
      <w:bookmarkStart w:id="2901" w:name="_Toc458425266"/>
      <w:bookmarkStart w:id="2902" w:name="_Toc489534496"/>
      <w:r w:rsidRPr="00236418">
        <w:rPr>
          <w:b/>
          <w:sz w:val="28"/>
        </w:rPr>
        <w:t xml:space="preserve">Rapport de gestion financière pour l'exercice </w:t>
      </w:r>
      <w:bookmarkEnd w:id="2897"/>
      <w:bookmarkEnd w:id="2898"/>
      <w:bookmarkEnd w:id="2899"/>
      <w:bookmarkEnd w:id="2900"/>
      <w:bookmarkEnd w:id="2901"/>
      <w:bookmarkEnd w:id="2902"/>
      <w:r w:rsidRPr="00236418">
        <w:rPr>
          <w:b/>
          <w:sz w:val="28"/>
        </w:rPr>
        <w:t>2019</w:t>
      </w:r>
    </w:p>
    <w:p w14:paraId="0075F3E7" w14:textId="77777777" w:rsidR="00862C6F" w:rsidRPr="00236418" w:rsidRDefault="00862C6F" w:rsidP="00862C6F">
      <w:pPr>
        <w:spacing w:before="360"/>
        <w:rPr>
          <w:szCs w:val="24"/>
        </w:rPr>
      </w:pPr>
      <w:r w:rsidRPr="00236418">
        <w:rPr>
          <w:szCs w:val="24"/>
        </w:rPr>
        <w:t xml:space="preserve">Le </w:t>
      </w:r>
      <w:r w:rsidRPr="00236418">
        <w:t>Conseil</w:t>
      </w:r>
      <w:r w:rsidRPr="00236418">
        <w:rPr>
          <w:szCs w:val="24"/>
        </w:rPr>
        <w:t>,</w:t>
      </w:r>
    </w:p>
    <w:p w14:paraId="481A836A" w14:textId="77777777" w:rsidR="00862C6F" w:rsidRPr="00236418" w:rsidRDefault="00862C6F" w:rsidP="00862C6F">
      <w:pPr>
        <w:keepNext/>
        <w:keepLines/>
        <w:tabs>
          <w:tab w:val="clear" w:pos="1134"/>
          <w:tab w:val="clear" w:pos="1701"/>
          <w:tab w:val="clear" w:pos="2268"/>
          <w:tab w:val="clear" w:pos="2835"/>
        </w:tabs>
        <w:spacing w:before="160"/>
        <w:ind w:left="567"/>
        <w:rPr>
          <w:i/>
        </w:rPr>
      </w:pPr>
      <w:r w:rsidRPr="00236418">
        <w:rPr>
          <w:i/>
        </w:rPr>
        <w:t>vu</w:t>
      </w:r>
    </w:p>
    <w:p w14:paraId="3C305094" w14:textId="77777777" w:rsidR="00862C6F" w:rsidRPr="00236418" w:rsidRDefault="00862C6F" w:rsidP="00862C6F">
      <w:r w:rsidRPr="00236418">
        <w:t xml:space="preserve">le </w:t>
      </w:r>
      <w:hyperlink r:id="rId56" w:history="1">
        <w:r w:rsidRPr="00236418">
          <w:rPr>
            <w:color w:val="0000FF"/>
            <w:u w:val="single"/>
          </w:rPr>
          <w:t>numéro 101</w:t>
        </w:r>
      </w:hyperlink>
      <w:r w:rsidRPr="00236418">
        <w:t xml:space="preserve"> de la Convention de l'Union internationale des télécommunications et </w:t>
      </w:r>
      <w:hyperlink r:id="rId57" w:history="1">
        <w:r w:rsidRPr="00236418">
          <w:t>l'</w:t>
        </w:r>
        <w:r w:rsidRPr="00236418">
          <w:rPr>
            <w:color w:val="0000FF"/>
            <w:u w:val="single"/>
          </w:rPr>
          <w:t>Article 30</w:t>
        </w:r>
        <w:r w:rsidRPr="00236418">
          <w:rPr>
            <w:color w:val="0000FF"/>
          </w:rPr>
          <w:t> </w:t>
        </w:r>
      </w:hyperlink>
      <w:r w:rsidRPr="00236418">
        <w:t>du Règlement financier de l'Union,</w:t>
      </w:r>
    </w:p>
    <w:p w14:paraId="248FFF41" w14:textId="77777777" w:rsidR="00862C6F" w:rsidRPr="00236418" w:rsidRDefault="00862C6F" w:rsidP="00862C6F">
      <w:pPr>
        <w:keepNext/>
        <w:keepLines/>
        <w:tabs>
          <w:tab w:val="clear" w:pos="1134"/>
          <w:tab w:val="clear" w:pos="1701"/>
          <w:tab w:val="clear" w:pos="2268"/>
          <w:tab w:val="clear" w:pos="2835"/>
        </w:tabs>
        <w:spacing w:before="160"/>
        <w:ind w:left="567"/>
        <w:rPr>
          <w:i/>
        </w:rPr>
      </w:pPr>
      <w:r w:rsidRPr="00236418">
        <w:rPr>
          <w:i/>
        </w:rPr>
        <w:t>ayant examiné</w:t>
      </w:r>
    </w:p>
    <w:p w14:paraId="43403103" w14:textId="77777777" w:rsidR="00862C6F" w:rsidRPr="00236418" w:rsidRDefault="00862C6F" w:rsidP="00862C6F">
      <w:r w:rsidRPr="00236418">
        <w:t>le Rapport de gestion financière pour l'exercice financier 2019 portant sur les comptes vérifiés de l'exercice financier 2019 du Budget de l'Union ainsi que la position des comptes TELECOM de 2019, les comptes vérifiés 2019 pour les projets de coopération technique, les contributions volontaires et la Caisse d'assurance du personnel de l'UIT,</w:t>
      </w:r>
    </w:p>
    <w:p w14:paraId="10A5161C" w14:textId="77777777" w:rsidR="00862C6F" w:rsidRPr="00236418" w:rsidRDefault="00862C6F" w:rsidP="00862C6F">
      <w:pPr>
        <w:keepNext/>
        <w:keepLines/>
        <w:tabs>
          <w:tab w:val="clear" w:pos="1134"/>
          <w:tab w:val="clear" w:pos="1701"/>
          <w:tab w:val="clear" w:pos="2268"/>
          <w:tab w:val="clear" w:pos="2835"/>
        </w:tabs>
        <w:spacing w:before="160"/>
        <w:ind w:left="567"/>
        <w:rPr>
          <w:i/>
        </w:rPr>
      </w:pPr>
      <w:r w:rsidRPr="00236418">
        <w:rPr>
          <w:i/>
        </w:rPr>
        <w:t>et ayant noté</w:t>
      </w:r>
    </w:p>
    <w:p w14:paraId="284DF7BB" w14:textId="77777777" w:rsidR="00862C6F" w:rsidRPr="00236418" w:rsidRDefault="00862C6F" w:rsidP="00862C6F">
      <w:r w:rsidRPr="00236418">
        <w:t>que les rapports du Vérificateur extérieur des comptes de l'Union sont présentés dans le </w:t>
      </w:r>
      <w:hyperlink r:id="rId58" w:history="1">
        <w:r w:rsidRPr="00236418">
          <w:rPr>
            <w:color w:val="0000FF"/>
            <w:u w:val="single"/>
          </w:rPr>
          <w:t>Document C20/40</w:t>
        </w:r>
      </w:hyperlink>
      <w:r w:rsidRPr="00236418">
        <w:t>,</w:t>
      </w:r>
    </w:p>
    <w:p w14:paraId="52258651" w14:textId="77777777" w:rsidR="00862C6F" w:rsidRPr="00236418" w:rsidRDefault="00862C6F" w:rsidP="00862C6F">
      <w:pPr>
        <w:keepNext/>
        <w:keepLines/>
        <w:tabs>
          <w:tab w:val="clear" w:pos="1134"/>
          <w:tab w:val="clear" w:pos="1701"/>
          <w:tab w:val="clear" w:pos="2268"/>
          <w:tab w:val="clear" w:pos="2835"/>
        </w:tabs>
        <w:spacing w:before="160"/>
        <w:ind w:left="567"/>
        <w:rPr>
          <w:i/>
        </w:rPr>
      </w:pPr>
      <w:r w:rsidRPr="00236418">
        <w:rPr>
          <w:i/>
        </w:rPr>
        <w:t>décide</w:t>
      </w:r>
    </w:p>
    <w:p w14:paraId="049EB2E9" w14:textId="73A7A5BE" w:rsidR="00862C6F" w:rsidRPr="00236418" w:rsidRDefault="00862C6F" w:rsidP="00862C6F">
      <w:r w:rsidRPr="00236418">
        <w:t>d'approuver le Rapport de gestion financière pour l'exercice financier 2019 (</w:t>
      </w:r>
      <w:hyperlink r:id="rId59" w:history="1">
        <w:r w:rsidRPr="00236418">
          <w:rPr>
            <w:rStyle w:val="Hyperlink"/>
          </w:rPr>
          <w:t>Document</w:t>
        </w:r>
        <w:r w:rsidR="000C0CC6" w:rsidRPr="00236418">
          <w:rPr>
            <w:rStyle w:val="Hyperlink"/>
          </w:rPr>
          <w:t> </w:t>
        </w:r>
        <w:r w:rsidRPr="00236418">
          <w:rPr>
            <w:rStyle w:val="Hyperlink"/>
          </w:rPr>
          <w:t>C20/42</w:t>
        </w:r>
        <w:r w:rsidR="00C20A3A" w:rsidRPr="00236418">
          <w:rPr>
            <w:rStyle w:val="Hyperlink"/>
          </w:rPr>
          <w:t>(Rév.1)</w:t>
        </w:r>
      </w:hyperlink>
      <w:r w:rsidRPr="00236418">
        <w:t>) portant sur les comptes vérifiés de l'Union, la position des comptes TELECOM de 2019 ainsi que les comptes 2019 vérifiés pour les projets de coopération technique, les contributions volontaires et la Caisse d'assurance du personnel de l'UIT.</w:t>
      </w:r>
    </w:p>
    <w:p w14:paraId="5742542F" w14:textId="77777777" w:rsidR="00862C6F" w:rsidRPr="00236418" w:rsidRDefault="00862C6F" w:rsidP="00862C6F"/>
    <w:p w14:paraId="26A46A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0C87A89D" w14:textId="77777777" w:rsidR="00862C6F" w:rsidRPr="00236418" w:rsidRDefault="00862C6F" w:rsidP="00862C6F">
      <w:pPr>
        <w:rPr>
          <w:sz w:val="2"/>
          <w:szCs w:val="2"/>
        </w:rPr>
      </w:pPr>
    </w:p>
    <w:p w14:paraId="4B5C4CDA" w14:textId="77777777" w:rsidR="00862C6F" w:rsidRPr="00236418" w:rsidRDefault="00862C6F" w:rsidP="00E1454F">
      <w:pPr>
        <w:pStyle w:val="AnnexNo"/>
      </w:pPr>
      <w:bookmarkStart w:id="2903" w:name="_Toc10450814"/>
      <w:bookmarkStart w:id="2904" w:name="_Toc41815002"/>
      <w:r w:rsidRPr="00236418">
        <w:t>ANNEXE B1</w:t>
      </w:r>
      <w:bookmarkEnd w:id="2903"/>
      <w:bookmarkEnd w:id="2904"/>
    </w:p>
    <w:p w14:paraId="2EFD1B6B" w14:textId="77777777" w:rsidR="00862C6F" w:rsidRPr="00236418" w:rsidRDefault="00862C6F" w:rsidP="00862C6F">
      <w:pPr>
        <w:spacing w:after="120"/>
        <w:jc w:val="center"/>
        <w:rPr>
          <w:b/>
          <w:sz w:val="28"/>
        </w:rPr>
      </w:pPr>
      <w:r w:rsidRPr="00236418">
        <w:rPr>
          <w:b/>
          <w:sz w:val="28"/>
        </w:rPr>
        <w:t>Budget ordinaire</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r Budget"/>
      </w:tblPr>
      <w:tblGrid>
        <w:gridCol w:w="3681"/>
        <w:gridCol w:w="1134"/>
        <w:gridCol w:w="1276"/>
        <w:gridCol w:w="1276"/>
        <w:gridCol w:w="1107"/>
        <w:gridCol w:w="1392"/>
        <w:gridCol w:w="1248"/>
      </w:tblGrid>
      <w:tr w:rsidR="00862C6F" w:rsidRPr="00236418" w14:paraId="491E8C5A" w14:textId="77777777" w:rsidTr="00620F53">
        <w:trPr>
          <w:jc w:val="center"/>
        </w:trPr>
        <w:tc>
          <w:tcPr>
            <w:tcW w:w="3681" w:type="dxa"/>
            <w:vMerge w:val="restart"/>
            <w:tcMar>
              <w:left w:w="57" w:type="dxa"/>
              <w:right w:w="57" w:type="dxa"/>
            </w:tcMar>
            <w:vAlign w:val="center"/>
          </w:tcPr>
          <w:p w14:paraId="3F1191A4"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rPr>
              <w:t>Produits</w:t>
            </w:r>
          </w:p>
        </w:tc>
        <w:tc>
          <w:tcPr>
            <w:tcW w:w="4793" w:type="dxa"/>
            <w:gridSpan w:val="4"/>
          </w:tcPr>
          <w:p w14:paraId="200D1C25"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rPr>
              <w:t>Montants budgétés</w:t>
            </w:r>
          </w:p>
        </w:tc>
        <w:tc>
          <w:tcPr>
            <w:tcW w:w="1392" w:type="dxa"/>
            <w:vMerge w:val="restart"/>
            <w:tcMar>
              <w:left w:w="57" w:type="dxa"/>
              <w:right w:w="57" w:type="dxa"/>
            </w:tcMar>
            <w:vAlign w:val="center"/>
          </w:tcPr>
          <w:p w14:paraId="31FD6992"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rPr>
              <w:t>Montants</w:t>
            </w:r>
            <w:r w:rsidRPr="00236418">
              <w:rPr>
                <w:b/>
                <w:sz w:val="20"/>
              </w:rPr>
              <w:br/>
              <w:t>effectifs</w:t>
            </w:r>
          </w:p>
        </w:tc>
        <w:tc>
          <w:tcPr>
            <w:tcW w:w="1248" w:type="dxa"/>
            <w:vMerge w:val="restart"/>
            <w:tcMar>
              <w:left w:w="57" w:type="dxa"/>
              <w:right w:w="57" w:type="dxa"/>
            </w:tcMar>
            <w:vAlign w:val="center"/>
          </w:tcPr>
          <w:p w14:paraId="61C7CD5E"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rPr>
              <w:t>Différence entre budget final et montants effectifs</w:t>
            </w:r>
          </w:p>
        </w:tc>
      </w:tr>
      <w:tr w:rsidR="00862C6F" w:rsidRPr="00236418" w14:paraId="065B7BC2" w14:textId="77777777" w:rsidTr="00620F53">
        <w:trPr>
          <w:jc w:val="center"/>
        </w:trPr>
        <w:tc>
          <w:tcPr>
            <w:tcW w:w="3681" w:type="dxa"/>
            <w:vMerge/>
            <w:tcMar>
              <w:left w:w="57" w:type="dxa"/>
              <w:right w:w="57" w:type="dxa"/>
            </w:tcMar>
            <w:vAlign w:val="center"/>
          </w:tcPr>
          <w:p w14:paraId="33FB468B"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p>
        </w:tc>
        <w:tc>
          <w:tcPr>
            <w:tcW w:w="1134" w:type="dxa"/>
            <w:tcMar>
              <w:left w:w="57" w:type="dxa"/>
              <w:right w:w="57" w:type="dxa"/>
            </w:tcMar>
            <w:vAlign w:val="center"/>
          </w:tcPr>
          <w:p w14:paraId="49CE00E9"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rPr>
            </w:pPr>
            <w:r w:rsidRPr="00236418">
              <w:rPr>
                <w:b/>
                <w:sz w:val="20"/>
              </w:rPr>
              <w:t>Budget</w:t>
            </w:r>
          </w:p>
          <w:p w14:paraId="7F05D03E"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rPr>
              <w:t>initial</w:t>
            </w:r>
          </w:p>
        </w:tc>
        <w:tc>
          <w:tcPr>
            <w:tcW w:w="1276" w:type="dxa"/>
            <w:vAlign w:val="center"/>
          </w:tcPr>
          <w:p w14:paraId="1D12E66B" w14:textId="77777777" w:rsidR="00862C6F" w:rsidRPr="00236418" w:rsidRDefault="00862C6F" w:rsidP="00862C6F">
            <w:pPr>
              <w:tabs>
                <w:tab w:val="clear" w:pos="567"/>
                <w:tab w:val="clear" w:pos="1134"/>
                <w:tab w:val="clear" w:pos="1701"/>
                <w:tab w:val="clear" w:pos="2268"/>
                <w:tab w:val="clear" w:pos="2835"/>
              </w:tabs>
              <w:spacing w:before="20" w:after="20"/>
              <w:jc w:val="center"/>
              <w:rPr>
                <w:rFonts w:asciiTheme="minorHAnsi" w:hAnsiTheme="minorHAnsi"/>
                <w:b/>
                <w:sz w:val="20"/>
              </w:rPr>
            </w:pPr>
            <w:r w:rsidRPr="00236418">
              <w:rPr>
                <w:rFonts w:asciiTheme="minorHAnsi" w:hAnsiTheme="minorHAnsi" w:cs="Arial"/>
                <w:b/>
                <w:bCs/>
                <w:color w:val="000000"/>
                <w:sz w:val="20"/>
                <w:lang w:eastAsia="zh-CN"/>
              </w:rPr>
              <w:t>Activités reportées</w:t>
            </w:r>
          </w:p>
        </w:tc>
        <w:tc>
          <w:tcPr>
            <w:tcW w:w="1276" w:type="dxa"/>
            <w:tcMar>
              <w:left w:w="57" w:type="dxa"/>
              <w:right w:w="57" w:type="dxa"/>
            </w:tcMar>
            <w:vAlign w:val="center"/>
          </w:tcPr>
          <w:p w14:paraId="791E4F24"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rPr>
              <w:t>Transferts budgétaires</w:t>
            </w:r>
          </w:p>
        </w:tc>
        <w:tc>
          <w:tcPr>
            <w:tcW w:w="1107" w:type="dxa"/>
            <w:tcMar>
              <w:left w:w="57" w:type="dxa"/>
              <w:right w:w="57" w:type="dxa"/>
            </w:tcMar>
            <w:vAlign w:val="center"/>
          </w:tcPr>
          <w:p w14:paraId="1ACF01BB"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lang w:eastAsia="fr-FR"/>
              </w:rPr>
              <w:t>Budget final</w:t>
            </w:r>
          </w:p>
        </w:tc>
        <w:tc>
          <w:tcPr>
            <w:tcW w:w="1392" w:type="dxa"/>
            <w:vMerge/>
            <w:tcMar>
              <w:left w:w="57" w:type="dxa"/>
              <w:right w:w="57" w:type="dxa"/>
            </w:tcMar>
            <w:vAlign w:val="center"/>
          </w:tcPr>
          <w:p w14:paraId="12821AE8"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p>
        </w:tc>
        <w:tc>
          <w:tcPr>
            <w:tcW w:w="1248" w:type="dxa"/>
            <w:vMerge/>
            <w:tcMar>
              <w:left w:w="57" w:type="dxa"/>
              <w:right w:w="57" w:type="dxa"/>
            </w:tcMar>
            <w:vAlign w:val="center"/>
          </w:tcPr>
          <w:p w14:paraId="244F040F"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p>
        </w:tc>
      </w:tr>
      <w:tr w:rsidR="00862C6F" w:rsidRPr="00236418" w14:paraId="4BAC1D8C" w14:textId="77777777" w:rsidTr="00620F53">
        <w:trPr>
          <w:jc w:val="center"/>
        </w:trPr>
        <w:tc>
          <w:tcPr>
            <w:tcW w:w="3681" w:type="dxa"/>
            <w:vMerge/>
            <w:tcBorders>
              <w:bottom w:val="single" w:sz="4" w:space="0" w:color="auto"/>
            </w:tcBorders>
            <w:tcMar>
              <w:left w:w="57" w:type="dxa"/>
              <w:right w:w="57" w:type="dxa"/>
            </w:tcMar>
            <w:vAlign w:val="center"/>
          </w:tcPr>
          <w:p w14:paraId="7EA77FD0"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p>
        </w:tc>
        <w:tc>
          <w:tcPr>
            <w:tcW w:w="1134" w:type="dxa"/>
            <w:tcBorders>
              <w:bottom w:val="single" w:sz="4" w:space="0" w:color="auto"/>
            </w:tcBorders>
            <w:tcMar>
              <w:left w:w="57" w:type="dxa"/>
              <w:right w:w="57" w:type="dxa"/>
            </w:tcMar>
            <w:vAlign w:val="center"/>
          </w:tcPr>
          <w:p w14:paraId="7ADF538F"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lang w:eastAsia="fr-FR"/>
              </w:rPr>
              <w:t>31.12.2019</w:t>
            </w:r>
          </w:p>
        </w:tc>
        <w:tc>
          <w:tcPr>
            <w:tcW w:w="1276" w:type="dxa"/>
            <w:tcBorders>
              <w:bottom w:val="single" w:sz="4" w:space="0" w:color="auto"/>
            </w:tcBorders>
          </w:tcPr>
          <w:p w14:paraId="64957EAC"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lang w:eastAsia="fr-FR"/>
              </w:rPr>
              <w:t>31.12.2019</w:t>
            </w:r>
          </w:p>
        </w:tc>
        <w:tc>
          <w:tcPr>
            <w:tcW w:w="1276" w:type="dxa"/>
            <w:tcBorders>
              <w:bottom w:val="single" w:sz="4" w:space="0" w:color="auto"/>
            </w:tcBorders>
            <w:tcMar>
              <w:left w:w="57" w:type="dxa"/>
              <w:right w:w="57" w:type="dxa"/>
            </w:tcMar>
            <w:vAlign w:val="center"/>
          </w:tcPr>
          <w:p w14:paraId="562971B6"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lang w:eastAsia="fr-FR"/>
              </w:rPr>
              <w:t>31.12.2019</w:t>
            </w:r>
          </w:p>
        </w:tc>
        <w:tc>
          <w:tcPr>
            <w:tcW w:w="1107" w:type="dxa"/>
            <w:tcBorders>
              <w:bottom w:val="single" w:sz="4" w:space="0" w:color="auto"/>
            </w:tcBorders>
            <w:tcMar>
              <w:left w:w="57" w:type="dxa"/>
              <w:right w:w="57" w:type="dxa"/>
            </w:tcMar>
            <w:vAlign w:val="center"/>
          </w:tcPr>
          <w:p w14:paraId="0EFC3C2C"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lang w:eastAsia="fr-FR"/>
              </w:rPr>
              <w:t>31.12.2019</w:t>
            </w:r>
          </w:p>
        </w:tc>
        <w:tc>
          <w:tcPr>
            <w:tcW w:w="1392" w:type="dxa"/>
            <w:tcBorders>
              <w:bottom w:val="single" w:sz="4" w:space="0" w:color="auto"/>
            </w:tcBorders>
            <w:tcMar>
              <w:left w:w="57" w:type="dxa"/>
              <w:right w:w="57" w:type="dxa"/>
            </w:tcMar>
            <w:vAlign w:val="center"/>
          </w:tcPr>
          <w:p w14:paraId="7D9D0A6B"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lang w:eastAsia="fr-FR"/>
              </w:rPr>
              <w:t>31.12.2019</w:t>
            </w:r>
          </w:p>
        </w:tc>
        <w:tc>
          <w:tcPr>
            <w:tcW w:w="1248" w:type="dxa"/>
            <w:tcBorders>
              <w:bottom w:val="single" w:sz="4" w:space="0" w:color="auto"/>
            </w:tcBorders>
            <w:tcMar>
              <w:left w:w="57" w:type="dxa"/>
              <w:right w:w="57" w:type="dxa"/>
            </w:tcMar>
            <w:vAlign w:val="center"/>
          </w:tcPr>
          <w:p w14:paraId="0CA5B20C"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lang w:eastAsia="fr-FR"/>
              </w:rPr>
            </w:pPr>
            <w:r w:rsidRPr="00236418">
              <w:rPr>
                <w:b/>
                <w:sz w:val="20"/>
                <w:lang w:eastAsia="fr-FR"/>
              </w:rPr>
              <w:t>31.12.2019</w:t>
            </w:r>
          </w:p>
        </w:tc>
      </w:tr>
      <w:tr w:rsidR="00862C6F" w:rsidRPr="00236418" w14:paraId="22806D2B" w14:textId="77777777" w:rsidTr="00620F53">
        <w:trPr>
          <w:jc w:val="center"/>
        </w:trPr>
        <w:tc>
          <w:tcPr>
            <w:tcW w:w="3681" w:type="dxa"/>
            <w:tcBorders>
              <w:bottom w:val="nil"/>
            </w:tcBorders>
            <w:tcMar>
              <w:left w:w="57" w:type="dxa"/>
              <w:right w:w="57" w:type="dxa"/>
            </w:tcMar>
            <w:vAlign w:val="bottom"/>
          </w:tcPr>
          <w:p w14:paraId="24F65DA0"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Contributions mises en recouvrement des États Membres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1A728DD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106 292 </w:t>
            </w:r>
          </w:p>
        </w:tc>
        <w:tc>
          <w:tcPr>
            <w:tcW w:w="1276" w:type="dxa"/>
            <w:tcBorders>
              <w:top w:val="nil"/>
              <w:left w:val="nil"/>
              <w:bottom w:val="nil"/>
              <w:right w:val="single" w:sz="4" w:space="0" w:color="auto"/>
            </w:tcBorders>
            <w:shd w:val="clear" w:color="auto" w:fill="auto"/>
            <w:vAlign w:val="center"/>
          </w:tcPr>
          <w:p w14:paraId="37B7DB8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236D97E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3E68FB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106 292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5C83E4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109 869</w:t>
            </w:r>
          </w:p>
        </w:tc>
        <w:tc>
          <w:tcPr>
            <w:tcW w:w="1248" w:type="dxa"/>
            <w:tcBorders>
              <w:top w:val="nil"/>
              <w:left w:val="nil"/>
              <w:bottom w:val="nil"/>
              <w:right w:val="single" w:sz="4" w:space="0" w:color="auto"/>
            </w:tcBorders>
            <w:shd w:val="clear" w:color="auto" w:fill="auto"/>
            <w:tcMar>
              <w:left w:w="57" w:type="dxa"/>
              <w:right w:w="57" w:type="dxa"/>
            </w:tcMar>
            <w:vAlign w:val="center"/>
          </w:tcPr>
          <w:p w14:paraId="4AEDDE9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3 577 </w:t>
            </w:r>
          </w:p>
        </w:tc>
      </w:tr>
      <w:tr w:rsidR="00862C6F" w:rsidRPr="00236418" w14:paraId="7B44A0A4" w14:textId="77777777" w:rsidTr="00620F53">
        <w:trPr>
          <w:jc w:val="center"/>
        </w:trPr>
        <w:tc>
          <w:tcPr>
            <w:tcW w:w="3681" w:type="dxa"/>
            <w:tcBorders>
              <w:top w:val="nil"/>
              <w:bottom w:val="nil"/>
            </w:tcBorders>
            <w:tcMar>
              <w:left w:w="57" w:type="dxa"/>
              <w:right w:w="57" w:type="dxa"/>
            </w:tcMar>
            <w:vAlign w:val="bottom"/>
          </w:tcPr>
          <w:p w14:paraId="33E8D434"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Contributions mises en recouvrement des Membres de Secteur</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0621909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15 875 </w:t>
            </w:r>
          </w:p>
        </w:tc>
        <w:tc>
          <w:tcPr>
            <w:tcW w:w="1276" w:type="dxa"/>
            <w:tcBorders>
              <w:top w:val="nil"/>
              <w:left w:val="nil"/>
              <w:bottom w:val="nil"/>
              <w:right w:val="single" w:sz="4" w:space="0" w:color="auto"/>
            </w:tcBorders>
            <w:shd w:val="clear" w:color="auto" w:fill="auto"/>
            <w:vAlign w:val="center"/>
          </w:tcPr>
          <w:p w14:paraId="50B549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55C7E5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70CBBDF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15 875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534367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14 173</w:t>
            </w:r>
          </w:p>
        </w:tc>
        <w:tc>
          <w:tcPr>
            <w:tcW w:w="1248" w:type="dxa"/>
            <w:tcBorders>
              <w:top w:val="nil"/>
              <w:left w:val="nil"/>
              <w:bottom w:val="nil"/>
              <w:right w:val="single" w:sz="4" w:space="0" w:color="auto"/>
            </w:tcBorders>
            <w:shd w:val="clear" w:color="auto" w:fill="auto"/>
            <w:tcMar>
              <w:left w:w="57" w:type="dxa"/>
              <w:right w:w="57" w:type="dxa"/>
            </w:tcMar>
            <w:vAlign w:val="center"/>
          </w:tcPr>
          <w:p w14:paraId="5BE8565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–1 702 </w:t>
            </w:r>
          </w:p>
        </w:tc>
      </w:tr>
      <w:tr w:rsidR="00862C6F" w:rsidRPr="00236418" w14:paraId="1AA8AECF" w14:textId="77777777" w:rsidTr="00620F53">
        <w:trPr>
          <w:jc w:val="center"/>
        </w:trPr>
        <w:tc>
          <w:tcPr>
            <w:tcW w:w="3681" w:type="dxa"/>
            <w:tcBorders>
              <w:top w:val="nil"/>
              <w:bottom w:val="nil"/>
            </w:tcBorders>
            <w:tcMar>
              <w:left w:w="57" w:type="dxa"/>
              <w:right w:w="57" w:type="dxa"/>
            </w:tcMar>
            <w:vAlign w:val="bottom"/>
          </w:tcPr>
          <w:p w14:paraId="12D3A266"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Contributions mises en recouvrement des Associés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5C09EF6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1 955 </w:t>
            </w:r>
          </w:p>
        </w:tc>
        <w:tc>
          <w:tcPr>
            <w:tcW w:w="1276" w:type="dxa"/>
            <w:tcBorders>
              <w:top w:val="nil"/>
              <w:left w:val="nil"/>
              <w:bottom w:val="nil"/>
              <w:right w:val="single" w:sz="4" w:space="0" w:color="auto"/>
            </w:tcBorders>
            <w:shd w:val="clear" w:color="auto" w:fill="auto"/>
            <w:vAlign w:val="center"/>
          </w:tcPr>
          <w:p w14:paraId="0432462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17B9B95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4B08AF9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1 955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27447A3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2 054 </w:t>
            </w:r>
          </w:p>
        </w:tc>
        <w:tc>
          <w:tcPr>
            <w:tcW w:w="1248" w:type="dxa"/>
            <w:tcBorders>
              <w:top w:val="nil"/>
              <w:left w:val="nil"/>
              <w:bottom w:val="nil"/>
              <w:right w:val="single" w:sz="4" w:space="0" w:color="auto"/>
            </w:tcBorders>
            <w:shd w:val="clear" w:color="auto" w:fill="auto"/>
            <w:tcMar>
              <w:left w:w="57" w:type="dxa"/>
              <w:right w:w="57" w:type="dxa"/>
            </w:tcMar>
            <w:vAlign w:val="center"/>
          </w:tcPr>
          <w:p w14:paraId="091235D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99 </w:t>
            </w:r>
          </w:p>
        </w:tc>
      </w:tr>
      <w:tr w:rsidR="00862C6F" w:rsidRPr="00236418" w14:paraId="08E9A2C3" w14:textId="77777777" w:rsidTr="00620F53">
        <w:trPr>
          <w:jc w:val="center"/>
        </w:trPr>
        <w:tc>
          <w:tcPr>
            <w:tcW w:w="3681" w:type="dxa"/>
            <w:tcBorders>
              <w:top w:val="nil"/>
              <w:bottom w:val="nil"/>
            </w:tcBorders>
            <w:tcMar>
              <w:left w:w="57" w:type="dxa"/>
              <w:right w:w="57" w:type="dxa"/>
            </w:tcMar>
            <w:vAlign w:val="bottom"/>
          </w:tcPr>
          <w:p w14:paraId="54470108"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Contributions mises en recouvrement des établissements universitaires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42FF74D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279 </w:t>
            </w:r>
          </w:p>
        </w:tc>
        <w:tc>
          <w:tcPr>
            <w:tcW w:w="1276" w:type="dxa"/>
            <w:tcBorders>
              <w:top w:val="nil"/>
              <w:left w:val="nil"/>
              <w:bottom w:val="nil"/>
              <w:right w:val="single" w:sz="4" w:space="0" w:color="auto"/>
            </w:tcBorders>
            <w:shd w:val="clear" w:color="auto" w:fill="auto"/>
            <w:vAlign w:val="center"/>
          </w:tcPr>
          <w:p w14:paraId="5D3202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62A6CE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3452E25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279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6AC1FF3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390 </w:t>
            </w:r>
          </w:p>
        </w:tc>
        <w:tc>
          <w:tcPr>
            <w:tcW w:w="1248" w:type="dxa"/>
            <w:tcBorders>
              <w:top w:val="nil"/>
              <w:left w:val="nil"/>
              <w:bottom w:val="nil"/>
              <w:right w:val="single" w:sz="4" w:space="0" w:color="auto"/>
            </w:tcBorders>
            <w:shd w:val="clear" w:color="auto" w:fill="auto"/>
            <w:tcMar>
              <w:left w:w="57" w:type="dxa"/>
              <w:right w:w="57" w:type="dxa"/>
            </w:tcMar>
            <w:vAlign w:val="center"/>
          </w:tcPr>
          <w:p w14:paraId="2F69CCF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111 </w:t>
            </w:r>
          </w:p>
        </w:tc>
      </w:tr>
      <w:tr w:rsidR="00862C6F" w:rsidRPr="00236418" w14:paraId="704AACAF" w14:textId="77777777" w:rsidTr="00620F53">
        <w:trPr>
          <w:jc w:val="center"/>
        </w:trPr>
        <w:tc>
          <w:tcPr>
            <w:tcW w:w="3681" w:type="dxa"/>
            <w:tcBorders>
              <w:top w:val="nil"/>
            </w:tcBorders>
            <w:tcMar>
              <w:left w:w="57" w:type="dxa"/>
              <w:right w:w="57" w:type="dxa"/>
            </w:tcMar>
            <w:vAlign w:val="bottom"/>
          </w:tcPr>
          <w:p w14:paraId="0615C3B2"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Contributions pour les conférences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0C0147A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vAlign w:val="center"/>
          </w:tcPr>
          <w:p w14:paraId="2825954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44DD6C1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7D885B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733AE44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w:t>
            </w:r>
          </w:p>
        </w:tc>
        <w:tc>
          <w:tcPr>
            <w:tcW w:w="1248" w:type="dxa"/>
            <w:tcBorders>
              <w:top w:val="nil"/>
              <w:left w:val="nil"/>
              <w:bottom w:val="nil"/>
              <w:right w:val="single" w:sz="4" w:space="0" w:color="auto"/>
            </w:tcBorders>
            <w:shd w:val="clear" w:color="auto" w:fill="auto"/>
            <w:tcMar>
              <w:left w:w="57" w:type="dxa"/>
              <w:right w:w="57" w:type="dxa"/>
            </w:tcMar>
            <w:vAlign w:val="center"/>
          </w:tcPr>
          <w:p w14:paraId="3553F0D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w:t>
            </w:r>
          </w:p>
        </w:tc>
      </w:tr>
      <w:tr w:rsidR="00862C6F" w:rsidRPr="00236418" w14:paraId="73D9138F" w14:textId="77777777" w:rsidTr="00620F53">
        <w:trPr>
          <w:jc w:val="center"/>
        </w:trPr>
        <w:tc>
          <w:tcPr>
            <w:tcW w:w="3681" w:type="dxa"/>
            <w:tcBorders>
              <w:bottom w:val="single" w:sz="4" w:space="0" w:color="auto"/>
            </w:tcBorders>
            <w:tcMar>
              <w:left w:w="57" w:type="dxa"/>
              <w:right w:w="57" w:type="dxa"/>
            </w:tcMar>
            <w:vAlign w:val="center"/>
          </w:tcPr>
          <w:p w14:paraId="7BCFB433" w14:textId="77777777" w:rsidR="00862C6F" w:rsidRPr="00236418" w:rsidRDefault="00862C6F" w:rsidP="00862C6F">
            <w:pPr>
              <w:tabs>
                <w:tab w:val="clear" w:pos="567"/>
                <w:tab w:val="clear" w:pos="1134"/>
                <w:tab w:val="clear" w:pos="1701"/>
                <w:tab w:val="clear" w:pos="2268"/>
                <w:tab w:val="clear" w:pos="2835"/>
              </w:tabs>
              <w:spacing w:before="30" w:after="30"/>
              <w:rPr>
                <w:b/>
                <w:bCs/>
                <w:sz w:val="18"/>
                <w:szCs w:val="18"/>
              </w:rPr>
            </w:pPr>
            <w:r w:rsidRPr="00236418">
              <w:rPr>
                <w:b/>
                <w:bCs/>
                <w:sz w:val="18"/>
                <w:szCs w:val="18"/>
              </w:rPr>
              <w:t>Contributions mises en recouvrement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4107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124 401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D641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5915F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51826B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124 401 </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A91E42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126 485 </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9EA129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2 084 </w:t>
            </w:r>
          </w:p>
        </w:tc>
      </w:tr>
      <w:tr w:rsidR="00862C6F" w:rsidRPr="00236418" w14:paraId="3FA3BEAE" w14:textId="77777777" w:rsidTr="00620F53">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69D03ED2"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Dépenses d'appui</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506F1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1 375 </w:t>
            </w:r>
          </w:p>
        </w:tc>
        <w:tc>
          <w:tcPr>
            <w:tcW w:w="1276" w:type="dxa"/>
            <w:tcBorders>
              <w:top w:val="nil"/>
              <w:left w:val="nil"/>
              <w:bottom w:val="nil"/>
              <w:right w:val="single" w:sz="4" w:space="0" w:color="auto"/>
            </w:tcBorders>
            <w:shd w:val="clear" w:color="auto" w:fill="auto"/>
            <w:vAlign w:val="bottom"/>
          </w:tcPr>
          <w:p w14:paraId="2669CF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45B6A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021E20C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1 375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8DC635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415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9DC9DF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–960 </w:t>
            </w:r>
          </w:p>
        </w:tc>
      </w:tr>
      <w:tr w:rsidR="00862C6F" w:rsidRPr="00236418" w14:paraId="0B4E9083"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07D6DF6C"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Ventes des publications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945ED4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19 000 </w:t>
            </w:r>
          </w:p>
        </w:tc>
        <w:tc>
          <w:tcPr>
            <w:tcW w:w="1276" w:type="dxa"/>
            <w:tcBorders>
              <w:top w:val="nil"/>
              <w:left w:val="nil"/>
              <w:bottom w:val="nil"/>
              <w:right w:val="single" w:sz="4" w:space="0" w:color="auto"/>
            </w:tcBorders>
            <w:shd w:val="clear" w:color="auto" w:fill="auto"/>
            <w:vAlign w:val="bottom"/>
          </w:tcPr>
          <w:p w14:paraId="6AAC9B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7ADF0D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A1E8C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19 000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1060A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15 614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3FD28B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–3 386 </w:t>
            </w:r>
          </w:p>
        </w:tc>
      </w:tr>
      <w:tr w:rsidR="00862C6F" w:rsidRPr="00236418" w14:paraId="625A9D93"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600AB8C5"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Numéros UIFN</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165F4CD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500 </w:t>
            </w:r>
          </w:p>
        </w:tc>
        <w:tc>
          <w:tcPr>
            <w:tcW w:w="1276" w:type="dxa"/>
            <w:tcBorders>
              <w:top w:val="nil"/>
              <w:left w:val="nil"/>
              <w:bottom w:val="nil"/>
              <w:right w:val="single" w:sz="4" w:space="0" w:color="auto"/>
            </w:tcBorders>
            <w:shd w:val="clear" w:color="auto" w:fill="auto"/>
            <w:vAlign w:val="bottom"/>
          </w:tcPr>
          <w:p w14:paraId="61137D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3C1224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634C2A9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500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7C0BFE2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131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3215F8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–369 </w:t>
            </w:r>
          </w:p>
        </w:tc>
      </w:tr>
      <w:tr w:rsidR="00862C6F" w:rsidRPr="00236418" w14:paraId="59A74901"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495C0105"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TELECOM</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699FF6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1 500 </w:t>
            </w:r>
          </w:p>
        </w:tc>
        <w:tc>
          <w:tcPr>
            <w:tcW w:w="1276" w:type="dxa"/>
            <w:tcBorders>
              <w:top w:val="nil"/>
              <w:left w:val="nil"/>
              <w:bottom w:val="nil"/>
              <w:right w:val="single" w:sz="4" w:space="0" w:color="auto"/>
            </w:tcBorders>
            <w:shd w:val="clear" w:color="auto" w:fill="auto"/>
            <w:vAlign w:val="bottom"/>
          </w:tcPr>
          <w:p w14:paraId="38CEFC5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77B27C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55D3D7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1 500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50CCC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1 500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46FC57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w:t>
            </w:r>
          </w:p>
        </w:tc>
      </w:tr>
      <w:tr w:rsidR="00862C6F" w:rsidRPr="00236418" w14:paraId="1A8ABC40"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01A8982A"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Recouvrement des coûts – fiches de notification des réseaux à satellite</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BE22CD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14 000 </w:t>
            </w:r>
          </w:p>
        </w:tc>
        <w:tc>
          <w:tcPr>
            <w:tcW w:w="1276" w:type="dxa"/>
            <w:tcBorders>
              <w:top w:val="nil"/>
              <w:left w:val="nil"/>
              <w:bottom w:val="nil"/>
              <w:right w:val="single" w:sz="4" w:space="0" w:color="auto"/>
            </w:tcBorders>
            <w:shd w:val="clear" w:color="auto" w:fill="auto"/>
            <w:vAlign w:val="bottom"/>
          </w:tcPr>
          <w:p w14:paraId="6EDF2D0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02CFC4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77AD9ED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14 000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AB49E7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12 083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E310B4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–1 917 </w:t>
            </w:r>
          </w:p>
        </w:tc>
      </w:tr>
      <w:tr w:rsidR="00862C6F" w:rsidRPr="00236418" w14:paraId="36B3F0AA" w14:textId="77777777" w:rsidTr="00620F53">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576496BA"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rPr>
            </w:pPr>
            <w:r w:rsidRPr="00236418">
              <w:rPr>
                <w:i/>
                <w:iCs/>
                <w:sz w:val="18"/>
                <w:szCs w:val="18"/>
              </w:rPr>
              <w:t>Recouvrement des coûts – autres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8F72F3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vAlign w:val="bottom"/>
          </w:tcPr>
          <w:p w14:paraId="4DDC36E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14337D3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658328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09817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11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5BEE06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11 </w:t>
            </w:r>
          </w:p>
        </w:tc>
      </w:tr>
      <w:tr w:rsidR="00862C6F" w:rsidRPr="00236418" w14:paraId="68218A83" w14:textId="77777777" w:rsidTr="00620F53">
        <w:trPr>
          <w:jc w:val="center"/>
        </w:trPr>
        <w:tc>
          <w:tcPr>
            <w:tcW w:w="36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47F67" w14:textId="77777777" w:rsidR="00862C6F" w:rsidRPr="00236418" w:rsidRDefault="00862C6F" w:rsidP="00862C6F">
            <w:pPr>
              <w:tabs>
                <w:tab w:val="clear" w:pos="567"/>
                <w:tab w:val="clear" w:pos="1134"/>
                <w:tab w:val="clear" w:pos="1701"/>
                <w:tab w:val="clear" w:pos="2268"/>
                <w:tab w:val="clear" w:pos="2835"/>
              </w:tabs>
              <w:spacing w:before="30" w:after="30"/>
              <w:rPr>
                <w:b/>
                <w:bCs/>
                <w:sz w:val="18"/>
                <w:szCs w:val="18"/>
              </w:rPr>
            </w:pPr>
            <w:r w:rsidRPr="00236418">
              <w:rPr>
                <w:b/>
                <w:bCs/>
                <w:sz w:val="18"/>
                <w:szCs w:val="18"/>
              </w:rPr>
              <w:t>Recouvrement des coûts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03385D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36 375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7AB2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381CCA3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38747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 36 375 </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37DFFB3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 29 753 </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26B425F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rPr>
            </w:pPr>
            <w:r w:rsidRPr="00236418">
              <w:rPr>
                <w:b/>
                <w:iCs/>
                <w:sz w:val="18"/>
                <w:szCs w:val="18"/>
              </w:rPr>
              <w:t xml:space="preserve"> –6 622</w:t>
            </w:r>
          </w:p>
        </w:tc>
      </w:tr>
      <w:tr w:rsidR="00862C6F" w:rsidRPr="00236418" w14:paraId="265B5C61" w14:textId="77777777" w:rsidTr="00620F53">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69CBA13F" w14:textId="77777777" w:rsidR="00862C6F" w:rsidRPr="00236418" w:rsidRDefault="00862C6F" w:rsidP="00862C6F">
            <w:pPr>
              <w:tabs>
                <w:tab w:val="clear" w:pos="567"/>
                <w:tab w:val="clear" w:pos="1134"/>
                <w:tab w:val="clear" w:pos="1701"/>
                <w:tab w:val="clear" w:pos="2268"/>
                <w:tab w:val="clear" w:pos="2835"/>
              </w:tabs>
              <w:spacing w:before="30" w:after="30"/>
              <w:rPr>
                <w:b/>
                <w:bCs/>
                <w:sz w:val="18"/>
                <w:szCs w:val="18"/>
              </w:rPr>
            </w:pPr>
            <w:r w:rsidRPr="00236418">
              <w:rPr>
                <w:b/>
                <w:bCs/>
                <w:sz w:val="18"/>
                <w:szCs w:val="18"/>
              </w:rPr>
              <w:t>Intérêts</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43F5F00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300 </w:t>
            </w:r>
          </w:p>
        </w:tc>
        <w:tc>
          <w:tcPr>
            <w:tcW w:w="1276" w:type="dxa"/>
            <w:tcBorders>
              <w:top w:val="nil"/>
              <w:left w:val="nil"/>
              <w:bottom w:val="nil"/>
              <w:right w:val="single" w:sz="4" w:space="0" w:color="auto"/>
            </w:tcBorders>
            <w:shd w:val="clear" w:color="auto" w:fill="auto"/>
          </w:tcPr>
          <w:p w14:paraId="4D0676A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tcPr>
          <w:p w14:paraId="0C03391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tcPr>
          <w:p w14:paraId="72B1FF5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300 </w:t>
            </w:r>
          </w:p>
        </w:tc>
        <w:tc>
          <w:tcPr>
            <w:tcW w:w="1392" w:type="dxa"/>
            <w:tcBorders>
              <w:top w:val="nil"/>
              <w:left w:val="nil"/>
              <w:bottom w:val="nil"/>
              <w:right w:val="single" w:sz="4" w:space="0" w:color="auto"/>
            </w:tcBorders>
            <w:shd w:val="clear" w:color="auto" w:fill="auto"/>
            <w:tcMar>
              <w:left w:w="57" w:type="dxa"/>
              <w:right w:w="57" w:type="dxa"/>
            </w:tcMar>
          </w:tcPr>
          <w:p w14:paraId="319CD01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408 </w:t>
            </w:r>
          </w:p>
        </w:tc>
        <w:tc>
          <w:tcPr>
            <w:tcW w:w="1248" w:type="dxa"/>
            <w:tcBorders>
              <w:top w:val="nil"/>
              <w:left w:val="nil"/>
              <w:bottom w:val="nil"/>
              <w:right w:val="single" w:sz="4" w:space="0" w:color="auto"/>
            </w:tcBorders>
            <w:shd w:val="clear" w:color="auto" w:fill="auto"/>
            <w:tcMar>
              <w:left w:w="57" w:type="dxa"/>
              <w:right w:w="57" w:type="dxa"/>
            </w:tcMar>
          </w:tcPr>
          <w:p w14:paraId="67E70FF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108 </w:t>
            </w:r>
          </w:p>
        </w:tc>
      </w:tr>
      <w:tr w:rsidR="00862C6F" w:rsidRPr="00236418" w14:paraId="7C35311E"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9F3C830" w14:textId="77777777" w:rsidR="00862C6F" w:rsidRPr="00236418" w:rsidRDefault="00862C6F" w:rsidP="00862C6F">
            <w:pPr>
              <w:tabs>
                <w:tab w:val="clear" w:pos="567"/>
                <w:tab w:val="clear" w:pos="1134"/>
                <w:tab w:val="clear" w:pos="1701"/>
                <w:tab w:val="clear" w:pos="2268"/>
                <w:tab w:val="clear" w:pos="2835"/>
              </w:tabs>
              <w:spacing w:before="30" w:after="30"/>
              <w:rPr>
                <w:b/>
                <w:bCs/>
                <w:sz w:val="18"/>
                <w:szCs w:val="18"/>
              </w:rPr>
            </w:pPr>
            <w:r w:rsidRPr="00236418">
              <w:rPr>
                <w:b/>
                <w:bCs/>
                <w:sz w:val="18"/>
                <w:szCs w:val="18"/>
              </w:rPr>
              <w:t>Autres produits</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38538FD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100 </w:t>
            </w:r>
          </w:p>
        </w:tc>
        <w:tc>
          <w:tcPr>
            <w:tcW w:w="1276" w:type="dxa"/>
            <w:tcBorders>
              <w:top w:val="nil"/>
              <w:left w:val="nil"/>
              <w:bottom w:val="nil"/>
              <w:right w:val="single" w:sz="4" w:space="0" w:color="auto"/>
            </w:tcBorders>
            <w:shd w:val="clear" w:color="auto" w:fill="auto"/>
          </w:tcPr>
          <w:p w14:paraId="78C1D9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tcPr>
          <w:p w14:paraId="3FC7145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tcPr>
          <w:p w14:paraId="5364041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100 </w:t>
            </w:r>
          </w:p>
        </w:tc>
        <w:tc>
          <w:tcPr>
            <w:tcW w:w="1392" w:type="dxa"/>
            <w:tcBorders>
              <w:top w:val="nil"/>
              <w:left w:val="nil"/>
              <w:bottom w:val="nil"/>
              <w:right w:val="single" w:sz="4" w:space="0" w:color="auto"/>
            </w:tcBorders>
            <w:shd w:val="clear" w:color="auto" w:fill="auto"/>
            <w:tcMar>
              <w:left w:w="57" w:type="dxa"/>
              <w:right w:w="57" w:type="dxa"/>
            </w:tcMar>
          </w:tcPr>
          <w:p w14:paraId="3EFD4F2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1 110 </w:t>
            </w:r>
          </w:p>
        </w:tc>
        <w:tc>
          <w:tcPr>
            <w:tcW w:w="1248" w:type="dxa"/>
            <w:tcBorders>
              <w:top w:val="nil"/>
              <w:left w:val="nil"/>
              <w:bottom w:val="nil"/>
              <w:right w:val="single" w:sz="4" w:space="0" w:color="auto"/>
            </w:tcBorders>
            <w:shd w:val="clear" w:color="auto" w:fill="auto"/>
            <w:tcMar>
              <w:left w:w="57" w:type="dxa"/>
              <w:right w:w="57" w:type="dxa"/>
            </w:tcMar>
          </w:tcPr>
          <w:p w14:paraId="16D172F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1 010 </w:t>
            </w:r>
          </w:p>
        </w:tc>
      </w:tr>
      <w:tr w:rsidR="00862C6F" w:rsidRPr="00236418" w14:paraId="55428F2D"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FAA4A9B" w14:textId="77777777" w:rsidR="00862C6F" w:rsidRPr="00236418" w:rsidRDefault="00862C6F" w:rsidP="00862C6F">
            <w:pPr>
              <w:tabs>
                <w:tab w:val="clear" w:pos="567"/>
                <w:tab w:val="clear" w:pos="1134"/>
                <w:tab w:val="clear" w:pos="1701"/>
                <w:tab w:val="clear" w:pos="2268"/>
                <w:tab w:val="clear" w:pos="2835"/>
              </w:tabs>
              <w:spacing w:before="30" w:after="30"/>
              <w:rPr>
                <w:b/>
                <w:bCs/>
                <w:sz w:val="18"/>
                <w:szCs w:val="18"/>
              </w:rPr>
            </w:pPr>
            <w:r w:rsidRPr="00236418">
              <w:rPr>
                <w:b/>
                <w:bCs/>
                <w:sz w:val="18"/>
                <w:szCs w:val="18"/>
              </w:rPr>
              <w:t>Prélèvement sur le Fonds de réserve</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62FCD5C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1 095 </w:t>
            </w:r>
          </w:p>
        </w:tc>
        <w:tc>
          <w:tcPr>
            <w:tcW w:w="1276" w:type="dxa"/>
            <w:tcBorders>
              <w:top w:val="nil"/>
              <w:left w:val="nil"/>
              <w:bottom w:val="nil"/>
              <w:right w:val="single" w:sz="4" w:space="0" w:color="auto"/>
            </w:tcBorders>
            <w:shd w:val="clear" w:color="auto" w:fill="auto"/>
          </w:tcPr>
          <w:p w14:paraId="18A2195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tcPr>
          <w:p w14:paraId="1DB32DF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tcPr>
          <w:p w14:paraId="7DF662B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1 095 </w:t>
            </w:r>
          </w:p>
        </w:tc>
        <w:tc>
          <w:tcPr>
            <w:tcW w:w="1392" w:type="dxa"/>
            <w:tcBorders>
              <w:top w:val="nil"/>
              <w:left w:val="nil"/>
              <w:bottom w:val="nil"/>
              <w:right w:val="single" w:sz="4" w:space="0" w:color="auto"/>
            </w:tcBorders>
            <w:shd w:val="clear" w:color="auto" w:fill="auto"/>
            <w:tcMar>
              <w:left w:w="57" w:type="dxa"/>
              <w:right w:w="57" w:type="dxa"/>
            </w:tcMar>
          </w:tcPr>
          <w:p w14:paraId="70371E5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 </w:t>
            </w:r>
          </w:p>
        </w:tc>
        <w:tc>
          <w:tcPr>
            <w:tcW w:w="1248" w:type="dxa"/>
            <w:tcBorders>
              <w:top w:val="nil"/>
              <w:left w:val="nil"/>
              <w:bottom w:val="nil"/>
              <w:right w:val="single" w:sz="4" w:space="0" w:color="auto"/>
            </w:tcBorders>
            <w:shd w:val="clear" w:color="auto" w:fill="auto"/>
            <w:tcMar>
              <w:left w:w="57" w:type="dxa"/>
              <w:right w:w="57" w:type="dxa"/>
            </w:tcMar>
          </w:tcPr>
          <w:p w14:paraId="0D92D6A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–1 095 </w:t>
            </w:r>
          </w:p>
        </w:tc>
      </w:tr>
      <w:tr w:rsidR="00862C6F" w:rsidRPr="00236418" w14:paraId="3938A5B7" w14:textId="77777777" w:rsidTr="00620F53">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757B9380" w14:textId="77777777" w:rsidR="00862C6F" w:rsidRPr="00236418" w:rsidRDefault="00862C6F" w:rsidP="00862C6F">
            <w:pPr>
              <w:tabs>
                <w:tab w:val="clear" w:pos="567"/>
                <w:tab w:val="clear" w:pos="1134"/>
                <w:tab w:val="clear" w:pos="1701"/>
                <w:tab w:val="clear" w:pos="2268"/>
                <w:tab w:val="clear" w:pos="2835"/>
              </w:tabs>
              <w:spacing w:before="30" w:after="30"/>
              <w:rPr>
                <w:b/>
                <w:bCs/>
                <w:sz w:val="18"/>
                <w:szCs w:val="18"/>
              </w:rPr>
            </w:pPr>
            <w:r w:rsidRPr="00236418">
              <w:rPr>
                <w:b/>
                <w:bCs/>
                <w:sz w:val="18"/>
                <w:szCs w:val="18"/>
              </w:rPr>
              <w:t>Économies réalisées au cours des années précédentes</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20D693C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2 469 </w:t>
            </w:r>
          </w:p>
        </w:tc>
        <w:tc>
          <w:tcPr>
            <w:tcW w:w="1276" w:type="dxa"/>
            <w:tcBorders>
              <w:top w:val="nil"/>
              <w:left w:val="nil"/>
              <w:bottom w:val="nil"/>
              <w:right w:val="single" w:sz="4" w:space="0" w:color="auto"/>
            </w:tcBorders>
            <w:shd w:val="clear" w:color="auto" w:fill="auto"/>
          </w:tcPr>
          <w:p w14:paraId="62EF2F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tcPr>
          <w:p w14:paraId="0CFE19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tcPr>
          <w:p w14:paraId="0B350CB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2 469 </w:t>
            </w:r>
          </w:p>
        </w:tc>
        <w:tc>
          <w:tcPr>
            <w:tcW w:w="1392" w:type="dxa"/>
            <w:tcBorders>
              <w:top w:val="nil"/>
              <w:left w:val="nil"/>
              <w:bottom w:val="nil"/>
              <w:right w:val="single" w:sz="4" w:space="0" w:color="auto"/>
            </w:tcBorders>
            <w:shd w:val="clear" w:color="auto" w:fill="auto"/>
            <w:tcMar>
              <w:left w:w="57" w:type="dxa"/>
              <w:right w:w="57" w:type="dxa"/>
            </w:tcMar>
          </w:tcPr>
          <w:p w14:paraId="0D36634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48" w:type="dxa"/>
            <w:tcBorders>
              <w:top w:val="nil"/>
              <w:left w:val="nil"/>
              <w:bottom w:val="nil"/>
              <w:right w:val="single" w:sz="4" w:space="0" w:color="auto"/>
            </w:tcBorders>
            <w:shd w:val="clear" w:color="auto" w:fill="auto"/>
            <w:tcMar>
              <w:left w:w="57" w:type="dxa"/>
              <w:right w:w="57" w:type="dxa"/>
            </w:tcMar>
          </w:tcPr>
          <w:p w14:paraId="7A8AC8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–2 469</w:t>
            </w:r>
          </w:p>
        </w:tc>
      </w:tr>
      <w:tr w:rsidR="00862C6F" w:rsidRPr="00236418" w14:paraId="7CE2FB48" w14:textId="77777777" w:rsidTr="00620F53">
        <w:trP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D3A3153" w14:textId="77777777" w:rsidR="00862C6F" w:rsidRPr="00236418" w:rsidRDefault="00862C6F" w:rsidP="00862C6F">
            <w:pPr>
              <w:tabs>
                <w:tab w:val="clear" w:pos="567"/>
                <w:tab w:val="clear" w:pos="1134"/>
                <w:tab w:val="clear" w:pos="1701"/>
                <w:tab w:val="clear" w:pos="2268"/>
                <w:tab w:val="clear" w:pos="2835"/>
              </w:tabs>
              <w:spacing w:before="30" w:after="30"/>
              <w:rPr>
                <w:rFonts w:asciiTheme="minorHAnsi" w:hAnsiTheme="minorHAnsi"/>
                <w:sz w:val="18"/>
                <w:szCs w:val="18"/>
              </w:rPr>
            </w:pPr>
            <w:r w:rsidRPr="00236418">
              <w:rPr>
                <w:rFonts w:asciiTheme="minorHAnsi" w:hAnsiTheme="minorHAnsi"/>
                <w:b/>
                <w:bCs/>
                <w:sz w:val="18"/>
                <w:szCs w:val="18"/>
              </w:rPr>
              <w:t>Total produits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4C8320C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164 740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8E6F0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3C454F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4A1A29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164 740 </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68A87B6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157 757 </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229302E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–6 983 </w:t>
            </w:r>
          </w:p>
        </w:tc>
      </w:tr>
      <w:tr w:rsidR="00862C6F" w:rsidRPr="00236418" w14:paraId="66EDC245" w14:textId="77777777" w:rsidTr="00620F53">
        <w:trPr>
          <w:jc w:val="center"/>
        </w:trPr>
        <w:tc>
          <w:tcPr>
            <w:tcW w:w="3681" w:type="dxa"/>
            <w:vMerge w:val="restart"/>
            <w:tcMar>
              <w:left w:w="57" w:type="dxa"/>
              <w:right w:w="57" w:type="dxa"/>
            </w:tcMar>
            <w:vAlign w:val="center"/>
          </w:tcPr>
          <w:p w14:paraId="2ACEEF2C"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Charges</w:t>
            </w:r>
          </w:p>
        </w:tc>
        <w:tc>
          <w:tcPr>
            <w:tcW w:w="4793" w:type="dxa"/>
            <w:gridSpan w:val="4"/>
          </w:tcPr>
          <w:p w14:paraId="5FBA21C1"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Montants budgétés</w:t>
            </w:r>
          </w:p>
        </w:tc>
        <w:tc>
          <w:tcPr>
            <w:tcW w:w="1392" w:type="dxa"/>
            <w:vMerge w:val="restart"/>
            <w:tcMar>
              <w:left w:w="57" w:type="dxa"/>
              <w:right w:w="57" w:type="dxa"/>
            </w:tcMar>
            <w:vAlign w:val="center"/>
          </w:tcPr>
          <w:p w14:paraId="02ADE0DA"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Montants</w:t>
            </w:r>
          </w:p>
          <w:p w14:paraId="6397C8B6"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effectifs</w:t>
            </w:r>
          </w:p>
        </w:tc>
        <w:tc>
          <w:tcPr>
            <w:tcW w:w="1248" w:type="dxa"/>
            <w:vMerge w:val="restart"/>
            <w:tcMar>
              <w:left w:w="57" w:type="dxa"/>
              <w:right w:w="57" w:type="dxa"/>
            </w:tcMar>
            <w:vAlign w:val="center"/>
          </w:tcPr>
          <w:p w14:paraId="50FBCCD4"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Différence entre budget final et montants effectifs</w:t>
            </w:r>
          </w:p>
        </w:tc>
      </w:tr>
      <w:tr w:rsidR="00862C6F" w:rsidRPr="00236418" w14:paraId="2C33EF95" w14:textId="77777777" w:rsidTr="00620F53">
        <w:trPr>
          <w:trHeight w:val="746"/>
          <w:jc w:val="center"/>
        </w:trPr>
        <w:tc>
          <w:tcPr>
            <w:tcW w:w="3681" w:type="dxa"/>
            <w:vMerge/>
            <w:tcMar>
              <w:left w:w="57" w:type="dxa"/>
              <w:right w:w="57" w:type="dxa"/>
            </w:tcMar>
          </w:tcPr>
          <w:p w14:paraId="4A42C86D"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p>
        </w:tc>
        <w:tc>
          <w:tcPr>
            <w:tcW w:w="1134" w:type="dxa"/>
            <w:tcMar>
              <w:left w:w="57" w:type="dxa"/>
              <w:right w:w="57" w:type="dxa"/>
            </w:tcMar>
            <w:vAlign w:val="center"/>
          </w:tcPr>
          <w:p w14:paraId="7F0FE4FF"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Budget</w:t>
            </w:r>
          </w:p>
          <w:p w14:paraId="1FD0FDF4"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initial</w:t>
            </w:r>
          </w:p>
        </w:tc>
        <w:tc>
          <w:tcPr>
            <w:tcW w:w="1276" w:type="dxa"/>
            <w:vAlign w:val="center"/>
          </w:tcPr>
          <w:p w14:paraId="2FAB4219"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p>
        </w:tc>
        <w:tc>
          <w:tcPr>
            <w:tcW w:w="1276" w:type="dxa"/>
            <w:tcMar>
              <w:left w:w="57" w:type="dxa"/>
              <w:right w:w="57" w:type="dxa"/>
            </w:tcMar>
            <w:vAlign w:val="center"/>
          </w:tcPr>
          <w:p w14:paraId="5813855C"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Transferts budgétaires</w:t>
            </w:r>
          </w:p>
        </w:tc>
        <w:tc>
          <w:tcPr>
            <w:tcW w:w="1107" w:type="dxa"/>
            <w:tcMar>
              <w:left w:w="57" w:type="dxa"/>
              <w:right w:w="57" w:type="dxa"/>
            </w:tcMar>
            <w:vAlign w:val="center"/>
          </w:tcPr>
          <w:p w14:paraId="7FEFF0D0"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Budget final</w:t>
            </w:r>
          </w:p>
        </w:tc>
        <w:tc>
          <w:tcPr>
            <w:tcW w:w="1392" w:type="dxa"/>
            <w:vMerge/>
            <w:tcMar>
              <w:left w:w="57" w:type="dxa"/>
              <w:right w:w="57" w:type="dxa"/>
            </w:tcMar>
          </w:tcPr>
          <w:p w14:paraId="32F645F6"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p>
        </w:tc>
        <w:tc>
          <w:tcPr>
            <w:tcW w:w="1248" w:type="dxa"/>
            <w:vMerge/>
            <w:tcMar>
              <w:left w:w="57" w:type="dxa"/>
              <w:right w:w="57" w:type="dxa"/>
            </w:tcMar>
          </w:tcPr>
          <w:p w14:paraId="2CE6C583"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p>
        </w:tc>
      </w:tr>
      <w:tr w:rsidR="00862C6F" w:rsidRPr="00236418" w14:paraId="25CBD8E8" w14:textId="77777777" w:rsidTr="00620F53">
        <w:trPr>
          <w:jc w:val="center"/>
        </w:trPr>
        <w:tc>
          <w:tcPr>
            <w:tcW w:w="3681" w:type="dxa"/>
            <w:vMerge/>
            <w:tcBorders>
              <w:bottom w:val="single" w:sz="4" w:space="0" w:color="auto"/>
            </w:tcBorders>
            <w:tcMar>
              <w:left w:w="57" w:type="dxa"/>
              <w:right w:w="57" w:type="dxa"/>
            </w:tcMar>
          </w:tcPr>
          <w:p w14:paraId="5F7AFB6C"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p>
        </w:tc>
        <w:tc>
          <w:tcPr>
            <w:tcW w:w="1134" w:type="dxa"/>
            <w:tcBorders>
              <w:bottom w:val="single" w:sz="4" w:space="0" w:color="auto"/>
            </w:tcBorders>
            <w:tcMar>
              <w:left w:w="57" w:type="dxa"/>
              <w:right w:w="57" w:type="dxa"/>
            </w:tcMar>
            <w:vAlign w:val="center"/>
          </w:tcPr>
          <w:p w14:paraId="0C0C4557"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31.12.2019</w:t>
            </w:r>
          </w:p>
        </w:tc>
        <w:tc>
          <w:tcPr>
            <w:tcW w:w="1276" w:type="dxa"/>
            <w:tcBorders>
              <w:bottom w:val="single" w:sz="4" w:space="0" w:color="auto"/>
            </w:tcBorders>
          </w:tcPr>
          <w:p w14:paraId="4DCCCBAF"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p>
        </w:tc>
        <w:tc>
          <w:tcPr>
            <w:tcW w:w="1276" w:type="dxa"/>
            <w:tcBorders>
              <w:bottom w:val="single" w:sz="4" w:space="0" w:color="auto"/>
            </w:tcBorders>
            <w:tcMar>
              <w:left w:w="57" w:type="dxa"/>
              <w:right w:w="57" w:type="dxa"/>
            </w:tcMar>
            <w:vAlign w:val="center"/>
          </w:tcPr>
          <w:p w14:paraId="44AED170"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 xml:space="preserve">31.12.2019 </w:t>
            </w:r>
          </w:p>
        </w:tc>
        <w:tc>
          <w:tcPr>
            <w:tcW w:w="1107" w:type="dxa"/>
            <w:tcBorders>
              <w:bottom w:val="single" w:sz="4" w:space="0" w:color="auto"/>
            </w:tcBorders>
            <w:tcMar>
              <w:left w:w="57" w:type="dxa"/>
              <w:right w:w="57" w:type="dxa"/>
            </w:tcMar>
            <w:vAlign w:val="center"/>
          </w:tcPr>
          <w:p w14:paraId="01A59FDD"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31.12.2019</w:t>
            </w:r>
          </w:p>
        </w:tc>
        <w:tc>
          <w:tcPr>
            <w:tcW w:w="1392" w:type="dxa"/>
            <w:tcBorders>
              <w:bottom w:val="single" w:sz="4" w:space="0" w:color="auto"/>
            </w:tcBorders>
            <w:tcMar>
              <w:left w:w="57" w:type="dxa"/>
              <w:right w:w="57" w:type="dxa"/>
            </w:tcMar>
            <w:vAlign w:val="center"/>
          </w:tcPr>
          <w:p w14:paraId="49F2A386"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 xml:space="preserve">31.12.2019 </w:t>
            </w:r>
          </w:p>
        </w:tc>
        <w:tc>
          <w:tcPr>
            <w:tcW w:w="1248" w:type="dxa"/>
            <w:tcBorders>
              <w:bottom w:val="single" w:sz="4" w:space="0" w:color="auto"/>
            </w:tcBorders>
            <w:tcMar>
              <w:left w:w="57" w:type="dxa"/>
              <w:right w:w="57" w:type="dxa"/>
            </w:tcMar>
            <w:vAlign w:val="center"/>
          </w:tcPr>
          <w:p w14:paraId="7C781508" w14:textId="77777777" w:rsidR="00862C6F" w:rsidRPr="00236418" w:rsidRDefault="00862C6F" w:rsidP="00862C6F">
            <w:pPr>
              <w:tabs>
                <w:tab w:val="clear" w:pos="567"/>
                <w:tab w:val="clear" w:pos="1134"/>
                <w:tab w:val="clear" w:pos="1701"/>
                <w:tab w:val="clear" w:pos="2268"/>
                <w:tab w:val="clear" w:pos="2835"/>
              </w:tabs>
              <w:spacing w:before="30" w:after="30"/>
              <w:jc w:val="center"/>
              <w:rPr>
                <w:b/>
                <w:sz w:val="18"/>
                <w:szCs w:val="18"/>
              </w:rPr>
            </w:pPr>
            <w:r w:rsidRPr="00236418">
              <w:rPr>
                <w:b/>
                <w:sz w:val="18"/>
                <w:szCs w:val="18"/>
              </w:rPr>
              <w:t xml:space="preserve">31.12.2019 </w:t>
            </w:r>
          </w:p>
        </w:tc>
      </w:tr>
      <w:tr w:rsidR="00862C6F" w:rsidRPr="00236418" w14:paraId="323DA9C3" w14:textId="77777777" w:rsidTr="00620F53">
        <w:trPr>
          <w:jc w:val="center"/>
        </w:trPr>
        <w:tc>
          <w:tcPr>
            <w:tcW w:w="3681" w:type="dxa"/>
            <w:tcBorders>
              <w:bottom w:val="nil"/>
            </w:tcBorders>
            <w:tcMar>
              <w:left w:w="57" w:type="dxa"/>
              <w:right w:w="57" w:type="dxa"/>
            </w:tcMar>
          </w:tcPr>
          <w:p w14:paraId="184CFFA5"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lang w:eastAsia="fr-FR"/>
              </w:rPr>
            </w:pPr>
            <w:r w:rsidRPr="00236418">
              <w:rPr>
                <w:i/>
                <w:iCs/>
                <w:sz w:val="18"/>
                <w:szCs w:val="18"/>
              </w:rPr>
              <w:t>Secrétariat général</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CF81BB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90 935 </w:t>
            </w:r>
          </w:p>
        </w:tc>
        <w:tc>
          <w:tcPr>
            <w:tcW w:w="1276" w:type="dxa"/>
            <w:tcBorders>
              <w:top w:val="nil"/>
              <w:left w:val="nil"/>
              <w:bottom w:val="nil"/>
              <w:right w:val="nil"/>
            </w:tcBorders>
            <w:shd w:val="clear" w:color="auto" w:fill="auto"/>
            <w:vAlign w:val="bottom"/>
          </w:tcPr>
          <w:p w14:paraId="354CB7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p>
        </w:tc>
        <w:tc>
          <w:tcPr>
            <w:tcW w:w="1276" w:type="dxa"/>
            <w:tcBorders>
              <w:top w:val="nil"/>
              <w:left w:val="single" w:sz="4" w:space="0" w:color="auto"/>
              <w:bottom w:val="nil"/>
              <w:right w:val="single" w:sz="4" w:space="0" w:color="auto"/>
            </w:tcBorders>
            <w:shd w:val="clear" w:color="auto" w:fill="auto"/>
            <w:tcMar>
              <w:left w:w="57" w:type="dxa"/>
              <w:right w:w="57" w:type="dxa"/>
            </w:tcMar>
            <w:vAlign w:val="bottom"/>
          </w:tcPr>
          <w:p w14:paraId="5B15E56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153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720D744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91 088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933CBC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84 247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231D331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6 841 </w:t>
            </w:r>
          </w:p>
        </w:tc>
      </w:tr>
      <w:tr w:rsidR="00862C6F" w:rsidRPr="00236418" w14:paraId="7DB6A6F3" w14:textId="77777777" w:rsidTr="00620F53">
        <w:trPr>
          <w:jc w:val="center"/>
        </w:trPr>
        <w:tc>
          <w:tcPr>
            <w:tcW w:w="3681" w:type="dxa"/>
            <w:tcBorders>
              <w:top w:val="nil"/>
              <w:bottom w:val="nil"/>
            </w:tcBorders>
            <w:tcMar>
              <w:left w:w="57" w:type="dxa"/>
              <w:right w:w="57" w:type="dxa"/>
            </w:tcMar>
          </w:tcPr>
          <w:p w14:paraId="02A65E5B"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lang w:eastAsia="fr-FR"/>
              </w:rPr>
            </w:pPr>
            <w:r w:rsidRPr="00236418">
              <w:rPr>
                <w:i/>
                <w:iCs/>
                <w:sz w:val="18"/>
                <w:szCs w:val="18"/>
              </w:rPr>
              <w:t>Secteur des radiocommunications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37E8B9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31 598 </w:t>
            </w:r>
          </w:p>
        </w:tc>
        <w:tc>
          <w:tcPr>
            <w:tcW w:w="1276" w:type="dxa"/>
            <w:tcBorders>
              <w:top w:val="nil"/>
              <w:left w:val="nil"/>
              <w:bottom w:val="nil"/>
              <w:right w:val="single" w:sz="4" w:space="0" w:color="auto"/>
            </w:tcBorders>
            <w:shd w:val="clear" w:color="auto" w:fill="auto"/>
            <w:vAlign w:val="bottom"/>
          </w:tcPr>
          <w:p w14:paraId="68BE2B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295B4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2439235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31 598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F0D2F2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28 040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7D6924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3 558 </w:t>
            </w:r>
          </w:p>
        </w:tc>
      </w:tr>
      <w:tr w:rsidR="00862C6F" w:rsidRPr="00236418" w14:paraId="2FF939A9" w14:textId="77777777" w:rsidTr="00620F53">
        <w:trPr>
          <w:jc w:val="center"/>
        </w:trPr>
        <w:tc>
          <w:tcPr>
            <w:tcW w:w="3681" w:type="dxa"/>
            <w:tcBorders>
              <w:top w:val="nil"/>
              <w:bottom w:val="nil"/>
            </w:tcBorders>
            <w:tcMar>
              <w:left w:w="57" w:type="dxa"/>
              <w:right w:w="57" w:type="dxa"/>
            </w:tcMar>
          </w:tcPr>
          <w:p w14:paraId="632FAD8A"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lang w:eastAsia="fr-FR"/>
              </w:rPr>
            </w:pPr>
            <w:r w:rsidRPr="00236418">
              <w:rPr>
                <w:i/>
                <w:iCs/>
                <w:sz w:val="18"/>
                <w:szCs w:val="18"/>
              </w:rPr>
              <w:t>Secteur de la normalisation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7216B5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13 631 </w:t>
            </w:r>
          </w:p>
        </w:tc>
        <w:tc>
          <w:tcPr>
            <w:tcW w:w="1276" w:type="dxa"/>
            <w:tcBorders>
              <w:top w:val="nil"/>
              <w:left w:val="nil"/>
              <w:bottom w:val="nil"/>
              <w:right w:val="single" w:sz="4" w:space="0" w:color="auto"/>
            </w:tcBorders>
            <w:shd w:val="clear" w:color="auto" w:fill="auto"/>
            <w:vAlign w:val="bottom"/>
          </w:tcPr>
          <w:p w14:paraId="181EB0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C5D9A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–153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DF4E4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13 478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6ECC2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13 456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3DD685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22 </w:t>
            </w:r>
          </w:p>
        </w:tc>
      </w:tr>
      <w:tr w:rsidR="00862C6F" w:rsidRPr="00236418" w14:paraId="73788365" w14:textId="77777777" w:rsidTr="00620F53">
        <w:trPr>
          <w:jc w:val="center"/>
        </w:trPr>
        <w:tc>
          <w:tcPr>
            <w:tcW w:w="3681" w:type="dxa"/>
            <w:tcBorders>
              <w:top w:val="nil"/>
              <w:bottom w:val="nil"/>
            </w:tcBorders>
            <w:tcMar>
              <w:left w:w="57" w:type="dxa"/>
              <w:right w:w="57" w:type="dxa"/>
            </w:tcMar>
          </w:tcPr>
          <w:p w14:paraId="0725D0A1"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lang w:eastAsia="fr-FR"/>
              </w:rPr>
            </w:pPr>
            <w:r w:rsidRPr="00236418">
              <w:rPr>
                <w:i/>
                <w:iCs/>
                <w:sz w:val="18"/>
                <w:szCs w:val="18"/>
              </w:rPr>
              <w:t>Secteur du développement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0C167D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28 576 </w:t>
            </w:r>
          </w:p>
        </w:tc>
        <w:tc>
          <w:tcPr>
            <w:tcW w:w="1276" w:type="dxa"/>
            <w:tcBorders>
              <w:top w:val="nil"/>
              <w:left w:val="nil"/>
              <w:bottom w:val="nil"/>
              <w:right w:val="single" w:sz="4" w:space="0" w:color="auto"/>
            </w:tcBorders>
            <w:shd w:val="clear" w:color="auto" w:fill="auto"/>
            <w:vAlign w:val="bottom"/>
          </w:tcPr>
          <w:p w14:paraId="26BA45A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530FE71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242271F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28 576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87B0B8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27 167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03767B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1 409 </w:t>
            </w:r>
          </w:p>
        </w:tc>
      </w:tr>
      <w:tr w:rsidR="00862C6F" w:rsidRPr="00236418" w14:paraId="0B3BFD73" w14:textId="77777777" w:rsidTr="00620F53">
        <w:trPr>
          <w:jc w:val="center"/>
        </w:trPr>
        <w:tc>
          <w:tcPr>
            <w:tcW w:w="3681" w:type="dxa"/>
            <w:tcBorders>
              <w:top w:val="nil"/>
            </w:tcBorders>
            <w:tcMar>
              <w:left w:w="57" w:type="dxa"/>
              <w:right w:w="57" w:type="dxa"/>
            </w:tcMar>
          </w:tcPr>
          <w:p w14:paraId="7155B9AB" w14:textId="77777777" w:rsidR="00862C6F" w:rsidRPr="00236418" w:rsidRDefault="00862C6F" w:rsidP="00862C6F">
            <w:pPr>
              <w:tabs>
                <w:tab w:val="clear" w:pos="567"/>
                <w:tab w:val="clear" w:pos="1134"/>
                <w:tab w:val="clear" w:pos="1701"/>
                <w:tab w:val="clear" w:pos="2268"/>
                <w:tab w:val="clear" w:pos="2835"/>
              </w:tabs>
              <w:spacing w:before="30" w:after="30"/>
              <w:rPr>
                <w:i/>
                <w:iCs/>
                <w:sz w:val="18"/>
                <w:szCs w:val="18"/>
                <w:lang w:eastAsia="fr-FR"/>
              </w:rPr>
            </w:pPr>
            <w:r w:rsidRPr="00236418">
              <w:rPr>
                <w:i/>
                <w:iCs/>
                <w:sz w:val="18"/>
                <w:szCs w:val="18"/>
                <w:lang w:eastAsia="fr-FR"/>
              </w:rPr>
              <w:t>Charges non prévues dans le budget approuvé</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0C0B84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vAlign w:val="bottom"/>
          </w:tcPr>
          <w:p w14:paraId="7C69551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FF1B45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26A024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8B76DA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69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FF669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rPr>
            </w:pPr>
            <w:r w:rsidRPr="00236418">
              <w:rPr>
                <w:i/>
                <w:iCs/>
                <w:sz w:val="18"/>
                <w:szCs w:val="18"/>
              </w:rPr>
              <w:t xml:space="preserve"> –69 </w:t>
            </w:r>
          </w:p>
        </w:tc>
      </w:tr>
      <w:tr w:rsidR="00862C6F" w:rsidRPr="00236418" w14:paraId="57D1B7E4" w14:textId="77777777" w:rsidTr="00620F53">
        <w:trPr>
          <w:jc w:val="center"/>
        </w:trPr>
        <w:tc>
          <w:tcPr>
            <w:tcW w:w="3681" w:type="dxa"/>
            <w:tcBorders>
              <w:bottom w:val="single" w:sz="4" w:space="0" w:color="auto"/>
            </w:tcBorders>
            <w:shd w:val="clear" w:color="auto" w:fill="D9D9D9" w:themeFill="background1" w:themeFillShade="D9"/>
            <w:tcMar>
              <w:left w:w="57" w:type="dxa"/>
              <w:right w:w="57" w:type="dxa"/>
            </w:tcMar>
          </w:tcPr>
          <w:p w14:paraId="1776D33C" w14:textId="77777777" w:rsidR="00862C6F" w:rsidRPr="00236418" w:rsidRDefault="00862C6F" w:rsidP="00862C6F">
            <w:pPr>
              <w:tabs>
                <w:tab w:val="clear" w:pos="567"/>
                <w:tab w:val="clear" w:pos="1134"/>
                <w:tab w:val="clear" w:pos="1701"/>
                <w:tab w:val="clear" w:pos="2268"/>
                <w:tab w:val="clear" w:pos="2835"/>
              </w:tabs>
              <w:spacing w:before="30" w:after="30"/>
              <w:rPr>
                <w:b/>
                <w:sz w:val="18"/>
                <w:szCs w:val="18"/>
              </w:rPr>
            </w:pPr>
            <w:r w:rsidRPr="00236418">
              <w:rPr>
                <w:b/>
                <w:sz w:val="18"/>
                <w:szCs w:val="18"/>
              </w:rPr>
              <w:t>Total charges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44926F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164 740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0DD9E3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110C3F4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1DE4A5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164 740 </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679C62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 152 979 </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7579AC3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 11 762 </w:t>
            </w:r>
          </w:p>
        </w:tc>
      </w:tr>
      <w:tr w:rsidR="00862C6F" w:rsidRPr="00236418" w14:paraId="3885A05B" w14:textId="77777777" w:rsidTr="00620F53">
        <w:trPr>
          <w:jc w:val="center"/>
        </w:trPr>
        <w:tc>
          <w:tcPr>
            <w:tcW w:w="3681" w:type="dxa"/>
            <w:tcBorders>
              <w:bottom w:val="nil"/>
            </w:tcBorders>
            <w:tcMar>
              <w:left w:w="57" w:type="dxa"/>
              <w:right w:w="57" w:type="dxa"/>
            </w:tcMar>
          </w:tcPr>
          <w:p w14:paraId="238878ED" w14:textId="77777777" w:rsidR="00862C6F" w:rsidRPr="00236418" w:rsidRDefault="00862C6F" w:rsidP="00862C6F">
            <w:pPr>
              <w:tabs>
                <w:tab w:val="clear" w:pos="567"/>
                <w:tab w:val="clear" w:pos="1134"/>
                <w:tab w:val="clear" w:pos="1701"/>
                <w:tab w:val="clear" w:pos="2268"/>
                <w:tab w:val="clear" w:pos="2835"/>
              </w:tabs>
              <w:spacing w:before="30" w:after="30"/>
              <w:rPr>
                <w:b/>
                <w:sz w:val="18"/>
                <w:szCs w:val="18"/>
                <w:lang w:eastAsia="fr-FR"/>
              </w:rPr>
            </w:pPr>
            <w:r w:rsidRPr="00236418">
              <w:rPr>
                <w:b/>
                <w:sz w:val="18"/>
                <w:szCs w:val="18"/>
              </w:rPr>
              <w:t>Résultats</w:t>
            </w:r>
          </w:p>
        </w:tc>
        <w:tc>
          <w:tcPr>
            <w:tcW w:w="1134" w:type="dxa"/>
            <w:tcBorders>
              <w:top w:val="nil"/>
              <w:left w:val="single" w:sz="4" w:space="0" w:color="auto"/>
              <w:bottom w:val="single" w:sz="4" w:space="0" w:color="auto"/>
              <w:right w:val="single" w:sz="4" w:space="0" w:color="auto"/>
            </w:tcBorders>
            <w:shd w:val="clear" w:color="auto" w:fill="auto"/>
            <w:tcMar>
              <w:left w:w="57" w:type="dxa"/>
              <w:right w:w="57" w:type="dxa"/>
            </w:tcMar>
            <w:vAlign w:val="bottom"/>
          </w:tcPr>
          <w:p w14:paraId="4593E06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rPr>
            </w:pPr>
            <w:r w:rsidRPr="00236418">
              <w:rPr>
                <w:b/>
                <w:bCs/>
                <w:i/>
                <w:iCs/>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5515CEF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rPr>
            </w:pPr>
            <w:r w:rsidRPr="00236418">
              <w:rPr>
                <w:b/>
                <w:bCs/>
                <w:i/>
                <w:iCs/>
                <w:sz w:val="18"/>
                <w:szCs w:val="18"/>
              </w:rPr>
              <w:t>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bottom"/>
          </w:tcPr>
          <w:p w14:paraId="40B21FB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rPr>
            </w:pPr>
            <w:r w:rsidRPr="00236418">
              <w:rPr>
                <w:b/>
                <w:bCs/>
                <w:i/>
                <w:iCs/>
                <w:sz w:val="18"/>
                <w:szCs w:val="18"/>
              </w:rPr>
              <w:t> </w:t>
            </w:r>
          </w:p>
        </w:tc>
        <w:tc>
          <w:tcPr>
            <w:tcW w:w="1107" w:type="dxa"/>
            <w:tcBorders>
              <w:top w:val="nil"/>
              <w:left w:val="nil"/>
              <w:bottom w:val="single" w:sz="4" w:space="0" w:color="auto"/>
              <w:right w:val="single" w:sz="4" w:space="0" w:color="auto"/>
            </w:tcBorders>
            <w:shd w:val="clear" w:color="auto" w:fill="auto"/>
            <w:tcMar>
              <w:left w:w="57" w:type="dxa"/>
              <w:right w:w="57" w:type="dxa"/>
            </w:tcMar>
            <w:vAlign w:val="bottom"/>
          </w:tcPr>
          <w:p w14:paraId="0C769F1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rPr>
            </w:pPr>
            <w:r w:rsidRPr="00236418">
              <w:rPr>
                <w:b/>
                <w:bCs/>
                <w:i/>
                <w:iCs/>
                <w:sz w:val="18"/>
                <w:szCs w:val="18"/>
              </w:rPr>
              <w:t> </w:t>
            </w:r>
          </w:p>
        </w:tc>
        <w:tc>
          <w:tcPr>
            <w:tcW w:w="1392" w:type="dxa"/>
            <w:tcBorders>
              <w:top w:val="nil"/>
              <w:left w:val="nil"/>
              <w:bottom w:val="single" w:sz="4" w:space="0" w:color="auto"/>
              <w:right w:val="single" w:sz="4" w:space="0" w:color="auto"/>
            </w:tcBorders>
            <w:shd w:val="clear" w:color="auto" w:fill="auto"/>
            <w:tcMar>
              <w:left w:w="57" w:type="dxa"/>
              <w:right w:w="57" w:type="dxa"/>
            </w:tcMar>
            <w:vAlign w:val="bottom"/>
          </w:tcPr>
          <w:p w14:paraId="3DC234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4 778 </w:t>
            </w:r>
          </w:p>
        </w:tc>
        <w:tc>
          <w:tcPr>
            <w:tcW w:w="1248" w:type="dxa"/>
            <w:tcBorders>
              <w:top w:val="nil"/>
              <w:left w:val="nil"/>
              <w:bottom w:val="single" w:sz="4" w:space="0" w:color="auto"/>
              <w:right w:val="single" w:sz="4" w:space="0" w:color="auto"/>
            </w:tcBorders>
            <w:shd w:val="clear" w:color="auto" w:fill="auto"/>
            <w:tcMar>
              <w:left w:w="57" w:type="dxa"/>
              <w:right w:w="57" w:type="dxa"/>
            </w:tcMar>
            <w:vAlign w:val="bottom"/>
          </w:tcPr>
          <w:p w14:paraId="5E6DE2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rPr>
            </w:pPr>
            <w:r w:rsidRPr="00236418">
              <w:rPr>
                <w:b/>
                <w:bCs/>
                <w:iCs/>
                <w:sz w:val="18"/>
                <w:szCs w:val="18"/>
              </w:rPr>
              <w:t xml:space="preserve"> 4 778 </w:t>
            </w:r>
          </w:p>
        </w:tc>
      </w:tr>
    </w:tbl>
    <w:p w14:paraId="79658D29"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p w14:paraId="47E55063" w14:textId="77777777" w:rsidR="00862C6F" w:rsidRPr="00236418" w:rsidRDefault="00862C6F" w:rsidP="00862C6F">
      <w:pPr>
        <w:spacing w:before="720"/>
        <w:jc w:val="center"/>
        <w:rPr>
          <w:caps/>
          <w:sz w:val="28"/>
        </w:rPr>
        <w:sectPr w:rsidR="00862C6F" w:rsidRPr="00236418" w:rsidSect="00620F53">
          <w:headerReference w:type="default" r:id="rId60"/>
          <w:footerReference w:type="default" r:id="rId61"/>
          <w:headerReference w:type="first" r:id="rId62"/>
          <w:pgSz w:w="11907" w:h="16840" w:code="9"/>
          <w:pgMar w:top="1077" w:right="1134" w:bottom="1077" w:left="1134" w:header="720" w:footer="720" w:gutter="0"/>
          <w:cols w:space="708"/>
          <w:docGrid w:linePitch="360"/>
        </w:sectPr>
      </w:pPr>
      <w:bookmarkStart w:id="2905" w:name="_Toc395260975"/>
      <w:bookmarkStart w:id="2906" w:name="_Toc395261110"/>
      <w:bookmarkStart w:id="2907" w:name="_Toc395511760"/>
    </w:p>
    <w:p w14:paraId="4349AE6C" w14:textId="77777777" w:rsidR="00862C6F" w:rsidRPr="00236418" w:rsidRDefault="00862C6F" w:rsidP="00E1454F">
      <w:pPr>
        <w:pStyle w:val="AnnexNo"/>
        <w:spacing w:before="120"/>
      </w:pPr>
      <w:bookmarkStart w:id="2908" w:name="_Toc452138673"/>
      <w:bookmarkStart w:id="2909" w:name="_Toc452139122"/>
      <w:bookmarkStart w:id="2910" w:name="_Toc482888051"/>
      <w:bookmarkStart w:id="2911" w:name="_Toc482888394"/>
      <w:bookmarkStart w:id="2912" w:name="_Toc511736687"/>
      <w:bookmarkStart w:id="2913" w:name="_Toc10450815"/>
      <w:bookmarkStart w:id="2914" w:name="_Toc41815003"/>
      <w:r w:rsidRPr="00236418">
        <w:lastRenderedPageBreak/>
        <w:t>ANNEXE B2</w:t>
      </w:r>
      <w:bookmarkEnd w:id="2905"/>
      <w:bookmarkEnd w:id="2906"/>
      <w:bookmarkEnd w:id="2907"/>
      <w:bookmarkEnd w:id="2908"/>
      <w:bookmarkEnd w:id="2909"/>
      <w:bookmarkEnd w:id="2910"/>
      <w:bookmarkEnd w:id="2911"/>
      <w:bookmarkEnd w:id="2912"/>
      <w:bookmarkEnd w:id="2913"/>
      <w:bookmarkEnd w:id="2914"/>
    </w:p>
    <w:p w14:paraId="7CB53182" w14:textId="77777777" w:rsidR="00862C6F" w:rsidRPr="00236418" w:rsidRDefault="00862C6F" w:rsidP="00862C6F">
      <w:pPr>
        <w:keepNext/>
        <w:tabs>
          <w:tab w:val="clear" w:pos="567"/>
          <w:tab w:val="clear" w:pos="1134"/>
          <w:tab w:val="clear" w:pos="1701"/>
          <w:tab w:val="clear" w:pos="2268"/>
          <w:tab w:val="clear" w:pos="2835"/>
          <w:tab w:val="left" w:pos="2948"/>
          <w:tab w:val="left" w:pos="4082"/>
        </w:tabs>
        <w:spacing w:after="120"/>
        <w:jc w:val="center"/>
        <w:rPr>
          <w:b/>
        </w:rPr>
      </w:pPr>
      <w:r w:rsidRPr="00236418">
        <w:rPr>
          <w:b/>
        </w:rPr>
        <w:t>Nouveaux locaux du siège</w:t>
      </w:r>
    </w:p>
    <w:tbl>
      <w:tblPr>
        <w:tblW w:w="9634" w:type="dxa"/>
        <w:tblLayout w:type="fixed"/>
        <w:tblLook w:val="04A0" w:firstRow="1" w:lastRow="0" w:firstColumn="1" w:lastColumn="0" w:noHBand="0" w:noVBand="1"/>
        <w:tblCaption w:val="CAISSE D'ASSURANCE – Voir la Note 4"/>
      </w:tblPr>
      <w:tblGrid>
        <w:gridCol w:w="6516"/>
        <w:gridCol w:w="1701"/>
        <w:gridCol w:w="1417"/>
      </w:tblGrid>
      <w:tr w:rsidR="00862C6F" w:rsidRPr="00236418" w14:paraId="4F1B9650" w14:textId="77777777" w:rsidTr="00620F53">
        <w:trPr>
          <w:trHeight w:val="300"/>
        </w:trPr>
        <w:tc>
          <w:tcPr>
            <w:tcW w:w="6516" w:type="dxa"/>
            <w:tcBorders>
              <w:top w:val="single" w:sz="4" w:space="0" w:color="auto"/>
              <w:left w:val="single" w:sz="4" w:space="0" w:color="auto"/>
              <w:bottom w:val="single" w:sz="4" w:space="0" w:color="auto"/>
              <w:right w:val="nil"/>
            </w:tcBorders>
            <w:shd w:val="clear" w:color="auto" w:fill="auto"/>
            <w:noWrap/>
            <w:vAlign w:val="center"/>
            <w:hideMark/>
          </w:tcPr>
          <w:p w14:paraId="4E3944FB" w14:textId="77777777" w:rsidR="00862C6F" w:rsidRPr="00236418" w:rsidRDefault="00862C6F" w:rsidP="00862C6F">
            <w:pPr>
              <w:rPr>
                <w:rFonts w:cs="Calibri"/>
                <w:sz w:val="20"/>
              </w:rPr>
            </w:pPr>
            <w:r w:rsidRPr="00236418">
              <w:rPr>
                <w:rFonts w:cs="Calibri"/>
                <w:sz w:val="20"/>
              </w:rPr>
              <w:t>(en milliers de CHF)</w:t>
            </w:r>
          </w:p>
        </w:tc>
        <w:tc>
          <w:tcPr>
            <w:tcW w:w="1701" w:type="dxa"/>
            <w:tcBorders>
              <w:top w:val="single" w:sz="4" w:space="0" w:color="auto"/>
              <w:left w:val="single" w:sz="4" w:space="0" w:color="auto"/>
              <w:bottom w:val="single" w:sz="4" w:space="0" w:color="auto"/>
              <w:right w:val="single" w:sz="4" w:space="0" w:color="auto"/>
            </w:tcBorders>
            <w:vAlign w:val="center"/>
          </w:tcPr>
          <w:p w14:paraId="06183BA9" w14:textId="77777777" w:rsidR="00862C6F" w:rsidRPr="00236418" w:rsidRDefault="00862C6F" w:rsidP="00862C6F">
            <w:pPr>
              <w:jc w:val="center"/>
              <w:rPr>
                <w:rFonts w:cs="Calibri"/>
                <w:b/>
                <w:bCs/>
                <w:sz w:val="20"/>
              </w:rPr>
            </w:pPr>
            <w:r w:rsidRPr="00236418">
              <w:rPr>
                <w:rFonts w:cs="Calibri"/>
                <w:b/>
                <w:bCs/>
                <w:sz w:val="20"/>
              </w:rPr>
              <w:t>31/12/2019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B57A24" w14:textId="77777777" w:rsidR="00862C6F" w:rsidRPr="00236418" w:rsidRDefault="00862C6F" w:rsidP="00862C6F">
            <w:pPr>
              <w:jc w:val="center"/>
              <w:rPr>
                <w:rFonts w:cs="Calibri"/>
                <w:b/>
                <w:bCs/>
                <w:sz w:val="20"/>
              </w:rPr>
            </w:pPr>
            <w:r w:rsidRPr="00236418">
              <w:rPr>
                <w:rFonts w:cs="Calibri"/>
                <w:b/>
                <w:bCs/>
                <w:sz w:val="20"/>
              </w:rPr>
              <w:t>31/12/2018</w:t>
            </w:r>
          </w:p>
        </w:tc>
      </w:tr>
      <w:tr w:rsidR="00862C6F" w:rsidRPr="00236418" w14:paraId="45439DFE"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70624FBB" w14:textId="77777777" w:rsidR="00862C6F" w:rsidRPr="00236418" w:rsidRDefault="00862C6F" w:rsidP="00862C6F">
            <w:pPr>
              <w:tabs>
                <w:tab w:val="clear" w:pos="567"/>
                <w:tab w:val="clear" w:pos="1134"/>
                <w:tab w:val="clear" w:pos="1701"/>
                <w:tab w:val="clear" w:pos="2268"/>
                <w:tab w:val="clear" w:pos="2835"/>
              </w:tabs>
              <w:spacing w:beforeLines="40" w:before="96"/>
              <w:rPr>
                <w:b/>
                <w:bCs/>
                <w:sz w:val="20"/>
              </w:rPr>
            </w:pPr>
            <w:r w:rsidRPr="00236418">
              <w:rPr>
                <w:b/>
                <w:bCs/>
                <w:sz w:val="20"/>
              </w:rPr>
              <w:t>PRODUITS</w:t>
            </w:r>
          </w:p>
        </w:tc>
        <w:tc>
          <w:tcPr>
            <w:tcW w:w="1701" w:type="dxa"/>
            <w:tcBorders>
              <w:top w:val="single" w:sz="4" w:space="0" w:color="auto"/>
              <w:left w:val="nil"/>
              <w:bottom w:val="nil"/>
              <w:right w:val="single" w:sz="4" w:space="0" w:color="auto"/>
            </w:tcBorders>
            <w:vAlign w:val="center"/>
          </w:tcPr>
          <w:p w14:paraId="06999C84" w14:textId="77777777" w:rsidR="00862C6F" w:rsidRPr="00236418" w:rsidRDefault="00862C6F" w:rsidP="00862C6F">
            <w:pPr>
              <w:jc w:val="right"/>
              <w:rPr>
                <w:rFonts w:cs="Calibri"/>
                <w:sz w:val="20"/>
              </w:rPr>
            </w:pPr>
          </w:p>
        </w:tc>
        <w:tc>
          <w:tcPr>
            <w:tcW w:w="1417" w:type="dxa"/>
            <w:tcBorders>
              <w:top w:val="nil"/>
              <w:left w:val="single" w:sz="4" w:space="0" w:color="auto"/>
              <w:bottom w:val="nil"/>
              <w:right w:val="single" w:sz="4" w:space="0" w:color="auto"/>
            </w:tcBorders>
            <w:shd w:val="clear" w:color="auto" w:fill="auto"/>
            <w:noWrap/>
            <w:vAlign w:val="center"/>
          </w:tcPr>
          <w:p w14:paraId="4E1636DD" w14:textId="77777777" w:rsidR="00862C6F" w:rsidRPr="00236418" w:rsidRDefault="00862C6F" w:rsidP="00862C6F">
            <w:pPr>
              <w:jc w:val="right"/>
              <w:rPr>
                <w:rFonts w:cs="Calibri"/>
                <w:sz w:val="20"/>
              </w:rPr>
            </w:pPr>
          </w:p>
        </w:tc>
      </w:tr>
      <w:tr w:rsidR="00862C6F" w:rsidRPr="00236418" w14:paraId="69E114A4" w14:textId="77777777" w:rsidTr="00620F53">
        <w:trPr>
          <w:trHeight w:val="300"/>
        </w:trPr>
        <w:tc>
          <w:tcPr>
            <w:tcW w:w="6516" w:type="dxa"/>
            <w:tcBorders>
              <w:top w:val="nil"/>
              <w:left w:val="single" w:sz="4" w:space="0" w:color="auto"/>
              <w:right w:val="single" w:sz="4" w:space="0" w:color="auto"/>
            </w:tcBorders>
            <w:shd w:val="clear" w:color="auto" w:fill="auto"/>
            <w:noWrap/>
          </w:tcPr>
          <w:p w14:paraId="4E10EDB8" w14:textId="77777777" w:rsidR="00862C6F" w:rsidRPr="00236418" w:rsidRDefault="00862C6F" w:rsidP="00862C6F">
            <w:pPr>
              <w:tabs>
                <w:tab w:val="clear" w:pos="567"/>
                <w:tab w:val="clear" w:pos="1134"/>
                <w:tab w:val="clear" w:pos="1701"/>
                <w:tab w:val="clear" w:pos="2268"/>
                <w:tab w:val="clear" w:pos="2835"/>
              </w:tabs>
              <w:spacing w:beforeLines="40" w:before="96"/>
              <w:rPr>
                <w:sz w:val="20"/>
                <w:u w:val="single"/>
              </w:rPr>
            </w:pPr>
            <w:r w:rsidRPr="00236418">
              <w:rPr>
                <w:sz w:val="20"/>
                <w:szCs w:val="18"/>
              </w:rPr>
              <w:t>Produits d'exploitation</w:t>
            </w:r>
          </w:p>
        </w:tc>
        <w:tc>
          <w:tcPr>
            <w:tcW w:w="1701" w:type="dxa"/>
            <w:tcBorders>
              <w:top w:val="nil"/>
              <w:left w:val="nil"/>
              <w:right w:val="single" w:sz="4" w:space="0" w:color="auto"/>
            </w:tcBorders>
            <w:vAlign w:val="center"/>
          </w:tcPr>
          <w:p w14:paraId="7A7C7A84" w14:textId="77777777" w:rsidR="00862C6F" w:rsidRPr="00236418" w:rsidRDefault="00862C6F" w:rsidP="00862C6F">
            <w:pPr>
              <w:jc w:val="right"/>
              <w:rPr>
                <w:rFonts w:cs="Calibri"/>
                <w:sz w:val="20"/>
              </w:rPr>
            </w:pPr>
            <w:r w:rsidRPr="00236418">
              <w:rPr>
                <w:rFonts w:cs="Calibri"/>
                <w:sz w:val="20"/>
              </w:rPr>
              <w:t>0</w:t>
            </w:r>
          </w:p>
        </w:tc>
        <w:tc>
          <w:tcPr>
            <w:tcW w:w="1417" w:type="dxa"/>
            <w:tcBorders>
              <w:top w:val="nil"/>
              <w:left w:val="single" w:sz="4" w:space="0" w:color="auto"/>
              <w:right w:val="single" w:sz="4" w:space="0" w:color="auto"/>
            </w:tcBorders>
            <w:shd w:val="clear" w:color="auto" w:fill="auto"/>
            <w:noWrap/>
            <w:vAlign w:val="center"/>
          </w:tcPr>
          <w:p w14:paraId="14750F85" w14:textId="77777777" w:rsidR="00862C6F" w:rsidRPr="00236418" w:rsidRDefault="00862C6F" w:rsidP="00862C6F">
            <w:pPr>
              <w:jc w:val="right"/>
              <w:rPr>
                <w:rFonts w:cs="Calibri"/>
                <w:sz w:val="20"/>
              </w:rPr>
            </w:pPr>
            <w:r w:rsidRPr="00236418">
              <w:rPr>
                <w:rFonts w:cs="Calibri"/>
                <w:sz w:val="20"/>
              </w:rPr>
              <w:t>0</w:t>
            </w:r>
          </w:p>
        </w:tc>
      </w:tr>
      <w:tr w:rsidR="00862C6F" w:rsidRPr="00236418" w14:paraId="1A152690" w14:textId="77777777" w:rsidTr="00620F53">
        <w:trPr>
          <w:trHeight w:val="126"/>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7AE1C1AC" w14:textId="77777777" w:rsidR="00862C6F" w:rsidRPr="00236418" w:rsidRDefault="00862C6F" w:rsidP="00862C6F">
            <w:pPr>
              <w:tabs>
                <w:tab w:val="clear" w:pos="567"/>
                <w:tab w:val="clear" w:pos="1134"/>
                <w:tab w:val="clear" w:pos="1701"/>
                <w:tab w:val="clear" w:pos="2268"/>
                <w:tab w:val="clear" w:pos="2835"/>
              </w:tabs>
              <w:spacing w:before="40" w:after="40"/>
              <w:rPr>
                <w:b/>
                <w:bCs/>
                <w:sz w:val="20"/>
              </w:rPr>
            </w:pPr>
            <w:r w:rsidRPr="00236418">
              <w:rPr>
                <w:b/>
                <w:bCs/>
                <w:sz w:val="20"/>
              </w:rPr>
              <w:t>Total des produits</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1CFEB7B" w14:textId="77777777" w:rsidR="00862C6F" w:rsidRPr="00236418" w:rsidRDefault="00862C6F" w:rsidP="00862C6F">
            <w:pPr>
              <w:spacing w:before="40" w:after="40"/>
              <w:jc w:val="right"/>
              <w:rPr>
                <w:rFonts w:cs="Calibri"/>
                <w:b/>
                <w:bCs/>
                <w:sz w:val="20"/>
              </w:rPr>
            </w:pPr>
            <w:r w:rsidRPr="00236418">
              <w:rPr>
                <w:rFonts w:cs="Calibri"/>
                <w:b/>
                <w:bCs/>
                <w:sz w:val="20"/>
              </w:rPr>
              <w:t>0</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60899B3C" w14:textId="77777777" w:rsidR="00862C6F" w:rsidRPr="00236418" w:rsidRDefault="00862C6F" w:rsidP="00862C6F">
            <w:pPr>
              <w:spacing w:before="40" w:after="40"/>
              <w:jc w:val="right"/>
              <w:rPr>
                <w:rFonts w:cs="Calibri"/>
                <w:b/>
                <w:bCs/>
                <w:sz w:val="20"/>
              </w:rPr>
            </w:pPr>
            <w:r w:rsidRPr="00236418">
              <w:rPr>
                <w:rFonts w:cs="Calibri"/>
                <w:b/>
                <w:bCs/>
                <w:sz w:val="20"/>
              </w:rPr>
              <w:t>0</w:t>
            </w:r>
          </w:p>
        </w:tc>
      </w:tr>
      <w:tr w:rsidR="00862C6F" w:rsidRPr="00236418" w14:paraId="55639768"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38752D04" w14:textId="77777777" w:rsidR="00862C6F" w:rsidRPr="00236418" w:rsidRDefault="00862C6F" w:rsidP="00862C6F">
            <w:pPr>
              <w:tabs>
                <w:tab w:val="clear" w:pos="567"/>
                <w:tab w:val="clear" w:pos="1134"/>
                <w:tab w:val="clear" w:pos="1701"/>
                <w:tab w:val="clear" w:pos="2268"/>
                <w:tab w:val="clear" w:pos="2835"/>
              </w:tabs>
              <w:spacing w:beforeLines="40" w:before="96"/>
              <w:rPr>
                <w:sz w:val="20"/>
                <w:u w:val="single"/>
              </w:rPr>
            </w:pPr>
            <w:r w:rsidRPr="00236418">
              <w:rPr>
                <w:b/>
                <w:bCs/>
                <w:sz w:val="20"/>
              </w:rPr>
              <w:t>CHARGES</w:t>
            </w:r>
          </w:p>
        </w:tc>
        <w:tc>
          <w:tcPr>
            <w:tcW w:w="1701" w:type="dxa"/>
            <w:tcBorders>
              <w:top w:val="nil"/>
              <w:left w:val="nil"/>
              <w:bottom w:val="nil"/>
              <w:right w:val="single" w:sz="4" w:space="0" w:color="auto"/>
            </w:tcBorders>
            <w:vAlign w:val="center"/>
          </w:tcPr>
          <w:p w14:paraId="024CCFF8" w14:textId="77777777" w:rsidR="00862C6F" w:rsidRPr="00236418" w:rsidRDefault="00862C6F" w:rsidP="00862C6F">
            <w:pPr>
              <w:jc w:val="right"/>
              <w:rPr>
                <w:rFonts w:cs="Calibri"/>
                <w:sz w:val="20"/>
              </w:rPr>
            </w:pPr>
          </w:p>
        </w:tc>
        <w:tc>
          <w:tcPr>
            <w:tcW w:w="1417" w:type="dxa"/>
            <w:tcBorders>
              <w:top w:val="nil"/>
              <w:left w:val="single" w:sz="4" w:space="0" w:color="auto"/>
              <w:bottom w:val="nil"/>
              <w:right w:val="single" w:sz="4" w:space="0" w:color="auto"/>
            </w:tcBorders>
            <w:shd w:val="clear" w:color="auto" w:fill="auto"/>
            <w:noWrap/>
            <w:vAlign w:val="center"/>
          </w:tcPr>
          <w:p w14:paraId="57D30494" w14:textId="77777777" w:rsidR="00862C6F" w:rsidRPr="00236418" w:rsidRDefault="00862C6F" w:rsidP="00862C6F">
            <w:pPr>
              <w:jc w:val="right"/>
              <w:rPr>
                <w:rFonts w:cs="Calibri"/>
                <w:sz w:val="20"/>
              </w:rPr>
            </w:pPr>
          </w:p>
        </w:tc>
      </w:tr>
      <w:tr w:rsidR="00862C6F" w:rsidRPr="00236418" w14:paraId="35C3E163"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68B442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lang w:eastAsia="fr-FR"/>
              </w:rPr>
              <w:t>Charges de personnel</w:t>
            </w:r>
          </w:p>
        </w:tc>
        <w:tc>
          <w:tcPr>
            <w:tcW w:w="1701" w:type="dxa"/>
            <w:tcBorders>
              <w:top w:val="nil"/>
              <w:left w:val="nil"/>
              <w:bottom w:val="nil"/>
              <w:right w:val="single" w:sz="4" w:space="0" w:color="auto"/>
            </w:tcBorders>
            <w:vAlign w:val="center"/>
          </w:tcPr>
          <w:p w14:paraId="6654F64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6479F5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171</w:t>
            </w:r>
          </w:p>
        </w:tc>
      </w:tr>
      <w:tr w:rsidR="00862C6F" w:rsidRPr="00236418" w14:paraId="2236AF4B"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36AA741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lang w:eastAsia="fr-FR"/>
              </w:rPr>
              <w:t>Frais de missions</w:t>
            </w:r>
          </w:p>
        </w:tc>
        <w:tc>
          <w:tcPr>
            <w:tcW w:w="1701" w:type="dxa"/>
            <w:tcBorders>
              <w:top w:val="nil"/>
              <w:left w:val="nil"/>
              <w:bottom w:val="nil"/>
              <w:right w:val="single" w:sz="4" w:space="0" w:color="auto"/>
            </w:tcBorders>
            <w:vAlign w:val="center"/>
          </w:tcPr>
          <w:p w14:paraId="4433BFF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1058300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r>
      <w:tr w:rsidR="00862C6F" w:rsidRPr="00236418" w14:paraId="436F31D8"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tcPr>
          <w:p w14:paraId="26EF9FA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lang w:eastAsia="fr-FR"/>
              </w:rPr>
              <w:t>Services contractuels</w:t>
            </w:r>
          </w:p>
        </w:tc>
        <w:tc>
          <w:tcPr>
            <w:tcW w:w="1701" w:type="dxa"/>
            <w:tcBorders>
              <w:top w:val="nil"/>
              <w:left w:val="nil"/>
              <w:bottom w:val="nil"/>
              <w:right w:val="single" w:sz="4" w:space="0" w:color="auto"/>
            </w:tcBorders>
            <w:vAlign w:val="center"/>
          </w:tcPr>
          <w:p w14:paraId="51CD51A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5</w:t>
            </w:r>
          </w:p>
        </w:tc>
        <w:tc>
          <w:tcPr>
            <w:tcW w:w="1417" w:type="dxa"/>
            <w:tcBorders>
              <w:top w:val="nil"/>
              <w:left w:val="single" w:sz="4" w:space="0" w:color="auto"/>
              <w:bottom w:val="nil"/>
              <w:right w:val="single" w:sz="4" w:space="0" w:color="auto"/>
            </w:tcBorders>
            <w:shd w:val="clear" w:color="auto" w:fill="auto"/>
            <w:noWrap/>
            <w:vAlign w:val="center"/>
          </w:tcPr>
          <w:p w14:paraId="4CC1D75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1</w:t>
            </w:r>
          </w:p>
        </w:tc>
      </w:tr>
      <w:tr w:rsidR="00862C6F" w:rsidRPr="00236418" w14:paraId="509306E6"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1BD8145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lang w:eastAsia="fr-FR"/>
              </w:rPr>
              <w:t>Location et entretien des locaux et équipements</w:t>
            </w:r>
          </w:p>
        </w:tc>
        <w:tc>
          <w:tcPr>
            <w:tcW w:w="1701" w:type="dxa"/>
            <w:tcBorders>
              <w:top w:val="nil"/>
              <w:left w:val="nil"/>
              <w:bottom w:val="nil"/>
              <w:right w:val="single" w:sz="4" w:space="0" w:color="auto"/>
            </w:tcBorders>
            <w:vAlign w:val="center"/>
          </w:tcPr>
          <w:p w14:paraId="4B923F6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44962EE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r>
      <w:tr w:rsidR="00862C6F" w:rsidRPr="00236418" w14:paraId="0A1AC36F"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337C86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lang w:eastAsia="fr-FR"/>
              </w:rPr>
              <w:t>Matériels et fournitures</w:t>
            </w:r>
          </w:p>
        </w:tc>
        <w:tc>
          <w:tcPr>
            <w:tcW w:w="1701" w:type="dxa"/>
            <w:tcBorders>
              <w:top w:val="nil"/>
              <w:left w:val="nil"/>
              <w:right w:val="single" w:sz="4" w:space="0" w:color="auto"/>
            </w:tcBorders>
            <w:vAlign w:val="center"/>
          </w:tcPr>
          <w:p w14:paraId="4B3B6B5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3</w:t>
            </w:r>
          </w:p>
        </w:tc>
        <w:tc>
          <w:tcPr>
            <w:tcW w:w="1417" w:type="dxa"/>
            <w:tcBorders>
              <w:top w:val="nil"/>
              <w:left w:val="single" w:sz="4" w:space="0" w:color="auto"/>
              <w:right w:val="single" w:sz="4" w:space="0" w:color="auto"/>
            </w:tcBorders>
            <w:shd w:val="clear" w:color="auto" w:fill="auto"/>
            <w:noWrap/>
            <w:vAlign w:val="center"/>
          </w:tcPr>
          <w:p w14:paraId="41919C0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15</w:t>
            </w:r>
          </w:p>
        </w:tc>
      </w:tr>
      <w:tr w:rsidR="00862C6F" w:rsidRPr="00236418" w14:paraId="22A89DB1" w14:textId="77777777" w:rsidTr="00620F53">
        <w:trPr>
          <w:trHeight w:val="255"/>
        </w:trPr>
        <w:tc>
          <w:tcPr>
            <w:tcW w:w="6516" w:type="dxa"/>
            <w:tcBorders>
              <w:top w:val="nil"/>
              <w:left w:val="single" w:sz="4" w:space="0" w:color="auto"/>
              <w:bottom w:val="nil"/>
              <w:right w:val="single" w:sz="4" w:space="0" w:color="auto"/>
            </w:tcBorders>
            <w:shd w:val="clear" w:color="auto" w:fill="auto"/>
            <w:noWrap/>
            <w:vAlign w:val="center"/>
            <w:hideMark/>
          </w:tcPr>
          <w:p w14:paraId="3FC8307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lang w:eastAsia="fr-FR"/>
              </w:rPr>
              <w:t>Frais d'expédition et de télécommunication et services</w:t>
            </w:r>
          </w:p>
        </w:tc>
        <w:tc>
          <w:tcPr>
            <w:tcW w:w="1701" w:type="dxa"/>
            <w:tcBorders>
              <w:top w:val="nil"/>
              <w:left w:val="nil"/>
              <w:bottom w:val="nil"/>
              <w:right w:val="single" w:sz="4" w:space="0" w:color="auto"/>
            </w:tcBorders>
            <w:vAlign w:val="center"/>
          </w:tcPr>
          <w:p w14:paraId="7DF85FC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3C80577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r>
      <w:tr w:rsidR="00862C6F" w:rsidRPr="00236418" w14:paraId="01F0E532"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39B655E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rFonts w:cs="Arial"/>
                <w:sz w:val="20"/>
                <w:lang w:eastAsia="zh-CN"/>
              </w:rPr>
              <w:t>Autres charges</w:t>
            </w:r>
          </w:p>
        </w:tc>
        <w:tc>
          <w:tcPr>
            <w:tcW w:w="1701" w:type="dxa"/>
            <w:tcBorders>
              <w:top w:val="nil"/>
              <w:left w:val="nil"/>
              <w:bottom w:val="nil"/>
              <w:right w:val="single" w:sz="4" w:space="0" w:color="auto"/>
            </w:tcBorders>
            <w:vAlign w:val="center"/>
          </w:tcPr>
          <w:p w14:paraId="23099CF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42D8603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r>
      <w:tr w:rsidR="00862C6F" w:rsidRPr="00236418" w14:paraId="5F0EC86B" w14:textId="77777777" w:rsidTr="00620F53">
        <w:trPr>
          <w:trHeight w:val="300"/>
        </w:trPr>
        <w:tc>
          <w:tcPr>
            <w:tcW w:w="6516" w:type="dxa"/>
            <w:tcBorders>
              <w:top w:val="nil"/>
              <w:left w:val="single" w:sz="4" w:space="0" w:color="auto"/>
              <w:right w:val="single" w:sz="4" w:space="0" w:color="auto"/>
            </w:tcBorders>
            <w:shd w:val="clear" w:color="auto" w:fill="auto"/>
            <w:noWrap/>
            <w:vAlign w:val="center"/>
            <w:hideMark/>
          </w:tcPr>
          <w:p w14:paraId="11956B4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lang w:eastAsia="fr-FR"/>
              </w:rPr>
              <w:t>Charges financières</w:t>
            </w:r>
          </w:p>
        </w:tc>
        <w:tc>
          <w:tcPr>
            <w:tcW w:w="1701" w:type="dxa"/>
            <w:tcBorders>
              <w:top w:val="nil"/>
              <w:left w:val="nil"/>
              <w:right w:val="single" w:sz="4" w:space="0" w:color="auto"/>
            </w:tcBorders>
            <w:vAlign w:val="center"/>
          </w:tcPr>
          <w:p w14:paraId="2C4090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c>
          <w:tcPr>
            <w:tcW w:w="1417" w:type="dxa"/>
            <w:tcBorders>
              <w:top w:val="nil"/>
              <w:left w:val="single" w:sz="4" w:space="0" w:color="auto"/>
              <w:right w:val="single" w:sz="4" w:space="0" w:color="auto"/>
            </w:tcBorders>
            <w:shd w:val="clear" w:color="auto" w:fill="auto"/>
            <w:noWrap/>
            <w:vAlign w:val="center"/>
          </w:tcPr>
          <w:p w14:paraId="43EFBC1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0</w:t>
            </w:r>
          </w:p>
        </w:tc>
      </w:tr>
      <w:tr w:rsidR="00862C6F" w:rsidRPr="00236418" w14:paraId="054ECB4D"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552B8E75" w14:textId="77777777" w:rsidR="00862C6F" w:rsidRPr="00236418" w:rsidRDefault="00862C6F" w:rsidP="00862C6F">
            <w:pPr>
              <w:tabs>
                <w:tab w:val="clear" w:pos="567"/>
                <w:tab w:val="clear" w:pos="1134"/>
                <w:tab w:val="clear" w:pos="1701"/>
                <w:tab w:val="clear" w:pos="2268"/>
                <w:tab w:val="clear" w:pos="2835"/>
              </w:tabs>
              <w:spacing w:before="40" w:after="40"/>
              <w:rPr>
                <w:sz w:val="20"/>
                <w:u w:val="single"/>
              </w:rPr>
            </w:pPr>
            <w:r w:rsidRPr="00236418">
              <w:rPr>
                <w:b/>
                <w:bCs/>
                <w:sz w:val="20"/>
              </w:rPr>
              <w:t>Total des charges</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304F354" w14:textId="77777777" w:rsidR="00862C6F" w:rsidRPr="00236418" w:rsidRDefault="00862C6F" w:rsidP="00862C6F">
            <w:pPr>
              <w:spacing w:before="40" w:after="40"/>
              <w:jc w:val="right"/>
              <w:rPr>
                <w:rFonts w:cs="Calibri"/>
                <w:b/>
                <w:bCs/>
                <w:sz w:val="20"/>
              </w:rPr>
            </w:pPr>
            <w:r w:rsidRPr="00236418">
              <w:rPr>
                <w:rFonts w:cs="Calibri"/>
                <w:b/>
                <w:bCs/>
                <w:sz w:val="20"/>
              </w:rPr>
              <w:t>8</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6FF7824E" w14:textId="77777777" w:rsidR="00862C6F" w:rsidRPr="00236418" w:rsidRDefault="00862C6F" w:rsidP="00862C6F">
            <w:pPr>
              <w:spacing w:before="40" w:after="40"/>
              <w:jc w:val="right"/>
              <w:rPr>
                <w:rFonts w:cs="Calibri"/>
                <w:b/>
                <w:bCs/>
                <w:sz w:val="20"/>
              </w:rPr>
            </w:pPr>
            <w:r w:rsidRPr="00236418">
              <w:rPr>
                <w:rFonts w:cs="Calibri"/>
                <w:b/>
                <w:bCs/>
                <w:sz w:val="20"/>
              </w:rPr>
              <w:t>188</w:t>
            </w:r>
          </w:p>
        </w:tc>
      </w:tr>
      <w:tr w:rsidR="00862C6F" w:rsidRPr="00236418" w14:paraId="6830FCF1"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EE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eastAsia="zh-CN"/>
              </w:rPr>
            </w:pPr>
            <w:r w:rsidRPr="00236418">
              <w:rPr>
                <w:b/>
                <w:bCs/>
                <w:sz w:val="20"/>
                <w:lang w:eastAsia="fr-FR"/>
              </w:rPr>
              <w:t>Excédent/déficit de la période</w:t>
            </w:r>
          </w:p>
        </w:tc>
        <w:tc>
          <w:tcPr>
            <w:tcW w:w="1701" w:type="dxa"/>
            <w:tcBorders>
              <w:top w:val="single" w:sz="4" w:space="0" w:color="auto"/>
              <w:left w:val="nil"/>
              <w:bottom w:val="single" w:sz="4" w:space="0" w:color="auto"/>
              <w:right w:val="single" w:sz="4" w:space="0" w:color="auto"/>
            </w:tcBorders>
            <w:vAlign w:val="center"/>
          </w:tcPr>
          <w:p w14:paraId="55AB70F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236418">
              <w:rPr>
                <w:rFonts w:cs="Arial"/>
                <w:b/>
                <w:bCs/>
                <w:color w:val="000000"/>
                <w:sz w:val="20"/>
                <w:lang w:eastAsia="zh-CN"/>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A621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236418">
              <w:rPr>
                <w:rFonts w:cs="Arial"/>
                <w:b/>
                <w:bCs/>
                <w:color w:val="000000"/>
                <w:sz w:val="20"/>
                <w:lang w:eastAsia="zh-CN"/>
              </w:rPr>
              <w:t>–188</w:t>
            </w:r>
          </w:p>
        </w:tc>
      </w:tr>
    </w:tbl>
    <w:p w14:paraId="3A64906E" w14:textId="77777777" w:rsidR="00862C6F" w:rsidRPr="00236418" w:rsidRDefault="00862C6F" w:rsidP="00862C6F">
      <w:pPr>
        <w:spacing w:before="0"/>
        <w:rPr>
          <w:sz w:val="16"/>
          <w:szCs w:val="16"/>
        </w:rPr>
      </w:pPr>
    </w:p>
    <w:tbl>
      <w:tblPr>
        <w:tblW w:w="9634" w:type="dxa"/>
        <w:tblLook w:val="04A0" w:firstRow="1" w:lastRow="0" w:firstColumn="1" w:lastColumn="0" w:noHBand="0" w:noVBand="1"/>
        <w:tblCaption w:val="CAISSE D'ASSURANCE – Voir la Note 4"/>
      </w:tblPr>
      <w:tblGrid>
        <w:gridCol w:w="6516"/>
        <w:gridCol w:w="1701"/>
        <w:gridCol w:w="1417"/>
      </w:tblGrid>
      <w:tr w:rsidR="00862C6F" w:rsidRPr="00236418" w14:paraId="3D13318B" w14:textId="77777777" w:rsidTr="00620F53">
        <w:trPr>
          <w:trHeight w:val="300"/>
        </w:trPr>
        <w:tc>
          <w:tcPr>
            <w:tcW w:w="6516" w:type="dxa"/>
            <w:tcBorders>
              <w:top w:val="single" w:sz="4" w:space="0" w:color="auto"/>
              <w:left w:val="single" w:sz="4" w:space="0" w:color="auto"/>
              <w:bottom w:val="single" w:sz="4" w:space="0" w:color="auto"/>
              <w:right w:val="nil"/>
            </w:tcBorders>
            <w:shd w:val="clear" w:color="auto" w:fill="auto"/>
            <w:noWrap/>
            <w:vAlign w:val="center"/>
            <w:hideMark/>
          </w:tcPr>
          <w:p w14:paraId="3F058E7F" w14:textId="77777777" w:rsidR="00862C6F" w:rsidRPr="00236418" w:rsidRDefault="00862C6F" w:rsidP="00862C6F">
            <w:pPr>
              <w:rPr>
                <w:rFonts w:cs="Calibri"/>
                <w:sz w:val="20"/>
              </w:rPr>
            </w:pPr>
            <w:r w:rsidRPr="00236418">
              <w:rPr>
                <w:rFonts w:cs="Calibri"/>
                <w:sz w:val="20"/>
              </w:rPr>
              <w:t>(en milliers de CHF)</w:t>
            </w:r>
          </w:p>
        </w:tc>
        <w:tc>
          <w:tcPr>
            <w:tcW w:w="1701" w:type="dxa"/>
            <w:tcBorders>
              <w:top w:val="single" w:sz="4" w:space="0" w:color="auto"/>
              <w:left w:val="single" w:sz="4" w:space="0" w:color="auto"/>
              <w:bottom w:val="single" w:sz="4" w:space="0" w:color="auto"/>
              <w:right w:val="single" w:sz="4" w:space="0" w:color="auto"/>
            </w:tcBorders>
          </w:tcPr>
          <w:p w14:paraId="5338835D" w14:textId="77777777" w:rsidR="00862C6F" w:rsidRPr="00236418" w:rsidRDefault="00862C6F" w:rsidP="00862C6F">
            <w:pPr>
              <w:jc w:val="center"/>
              <w:rPr>
                <w:rFonts w:cs="Calibri"/>
                <w:b/>
                <w:bCs/>
                <w:sz w:val="20"/>
              </w:rPr>
            </w:pPr>
            <w:r w:rsidRPr="00236418">
              <w:rPr>
                <w:rFonts w:cs="Calibri"/>
                <w:b/>
                <w:bCs/>
                <w:sz w:val="20"/>
              </w:rPr>
              <w:t>31/12/2019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146FD6" w14:textId="77777777" w:rsidR="00862C6F" w:rsidRPr="00236418" w:rsidRDefault="00862C6F" w:rsidP="00862C6F">
            <w:pPr>
              <w:jc w:val="center"/>
              <w:rPr>
                <w:rFonts w:cs="Calibri"/>
                <w:b/>
                <w:bCs/>
                <w:sz w:val="20"/>
              </w:rPr>
            </w:pPr>
            <w:r w:rsidRPr="00236418">
              <w:rPr>
                <w:rFonts w:cs="Calibri"/>
                <w:b/>
                <w:bCs/>
                <w:sz w:val="20"/>
              </w:rPr>
              <w:t>31/12/2018</w:t>
            </w:r>
          </w:p>
        </w:tc>
      </w:tr>
      <w:tr w:rsidR="00862C6F" w:rsidRPr="00236418" w14:paraId="4F05F723" w14:textId="77777777" w:rsidTr="00620F53">
        <w:trPr>
          <w:trHeight w:val="300"/>
        </w:trPr>
        <w:tc>
          <w:tcPr>
            <w:tcW w:w="6516" w:type="dxa"/>
            <w:tcBorders>
              <w:top w:val="nil"/>
              <w:left w:val="single" w:sz="4" w:space="0" w:color="auto"/>
              <w:right w:val="single" w:sz="4" w:space="0" w:color="auto"/>
            </w:tcBorders>
            <w:shd w:val="clear" w:color="auto" w:fill="auto"/>
            <w:noWrap/>
          </w:tcPr>
          <w:p w14:paraId="2460824E" w14:textId="77777777" w:rsidR="00862C6F" w:rsidRPr="00236418" w:rsidRDefault="00862C6F" w:rsidP="00862C6F">
            <w:pPr>
              <w:tabs>
                <w:tab w:val="clear" w:pos="567"/>
                <w:tab w:val="clear" w:pos="1134"/>
                <w:tab w:val="clear" w:pos="1701"/>
                <w:tab w:val="clear" w:pos="2268"/>
                <w:tab w:val="clear" w:pos="2835"/>
              </w:tabs>
              <w:spacing w:beforeLines="40" w:before="96"/>
              <w:rPr>
                <w:b/>
                <w:bCs/>
                <w:sz w:val="20"/>
              </w:rPr>
            </w:pPr>
            <w:r w:rsidRPr="00236418">
              <w:rPr>
                <w:b/>
                <w:bCs/>
                <w:sz w:val="20"/>
              </w:rPr>
              <w:t>ACTIF</w:t>
            </w:r>
          </w:p>
        </w:tc>
        <w:tc>
          <w:tcPr>
            <w:tcW w:w="1701" w:type="dxa"/>
            <w:tcBorders>
              <w:top w:val="single" w:sz="4" w:space="0" w:color="auto"/>
              <w:left w:val="nil"/>
              <w:right w:val="single" w:sz="4" w:space="0" w:color="auto"/>
            </w:tcBorders>
          </w:tcPr>
          <w:p w14:paraId="2573B7E3" w14:textId="77777777" w:rsidR="00862C6F" w:rsidRPr="00236418" w:rsidRDefault="00862C6F" w:rsidP="00862C6F">
            <w:pPr>
              <w:jc w:val="right"/>
              <w:rPr>
                <w:rFonts w:cs="Calibri"/>
                <w:sz w:val="20"/>
              </w:rPr>
            </w:pPr>
          </w:p>
        </w:tc>
        <w:tc>
          <w:tcPr>
            <w:tcW w:w="1417" w:type="dxa"/>
            <w:tcBorders>
              <w:top w:val="nil"/>
              <w:left w:val="single" w:sz="4" w:space="0" w:color="auto"/>
              <w:right w:val="single" w:sz="4" w:space="0" w:color="auto"/>
            </w:tcBorders>
            <w:shd w:val="clear" w:color="auto" w:fill="auto"/>
            <w:noWrap/>
          </w:tcPr>
          <w:p w14:paraId="6362593A" w14:textId="77777777" w:rsidR="00862C6F" w:rsidRPr="00236418" w:rsidRDefault="00862C6F" w:rsidP="00862C6F">
            <w:pPr>
              <w:jc w:val="right"/>
              <w:rPr>
                <w:rFonts w:cs="Calibri"/>
                <w:sz w:val="20"/>
              </w:rPr>
            </w:pPr>
          </w:p>
        </w:tc>
      </w:tr>
      <w:tr w:rsidR="00862C6F" w:rsidRPr="00236418" w14:paraId="519BA74F" w14:textId="77777777" w:rsidTr="00620F53">
        <w:trPr>
          <w:trHeight w:val="300"/>
        </w:trPr>
        <w:tc>
          <w:tcPr>
            <w:tcW w:w="6516" w:type="dxa"/>
            <w:tcBorders>
              <w:top w:val="nil"/>
              <w:left w:val="single" w:sz="4" w:space="0" w:color="auto"/>
              <w:right w:val="single" w:sz="4" w:space="0" w:color="auto"/>
            </w:tcBorders>
            <w:shd w:val="clear" w:color="auto" w:fill="auto"/>
            <w:noWrap/>
          </w:tcPr>
          <w:p w14:paraId="32E6D73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0"/>
              </w:rPr>
            </w:pPr>
            <w:r w:rsidRPr="00236418">
              <w:rPr>
                <w:b/>
                <w:bCs/>
                <w:sz w:val="20"/>
              </w:rPr>
              <w:t>Actifs courants</w:t>
            </w:r>
          </w:p>
        </w:tc>
        <w:tc>
          <w:tcPr>
            <w:tcW w:w="1701" w:type="dxa"/>
            <w:tcBorders>
              <w:top w:val="nil"/>
              <w:left w:val="nil"/>
              <w:right w:val="single" w:sz="4" w:space="0" w:color="auto"/>
            </w:tcBorders>
            <w:vAlign w:val="center"/>
          </w:tcPr>
          <w:p w14:paraId="5CDB99EB" w14:textId="77777777" w:rsidR="00862C6F" w:rsidRPr="00236418" w:rsidRDefault="00862C6F" w:rsidP="00862C6F">
            <w:pPr>
              <w:spacing w:before="0"/>
              <w:jc w:val="right"/>
              <w:rPr>
                <w:rFonts w:cs="Calibri"/>
                <w:sz w:val="20"/>
              </w:rPr>
            </w:pPr>
          </w:p>
        </w:tc>
        <w:tc>
          <w:tcPr>
            <w:tcW w:w="1417" w:type="dxa"/>
            <w:tcBorders>
              <w:top w:val="nil"/>
              <w:left w:val="single" w:sz="4" w:space="0" w:color="auto"/>
              <w:right w:val="single" w:sz="4" w:space="0" w:color="auto"/>
            </w:tcBorders>
            <w:shd w:val="clear" w:color="auto" w:fill="auto"/>
            <w:noWrap/>
            <w:vAlign w:val="center"/>
          </w:tcPr>
          <w:p w14:paraId="6FACC202" w14:textId="77777777" w:rsidR="00862C6F" w:rsidRPr="00236418" w:rsidRDefault="00862C6F" w:rsidP="00862C6F">
            <w:pPr>
              <w:spacing w:before="0"/>
              <w:jc w:val="right"/>
              <w:rPr>
                <w:rFonts w:cs="Calibri"/>
                <w:sz w:val="20"/>
              </w:rPr>
            </w:pPr>
          </w:p>
        </w:tc>
      </w:tr>
      <w:tr w:rsidR="00862C6F" w:rsidRPr="00236418" w14:paraId="2874C37E" w14:textId="77777777" w:rsidTr="00620F53">
        <w:trPr>
          <w:trHeight w:val="300"/>
        </w:trPr>
        <w:tc>
          <w:tcPr>
            <w:tcW w:w="6516" w:type="dxa"/>
            <w:tcBorders>
              <w:top w:val="nil"/>
              <w:left w:val="single" w:sz="4" w:space="0" w:color="auto"/>
              <w:right w:val="single" w:sz="4" w:space="0" w:color="auto"/>
            </w:tcBorders>
            <w:shd w:val="clear" w:color="auto" w:fill="auto"/>
            <w:noWrap/>
          </w:tcPr>
          <w:p w14:paraId="5B6E60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rPr>
              <w:t>Trésorerie et équivalents de trésorerie</w:t>
            </w:r>
          </w:p>
        </w:tc>
        <w:tc>
          <w:tcPr>
            <w:tcW w:w="1701" w:type="dxa"/>
            <w:tcBorders>
              <w:top w:val="nil"/>
              <w:left w:val="nil"/>
              <w:right w:val="single" w:sz="4" w:space="0" w:color="auto"/>
            </w:tcBorders>
            <w:vAlign w:val="center"/>
          </w:tcPr>
          <w:p w14:paraId="3483C5C1" w14:textId="77777777" w:rsidR="00862C6F" w:rsidRPr="00236418" w:rsidRDefault="00862C6F" w:rsidP="00862C6F">
            <w:pPr>
              <w:spacing w:before="0"/>
              <w:jc w:val="right"/>
              <w:rPr>
                <w:rFonts w:cs="Calibri"/>
                <w:sz w:val="20"/>
              </w:rPr>
            </w:pPr>
            <w:r w:rsidRPr="00236418">
              <w:rPr>
                <w:rFonts w:cs="Calibri"/>
                <w:sz w:val="20"/>
              </w:rPr>
              <w:t>869</w:t>
            </w:r>
          </w:p>
        </w:tc>
        <w:tc>
          <w:tcPr>
            <w:tcW w:w="1417" w:type="dxa"/>
            <w:tcBorders>
              <w:top w:val="nil"/>
              <w:left w:val="single" w:sz="4" w:space="0" w:color="auto"/>
              <w:right w:val="single" w:sz="4" w:space="0" w:color="auto"/>
            </w:tcBorders>
            <w:shd w:val="clear" w:color="auto" w:fill="auto"/>
            <w:noWrap/>
            <w:vAlign w:val="center"/>
          </w:tcPr>
          <w:p w14:paraId="3E464292" w14:textId="77777777" w:rsidR="00862C6F" w:rsidRPr="00236418" w:rsidRDefault="00862C6F" w:rsidP="00862C6F">
            <w:pPr>
              <w:spacing w:before="0"/>
              <w:jc w:val="right"/>
              <w:rPr>
                <w:rFonts w:cs="Calibri"/>
                <w:sz w:val="20"/>
              </w:rPr>
            </w:pPr>
            <w:r w:rsidRPr="00236418">
              <w:rPr>
                <w:rFonts w:cs="Calibri"/>
                <w:sz w:val="20"/>
              </w:rPr>
              <w:t>296</w:t>
            </w:r>
          </w:p>
        </w:tc>
      </w:tr>
      <w:tr w:rsidR="00862C6F" w:rsidRPr="00236418" w14:paraId="4D868E58" w14:textId="77777777" w:rsidTr="00620F53">
        <w:trPr>
          <w:trHeight w:val="300"/>
        </w:trPr>
        <w:tc>
          <w:tcPr>
            <w:tcW w:w="6516" w:type="dxa"/>
            <w:tcBorders>
              <w:left w:val="single" w:sz="4" w:space="0" w:color="auto"/>
              <w:right w:val="single" w:sz="4" w:space="0" w:color="auto"/>
            </w:tcBorders>
            <w:shd w:val="clear" w:color="auto" w:fill="auto"/>
            <w:noWrap/>
          </w:tcPr>
          <w:p w14:paraId="227C74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rFonts w:cs="Arial"/>
                <w:sz w:val="20"/>
                <w:lang w:eastAsia="zh-CN"/>
              </w:rPr>
              <w:t>Placements</w:t>
            </w:r>
          </w:p>
        </w:tc>
        <w:tc>
          <w:tcPr>
            <w:tcW w:w="1701" w:type="dxa"/>
            <w:tcBorders>
              <w:left w:val="nil"/>
              <w:right w:val="single" w:sz="4" w:space="0" w:color="auto"/>
            </w:tcBorders>
            <w:vAlign w:val="center"/>
          </w:tcPr>
          <w:p w14:paraId="1B825737" w14:textId="77777777" w:rsidR="00862C6F" w:rsidRPr="00236418" w:rsidRDefault="00862C6F" w:rsidP="00862C6F">
            <w:pPr>
              <w:spacing w:before="0"/>
              <w:jc w:val="right"/>
              <w:rPr>
                <w:rFonts w:cs="Calibri"/>
                <w:sz w:val="20"/>
              </w:rPr>
            </w:pPr>
          </w:p>
        </w:tc>
        <w:tc>
          <w:tcPr>
            <w:tcW w:w="1417" w:type="dxa"/>
            <w:tcBorders>
              <w:left w:val="single" w:sz="4" w:space="0" w:color="auto"/>
              <w:right w:val="single" w:sz="4" w:space="0" w:color="auto"/>
            </w:tcBorders>
            <w:shd w:val="clear" w:color="auto" w:fill="auto"/>
            <w:noWrap/>
            <w:vAlign w:val="center"/>
          </w:tcPr>
          <w:p w14:paraId="7258A388" w14:textId="77777777" w:rsidR="00862C6F" w:rsidRPr="00236418" w:rsidRDefault="00862C6F" w:rsidP="00862C6F">
            <w:pPr>
              <w:spacing w:before="0"/>
              <w:jc w:val="right"/>
              <w:rPr>
                <w:rFonts w:cs="Calibri"/>
                <w:sz w:val="20"/>
              </w:rPr>
            </w:pPr>
          </w:p>
        </w:tc>
      </w:tr>
      <w:tr w:rsidR="00862C6F" w:rsidRPr="00236418" w14:paraId="0EA308FD" w14:textId="77777777" w:rsidTr="00620F53">
        <w:trPr>
          <w:trHeight w:val="300"/>
        </w:trPr>
        <w:tc>
          <w:tcPr>
            <w:tcW w:w="6516" w:type="dxa"/>
            <w:tcBorders>
              <w:left w:val="single" w:sz="4" w:space="0" w:color="auto"/>
              <w:right w:val="single" w:sz="4" w:space="0" w:color="auto"/>
            </w:tcBorders>
            <w:shd w:val="clear" w:color="auto" w:fill="auto"/>
            <w:noWrap/>
          </w:tcPr>
          <w:p w14:paraId="3E0F9C36" w14:textId="77777777" w:rsidR="00862C6F" w:rsidRPr="00236418" w:rsidRDefault="00862C6F" w:rsidP="00862C6F">
            <w:pPr>
              <w:tabs>
                <w:tab w:val="clear" w:pos="567"/>
                <w:tab w:val="clear" w:pos="1134"/>
                <w:tab w:val="clear" w:pos="1701"/>
                <w:tab w:val="clear" w:pos="2268"/>
                <w:tab w:val="clear" w:pos="2835"/>
              </w:tabs>
              <w:spacing w:before="0"/>
              <w:rPr>
                <w:b/>
                <w:bCs/>
                <w:sz w:val="20"/>
              </w:rPr>
            </w:pPr>
            <w:r w:rsidRPr="00236418">
              <w:rPr>
                <w:b/>
                <w:bCs/>
                <w:sz w:val="20"/>
              </w:rPr>
              <w:t>Total Actifs courants</w:t>
            </w:r>
          </w:p>
        </w:tc>
        <w:tc>
          <w:tcPr>
            <w:tcW w:w="1701" w:type="dxa"/>
            <w:tcBorders>
              <w:left w:val="nil"/>
              <w:right w:val="single" w:sz="4" w:space="0" w:color="auto"/>
            </w:tcBorders>
            <w:vAlign w:val="center"/>
          </w:tcPr>
          <w:p w14:paraId="77E8A013" w14:textId="77777777" w:rsidR="00862C6F" w:rsidRPr="00236418" w:rsidRDefault="00862C6F" w:rsidP="00862C6F">
            <w:pPr>
              <w:spacing w:before="0"/>
              <w:jc w:val="right"/>
              <w:rPr>
                <w:rFonts w:cs="Calibri"/>
                <w:b/>
                <w:bCs/>
                <w:sz w:val="20"/>
              </w:rPr>
            </w:pPr>
            <w:r w:rsidRPr="00236418">
              <w:rPr>
                <w:rFonts w:cs="Calibri"/>
                <w:b/>
                <w:bCs/>
                <w:sz w:val="20"/>
              </w:rPr>
              <w:t>869</w:t>
            </w:r>
          </w:p>
        </w:tc>
        <w:tc>
          <w:tcPr>
            <w:tcW w:w="1417" w:type="dxa"/>
            <w:tcBorders>
              <w:left w:val="single" w:sz="4" w:space="0" w:color="auto"/>
              <w:right w:val="single" w:sz="4" w:space="0" w:color="auto"/>
            </w:tcBorders>
            <w:shd w:val="clear" w:color="auto" w:fill="auto"/>
            <w:noWrap/>
            <w:vAlign w:val="center"/>
          </w:tcPr>
          <w:p w14:paraId="3251FEA7" w14:textId="77777777" w:rsidR="00862C6F" w:rsidRPr="00236418" w:rsidRDefault="00862C6F" w:rsidP="00862C6F">
            <w:pPr>
              <w:spacing w:before="0"/>
              <w:jc w:val="right"/>
              <w:rPr>
                <w:rFonts w:cs="Calibri"/>
                <w:b/>
                <w:bCs/>
                <w:sz w:val="20"/>
              </w:rPr>
            </w:pPr>
            <w:r w:rsidRPr="00236418">
              <w:rPr>
                <w:rFonts w:cs="Calibri"/>
                <w:b/>
                <w:bCs/>
                <w:sz w:val="20"/>
              </w:rPr>
              <w:t>296</w:t>
            </w:r>
          </w:p>
        </w:tc>
      </w:tr>
      <w:tr w:rsidR="00862C6F" w:rsidRPr="00236418" w14:paraId="45B99572" w14:textId="77777777" w:rsidTr="00620F53">
        <w:trPr>
          <w:trHeight w:val="300"/>
        </w:trPr>
        <w:tc>
          <w:tcPr>
            <w:tcW w:w="6516" w:type="dxa"/>
            <w:tcBorders>
              <w:left w:val="single" w:sz="4" w:space="0" w:color="auto"/>
              <w:right w:val="single" w:sz="4" w:space="0" w:color="auto"/>
            </w:tcBorders>
            <w:shd w:val="clear" w:color="auto" w:fill="auto"/>
            <w:noWrap/>
          </w:tcPr>
          <w:p w14:paraId="1F9C8DDB" w14:textId="77777777" w:rsidR="00862C6F" w:rsidRPr="00236418" w:rsidRDefault="00862C6F" w:rsidP="00862C6F">
            <w:pPr>
              <w:tabs>
                <w:tab w:val="clear" w:pos="567"/>
                <w:tab w:val="clear" w:pos="1134"/>
                <w:tab w:val="clear" w:pos="1701"/>
                <w:tab w:val="clear" w:pos="2268"/>
                <w:tab w:val="clear" w:pos="2835"/>
              </w:tabs>
              <w:spacing w:before="0"/>
              <w:rPr>
                <w:sz w:val="20"/>
              </w:rPr>
            </w:pPr>
            <w:r w:rsidRPr="00236418">
              <w:rPr>
                <w:b/>
                <w:bCs/>
                <w:sz w:val="20"/>
              </w:rPr>
              <w:t>Actifs non courants</w:t>
            </w:r>
          </w:p>
        </w:tc>
        <w:tc>
          <w:tcPr>
            <w:tcW w:w="1701" w:type="dxa"/>
            <w:tcBorders>
              <w:left w:val="nil"/>
              <w:right w:val="single" w:sz="4" w:space="0" w:color="auto"/>
            </w:tcBorders>
            <w:vAlign w:val="center"/>
          </w:tcPr>
          <w:p w14:paraId="53FACA06" w14:textId="77777777" w:rsidR="00862C6F" w:rsidRPr="00236418" w:rsidRDefault="00862C6F" w:rsidP="00862C6F">
            <w:pPr>
              <w:spacing w:before="0"/>
              <w:jc w:val="right"/>
              <w:rPr>
                <w:rFonts w:cs="Calibri"/>
                <w:sz w:val="20"/>
              </w:rPr>
            </w:pPr>
          </w:p>
        </w:tc>
        <w:tc>
          <w:tcPr>
            <w:tcW w:w="1417" w:type="dxa"/>
            <w:tcBorders>
              <w:left w:val="single" w:sz="4" w:space="0" w:color="auto"/>
              <w:right w:val="single" w:sz="4" w:space="0" w:color="auto"/>
            </w:tcBorders>
            <w:shd w:val="clear" w:color="auto" w:fill="auto"/>
            <w:noWrap/>
            <w:vAlign w:val="center"/>
          </w:tcPr>
          <w:p w14:paraId="57251C40" w14:textId="77777777" w:rsidR="00862C6F" w:rsidRPr="00236418" w:rsidRDefault="00862C6F" w:rsidP="00862C6F">
            <w:pPr>
              <w:spacing w:before="0"/>
              <w:jc w:val="right"/>
              <w:rPr>
                <w:rFonts w:cs="Calibri"/>
                <w:sz w:val="20"/>
              </w:rPr>
            </w:pPr>
          </w:p>
        </w:tc>
      </w:tr>
      <w:tr w:rsidR="00862C6F" w:rsidRPr="00236418" w14:paraId="6D5EDFB5" w14:textId="77777777" w:rsidTr="00620F53">
        <w:trPr>
          <w:trHeight w:val="300"/>
        </w:trPr>
        <w:tc>
          <w:tcPr>
            <w:tcW w:w="6516" w:type="dxa"/>
            <w:tcBorders>
              <w:left w:val="single" w:sz="4" w:space="0" w:color="auto"/>
              <w:right w:val="single" w:sz="4" w:space="0" w:color="auto"/>
            </w:tcBorders>
            <w:shd w:val="clear" w:color="auto" w:fill="auto"/>
            <w:noWrap/>
          </w:tcPr>
          <w:p w14:paraId="7BA71A37" w14:textId="77777777" w:rsidR="00862C6F" w:rsidRPr="00236418" w:rsidRDefault="00862C6F" w:rsidP="00862C6F">
            <w:pPr>
              <w:tabs>
                <w:tab w:val="clear" w:pos="567"/>
                <w:tab w:val="clear" w:pos="1134"/>
                <w:tab w:val="clear" w:pos="1701"/>
                <w:tab w:val="clear" w:pos="2268"/>
                <w:tab w:val="clear" w:pos="2835"/>
              </w:tabs>
              <w:spacing w:before="0"/>
              <w:rPr>
                <w:sz w:val="20"/>
              </w:rPr>
            </w:pPr>
            <w:r w:rsidRPr="00236418">
              <w:rPr>
                <w:sz w:val="20"/>
              </w:rPr>
              <w:t>Immobilisations corporelles</w:t>
            </w:r>
          </w:p>
        </w:tc>
        <w:tc>
          <w:tcPr>
            <w:tcW w:w="1701" w:type="dxa"/>
            <w:tcBorders>
              <w:left w:val="nil"/>
              <w:right w:val="single" w:sz="4" w:space="0" w:color="auto"/>
            </w:tcBorders>
            <w:vAlign w:val="center"/>
          </w:tcPr>
          <w:p w14:paraId="54A5AE15" w14:textId="77777777" w:rsidR="00862C6F" w:rsidRPr="00236418" w:rsidRDefault="00862C6F" w:rsidP="00862C6F">
            <w:pPr>
              <w:spacing w:before="0"/>
              <w:jc w:val="right"/>
              <w:rPr>
                <w:rFonts w:cs="Calibri"/>
                <w:sz w:val="20"/>
              </w:rPr>
            </w:pPr>
          </w:p>
        </w:tc>
        <w:tc>
          <w:tcPr>
            <w:tcW w:w="1417" w:type="dxa"/>
            <w:tcBorders>
              <w:left w:val="single" w:sz="4" w:space="0" w:color="auto"/>
              <w:right w:val="single" w:sz="4" w:space="0" w:color="auto"/>
            </w:tcBorders>
            <w:shd w:val="clear" w:color="auto" w:fill="auto"/>
            <w:noWrap/>
            <w:vAlign w:val="center"/>
          </w:tcPr>
          <w:p w14:paraId="73145070" w14:textId="77777777" w:rsidR="00862C6F" w:rsidRPr="00236418" w:rsidRDefault="00862C6F" w:rsidP="00862C6F">
            <w:pPr>
              <w:spacing w:before="0"/>
              <w:jc w:val="right"/>
              <w:rPr>
                <w:rFonts w:cs="Calibri"/>
                <w:sz w:val="20"/>
              </w:rPr>
            </w:pPr>
          </w:p>
        </w:tc>
      </w:tr>
      <w:tr w:rsidR="00862C6F" w:rsidRPr="00236418" w14:paraId="52959595" w14:textId="77777777" w:rsidTr="00620F53">
        <w:trPr>
          <w:trHeight w:val="300"/>
        </w:trPr>
        <w:tc>
          <w:tcPr>
            <w:tcW w:w="6516" w:type="dxa"/>
            <w:tcBorders>
              <w:left w:val="single" w:sz="4" w:space="0" w:color="auto"/>
              <w:right w:val="single" w:sz="4" w:space="0" w:color="auto"/>
            </w:tcBorders>
            <w:shd w:val="clear" w:color="auto" w:fill="auto"/>
            <w:noWrap/>
          </w:tcPr>
          <w:p w14:paraId="6BB908E1" w14:textId="77777777" w:rsidR="00862C6F" w:rsidRPr="00236418" w:rsidRDefault="00862C6F" w:rsidP="00862C6F">
            <w:pPr>
              <w:tabs>
                <w:tab w:val="clear" w:pos="567"/>
                <w:tab w:val="clear" w:pos="1134"/>
                <w:tab w:val="clear" w:pos="1701"/>
                <w:tab w:val="clear" w:pos="2268"/>
                <w:tab w:val="clear" w:pos="2835"/>
              </w:tabs>
              <w:spacing w:before="0"/>
              <w:rPr>
                <w:sz w:val="20"/>
              </w:rPr>
            </w:pPr>
            <w:r w:rsidRPr="00236418">
              <w:rPr>
                <w:sz w:val="20"/>
              </w:rPr>
              <w:t>Immobilisations incorporelles</w:t>
            </w:r>
          </w:p>
        </w:tc>
        <w:tc>
          <w:tcPr>
            <w:tcW w:w="1701" w:type="dxa"/>
            <w:tcBorders>
              <w:left w:val="nil"/>
              <w:right w:val="single" w:sz="4" w:space="0" w:color="auto"/>
            </w:tcBorders>
            <w:vAlign w:val="center"/>
          </w:tcPr>
          <w:p w14:paraId="34968FC2" w14:textId="77777777" w:rsidR="00862C6F" w:rsidRPr="00236418" w:rsidRDefault="00862C6F" w:rsidP="00862C6F">
            <w:pPr>
              <w:spacing w:before="0"/>
              <w:jc w:val="right"/>
              <w:rPr>
                <w:rFonts w:cs="Calibri"/>
                <w:sz w:val="20"/>
              </w:rPr>
            </w:pPr>
          </w:p>
        </w:tc>
        <w:tc>
          <w:tcPr>
            <w:tcW w:w="1417" w:type="dxa"/>
            <w:tcBorders>
              <w:left w:val="single" w:sz="4" w:space="0" w:color="auto"/>
              <w:right w:val="single" w:sz="4" w:space="0" w:color="auto"/>
            </w:tcBorders>
            <w:shd w:val="clear" w:color="auto" w:fill="auto"/>
            <w:noWrap/>
            <w:vAlign w:val="center"/>
          </w:tcPr>
          <w:p w14:paraId="0F15CE3C" w14:textId="77777777" w:rsidR="00862C6F" w:rsidRPr="00236418" w:rsidRDefault="00862C6F" w:rsidP="00862C6F">
            <w:pPr>
              <w:spacing w:before="0"/>
              <w:jc w:val="right"/>
              <w:rPr>
                <w:rFonts w:cs="Calibri"/>
                <w:sz w:val="20"/>
              </w:rPr>
            </w:pPr>
          </w:p>
        </w:tc>
      </w:tr>
      <w:tr w:rsidR="00862C6F" w:rsidRPr="00236418" w14:paraId="43959853" w14:textId="77777777" w:rsidTr="00620F53">
        <w:trPr>
          <w:trHeight w:val="300"/>
        </w:trPr>
        <w:tc>
          <w:tcPr>
            <w:tcW w:w="6516" w:type="dxa"/>
            <w:tcBorders>
              <w:left w:val="single" w:sz="4" w:space="0" w:color="auto"/>
              <w:right w:val="single" w:sz="4" w:space="0" w:color="auto"/>
            </w:tcBorders>
            <w:shd w:val="clear" w:color="auto" w:fill="auto"/>
            <w:noWrap/>
          </w:tcPr>
          <w:p w14:paraId="4F986166" w14:textId="77777777" w:rsidR="00862C6F" w:rsidRPr="00236418" w:rsidRDefault="00862C6F" w:rsidP="00862C6F">
            <w:pPr>
              <w:tabs>
                <w:tab w:val="clear" w:pos="567"/>
                <w:tab w:val="clear" w:pos="1134"/>
                <w:tab w:val="clear" w:pos="1701"/>
                <w:tab w:val="clear" w:pos="2268"/>
                <w:tab w:val="clear" w:pos="2835"/>
              </w:tabs>
              <w:spacing w:before="0"/>
              <w:rPr>
                <w:sz w:val="20"/>
              </w:rPr>
            </w:pPr>
            <w:r w:rsidRPr="00236418">
              <w:rPr>
                <w:sz w:val="20"/>
              </w:rPr>
              <w:t>Biens en construction</w:t>
            </w:r>
          </w:p>
        </w:tc>
        <w:tc>
          <w:tcPr>
            <w:tcW w:w="1701" w:type="dxa"/>
            <w:tcBorders>
              <w:left w:val="nil"/>
              <w:right w:val="single" w:sz="4" w:space="0" w:color="auto"/>
            </w:tcBorders>
            <w:vAlign w:val="center"/>
          </w:tcPr>
          <w:p w14:paraId="23DD71F4" w14:textId="77777777" w:rsidR="00862C6F" w:rsidRPr="00236418" w:rsidRDefault="00862C6F" w:rsidP="00862C6F">
            <w:pPr>
              <w:spacing w:before="0"/>
              <w:jc w:val="right"/>
              <w:rPr>
                <w:rFonts w:cs="Calibri"/>
                <w:sz w:val="20"/>
              </w:rPr>
            </w:pPr>
            <w:r w:rsidRPr="00236418">
              <w:rPr>
                <w:rFonts w:cs="Calibri"/>
                <w:sz w:val="20"/>
              </w:rPr>
              <w:t>3 948</w:t>
            </w:r>
          </w:p>
        </w:tc>
        <w:tc>
          <w:tcPr>
            <w:tcW w:w="1417" w:type="dxa"/>
            <w:tcBorders>
              <w:left w:val="single" w:sz="4" w:space="0" w:color="auto"/>
              <w:right w:val="single" w:sz="4" w:space="0" w:color="auto"/>
            </w:tcBorders>
            <w:shd w:val="clear" w:color="auto" w:fill="auto"/>
            <w:noWrap/>
            <w:vAlign w:val="center"/>
          </w:tcPr>
          <w:p w14:paraId="016966B3" w14:textId="77777777" w:rsidR="00862C6F" w:rsidRPr="00236418" w:rsidRDefault="00862C6F" w:rsidP="00862C6F">
            <w:pPr>
              <w:spacing w:before="0"/>
              <w:jc w:val="right"/>
              <w:rPr>
                <w:rFonts w:cs="Calibri"/>
                <w:sz w:val="20"/>
              </w:rPr>
            </w:pPr>
            <w:r w:rsidRPr="00236418">
              <w:rPr>
                <w:rFonts w:cs="Calibri"/>
                <w:sz w:val="20"/>
              </w:rPr>
              <w:t>1 279</w:t>
            </w:r>
          </w:p>
        </w:tc>
      </w:tr>
      <w:tr w:rsidR="00862C6F" w:rsidRPr="00236418" w14:paraId="1EF2A41B" w14:textId="77777777" w:rsidTr="00620F53">
        <w:trPr>
          <w:trHeight w:val="300"/>
        </w:trPr>
        <w:tc>
          <w:tcPr>
            <w:tcW w:w="6516" w:type="dxa"/>
            <w:tcBorders>
              <w:left w:val="single" w:sz="4" w:space="0" w:color="auto"/>
              <w:right w:val="single" w:sz="4" w:space="0" w:color="auto"/>
            </w:tcBorders>
            <w:shd w:val="clear" w:color="auto" w:fill="auto"/>
            <w:noWrap/>
          </w:tcPr>
          <w:p w14:paraId="5D0183F0" w14:textId="77777777" w:rsidR="00862C6F" w:rsidRPr="00236418" w:rsidRDefault="00862C6F" w:rsidP="00862C6F">
            <w:pPr>
              <w:tabs>
                <w:tab w:val="clear" w:pos="567"/>
                <w:tab w:val="clear" w:pos="1134"/>
                <w:tab w:val="clear" w:pos="1701"/>
                <w:tab w:val="clear" w:pos="2268"/>
                <w:tab w:val="clear" w:pos="2835"/>
              </w:tabs>
              <w:spacing w:before="0"/>
              <w:rPr>
                <w:b/>
                <w:bCs/>
                <w:sz w:val="20"/>
              </w:rPr>
            </w:pPr>
            <w:r w:rsidRPr="00236418">
              <w:rPr>
                <w:b/>
                <w:bCs/>
                <w:sz w:val="20"/>
              </w:rPr>
              <w:t>Total Actifs non courants</w:t>
            </w:r>
          </w:p>
        </w:tc>
        <w:tc>
          <w:tcPr>
            <w:tcW w:w="1701" w:type="dxa"/>
            <w:tcBorders>
              <w:left w:val="nil"/>
              <w:right w:val="single" w:sz="4" w:space="0" w:color="auto"/>
            </w:tcBorders>
            <w:vAlign w:val="center"/>
          </w:tcPr>
          <w:p w14:paraId="1E2F870D" w14:textId="77777777" w:rsidR="00862C6F" w:rsidRPr="00236418" w:rsidRDefault="00862C6F" w:rsidP="00862C6F">
            <w:pPr>
              <w:spacing w:before="0"/>
              <w:jc w:val="right"/>
              <w:rPr>
                <w:rFonts w:cs="Calibri"/>
                <w:b/>
                <w:bCs/>
                <w:sz w:val="20"/>
              </w:rPr>
            </w:pPr>
            <w:r w:rsidRPr="00236418">
              <w:rPr>
                <w:rFonts w:cs="Calibri"/>
                <w:b/>
                <w:bCs/>
                <w:sz w:val="20"/>
              </w:rPr>
              <w:t>3 948</w:t>
            </w:r>
          </w:p>
        </w:tc>
        <w:tc>
          <w:tcPr>
            <w:tcW w:w="1417" w:type="dxa"/>
            <w:tcBorders>
              <w:left w:val="single" w:sz="4" w:space="0" w:color="auto"/>
              <w:right w:val="single" w:sz="4" w:space="0" w:color="auto"/>
            </w:tcBorders>
            <w:shd w:val="clear" w:color="auto" w:fill="auto"/>
            <w:noWrap/>
            <w:vAlign w:val="center"/>
          </w:tcPr>
          <w:p w14:paraId="205CB0AD" w14:textId="77777777" w:rsidR="00862C6F" w:rsidRPr="00236418" w:rsidRDefault="00862C6F" w:rsidP="00862C6F">
            <w:pPr>
              <w:spacing w:before="0"/>
              <w:jc w:val="right"/>
              <w:rPr>
                <w:rFonts w:cs="Calibri"/>
                <w:b/>
                <w:bCs/>
                <w:sz w:val="20"/>
              </w:rPr>
            </w:pPr>
            <w:r w:rsidRPr="00236418">
              <w:rPr>
                <w:rFonts w:cs="Calibri"/>
                <w:b/>
                <w:bCs/>
                <w:sz w:val="20"/>
              </w:rPr>
              <w:t>1 279</w:t>
            </w:r>
          </w:p>
        </w:tc>
      </w:tr>
      <w:tr w:rsidR="00862C6F" w:rsidRPr="00236418" w14:paraId="4E2BA0E0"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5D8E6FAE" w14:textId="77777777" w:rsidR="00862C6F" w:rsidRPr="00236418" w:rsidRDefault="00862C6F" w:rsidP="00862C6F">
            <w:pPr>
              <w:tabs>
                <w:tab w:val="clear" w:pos="567"/>
                <w:tab w:val="clear" w:pos="1134"/>
                <w:tab w:val="clear" w:pos="1701"/>
                <w:tab w:val="clear" w:pos="2268"/>
                <w:tab w:val="clear" w:pos="2835"/>
              </w:tabs>
              <w:spacing w:beforeLines="40" w:before="96"/>
              <w:rPr>
                <w:b/>
                <w:bCs/>
                <w:sz w:val="20"/>
              </w:rPr>
            </w:pPr>
            <w:r w:rsidRPr="00236418">
              <w:rPr>
                <w:b/>
                <w:bCs/>
                <w:sz w:val="20"/>
              </w:rPr>
              <w:t>TOTAL DE L'ACTIF</w:t>
            </w:r>
          </w:p>
        </w:tc>
        <w:tc>
          <w:tcPr>
            <w:tcW w:w="1701" w:type="dxa"/>
            <w:tcBorders>
              <w:top w:val="single" w:sz="4" w:space="0" w:color="auto"/>
              <w:left w:val="nil"/>
              <w:bottom w:val="single" w:sz="4" w:space="0" w:color="auto"/>
              <w:right w:val="single" w:sz="4" w:space="0" w:color="auto"/>
            </w:tcBorders>
            <w:shd w:val="clear" w:color="auto" w:fill="B6DDE8" w:themeFill="accent5" w:themeFillTint="66"/>
          </w:tcPr>
          <w:p w14:paraId="3C5F582D" w14:textId="77777777" w:rsidR="00862C6F" w:rsidRPr="00236418" w:rsidRDefault="00862C6F" w:rsidP="00862C6F">
            <w:pPr>
              <w:jc w:val="right"/>
              <w:rPr>
                <w:rFonts w:cs="Calibri"/>
                <w:b/>
                <w:bCs/>
                <w:sz w:val="20"/>
              </w:rPr>
            </w:pPr>
            <w:r w:rsidRPr="00236418">
              <w:rPr>
                <w:rFonts w:cs="Calibri"/>
                <w:b/>
                <w:bCs/>
                <w:sz w:val="20"/>
              </w:rPr>
              <w:t>4 817</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30C69AC1" w14:textId="77777777" w:rsidR="00862C6F" w:rsidRPr="00236418" w:rsidRDefault="00862C6F" w:rsidP="00862C6F">
            <w:pPr>
              <w:jc w:val="right"/>
              <w:rPr>
                <w:rFonts w:cs="Calibri"/>
                <w:b/>
                <w:bCs/>
                <w:sz w:val="20"/>
              </w:rPr>
            </w:pPr>
            <w:r w:rsidRPr="00236418">
              <w:rPr>
                <w:rFonts w:cs="Calibri"/>
                <w:b/>
                <w:bCs/>
                <w:sz w:val="20"/>
              </w:rPr>
              <w:t>407</w:t>
            </w:r>
          </w:p>
        </w:tc>
      </w:tr>
      <w:tr w:rsidR="00862C6F" w:rsidRPr="00236418" w14:paraId="68086B1E"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7AC78524" w14:textId="77777777" w:rsidR="00862C6F" w:rsidRPr="00236418" w:rsidRDefault="00862C6F" w:rsidP="00862C6F">
            <w:pPr>
              <w:tabs>
                <w:tab w:val="clear" w:pos="567"/>
                <w:tab w:val="clear" w:pos="1134"/>
                <w:tab w:val="clear" w:pos="1701"/>
                <w:tab w:val="clear" w:pos="2268"/>
                <w:tab w:val="clear" w:pos="2835"/>
              </w:tabs>
              <w:spacing w:beforeLines="40" w:before="96"/>
              <w:rPr>
                <w:sz w:val="20"/>
                <w:u w:val="single"/>
              </w:rPr>
            </w:pPr>
            <w:r w:rsidRPr="00236418">
              <w:rPr>
                <w:b/>
                <w:bCs/>
                <w:sz w:val="20"/>
              </w:rPr>
              <w:t>PASSIF</w:t>
            </w:r>
          </w:p>
        </w:tc>
        <w:tc>
          <w:tcPr>
            <w:tcW w:w="1701" w:type="dxa"/>
            <w:tcBorders>
              <w:top w:val="nil"/>
              <w:left w:val="nil"/>
              <w:right w:val="single" w:sz="4" w:space="0" w:color="auto"/>
            </w:tcBorders>
            <w:vAlign w:val="center"/>
          </w:tcPr>
          <w:p w14:paraId="534BB920" w14:textId="77777777" w:rsidR="00862C6F" w:rsidRPr="00236418" w:rsidRDefault="00862C6F" w:rsidP="00862C6F">
            <w:pPr>
              <w:jc w:val="right"/>
              <w:rPr>
                <w:rFonts w:cs="Calibri"/>
                <w:sz w:val="20"/>
              </w:rPr>
            </w:pPr>
          </w:p>
        </w:tc>
        <w:tc>
          <w:tcPr>
            <w:tcW w:w="1417" w:type="dxa"/>
            <w:tcBorders>
              <w:top w:val="nil"/>
              <w:left w:val="single" w:sz="4" w:space="0" w:color="auto"/>
              <w:bottom w:val="nil"/>
              <w:right w:val="single" w:sz="4" w:space="0" w:color="auto"/>
            </w:tcBorders>
            <w:shd w:val="clear" w:color="auto" w:fill="auto"/>
            <w:noWrap/>
            <w:vAlign w:val="center"/>
          </w:tcPr>
          <w:p w14:paraId="1B09F4FE" w14:textId="77777777" w:rsidR="00862C6F" w:rsidRPr="00236418" w:rsidRDefault="00862C6F" w:rsidP="00862C6F">
            <w:pPr>
              <w:jc w:val="right"/>
              <w:rPr>
                <w:rFonts w:cs="Calibri"/>
                <w:sz w:val="20"/>
              </w:rPr>
            </w:pPr>
          </w:p>
        </w:tc>
      </w:tr>
      <w:tr w:rsidR="00862C6F" w:rsidRPr="00236418" w14:paraId="73351E0D"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26025C9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rPr>
            </w:pPr>
            <w:r w:rsidRPr="00236418">
              <w:rPr>
                <w:b/>
                <w:sz w:val="20"/>
              </w:rPr>
              <w:t>Passifs courants</w:t>
            </w:r>
          </w:p>
        </w:tc>
        <w:tc>
          <w:tcPr>
            <w:tcW w:w="1701" w:type="dxa"/>
            <w:tcBorders>
              <w:top w:val="nil"/>
              <w:left w:val="nil"/>
              <w:bottom w:val="nil"/>
              <w:right w:val="single" w:sz="4" w:space="0" w:color="auto"/>
            </w:tcBorders>
            <w:vAlign w:val="center"/>
          </w:tcPr>
          <w:p w14:paraId="43A75FB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c>
          <w:tcPr>
            <w:tcW w:w="1417" w:type="dxa"/>
            <w:tcBorders>
              <w:top w:val="nil"/>
              <w:left w:val="single" w:sz="4" w:space="0" w:color="auto"/>
              <w:bottom w:val="nil"/>
              <w:right w:val="single" w:sz="4" w:space="0" w:color="auto"/>
            </w:tcBorders>
            <w:shd w:val="clear" w:color="auto" w:fill="auto"/>
            <w:noWrap/>
            <w:vAlign w:val="center"/>
          </w:tcPr>
          <w:p w14:paraId="070F5B7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862C6F" w:rsidRPr="00236418" w14:paraId="7B38D2F7"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57CEC48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rPr>
              <w:t>Fournisseurs et autres créanciers</w:t>
            </w:r>
          </w:p>
        </w:tc>
        <w:tc>
          <w:tcPr>
            <w:tcW w:w="1701" w:type="dxa"/>
            <w:tcBorders>
              <w:top w:val="nil"/>
              <w:left w:val="nil"/>
              <w:bottom w:val="nil"/>
              <w:right w:val="single" w:sz="4" w:space="0" w:color="auto"/>
            </w:tcBorders>
            <w:vAlign w:val="center"/>
          </w:tcPr>
          <w:p w14:paraId="3256F10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87</w:t>
            </w:r>
          </w:p>
        </w:tc>
        <w:tc>
          <w:tcPr>
            <w:tcW w:w="1417" w:type="dxa"/>
            <w:tcBorders>
              <w:top w:val="nil"/>
              <w:left w:val="single" w:sz="4" w:space="0" w:color="auto"/>
              <w:bottom w:val="nil"/>
              <w:right w:val="single" w:sz="4" w:space="0" w:color="auto"/>
            </w:tcBorders>
            <w:shd w:val="clear" w:color="auto" w:fill="auto"/>
            <w:noWrap/>
            <w:vAlign w:val="center"/>
          </w:tcPr>
          <w:p w14:paraId="4C69359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39</w:t>
            </w:r>
          </w:p>
        </w:tc>
      </w:tr>
      <w:tr w:rsidR="00862C6F" w:rsidRPr="00236418" w14:paraId="08C620EC"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4E023F0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0"/>
              </w:rPr>
            </w:pPr>
            <w:r w:rsidRPr="00236418">
              <w:rPr>
                <w:b/>
                <w:bCs/>
                <w:sz w:val="20"/>
              </w:rPr>
              <w:t>Total Passifs courants</w:t>
            </w:r>
          </w:p>
        </w:tc>
        <w:tc>
          <w:tcPr>
            <w:tcW w:w="1701" w:type="dxa"/>
            <w:tcBorders>
              <w:top w:val="nil"/>
              <w:left w:val="nil"/>
              <w:bottom w:val="nil"/>
              <w:right w:val="single" w:sz="4" w:space="0" w:color="auto"/>
            </w:tcBorders>
            <w:vAlign w:val="center"/>
          </w:tcPr>
          <w:p w14:paraId="473895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236418">
              <w:rPr>
                <w:rFonts w:cs="Arial"/>
                <w:b/>
                <w:bCs/>
                <w:color w:val="000000"/>
                <w:sz w:val="20"/>
                <w:lang w:eastAsia="zh-CN"/>
              </w:rPr>
              <w:t>87</w:t>
            </w:r>
          </w:p>
        </w:tc>
        <w:tc>
          <w:tcPr>
            <w:tcW w:w="1417" w:type="dxa"/>
            <w:tcBorders>
              <w:top w:val="nil"/>
              <w:left w:val="single" w:sz="4" w:space="0" w:color="auto"/>
              <w:bottom w:val="nil"/>
              <w:right w:val="single" w:sz="4" w:space="0" w:color="auto"/>
            </w:tcBorders>
            <w:shd w:val="clear" w:color="auto" w:fill="auto"/>
            <w:noWrap/>
            <w:vAlign w:val="center"/>
          </w:tcPr>
          <w:p w14:paraId="60C1E04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236418">
              <w:rPr>
                <w:rFonts w:cs="Arial"/>
                <w:b/>
                <w:bCs/>
                <w:color w:val="000000"/>
                <w:sz w:val="20"/>
                <w:lang w:eastAsia="zh-CN"/>
              </w:rPr>
              <w:t>39</w:t>
            </w:r>
          </w:p>
        </w:tc>
      </w:tr>
      <w:tr w:rsidR="00862C6F" w:rsidRPr="00236418" w14:paraId="5B7DE750"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33E9AD6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rPr>
            </w:pPr>
            <w:r w:rsidRPr="00236418">
              <w:rPr>
                <w:b/>
                <w:bCs/>
                <w:sz w:val="20"/>
              </w:rPr>
              <w:t>Passifs non courants</w:t>
            </w:r>
          </w:p>
        </w:tc>
        <w:tc>
          <w:tcPr>
            <w:tcW w:w="1701" w:type="dxa"/>
            <w:tcBorders>
              <w:top w:val="nil"/>
              <w:left w:val="nil"/>
              <w:bottom w:val="nil"/>
              <w:right w:val="single" w:sz="4" w:space="0" w:color="auto"/>
            </w:tcBorders>
            <w:vAlign w:val="center"/>
          </w:tcPr>
          <w:p w14:paraId="26AD9C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c>
          <w:tcPr>
            <w:tcW w:w="1417" w:type="dxa"/>
            <w:tcBorders>
              <w:top w:val="nil"/>
              <w:left w:val="single" w:sz="4" w:space="0" w:color="auto"/>
              <w:bottom w:val="nil"/>
              <w:right w:val="single" w:sz="4" w:space="0" w:color="auto"/>
            </w:tcBorders>
            <w:shd w:val="clear" w:color="auto" w:fill="auto"/>
            <w:noWrap/>
            <w:vAlign w:val="center"/>
          </w:tcPr>
          <w:p w14:paraId="6D6875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862C6F" w:rsidRPr="00236418" w14:paraId="09F83DF7"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081FCE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eastAsia="zh-CN"/>
              </w:rPr>
            </w:pPr>
            <w:r w:rsidRPr="00236418">
              <w:rPr>
                <w:sz w:val="20"/>
              </w:rPr>
              <w:t xml:space="preserve">Emprunts </w:t>
            </w:r>
          </w:p>
        </w:tc>
        <w:tc>
          <w:tcPr>
            <w:tcW w:w="1701" w:type="dxa"/>
            <w:tcBorders>
              <w:top w:val="nil"/>
              <w:left w:val="nil"/>
              <w:bottom w:val="nil"/>
              <w:right w:val="single" w:sz="4" w:space="0" w:color="auto"/>
            </w:tcBorders>
            <w:vAlign w:val="center"/>
          </w:tcPr>
          <w:p w14:paraId="473037A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5 637</w:t>
            </w:r>
          </w:p>
        </w:tc>
        <w:tc>
          <w:tcPr>
            <w:tcW w:w="1417" w:type="dxa"/>
            <w:tcBorders>
              <w:top w:val="nil"/>
              <w:left w:val="single" w:sz="4" w:space="0" w:color="auto"/>
              <w:bottom w:val="nil"/>
              <w:right w:val="single" w:sz="4" w:space="0" w:color="auto"/>
            </w:tcBorders>
            <w:shd w:val="clear" w:color="auto" w:fill="auto"/>
            <w:noWrap/>
            <w:vAlign w:val="center"/>
          </w:tcPr>
          <w:p w14:paraId="1FD3588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2 387</w:t>
            </w:r>
          </w:p>
        </w:tc>
      </w:tr>
      <w:tr w:rsidR="00862C6F" w:rsidRPr="00236418" w14:paraId="43CCCBF9"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136DD71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236418">
              <w:rPr>
                <w:sz w:val="20"/>
              </w:rPr>
              <w:t>Avantages du personnel</w:t>
            </w:r>
          </w:p>
        </w:tc>
        <w:tc>
          <w:tcPr>
            <w:tcW w:w="1701" w:type="dxa"/>
            <w:tcBorders>
              <w:top w:val="nil"/>
              <w:left w:val="nil"/>
              <w:bottom w:val="nil"/>
              <w:right w:val="single" w:sz="4" w:space="0" w:color="auto"/>
            </w:tcBorders>
            <w:vAlign w:val="center"/>
          </w:tcPr>
          <w:p w14:paraId="77E072B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8</w:t>
            </w:r>
          </w:p>
        </w:tc>
        <w:tc>
          <w:tcPr>
            <w:tcW w:w="1417" w:type="dxa"/>
            <w:tcBorders>
              <w:top w:val="nil"/>
              <w:left w:val="single" w:sz="4" w:space="0" w:color="auto"/>
              <w:bottom w:val="nil"/>
              <w:right w:val="single" w:sz="4" w:space="0" w:color="auto"/>
            </w:tcBorders>
            <w:shd w:val="clear" w:color="auto" w:fill="auto"/>
            <w:noWrap/>
            <w:vAlign w:val="center"/>
          </w:tcPr>
          <w:p w14:paraId="789D40D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8</w:t>
            </w:r>
          </w:p>
        </w:tc>
      </w:tr>
      <w:tr w:rsidR="00862C6F" w:rsidRPr="00236418" w14:paraId="3618ABB5" w14:textId="77777777" w:rsidTr="00620F53">
        <w:trPr>
          <w:trHeight w:val="300"/>
        </w:trPr>
        <w:tc>
          <w:tcPr>
            <w:tcW w:w="6516" w:type="dxa"/>
            <w:tcBorders>
              <w:top w:val="nil"/>
              <w:left w:val="single" w:sz="4" w:space="0" w:color="auto"/>
              <w:bottom w:val="single" w:sz="4" w:space="0" w:color="auto"/>
              <w:right w:val="single" w:sz="4" w:space="0" w:color="auto"/>
            </w:tcBorders>
            <w:shd w:val="clear" w:color="auto" w:fill="auto"/>
            <w:noWrap/>
          </w:tcPr>
          <w:p w14:paraId="22B9E9E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236418">
              <w:rPr>
                <w:b/>
                <w:bCs/>
                <w:sz w:val="20"/>
              </w:rPr>
              <w:t>Total Passifs non courants</w:t>
            </w:r>
          </w:p>
        </w:tc>
        <w:tc>
          <w:tcPr>
            <w:tcW w:w="1701" w:type="dxa"/>
            <w:tcBorders>
              <w:top w:val="nil"/>
              <w:left w:val="nil"/>
              <w:bottom w:val="single" w:sz="4" w:space="0" w:color="auto"/>
              <w:right w:val="single" w:sz="4" w:space="0" w:color="auto"/>
            </w:tcBorders>
            <w:vAlign w:val="center"/>
          </w:tcPr>
          <w:p w14:paraId="514ED9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236418">
              <w:rPr>
                <w:rFonts w:cs="Arial"/>
                <w:b/>
                <w:bCs/>
                <w:color w:val="000000"/>
                <w:sz w:val="20"/>
                <w:lang w:eastAsia="zh-CN"/>
              </w:rPr>
              <w:t>5 645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8F124A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236418">
              <w:rPr>
                <w:rFonts w:cs="Arial"/>
                <w:b/>
                <w:bCs/>
                <w:color w:val="000000"/>
                <w:sz w:val="20"/>
                <w:lang w:eastAsia="zh-CN"/>
              </w:rPr>
              <w:t>2 395</w:t>
            </w:r>
          </w:p>
        </w:tc>
      </w:tr>
      <w:tr w:rsidR="00862C6F" w:rsidRPr="00236418" w14:paraId="3CB1EBC4"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6B8014B2" w14:textId="77777777" w:rsidR="00862C6F" w:rsidRPr="00236418" w:rsidRDefault="00862C6F" w:rsidP="00862C6F">
            <w:pPr>
              <w:tabs>
                <w:tab w:val="clear" w:pos="567"/>
                <w:tab w:val="clear" w:pos="1134"/>
                <w:tab w:val="clear" w:pos="1701"/>
                <w:tab w:val="clear" w:pos="2268"/>
                <w:tab w:val="clear" w:pos="2835"/>
              </w:tabs>
              <w:spacing w:beforeLines="40" w:before="96"/>
              <w:rPr>
                <w:b/>
                <w:bCs/>
                <w:sz w:val="20"/>
              </w:rPr>
            </w:pPr>
            <w:r w:rsidRPr="00236418">
              <w:rPr>
                <w:b/>
                <w:bCs/>
                <w:sz w:val="20"/>
              </w:rPr>
              <w:t>TOTAL DU PASSIF</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BA6D79E" w14:textId="77777777" w:rsidR="00862C6F" w:rsidRPr="00236418" w:rsidRDefault="00862C6F" w:rsidP="00862C6F">
            <w:pPr>
              <w:tabs>
                <w:tab w:val="clear" w:pos="567"/>
                <w:tab w:val="clear" w:pos="1134"/>
                <w:tab w:val="clear" w:pos="1701"/>
                <w:tab w:val="clear" w:pos="2268"/>
                <w:tab w:val="clear" w:pos="2835"/>
              </w:tabs>
              <w:spacing w:beforeLines="40" w:before="96"/>
              <w:jc w:val="right"/>
              <w:rPr>
                <w:b/>
                <w:bCs/>
                <w:sz w:val="20"/>
              </w:rPr>
            </w:pPr>
            <w:r w:rsidRPr="00236418">
              <w:rPr>
                <w:b/>
                <w:bCs/>
                <w:sz w:val="20"/>
              </w:rPr>
              <w:t>5 731</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3AAA920E" w14:textId="77777777" w:rsidR="00862C6F" w:rsidRPr="00236418" w:rsidRDefault="00862C6F" w:rsidP="00862C6F">
            <w:pPr>
              <w:tabs>
                <w:tab w:val="clear" w:pos="567"/>
                <w:tab w:val="clear" w:pos="1134"/>
                <w:tab w:val="clear" w:pos="1701"/>
                <w:tab w:val="clear" w:pos="2268"/>
                <w:tab w:val="clear" w:pos="2835"/>
              </w:tabs>
              <w:spacing w:beforeLines="40" w:before="96"/>
              <w:jc w:val="right"/>
              <w:rPr>
                <w:b/>
                <w:bCs/>
                <w:sz w:val="20"/>
              </w:rPr>
            </w:pPr>
            <w:r w:rsidRPr="00236418">
              <w:rPr>
                <w:b/>
                <w:bCs/>
                <w:sz w:val="20"/>
              </w:rPr>
              <w:t>2 434</w:t>
            </w:r>
          </w:p>
        </w:tc>
      </w:tr>
      <w:tr w:rsidR="00862C6F" w:rsidRPr="00236418" w14:paraId="28A67FB0" w14:textId="77777777" w:rsidTr="00620F53">
        <w:trPr>
          <w:trHeight w:val="300"/>
        </w:trPr>
        <w:tc>
          <w:tcPr>
            <w:tcW w:w="6516" w:type="dxa"/>
            <w:tcBorders>
              <w:top w:val="single" w:sz="4" w:space="0" w:color="auto"/>
              <w:left w:val="single" w:sz="4" w:space="0" w:color="auto"/>
              <w:bottom w:val="nil"/>
              <w:right w:val="single" w:sz="4" w:space="0" w:color="auto"/>
            </w:tcBorders>
            <w:shd w:val="clear" w:color="auto" w:fill="auto"/>
            <w:noWrap/>
          </w:tcPr>
          <w:p w14:paraId="10AE9F6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236418">
              <w:rPr>
                <w:rFonts w:cs="Arial"/>
                <w:color w:val="000000"/>
                <w:sz w:val="20"/>
                <w:lang w:eastAsia="zh-CN"/>
              </w:rPr>
              <w:t>Actif net</w:t>
            </w:r>
          </w:p>
        </w:tc>
        <w:tc>
          <w:tcPr>
            <w:tcW w:w="1701" w:type="dxa"/>
            <w:tcBorders>
              <w:top w:val="single" w:sz="4" w:space="0" w:color="auto"/>
              <w:left w:val="nil"/>
              <w:bottom w:val="nil"/>
              <w:right w:val="single" w:sz="4" w:space="0" w:color="auto"/>
            </w:tcBorders>
            <w:vAlign w:val="center"/>
          </w:tcPr>
          <w:p w14:paraId="162562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335395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862C6F" w:rsidRPr="00236418" w14:paraId="1DAE3DC6"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167D4ED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236418">
              <w:rPr>
                <w:rFonts w:cs="Arial"/>
                <w:color w:val="000000"/>
                <w:sz w:val="20"/>
                <w:lang w:eastAsia="zh-CN"/>
              </w:rPr>
              <w:t>Fonds propres affectés</w:t>
            </w:r>
          </w:p>
        </w:tc>
        <w:tc>
          <w:tcPr>
            <w:tcW w:w="1701" w:type="dxa"/>
            <w:tcBorders>
              <w:top w:val="nil"/>
              <w:left w:val="nil"/>
              <w:bottom w:val="nil"/>
              <w:right w:val="single" w:sz="4" w:space="0" w:color="auto"/>
            </w:tcBorders>
            <w:vAlign w:val="center"/>
          </w:tcPr>
          <w:p w14:paraId="604668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Calibri"/>
                <w:sz w:val="20"/>
              </w:rPr>
              <w:t>–4 862</w:t>
            </w:r>
          </w:p>
        </w:tc>
        <w:tc>
          <w:tcPr>
            <w:tcW w:w="1417" w:type="dxa"/>
            <w:tcBorders>
              <w:top w:val="nil"/>
              <w:left w:val="single" w:sz="4" w:space="0" w:color="auto"/>
              <w:bottom w:val="nil"/>
              <w:right w:val="single" w:sz="4" w:space="0" w:color="auto"/>
            </w:tcBorders>
            <w:shd w:val="clear" w:color="auto" w:fill="auto"/>
            <w:noWrap/>
            <w:vAlign w:val="center"/>
          </w:tcPr>
          <w:p w14:paraId="081160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r w:rsidRPr="00236418">
              <w:rPr>
                <w:rFonts w:cs="Arial"/>
                <w:color w:val="000000"/>
                <w:sz w:val="20"/>
                <w:lang w:eastAsia="zh-CN"/>
              </w:rPr>
              <w:t>–859</w:t>
            </w:r>
          </w:p>
        </w:tc>
      </w:tr>
      <w:tr w:rsidR="00862C6F" w:rsidRPr="00236418" w14:paraId="1AF68F09"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4084A38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236418">
              <w:rPr>
                <w:rFonts w:cs="Arial"/>
                <w:color w:val="000000"/>
                <w:sz w:val="20"/>
                <w:lang w:eastAsia="zh-CN"/>
              </w:rPr>
              <w:t>Déficit cumulé IPSAS (statistique)</w:t>
            </w:r>
          </w:p>
        </w:tc>
        <w:tc>
          <w:tcPr>
            <w:tcW w:w="1701" w:type="dxa"/>
            <w:tcBorders>
              <w:top w:val="nil"/>
              <w:left w:val="nil"/>
              <w:bottom w:val="single" w:sz="4" w:space="0" w:color="auto"/>
              <w:right w:val="single" w:sz="4" w:space="0" w:color="auto"/>
            </w:tcBorders>
            <w:vAlign w:val="center"/>
          </w:tcPr>
          <w:p w14:paraId="3B8260A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rPr>
            </w:pPr>
            <w:r w:rsidRPr="00236418">
              <w:rPr>
                <w:rFonts w:cs="Calibri"/>
                <w:sz w:val="20"/>
              </w:rPr>
              <w:t>3 948</w:t>
            </w:r>
          </w:p>
        </w:tc>
        <w:tc>
          <w:tcPr>
            <w:tcW w:w="1417" w:type="dxa"/>
            <w:tcBorders>
              <w:top w:val="nil"/>
              <w:left w:val="single" w:sz="4" w:space="0" w:color="auto"/>
              <w:bottom w:val="nil"/>
              <w:right w:val="single" w:sz="4" w:space="0" w:color="auto"/>
            </w:tcBorders>
            <w:shd w:val="clear" w:color="auto" w:fill="auto"/>
            <w:noWrap/>
            <w:vAlign w:val="center"/>
          </w:tcPr>
          <w:p w14:paraId="13C22AF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862C6F" w:rsidRPr="00236418" w14:paraId="0B11FC2E"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7FDA0F2D" w14:textId="77777777" w:rsidR="00862C6F" w:rsidRPr="00236418" w:rsidRDefault="00862C6F" w:rsidP="00862C6F">
            <w:pPr>
              <w:tabs>
                <w:tab w:val="clear" w:pos="567"/>
                <w:tab w:val="clear" w:pos="1134"/>
                <w:tab w:val="clear" w:pos="1701"/>
                <w:tab w:val="clear" w:pos="2268"/>
                <w:tab w:val="clear" w:pos="2835"/>
              </w:tabs>
              <w:spacing w:beforeLines="40" w:before="96"/>
              <w:rPr>
                <w:sz w:val="20"/>
                <w:u w:val="single"/>
              </w:rPr>
            </w:pPr>
            <w:r w:rsidRPr="00236418">
              <w:rPr>
                <w:b/>
                <w:bCs/>
                <w:sz w:val="20"/>
              </w:rPr>
              <w:t>TOTAL DE L'ACTIF NET</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B85396A" w14:textId="77777777" w:rsidR="00862C6F" w:rsidRPr="00236418" w:rsidRDefault="00862C6F" w:rsidP="00862C6F">
            <w:pPr>
              <w:jc w:val="right"/>
              <w:rPr>
                <w:rFonts w:cs="Calibri"/>
                <w:b/>
                <w:bCs/>
                <w:sz w:val="20"/>
              </w:rPr>
            </w:pPr>
            <w:r w:rsidRPr="00236418">
              <w:rPr>
                <w:rFonts w:cs="Calibri"/>
                <w:b/>
                <w:bCs/>
                <w:sz w:val="20"/>
              </w:rPr>
              <w:t>–914</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70F89250" w14:textId="77777777" w:rsidR="00862C6F" w:rsidRPr="00236418" w:rsidRDefault="00862C6F" w:rsidP="00862C6F">
            <w:pPr>
              <w:jc w:val="right"/>
              <w:rPr>
                <w:rFonts w:cs="Calibri"/>
                <w:b/>
                <w:bCs/>
                <w:sz w:val="20"/>
              </w:rPr>
            </w:pPr>
            <w:r w:rsidRPr="00236418">
              <w:rPr>
                <w:rFonts w:cs="Calibri"/>
                <w:b/>
                <w:bCs/>
                <w:sz w:val="20"/>
              </w:rPr>
              <w:t>–859</w:t>
            </w:r>
          </w:p>
        </w:tc>
      </w:tr>
    </w:tbl>
    <w:p w14:paraId="4C042097" w14:textId="77777777" w:rsidR="00862C6F" w:rsidRPr="00236418" w:rsidRDefault="00862C6F" w:rsidP="00E1454F">
      <w:pPr>
        <w:pStyle w:val="AnnexNo"/>
      </w:pPr>
      <w:bookmarkStart w:id="2915" w:name="_Toc511736688"/>
      <w:bookmarkStart w:id="2916" w:name="_Toc10450816"/>
      <w:bookmarkStart w:id="2917" w:name="_Toc41815004"/>
      <w:bookmarkStart w:id="2918" w:name="_Toc357006008"/>
      <w:bookmarkStart w:id="2919" w:name="_Toc395260976"/>
      <w:bookmarkStart w:id="2920" w:name="_Toc395261111"/>
      <w:bookmarkStart w:id="2921" w:name="_Toc395511761"/>
      <w:bookmarkStart w:id="2922" w:name="_Toc452138674"/>
      <w:bookmarkStart w:id="2923" w:name="_Toc452139123"/>
      <w:bookmarkStart w:id="2924" w:name="_Toc482888052"/>
      <w:bookmarkStart w:id="2925" w:name="_Toc482888395"/>
      <w:r w:rsidRPr="00236418">
        <w:lastRenderedPageBreak/>
        <w:t>ANNEXE B3</w:t>
      </w:r>
      <w:bookmarkEnd w:id="2915"/>
      <w:bookmarkEnd w:id="2916"/>
      <w:bookmarkEnd w:id="2917"/>
    </w:p>
    <w:p w14:paraId="55631D51" w14:textId="77777777" w:rsidR="00862C6F" w:rsidRPr="00236418" w:rsidRDefault="00862C6F" w:rsidP="00862C6F">
      <w:pPr>
        <w:keepNext/>
        <w:tabs>
          <w:tab w:val="clear" w:pos="567"/>
          <w:tab w:val="clear" w:pos="1134"/>
          <w:tab w:val="clear" w:pos="1701"/>
          <w:tab w:val="clear" w:pos="2268"/>
          <w:tab w:val="clear" w:pos="2835"/>
          <w:tab w:val="left" w:pos="2948"/>
          <w:tab w:val="left" w:pos="4082"/>
        </w:tabs>
        <w:spacing w:before="240" w:after="120"/>
        <w:jc w:val="center"/>
        <w:rPr>
          <w:b/>
        </w:rPr>
      </w:pPr>
      <w:r w:rsidRPr="00236418">
        <w:rPr>
          <w:b/>
        </w:rPr>
        <w:t>Caisse d'assurance du personnel</w:t>
      </w:r>
      <w:r w:rsidRPr="00236418" w:rsidDel="008336DC">
        <w:rPr>
          <w:b/>
        </w:rPr>
        <w:t xml:space="preserve"> </w:t>
      </w:r>
      <w:r w:rsidRPr="00236418">
        <w:rPr>
          <w:b/>
        </w:rPr>
        <w:t>– Voir la Note 2</w:t>
      </w:r>
    </w:p>
    <w:tbl>
      <w:tblPr>
        <w:tblW w:w="9629" w:type="dxa"/>
        <w:tblLook w:val="04A0" w:firstRow="1" w:lastRow="0" w:firstColumn="1" w:lastColumn="0" w:noHBand="0" w:noVBand="1"/>
        <w:tblCaption w:val="CAISSE D'ASSURANCE – Voir la Note 4"/>
      </w:tblPr>
      <w:tblGrid>
        <w:gridCol w:w="4390"/>
        <w:gridCol w:w="1417"/>
        <w:gridCol w:w="1246"/>
        <w:gridCol w:w="1295"/>
        <w:gridCol w:w="1281"/>
      </w:tblGrid>
      <w:tr w:rsidR="00862C6F" w:rsidRPr="00236418" w14:paraId="03C866CF" w14:textId="77777777" w:rsidTr="00620F53">
        <w:trPr>
          <w:trHeight w:val="321"/>
        </w:trPr>
        <w:tc>
          <w:tcPr>
            <w:tcW w:w="9629" w:type="dxa"/>
            <w:gridSpan w:val="5"/>
            <w:tcBorders>
              <w:top w:val="single" w:sz="4" w:space="0" w:color="auto"/>
              <w:left w:val="single" w:sz="4" w:space="0" w:color="auto"/>
              <w:bottom w:val="nil"/>
              <w:right w:val="single" w:sz="4" w:space="0" w:color="000000"/>
            </w:tcBorders>
            <w:shd w:val="clear" w:color="auto" w:fill="auto"/>
            <w:noWrap/>
            <w:vAlign w:val="center"/>
          </w:tcPr>
          <w:p w14:paraId="56688BCF"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0"/>
                <w:szCs w:val="18"/>
              </w:rPr>
              <w:t>État de la performance financière pour l'exercice 2019 et comparatif avec l'exercice 2018</w:t>
            </w:r>
          </w:p>
        </w:tc>
      </w:tr>
      <w:tr w:rsidR="00862C6F" w:rsidRPr="00236418" w14:paraId="1281891D" w14:textId="77777777" w:rsidTr="00620F53">
        <w:trPr>
          <w:trHeight w:val="615"/>
        </w:trPr>
        <w:tc>
          <w:tcPr>
            <w:tcW w:w="4390" w:type="dxa"/>
            <w:tcBorders>
              <w:top w:val="single" w:sz="4" w:space="0" w:color="auto"/>
              <w:left w:val="single" w:sz="4" w:space="0" w:color="auto"/>
              <w:bottom w:val="nil"/>
              <w:right w:val="nil"/>
            </w:tcBorders>
            <w:shd w:val="clear" w:color="auto" w:fill="auto"/>
            <w:noWrap/>
            <w:vAlign w:val="center"/>
            <w:hideMark/>
          </w:tcPr>
          <w:p w14:paraId="3A1CC82D" w14:textId="77777777" w:rsidR="00862C6F" w:rsidRPr="00236418" w:rsidRDefault="00862C6F" w:rsidP="00862C6F">
            <w:pPr>
              <w:rPr>
                <w:rFonts w:cs="Calibri"/>
                <w:sz w:val="20"/>
              </w:rPr>
            </w:pPr>
            <w:r w:rsidRPr="00236418">
              <w:rPr>
                <w:rFonts w:cs="Calibri"/>
                <w:sz w:val="20"/>
              </w:rPr>
              <w:t> </w:t>
            </w:r>
          </w:p>
        </w:tc>
        <w:tc>
          <w:tcPr>
            <w:tcW w:w="2663" w:type="dxa"/>
            <w:gridSpan w:val="2"/>
            <w:tcBorders>
              <w:top w:val="single" w:sz="4" w:space="0" w:color="auto"/>
              <w:left w:val="single" w:sz="4" w:space="0" w:color="auto"/>
              <w:bottom w:val="nil"/>
              <w:right w:val="single" w:sz="4" w:space="0" w:color="000000"/>
            </w:tcBorders>
            <w:shd w:val="clear" w:color="auto" w:fill="auto"/>
            <w:vAlign w:val="bottom"/>
            <w:hideMark/>
          </w:tcPr>
          <w:p w14:paraId="7D3829EE" w14:textId="77777777" w:rsidR="00862C6F" w:rsidRPr="00236418" w:rsidRDefault="00862C6F" w:rsidP="00862C6F">
            <w:pPr>
              <w:tabs>
                <w:tab w:val="clear" w:pos="567"/>
                <w:tab w:val="clear" w:pos="1134"/>
                <w:tab w:val="clear" w:pos="1701"/>
                <w:tab w:val="clear" w:pos="2268"/>
                <w:tab w:val="clear" w:pos="2835"/>
              </w:tabs>
              <w:spacing w:before="40"/>
              <w:jc w:val="center"/>
              <w:rPr>
                <w:b/>
                <w:sz w:val="20"/>
              </w:rPr>
            </w:pPr>
            <w:r w:rsidRPr="00236418">
              <w:rPr>
                <w:b/>
                <w:sz w:val="20"/>
              </w:rPr>
              <w:t xml:space="preserve">Fonds de réserve </w:t>
            </w:r>
            <w:r w:rsidRPr="00236418">
              <w:rPr>
                <w:b/>
                <w:sz w:val="20"/>
              </w:rPr>
              <w:br/>
              <w:t xml:space="preserve">et des compléments </w:t>
            </w:r>
          </w:p>
        </w:tc>
        <w:tc>
          <w:tcPr>
            <w:tcW w:w="257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EAD8984" w14:textId="77777777" w:rsidR="00862C6F" w:rsidRPr="00236418" w:rsidRDefault="00862C6F" w:rsidP="00862C6F">
            <w:pPr>
              <w:tabs>
                <w:tab w:val="clear" w:pos="567"/>
                <w:tab w:val="clear" w:pos="1134"/>
                <w:tab w:val="clear" w:pos="1701"/>
                <w:tab w:val="clear" w:pos="2268"/>
                <w:tab w:val="clear" w:pos="2835"/>
              </w:tabs>
              <w:spacing w:before="40"/>
              <w:jc w:val="center"/>
              <w:rPr>
                <w:b/>
                <w:sz w:val="20"/>
              </w:rPr>
            </w:pPr>
            <w:r w:rsidRPr="00236418">
              <w:rPr>
                <w:b/>
                <w:sz w:val="20"/>
              </w:rPr>
              <w:t>Fonds d'intervention</w:t>
            </w:r>
          </w:p>
        </w:tc>
      </w:tr>
      <w:tr w:rsidR="00862C6F" w:rsidRPr="00236418" w14:paraId="724286A1" w14:textId="77777777" w:rsidTr="00620F53">
        <w:trPr>
          <w:trHeight w:val="300"/>
        </w:trPr>
        <w:tc>
          <w:tcPr>
            <w:tcW w:w="4390" w:type="dxa"/>
            <w:tcBorders>
              <w:top w:val="nil"/>
              <w:left w:val="single" w:sz="4" w:space="0" w:color="auto"/>
              <w:bottom w:val="single" w:sz="4" w:space="0" w:color="auto"/>
              <w:right w:val="nil"/>
            </w:tcBorders>
            <w:shd w:val="clear" w:color="auto" w:fill="auto"/>
            <w:noWrap/>
            <w:vAlign w:val="center"/>
            <w:hideMark/>
          </w:tcPr>
          <w:p w14:paraId="0E75D044" w14:textId="77777777" w:rsidR="00862C6F" w:rsidRPr="00236418" w:rsidRDefault="00862C6F" w:rsidP="00862C6F">
            <w:pPr>
              <w:rPr>
                <w:rFonts w:cs="Calibri"/>
                <w:sz w:val="20"/>
              </w:rPr>
            </w:pPr>
            <w:r w:rsidRPr="00236418">
              <w:rPr>
                <w:rFonts w:cs="Calibri"/>
                <w:sz w:val="20"/>
              </w:rPr>
              <w:t> </w:t>
            </w:r>
          </w:p>
        </w:tc>
        <w:tc>
          <w:tcPr>
            <w:tcW w:w="2663" w:type="dxa"/>
            <w:gridSpan w:val="2"/>
            <w:tcBorders>
              <w:top w:val="nil"/>
              <w:left w:val="single" w:sz="4" w:space="0" w:color="auto"/>
              <w:bottom w:val="single" w:sz="4" w:space="0" w:color="auto"/>
              <w:right w:val="nil"/>
            </w:tcBorders>
            <w:shd w:val="clear" w:color="auto" w:fill="auto"/>
            <w:noWrap/>
            <w:vAlign w:val="center"/>
            <w:hideMark/>
          </w:tcPr>
          <w:p w14:paraId="58C3730E" w14:textId="77777777" w:rsidR="00862C6F" w:rsidRPr="00236418" w:rsidRDefault="00862C6F" w:rsidP="00862C6F">
            <w:pPr>
              <w:jc w:val="center"/>
              <w:rPr>
                <w:rFonts w:cs="Calibri"/>
                <w:sz w:val="20"/>
              </w:rPr>
            </w:pPr>
            <w:r w:rsidRPr="00236418">
              <w:rPr>
                <w:rFonts w:cs="Calibri"/>
                <w:sz w:val="20"/>
              </w:rPr>
              <w:t>CHF</w:t>
            </w:r>
          </w:p>
        </w:tc>
        <w:tc>
          <w:tcPr>
            <w:tcW w:w="2576"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D21BC52" w14:textId="77777777" w:rsidR="00862C6F" w:rsidRPr="00236418" w:rsidRDefault="00862C6F" w:rsidP="00862C6F">
            <w:pPr>
              <w:jc w:val="center"/>
              <w:rPr>
                <w:rFonts w:cs="Calibri"/>
                <w:sz w:val="20"/>
              </w:rPr>
            </w:pPr>
            <w:r w:rsidRPr="00236418">
              <w:rPr>
                <w:rFonts w:cs="Calibri"/>
                <w:sz w:val="20"/>
              </w:rPr>
              <w:t>CHF</w:t>
            </w:r>
          </w:p>
        </w:tc>
      </w:tr>
      <w:tr w:rsidR="00862C6F" w:rsidRPr="00236418" w14:paraId="3D7755F5" w14:textId="77777777" w:rsidTr="00620F53">
        <w:trPr>
          <w:trHeight w:val="300"/>
        </w:trPr>
        <w:tc>
          <w:tcPr>
            <w:tcW w:w="4390" w:type="dxa"/>
            <w:tcBorders>
              <w:top w:val="nil"/>
              <w:left w:val="single" w:sz="4" w:space="0" w:color="auto"/>
              <w:bottom w:val="nil"/>
              <w:right w:val="single" w:sz="4" w:space="0" w:color="auto"/>
            </w:tcBorders>
            <w:shd w:val="clear" w:color="auto" w:fill="auto"/>
            <w:noWrap/>
            <w:vAlign w:val="center"/>
            <w:hideMark/>
          </w:tcPr>
          <w:p w14:paraId="7D33BD74"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 </w:t>
            </w:r>
          </w:p>
        </w:tc>
        <w:tc>
          <w:tcPr>
            <w:tcW w:w="1417" w:type="dxa"/>
            <w:tcBorders>
              <w:top w:val="nil"/>
              <w:left w:val="nil"/>
              <w:bottom w:val="nil"/>
              <w:right w:val="single" w:sz="4" w:space="0" w:color="auto"/>
            </w:tcBorders>
            <w:shd w:val="clear" w:color="auto" w:fill="auto"/>
            <w:noWrap/>
            <w:vAlign w:val="center"/>
            <w:hideMark/>
          </w:tcPr>
          <w:p w14:paraId="44F80BCB"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2019</w:t>
            </w:r>
          </w:p>
        </w:tc>
        <w:tc>
          <w:tcPr>
            <w:tcW w:w="1246" w:type="dxa"/>
            <w:tcBorders>
              <w:top w:val="nil"/>
              <w:left w:val="nil"/>
              <w:bottom w:val="nil"/>
              <w:right w:val="single" w:sz="4" w:space="0" w:color="auto"/>
            </w:tcBorders>
            <w:shd w:val="clear" w:color="auto" w:fill="auto"/>
            <w:noWrap/>
            <w:vAlign w:val="center"/>
            <w:hideMark/>
          </w:tcPr>
          <w:p w14:paraId="7AE93FF0"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2018</w:t>
            </w:r>
          </w:p>
        </w:tc>
        <w:tc>
          <w:tcPr>
            <w:tcW w:w="1295" w:type="dxa"/>
            <w:tcBorders>
              <w:top w:val="nil"/>
              <w:left w:val="nil"/>
              <w:bottom w:val="nil"/>
              <w:right w:val="single" w:sz="4" w:space="0" w:color="auto"/>
            </w:tcBorders>
            <w:shd w:val="clear" w:color="auto" w:fill="auto"/>
            <w:noWrap/>
            <w:vAlign w:val="center"/>
            <w:hideMark/>
          </w:tcPr>
          <w:p w14:paraId="6146C82E"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2019</w:t>
            </w:r>
          </w:p>
        </w:tc>
        <w:tc>
          <w:tcPr>
            <w:tcW w:w="1281" w:type="dxa"/>
            <w:tcBorders>
              <w:top w:val="nil"/>
              <w:left w:val="nil"/>
              <w:bottom w:val="nil"/>
              <w:right w:val="single" w:sz="4" w:space="0" w:color="auto"/>
            </w:tcBorders>
            <w:shd w:val="clear" w:color="auto" w:fill="auto"/>
            <w:noWrap/>
            <w:vAlign w:val="center"/>
            <w:hideMark/>
          </w:tcPr>
          <w:p w14:paraId="737A7F6C"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2018</w:t>
            </w:r>
          </w:p>
        </w:tc>
      </w:tr>
      <w:tr w:rsidR="00862C6F" w:rsidRPr="00236418" w14:paraId="5D40E241"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26297E6F" w14:textId="77777777" w:rsidR="00862C6F" w:rsidRPr="00236418" w:rsidRDefault="00862C6F" w:rsidP="00862C6F">
            <w:pPr>
              <w:tabs>
                <w:tab w:val="clear" w:pos="567"/>
                <w:tab w:val="clear" w:pos="1134"/>
                <w:tab w:val="clear" w:pos="1701"/>
                <w:tab w:val="clear" w:pos="2268"/>
                <w:tab w:val="clear" w:pos="2835"/>
              </w:tabs>
              <w:spacing w:before="60" w:after="60"/>
              <w:rPr>
                <w:sz w:val="20"/>
                <w:u w:val="single"/>
              </w:rPr>
            </w:pPr>
            <w:r w:rsidRPr="00236418">
              <w:rPr>
                <w:sz w:val="20"/>
                <w:u w:val="single"/>
              </w:rPr>
              <w:t>CHARGES</w:t>
            </w:r>
          </w:p>
        </w:tc>
        <w:tc>
          <w:tcPr>
            <w:tcW w:w="1417" w:type="dxa"/>
            <w:tcBorders>
              <w:top w:val="nil"/>
              <w:left w:val="nil"/>
              <w:bottom w:val="nil"/>
              <w:right w:val="nil"/>
            </w:tcBorders>
            <w:shd w:val="clear" w:color="auto" w:fill="auto"/>
            <w:noWrap/>
            <w:vAlign w:val="center"/>
            <w:hideMark/>
          </w:tcPr>
          <w:p w14:paraId="20E4276B" w14:textId="77777777" w:rsidR="00862C6F" w:rsidRPr="00236418" w:rsidRDefault="00862C6F" w:rsidP="00862C6F">
            <w:pPr>
              <w:tabs>
                <w:tab w:val="clear" w:pos="567"/>
                <w:tab w:val="clear" w:pos="1134"/>
                <w:tab w:val="clear" w:pos="1701"/>
                <w:tab w:val="clear" w:pos="2268"/>
                <w:tab w:val="clear" w:pos="2835"/>
              </w:tabs>
              <w:spacing w:before="60" w:after="60"/>
              <w:jc w:val="right"/>
              <w:rPr>
                <w:rFonts w:ascii="CG Times" w:hAnsi="CG Times"/>
                <w:sz w:val="20"/>
              </w:rPr>
            </w:pPr>
          </w:p>
        </w:tc>
        <w:tc>
          <w:tcPr>
            <w:tcW w:w="1246" w:type="dxa"/>
            <w:tcBorders>
              <w:top w:val="nil"/>
              <w:left w:val="single" w:sz="4" w:space="0" w:color="auto"/>
              <w:bottom w:val="nil"/>
              <w:right w:val="single" w:sz="4" w:space="0" w:color="auto"/>
            </w:tcBorders>
            <w:shd w:val="clear" w:color="auto" w:fill="auto"/>
            <w:noWrap/>
            <w:vAlign w:val="center"/>
            <w:hideMark/>
          </w:tcPr>
          <w:p w14:paraId="6BC8E519" w14:textId="77777777" w:rsidR="00862C6F" w:rsidRPr="00236418" w:rsidRDefault="00862C6F" w:rsidP="00862C6F">
            <w:pPr>
              <w:tabs>
                <w:tab w:val="clear" w:pos="567"/>
                <w:tab w:val="clear" w:pos="1134"/>
                <w:tab w:val="clear" w:pos="1701"/>
                <w:tab w:val="clear" w:pos="2268"/>
                <w:tab w:val="clear" w:pos="2835"/>
              </w:tabs>
              <w:spacing w:before="60" w:after="60"/>
              <w:jc w:val="right"/>
              <w:rPr>
                <w:rFonts w:ascii="CG Times" w:hAnsi="CG Times"/>
                <w:sz w:val="20"/>
              </w:rPr>
            </w:pPr>
          </w:p>
        </w:tc>
        <w:tc>
          <w:tcPr>
            <w:tcW w:w="1295" w:type="dxa"/>
            <w:tcBorders>
              <w:top w:val="nil"/>
              <w:left w:val="nil"/>
              <w:bottom w:val="nil"/>
              <w:right w:val="nil"/>
            </w:tcBorders>
            <w:shd w:val="clear" w:color="auto" w:fill="auto"/>
            <w:noWrap/>
            <w:vAlign w:val="center"/>
            <w:hideMark/>
          </w:tcPr>
          <w:p w14:paraId="1509D6E3" w14:textId="77777777" w:rsidR="00862C6F" w:rsidRPr="00236418" w:rsidRDefault="00862C6F" w:rsidP="00862C6F">
            <w:pPr>
              <w:tabs>
                <w:tab w:val="clear" w:pos="567"/>
                <w:tab w:val="clear" w:pos="1134"/>
                <w:tab w:val="clear" w:pos="1701"/>
                <w:tab w:val="clear" w:pos="2268"/>
                <w:tab w:val="clear" w:pos="2835"/>
              </w:tabs>
              <w:spacing w:before="60" w:after="60"/>
              <w:jc w:val="right"/>
              <w:rPr>
                <w:rFonts w:ascii="CG Times" w:hAnsi="CG Times"/>
                <w:sz w:val="20"/>
              </w:rPr>
            </w:pPr>
          </w:p>
        </w:tc>
        <w:tc>
          <w:tcPr>
            <w:tcW w:w="1281" w:type="dxa"/>
            <w:tcBorders>
              <w:top w:val="nil"/>
              <w:left w:val="single" w:sz="4" w:space="0" w:color="auto"/>
              <w:bottom w:val="nil"/>
              <w:right w:val="single" w:sz="4" w:space="0" w:color="auto"/>
            </w:tcBorders>
            <w:shd w:val="clear" w:color="auto" w:fill="auto"/>
            <w:noWrap/>
            <w:vAlign w:val="center"/>
            <w:hideMark/>
          </w:tcPr>
          <w:p w14:paraId="35857E09" w14:textId="77777777" w:rsidR="00862C6F" w:rsidRPr="00236418" w:rsidRDefault="00862C6F" w:rsidP="00862C6F">
            <w:pPr>
              <w:tabs>
                <w:tab w:val="clear" w:pos="567"/>
                <w:tab w:val="clear" w:pos="1134"/>
                <w:tab w:val="clear" w:pos="1701"/>
                <w:tab w:val="clear" w:pos="2268"/>
                <w:tab w:val="clear" w:pos="2835"/>
              </w:tabs>
              <w:spacing w:before="60" w:after="60"/>
              <w:jc w:val="right"/>
              <w:rPr>
                <w:rFonts w:ascii="CG Times" w:hAnsi="CG Times"/>
                <w:sz w:val="20"/>
              </w:rPr>
            </w:pPr>
          </w:p>
        </w:tc>
      </w:tr>
      <w:tr w:rsidR="00862C6F" w:rsidRPr="00236418" w14:paraId="29652CDF"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1D34C04A"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 xml:space="preserve">Rentes </w:t>
            </w:r>
          </w:p>
        </w:tc>
        <w:tc>
          <w:tcPr>
            <w:tcW w:w="1417" w:type="dxa"/>
            <w:tcBorders>
              <w:top w:val="nil"/>
              <w:left w:val="nil"/>
              <w:bottom w:val="nil"/>
              <w:right w:val="single" w:sz="4" w:space="0" w:color="auto"/>
            </w:tcBorders>
            <w:shd w:val="clear" w:color="auto" w:fill="auto"/>
            <w:noWrap/>
            <w:vAlign w:val="center"/>
          </w:tcPr>
          <w:p w14:paraId="0BC1A73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16 864,80</w:t>
            </w:r>
          </w:p>
        </w:tc>
        <w:tc>
          <w:tcPr>
            <w:tcW w:w="1246" w:type="dxa"/>
            <w:tcBorders>
              <w:top w:val="nil"/>
              <w:left w:val="nil"/>
              <w:bottom w:val="nil"/>
              <w:right w:val="single" w:sz="4" w:space="0" w:color="auto"/>
            </w:tcBorders>
            <w:shd w:val="clear" w:color="auto" w:fill="auto"/>
            <w:noWrap/>
            <w:vAlign w:val="center"/>
            <w:hideMark/>
          </w:tcPr>
          <w:p w14:paraId="1F386B4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19 363,80</w:t>
            </w:r>
          </w:p>
        </w:tc>
        <w:tc>
          <w:tcPr>
            <w:tcW w:w="1295" w:type="dxa"/>
            <w:tcBorders>
              <w:top w:val="nil"/>
              <w:left w:val="nil"/>
              <w:bottom w:val="nil"/>
              <w:right w:val="nil"/>
            </w:tcBorders>
            <w:shd w:val="clear" w:color="auto" w:fill="auto"/>
            <w:noWrap/>
            <w:vAlign w:val="center"/>
          </w:tcPr>
          <w:p w14:paraId="52795B0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81" w:type="dxa"/>
            <w:tcBorders>
              <w:top w:val="nil"/>
              <w:left w:val="single" w:sz="4" w:space="0" w:color="auto"/>
              <w:bottom w:val="nil"/>
              <w:right w:val="single" w:sz="4" w:space="0" w:color="auto"/>
            </w:tcBorders>
            <w:shd w:val="clear" w:color="auto" w:fill="auto"/>
            <w:noWrap/>
            <w:vAlign w:val="center"/>
            <w:hideMark/>
          </w:tcPr>
          <w:p w14:paraId="14A56D7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443339F0"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29773B28"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Dons</w:t>
            </w:r>
          </w:p>
        </w:tc>
        <w:tc>
          <w:tcPr>
            <w:tcW w:w="1417" w:type="dxa"/>
            <w:tcBorders>
              <w:top w:val="nil"/>
              <w:left w:val="nil"/>
              <w:bottom w:val="nil"/>
              <w:right w:val="single" w:sz="4" w:space="0" w:color="auto"/>
            </w:tcBorders>
            <w:shd w:val="clear" w:color="auto" w:fill="auto"/>
            <w:noWrap/>
            <w:vAlign w:val="center"/>
          </w:tcPr>
          <w:p w14:paraId="5E2546B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46" w:type="dxa"/>
            <w:tcBorders>
              <w:top w:val="nil"/>
              <w:left w:val="nil"/>
              <w:bottom w:val="nil"/>
              <w:right w:val="single" w:sz="4" w:space="0" w:color="auto"/>
            </w:tcBorders>
            <w:shd w:val="clear" w:color="auto" w:fill="auto"/>
            <w:noWrap/>
            <w:vAlign w:val="center"/>
            <w:hideMark/>
          </w:tcPr>
          <w:p w14:paraId="5715FA5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95" w:type="dxa"/>
            <w:tcBorders>
              <w:top w:val="nil"/>
              <w:left w:val="nil"/>
              <w:bottom w:val="nil"/>
              <w:right w:val="single" w:sz="4" w:space="0" w:color="auto"/>
            </w:tcBorders>
            <w:shd w:val="clear" w:color="auto" w:fill="auto"/>
            <w:noWrap/>
            <w:vAlign w:val="center"/>
          </w:tcPr>
          <w:p w14:paraId="0132007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81" w:type="dxa"/>
            <w:tcBorders>
              <w:top w:val="nil"/>
              <w:left w:val="nil"/>
              <w:bottom w:val="nil"/>
              <w:right w:val="single" w:sz="4" w:space="0" w:color="auto"/>
            </w:tcBorders>
            <w:shd w:val="clear" w:color="auto" w:fill="auto"/>
            <w:noWrap/>
            <w:vAlign w:val="center"/>
            <w:hideMark/>
          </w:tcPr>
          <w:p w14:paraId="764806A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59637CBE" w14:textId="77777777" w:rsidTr="00620F53">
        <w:trPr>
          <w:trHeight w:val="300"/>
        </w:trPr>
        <w:tc>
          <w:tcPr>
            <w:tcW w:w="4390" w:type="dxa"/>
            <w:tcBorders>
              <w:top w:val="nil"/>
              <w:left w:val="single" w:sz="4" w:space="0" w:color="auto"/>
              <w:bottom w:val="nil"/>
              <w:right w:val="single" w:sz="4" w:space="0" w:color="auto"/>
            </w:tcBorders>
            <w:shd w:val="clear" w:color="auto" w:fill="auto"/>
            <w:noWrap/>
          </w:tcPr>
          <w:p w14:paraId="7C427D55"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Autres charges</w:t>
            </w:r>
          </w:p>
        </w:tc>
        <w:tc>
          <w:tcPr>
            <w:tcW w:w="1417" w:type="dxa"/>
            <w:tcBorders>
              <w:top w:val="nil"/>
              <w:left w:val="nil"/>
              <w:bottom w:val="nil"/>
              <w:right w:val="single" w:sz="4" w:space="0" w:color="auto"/>
            </w:tcBorders>
            <w:shd w:val="clear" w:color="auto" w:fill="auto"/>
            <w:noWrap/>
            <w:vAlign w:val="center"/>
          </w:tcPr>
          <w:p w14:paraId="1DCF1B3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46" w:type="dxa"/>
            <w:tcBorders>
              <w:top w:val="nil"/>
              <w:left w:val="nil"/>
              <w:bottom w:val="nil"/>
              <w:right w:val="single" w:sz="4" w:space="0" w:color="auto"/>
            </w:tcBorders>
            <w:shd w:val="clear" w:color="auto" w:fill="auto"/>
            <w:noWrap/>
            <w:vAlign w:val="center"/>
          </w:tcPr>
          <w:p w14:paraId="2D53F83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95" w:type="dxa"/>
            <w:tcBorders>
              <w:top w:val="nil"/>
              <w:left w:val="nil"/>
              <w:bottom w:val="nil"/>
              <w:right w:val="single" w:sz="4" w:space="0" w:color="auto"/>
            </w:tcBorders>
            <w:shd w:val="clear" w:color="auto" w:fill="auto"/>
            <w:noWrap/>
            <w:vAlign w:val="center"/>
          </w:tcPr>
          <w:p w14:paraId="0965B9F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81" w:type="dxa"/>
            <w:tcBorders>
              <w:top w:val="nil"/>
              <w:left w:val="nil"/>
              <w:bottom w:val="nil"/>
              <w:right w:val="single" w:sz="4" w:space="0" w:color="auto"/>
            </w:tcBorders>
            <w:shd w:val="clear" w:color="auto" w:fill="auto"/>
            <w:noWrap/>
            <w:vAlign w:val="center"/>
          </w:tcPr>
          <w:p w14:paraId="1E9BC86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6ADA0782"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58B56BC0"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Total des charges</w:t>
            </w:r>
          </w:p>
        </w:tc>
        <w:tc>
          <w:tcPr>
            <w:tcW w:w="1417" w:type="dxa"/>
            <w:tcBorders>
              <w:top w:val="nil"/>
              <w:left w:val="nil"/>
              <w:bottom w:val="nil"/>
              <w:right w:val="single" w:sz="4" w:space="0" w:color="auto"/>
            </w:tcBorders>
            <w:shd w:val="clear" w:color="auto" w:fill="auto"/>
            <w:noWrap/>
            <w:vAlign w:val="center"/>
          </w:tcPr>
          <w:p w14:paraId="42F37FB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16 864,80</w:t>
            </w:r>
          </w:p>
        </w:tc>
        <w:tc>
          <w:tcPr>
            <w:tcW w:w="1246" w:type="dxa"/>
            <w:tcBorders>
              <w:top w:val="nil"/>
              <w:left w:val="nil"/>
              <w:bottom w:val="nil"/>
              <w:right w:val="single" w:sz="4" w:space="0" w:color="auto"/>
            </w:tcBorders>
            <w:shd w:val="clear" w:color="auto" w:fill="auto"/>
            <w:noWrap/>
            <w:vAlign w:val="center"/>
            <w:hideMark/>
          </w:tcPr>
          <w:p w14:paraId="1277569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19 363,80</w:t>
            </w:r>
          </w:p>
        </w:tc>
        <w:tc>
          <w:tcPr>
            <w:tcW w:w="1295" w:type="dxa"/>
            <w:tcBorders>
              <w:top w:val="nil"/>
              <w:left w:val="nil"/>
              <w:bottom w:val="nil"/>
              <w:right w:val="single" w:sz="4" w:space="0" w:color="auto"/>
            </w:tcBorders>
            <w:shd w:val="clear" w:color="auto" w:fill="auto"/>
            <w:noWrap/>
            <w:vAlign w:val="center"/>
          </w:tcPr>
          <w:p w14:paraId="0741A0C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81" w:type="dxa"/>
            <w:tcBorders>
              <w:top w:val="nil"/>
              <w:left w:val="nil"/>
              <w:bottom w:val="nil"/>
              <w:right w:val="single" w:sz="4" w:space="0" w:color="auto"/>
            </w:tcBorders>
            <w:shd w:val="clear" w:color="auto" w:fill="auto"/>
            <w:noWrap/>
            <w:vAlign w:val="center"/>
            <w:hideMark/>
          </w:tcPr>
          <w:p w14:paraId="7BC25F9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71C3200B"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495EF68B"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Excédent sur l'année</w:t>
            </w:r>
          </w:p>
        </w:tc>
        <w:tc>
          <w:tcPr>
            <w:tcW w:w="1417" w:type="dxa"/>
            <w:tcBorders>
              <w:top w:val="nil"/>
              <w:left w:val="nil"/>
              <w:bottom w:val="single" w:sz="4" w:space="0" w:color="auto"/>
              <w:right w:val="single" w:sz="4" w:space="0" w:color="auto"/>
            </w:tcBorders>
            <w:shd w:val="clear" w:color="auto" w:fill="auto"/>
            <w:noWrap/>
            <w:vAlign w:val="center"/>
          </w:tcPr>
          <w:p w14:paraId="5B25172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46" w:type="dxa"/>
            <w:tcBorders>
              <w:top w:val="nil"/>
              <w:left w:val="nil"/>
              <w:bottom w:val="single" w:sz="4" w:space="0" w:color="auto"/>
              <w:right w:val="single" w:sz="4" w:space="0" w:color="auto"/>
            </w:tcBorders>
            <w:shd w:val="clear" w:color="auto" w:fill="auto"/>
            <w:noWrap/>
            <w:vAlign w:val="center"/>
            <w:hideMark/>
          </w:tcPr>
          <w:p w14:paraId="38F4FE4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95" w:type="dxa"/>
            <w:tcBorders>
              <w:top w:val="nil"/>
              <w:left w:val="nil"/>
              <w:bottom w:val="single" w:sz="4" w:space="0" w:color="auto"/>
              <w:right w:val="single" w:sz="4" w:space="0" w:color="auto"/>
            </w:tcBorders>
            <w:shd w:val="clear" w:color="auto" w:fill="auto"/>
            <w:noWrap/>
            <w:vAlign w:val="center"/>
          </w:tcPr>
          <w:p w14:paraId="29CC4AA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81" w:type="dxa"/>
            <w:tcBorders>
              <w:top w:val="nil"/>
              <w:left w:val="nil"/>
              <w:bottom w:val="single" w:sz="4" w:space="0" w:color="auto"/>
              <w:right w:val="single" w:sz="4" w:space="0" w:color="auto"/>
            </w:tcBorders>
            <w:shd w:val="clear" w:color="auto" w:fill="auto"/>
            <w:noWrap/>
            <w:vAlign w:val="center"/>
          </w:tcPr>
          <w:p w14:paraId="1D58C67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50C19B9A" w14:textId="77777777" w:rsidTr="00620F53">
        <w:trPr>
          <w:trHeight w:val="300"/>
        </w:trPr>
        <w:tc>
          <w:tcPr>
            <w:tcW w:w="4390" w:type="dxa"/>
            <w:tcBorders>
              <w:top w:val="nil"/>
              <w:left w:val="single" w:sz="4" w:space="0" w:color="auto"/>
              <w:bottom w:val="nil"/>
              <w:right w:val="single" w:sz="4" w:space="0" w:color="auto"/>
            </w:tcBorders>
            <w:shd w:val="clear" w:color="auto" w:fill="auto"/>
            <w:noWrap/>
            <w:vAlign w:val="center"/>
            <w:hideMark/>
          </w:tcPr>
          <w:p w14:paraId="65B12B26" w14:textId="77777777" w:rsidR="00862C6F" w:rsidRPr="00236418" w:rsidRDefault="00862C6F" w:rsidP="00862C6F">
            <w:pPr>
              <w:tabs>
                <w:tab w:val="clear" w:pos="567"/>
                <w:tab w:val="clear" w:pos="1134"/>
                <w:tab w:val="clear" w:pos="1701"/>
                <w:tab w:val="clear" w:pos="2268"/>
                <w:tab w:val="clear" w:pos="2835"/>
              </w:tabs>
              <w:spacing w:before="60" w:after="60"/>
              <w:rPr>
                <w:b/>
                <w:bCs/>
                <w:sz w:val="20"/>
              </w:rPr>
            </w:pPr>
            <w:r w:rsidRPr="00236418">
              <w:rPr>
                <w:b/>
                <w:bCs/>
                <w:sz w:val="20"/>
              </w:rPr>
              <w:t>TOTAL</w:t>
            </w:r>
          </w:p>
        </w:tc>
        <w:tc>
          <w:tcPr>
            <w:tcW w:w="1417" w:type="dxa"/>
            <w:tcBorders>
              <w:top w:val="nil"/>
              <w:left w:val="nil"/>
              <w:bottom w:val="nil"/>
              <w:right w:val="single" w:sz="4" w:space="0" w:color="auto"/>
            </w:tcBorders>
            <w:shd w:val="clear" w:color="auto" w:fill="auto"/>
            <w:noWrap/>
            <w:vAlign w:val="center"/>
          </w:tcPr>
          <w:p w14:paraId="58D13309"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16 864,80</w:t>
            </w:r>
          </w:p>
        </w:tc>
        <w:tc>
          <w:tcPr>
            <w:tcW w:w="1246" w:type="dxa"/>
            <w:tcBorders>
              <w:top w:val="nil"/>
              <w:left w:val="nil"/>
              <w:bottom w:val="nil"/>
              <w:right w:val="single" w:sz="4" w:space="0" w:color="auto"/>
            </w:tcBorders>
            <w:shd w:val="clear" w:color="auto" w:fill="auto"/>
            <w:noWrap/>
            <w:vAlign w:val="center"/>
            <w:hideMark/>
          </w:tcPr>
          <w:p w14:paraId="6C9FBF20"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19 363,80</w:t>
            </w:r>
          </w:p>
        </w:tc>
        <w:tc>
          <w:tcPr>
            <w:tcW w:w="1295" w:type="dxa"/>
            <w:tcBorders>
              <w:top w:val="nil"/>
              <w:left w:val="nil"/>
              <w:bottom w:val="nil"/>
              <w:right w:val="single" w:sz="4" w:space="0" w:color="auto"/>
            </w:tcBorders>
            <w:shd w:val="clear" w:color="auto" w:fill="auto"/>
            <w:noWrap/>
            <w:vAlign w:val="center"/>
          </w:tcPr>
          <w:p w14:paraId="47742D2E" w14:textId="77777777" w:rsidR="00862C6F" w:rsidRPr="00236418" w:rsidRDefault="00862C6F" w:rsidP="00862C6F">
            <w:pPr>
              <w:tabs>
                <w:tab w:val="clear" w:pos="567"/>
                <w:tab w:val="clear" w:pos="1134"/>
                <w:tab w:val="clear" w:pos="1701"/>
                <w:tab w:val="clear" w:pos="2268"/>
                <w:tab w:val="clear" w:pos="2835"/>
              </w:tabs>
              <w:spacing w:before="60" w:after="60"/>
              <w:jc w:val="right"/>
              <w:rPr>
                <w:bCs/>
                <w:sz w:val="20"/>
              </w:rPr>
            </w:pPr>
            <w:r w:rsidRPr="00236418">
              <w:rPr>
                <w:bCs/>
                <w:sz w:val="20"/>
              </w:rPr>
              <w:t>–</w:t>
            </w:r>
          </w:p>
        </w:tc>
        <w:tc>
          <w:tcPr>
            <w:tcW w:w="1281" w:type="dxa"/>
            <w:tcBorders>
              <w:top w:val="nil"/>
              <w:left w:val="nil"/>
              <w:bottom w:val="nil"/>
              <w:right w:val="single" w:sz="4" w:space="0" w:color="auto"/>
            </w:tcBorders>
            <w:shd w:val="clear" w:color="auto" w:fill="auto"/>
            <w:noWrap/>
            <w:vAlign w:val="center"/>
          </w:tcPr>
          <w:p w14:paraId="4EF60F9B" w14:textId="77777777" w:rsidR="00862C6F" w:rsidRPr="00236418" w:rsidRDefault="00862C6F" w:rsidP="00862C6F">
            <w:pPr>
              <w:tabs>
                <w:tab w:val="clear" w:pos="567"/>
                <w:tab w:val="clear" w:pos="1134"/>
                <w:tab w:val="clear" w:pos="1701"/>
                <w:tab w:val="clear" w:pos="2268"/>
                <w:tab w:val="clear" w:pos="2835"/>
              </w:tabs>
              <w:spacing w:before="60" w:after="60"/>
              <w:jc w:val="right"/>
              <w:rPr>
                <w:bCs/>
                <w:sz w:val="20"/>
              </w:rPr>
            </w:pPr>
            <w:r w:rsidRPr="00236418">
              <w:rPr>
                <w:bCs/>
                <w:sz w:val="20"/>
              </w:rPr>
              <w:t>–</w:t>
            </w:r>
          </w:p>
        </w:tc>
      </w:tr>
      <w:tr w:rsidR="00862C6F" w:rsidRPr="00236418" w14:paraId="0C670520" w14:textId="77777777" w:rsidTr="00620F53">
        <w:trPr>
          <w:trHeight w:val="300"/>
        </w:trPr>
        <w:tc>
          <w:tcPr>
            <w:tcW w:w="4390" w:type="dxa"/>
            <w:tcBorders>
              <w:top w:val="nil"/>
              <w:left w:val="single" w:sz="4" w:space="0" w:color="auto"/>
              <w:bottom w:val="nil"/>
              <w:right w:val="single" w:sz="4" w:space="0" w:color="auto"/>
            </w:tcBorders>
            <w:shd w:val="clear" w:color="auto" w:fill="auto"/>
            <w:noWrap/>
          </w:tcPr>
          <w:p w14:paraId="2E7B4B2C" w14:textId="77777777" w:rsidR="00862C6F" w:rsidRPr="00236418" w:rsidRDefault="00862C6F" w:rsidP="00862C6F">
            <w:pPr>
              <w:tabs>
                <w:tab w:val="clear" w:pos="567"/>
                <w:tab w:val="clear" w:pos="1134"/>
                <w:tab w:val="clear" w:pos="1701"/>
                <w:tab w:val="clear" w:pos="2268"/>
                <w:tab w:val="clear" w:pos="2835"/>
              </w:tabs>
              <w:spacing w:before="0"/>
              <w:rPr>
                <w:sz w:val="20"/>
                <w:u w:val="single"/>
              </w:rPr>
            </w:pPr>
          </w:p>
        </w:tc>
        <w:tc>
          <w:tcPr>
            <w:tcW w:w="1417" w:type="dxa"/>
            <w:tcBorders>
              <w:top w:val="nil"/>
              <w:left w:val="nil"/>
              <w:bottom w:val="nil"/>
              <w:right w:val="single" w:sz="4" w:space="0" w:color="auto"/>
            </w:tcBorders>
            <w:shd w:val="clear" w:color="auto" w:fill="auto"/>
            <w:noWrap/>
            <w:vAlign w:val="center"/>
          </w:tcPr>
          <w:p w14:paraId="4AFFA3DC"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c>
          <w:tcPr>
            <w:tcW w:w="1246" w:type="dxa"/>
            <w:tcBorders>
              <w:top w:val="nil"/>
              <w:left w:val="nil"/>
              <w:bottom w:val="nil"/>
              <w:right w:val="single" w:sz="4" w:space="0" w:color="auto"/>
            </w:tcBorders>
            <w:shd w:val="clear" w:color="auto" w:fill="auto"/>
            <w:noWrap/>
            <w:vAlign w:val="center"/>
          </w:tcPr>
          <w:p w14:paraId="4C3E16B2"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c>
          <w:tcPr>
            <w:tcW w:w="1295" w:type="dxa"/>
            <w:tcBorders>
              <w:top w:val="nil"/>
              <w:left w:val="nil"/>
              <w:bottom w:val="nil"/>
              <w:right w:val="single" w:sz="4" w:space="0" w:color="auto"/>
            </w:tcBorders>
            <w:shd w:val="clear" w:color="auto" w:fill="auto"/>
            <w:noWrap/>
            <w:vAlign w:val="center"/>
          </w:tcPr>
          <w:p w14:paraId="04F99A76"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c>
          <w:tcPr>
            <w:tcW w:w="1281" w:type="dxa"/>
            <w:tcBorders>
              <w:top w:val="nil"/>
              <w:left w:val="nil"/>
              <w:bottom w:val="nil"/>
              <w:right w:val="single" w:sz="4" w:space="0" w:color="auto"/>
            </w:tcBorders>
            <w:shd w:val="clear" w:color="auto" w:fill="auto"/>
            <w:noWrap/>
            <w:vAlign w:val="center"/>
          </w:tcPr>
          <w:p w14:paraId="76A754A4"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r>
      <w:tr w:rsidR="00862C6F" w:rsidRPr="00236418" w14:paraId="39BC7A35"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673C65AE" w14:textId="77777777" w:rsidR="00862C6F" w:rsidRPr="00236418" w:rsidRDefault="00862C6F" w:rsidP="00862C6F">
            <w:pPr>
              <w:tabs>
                <w:tab w:val="clear" w:pos="567"/>
                <w:tab w:val="clear" w:pos="1134"/>
                <w:tab w:val="clear" w:pos="1701"/>
                <w:tab w:val="clear" w:pos="2268"/>
                <w:tab w:val="clear" w:pos="2835"/>
              </w:tabs>
              <w:spacing w:before="60" w:after="60"/>
              <w:rPr>
                <w:sz w:val="20"/>
                <w:u w:val="single"/>
              </w:rPr>
            </w:pPr>
            <w:r w:rsidRPr="00236418">
              <w:rPr>
                <w:sz w:val="20"/>
                <w:u w:val="single"/>
              </w:rPr>
              <w:t>PRODUITS</w:t>
            </w:r>
          </w:p>
        </w:tc>
        <w:tc>
          <w:tcPr>
            <w:tcW w:w="1417" w:type="dxa"/>
            <w:tcBorders>
              <w:top w:val="nil"/>
              <w:left w:val="nil"/>
              <w:bottom w:val="nil"/>
              <w:right w:val="single" w:sz="4" w:space="0" w:color="auto"/>
            </w:tcBorders>
            <w:shd w:val="clear" w:color="auto" w:fill="auto"/>
            <w:noWrap/>
            <w:vAlign w:val="center"/>
          </w:tcPr>
          <w:p w14:paraId="1315A1E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46" w:type="dxa"/>
            <w:tcBorders>
              <w:top w:val="nil"/>
              <w:left w:val="nil"/>
              <w:bottom w:val="nil"/>
              <w:right w:val="single" w:sz="4" w:space="0" w:color="auto"/>
            </w:tcBorders>
            <w:shd w:val="clear" w:color="auto" w:fill="auto"/>
            <w:noWrap/>
            <w:vAlign w:val="center"/>
            <w:hideMark/>
          </w:tcPr>
          <w:p w14:paraId="3FEFC3C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95" w:type="dxa"/>
            <w:tcBorders>
              <w:top w:val="nil"/>
              <w:left w:val="nil"/>
              <w:bottom w:val="nil"/>
              <w:right w:val="single" w:sz="4" w:space="0" w:color="auto"/>
            </w:tcBorders>
            <w:shd w:val="clear" w:color="auto" w:fill="auto"/>
            <w:noWrap/>
            <w:vAlign w:val="center"/>
          </w:tcPr>
          <w:p w14:paraId="6C37568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81" w:type="dxa"/>
            <w:tcBorders>
              <w:top w:val="nil"/>
              <w:left w:val="nil"/>
              <w:bottom w:val="nil"/>
              <w:right w:val="single" w:sz="4" w:space="0" w:color="auto"/>
            </w:tcBorders>
            <w:shd w:val="clear" w:color="auto" w:fill="auto"/>
            <w:noWrap/>
            <w:vAlign w:val="center"/>
            <w:hideMark/>
          </w:tcPr>
          <w:p w14:paraId="21FE743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r>
      <w:tr w:rsidR="00862C6F" w:rsidRPr="00236418" w14:paraId="228EF0A3"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0EA90724"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Intérêts sur placement</w:t>
            </w:r>
          </w:p>
        </w:tc>
        <w:tc>
          <w:tcPr>
            <w:tcW w:w="1417" w:type="dxa"/>
            <w:tcBorders>
              <w:top w:val="nil"/>
              <w:left w:val="nil"/>
              <w:bottom w:val="nil"/>
              <w:right w:val="single" w:sz="4" w:space="0" w:color="auto"/>
            </w:tcBorders>
            <w:shd w:val="clear" w:color="auto" w:fill="auto"/>
            <w:noWrap/>
            <w:vAlign w:val="center"/>
          </w:tcPr>
          <w:p w14:paraId="0583B94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46" w:type="dxa"/>
            <w:tcBorders>
              <w:top w:val="nil"/>
              <w:left w:val="nil"/>
              <w:bottom w:val="nil"/>
              <w:right w:val="single" w:sz="4" w:space="0" w:color="auto"/>
            </w:tcBorders>
            <w:shd w:val="clear" w:color="auto" w:fill="auto"/>
            <w:noWrap/>
            <w:vAlign w:val="center"/>
            <w:hideMark/>
          </w:tcPr>
          <w:p w14:paraId="2967EAC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95" w:type="dxa"/>
            <w:tcBorders>
              <w:top w:val="nil"/>
              <w:left w:val="nil"/>
              <w:bottom w:val="nil"/>
              <w:right w:val="single" w:sz="4" w:space="0" w:color="auto"/>
            </w:tcBorders>
            <w:shd w:val="clear" w:color="auto" w:fill="auto"/>
            <w:noWrap/>
            <w:vAlign w:val="center"/>
          </w:tcPr>
          <w:p w14:paraId="12A5C1A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81" w:type="dxa"/>
            <w:tcBorders>
              <w:top w:val="nil"/>
              <w:left w:val="nil"/>
              <w:bottom w:val="nil"/>
              <w:right w:val="single" w:sz="4" w:space="0" w:color="auto"/>
            </w:tcBorders>
            <w:shd w:val="clear" w:color="auto" w:fill="auto"/>
            <w:noWrap/>
            <w:vAlign w:val="center"/>
          </w:tcPr>
          <w:p w14:paraId="7C03382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62C240C4"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60B27268"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Total des produits</w:t>
            </w:r>
          </w:p>
        </w:tc>
        <w:tc>
          <w:tcPr>
            <w:tcW w:w="1417" w:type="dxa"/>
            <w:tcBorders>
              <w:top w:val="nil"/>
              <w:left w:val="nil"/>
              <w:bottom w:val="nil"/>
              <w:right w:val="single" w:sz="4" w:space="0" w:color="auto"/>
            </w:tcBorders>
            <w:shd w:val="clear" w:color="auto" w:fill="auto"/>
            <w:noWrap/>
            <w:vAlign w:val="center"/>
          </w:tcPr>
          <w:p w14:paraId="38DBEDC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46" w:type="dxa"/>
            <w:tcBorders>
              <w:top w:val="nil"/>
              <w:left w:val="nil"/>
              <w:bottom w:val="nil"/>
              <w:right w:val="single" w:sz="4" w:space="0" w:color="auto"/>
            </w:tcBorders>
            <w:shd w:val="clear" w:color="auto" w:fill="auto"/>
            <w:noWrap/>
            <w:vAlign w:val="center"/>
            <w:hideMark/>
          </w:tcPr>
          <w:p w14:paraId="683DB7A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95" w:type="dxa"/>
            <w:tcBorders>
              <w:top w:val="nil"/>
              <w:left w:val="nil"/>
              <w:bottom w:val="nil"/>
              <w:right w:val="single" w:sz="4" w:space="0" w:color="auto"/>
            </w:tcBorders>
            <w:shd w:val="clear" w:color="auto" w:fill="auto"/>
            <w:noWrap/>
            <w:vAlign w:val="center"/>
          </w:tcPr>
          <w:p w14:paraId="22BB124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81" w:type="dxa"/>
            <w:tcBorders>
              <w:top w:val="nil"/>
              <w:left w:val="nil"/>
              <w:bottom w:val="nil"/>
              <w:right w:val="single" w:sz="4" w:space="0" w:color="auto"/>
            </w:tcBorders>
            <w:shd w:val="clear" w:color="auto" w:fill="auto"/>
            <w:noWrap/>
            <w:vAlign w:val="center"/>
          </w:tcPr>
          <w:p w14:paraId="7DB9FA3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5D048198"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513B7F09"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Déficit sur l'année</w:t>
            </w:r>
          </w:p>
        </w:tc>
        <w:tc>
          <w:tcPr>
            <w:tcW w:w="1417" w:type="dxa"/>
            <w:tcBorders>
              <w:top w:val="nil"/>
              <w:left w:val="nil"/>
              <w:bottom w:val="single" w:sz="4" w:space="0" w:color="auto"/>
              <w:right w:val="single" w:sz="4" w:space="0" w:color="auto"/>
            </w:tcBorders>
            <w:shd w:val="clear" w:color="auto" w:fill="auto"/>
            <w:noWrap/>
            <w:vAlign w:val="center"/>
          </w:tcPr>
          <w:p w14:paraId="7285625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16 864,80</w:t>
            </w:r>
          </w:p>
        </w:tc>
        <w:tc>
          <w:tcPr>
            <w:tcW w:w="1246" w:type="dxa"/>
            <w:tcBorders>
              <w:top w:val="nil"/>
              <w:left w:val="nil"/>
              <w:bottom w:val="single" w:sz="4" w:space="0" w:color="auto"/>
              <w:right w:val="single" w:sz="4" w:space="0" w:color="auto"/>
            </w:tcBorders>
            <w:shd w:val="clear" w:color="auto" w:fill="auto"/>
            <w:noWrap/>
            <w:vAlign w:val="center"/>
            <w:hideMark/>
          </w:tcPr>
          <w:p w14:paraId="0219CCC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19 363,80</w:t>
            </w:r>
          </w:p>
        </w:tc>
        <w:tc>
          <w:tcPr>
            <w:tcW w:w="1295" w:type="dxa"/>
            <w:tcBorders>
              <w:top w:val="nil"/>
              <w:left w:val="nil"/>
              <w:bottom w:val="single" w:sz="4" w:space="0" w:color="auto"/>
              <w:right w:val="single" w:sz="4" w:space="0" w:color="auto"/>
            </w:tcBorders>
            <w:shd w:val="clear" w:color="auto" w:fill="auto"/>
            <w:noWrap/>
            <w:vAlign w:val="center"/>
          </w:tcPr>
          <w:p w14:paraId="32D1411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81" w:type="dxa"/>
            <w:tcBorders>
              <w:top w:val="nil"/>
              <w:left w:val="nil"/>
              <w:bottom w:val="single" w:sz="4" w:space="0" w:color="auto"/>
              <w:right w:val="single" w:sz="4" w:space="0" w:color="auto"/>
            </w:tcBorders>
            <w:shd w:val="clear" w:color="auto" w:fill="auto"/>
            <w:noWrap/>
            <w:vAlign w:val="center"/>
            <w:hideMark/>
          </w:tcPr>
          <w:p w14:paraId="20BBBB1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r>
      <w:tr w:rsidR="00862C6F" w:rsidRPr="00236418" w14:paraId="32A6F148" w14:textId="77777777" w:rsidTr="00620F53">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0EC9F2E" w14:textId="77777777" w:rsidR="00862C6F" w:rsidRPr="00236418" w:rsidRDefault="00862C6F" w:rsidP="00862C6F">
            <w:pPr>
              <w:tabs>
                <w:tab w:val="clear" w:pos="567"/>
                <w:tab w:val="clear" w:pos="1134"/>
                <w:tab w:val="clear" w:pos="1701"/>
                <w:tab w:val="clear" w:pos="2268"/>
                <w:tab w:val="clear" w:pos="2835"/>
              </w:tabs>
              <w:spacing w:before="60" w:after="60"/>
              <w:rPr>
                <w:b/>
                <w:bCs/>
                <w:sz w:val="20"/>
              </w:rPr>
            </w:pPr>
            <w:r w:rsidRPr="00236418">
              <w:rPr>
                <w:b/>
                <w:bCs/>
                <w:sz w:val="20"/>
              </w:rPr>
              <w:t>TOTAL</w:t>
            </w:r>
          </w:p>
        </w:tc>
        <w:tc>
          <w:tcPr>
            <w:tcW w:w="1417" w:type="dxa"/>
            <w:tcBorders>
              <w:top w:val="nil"/>
              <w:left w:val="nil"/>
              <w:bottom w:val="single" w:sz="4" w:space="0" w:color="auto"/>
              <w:right w:val="single" w:sz="4" w:space="0" w:color="auto"/>
            </w:tcBorders>
            <w:shd w:val="clear" w:color="auto" w:fill="auto"/>
            <w:noWrap/>
            <w:vAlign w:val="center"/>
          </w:tcPr>
          <w:p w14:paraId="60A35DF5"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16 864,80</w:t>
            </w:r>
          </w:p>
        </w:tc>
        <w:tc>
          <w:tcPr>
            <w:tcW w:w="1246" w:type="dxa"/>
            <w:tcBorders>
              <w:top w:val="nil"/>
              <w:left w:val="nil"/>
              <w:bottom w:val="single" w:sz="4" w:space="0" w:color="auto"/>
              <w:right w:val="single" w:sz="4" w:space="0" w:color="auto"/>
            </w:tcBorders>
            <w:shd w:val="clear" w:color="auto" w:fill="auto"/>
            <w:noWrap/>
            <w:vAlign w:val="center"/>
            <w:hideMark/>
          </w:tcPr>
          <w:p w14:paraId="76586D52"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19 363,80</w:t>
            </w:r>
          </w:p>
        </w:tc>
        <w:tc>
          <w:tcPr>
            <w:tcW w:w="1295" w:type="dxa"/>
            <w:tcBorders>
              <w:top w:val="nil"/>
              <w:left w:val="nil"/>
              <w:bottom w:val="single" w:sz="4" w:space="0" w:color="auto"/>
              <w:right w:val="single" w:sz="4" w:space="0" w:color="auto"/>
            </w:tcBorders>
            <w:shd w:val="clear" w:color="auto" w:fill="auto"/>
            <w:noWrap/>
            <w:vAlign w:val="center"/>
          </w:tcPr>
          <w:p w14:paraId="3966E384"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w:t>
            </w:r>
          </w:p>
        </w:tc>
        <w:tc>
          <w:tcPr>
            <w:tcW w:w="1281" w:type="dxa"/>
            <w:tcBorders>
              <w:top w:val="nil"/>
              <w:left w:val="nil"/>
              <w:bottom w:val="single" w:sz="4" w:space="0" w:color="auto"/>
              <w:right w:val="single" w:sz="4" w:space="0" w:color="auto"/>
            </w:tcBorders>
            <w:shd w:val="clear" w:color="auto" w:fill="auto"/>
            <w:noWrap/>
            <w:vAlign w:val="center"/>
            <w:hideMark/>
          </w:tcPr>
          <w:p w14:paraId="3B331B31"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w:t>
            </w:r>
          </w:p>
        </w:tc>
      </w:tr>
    </w:tbl>
    <w:p w14:paraId="49831FC3" w14:textId="77777777" w:rsidR="00862C6F" w:rsidRPr="00236418" w:rsidRDefault="00862C6F" w:rsidP="00862C6F">
      <w:pPr>
        <w:spacing w:before="0"/>
        <w:rPr>
          <w:sz w:val="16"/>
          <w:szCs w:val="16"/>
        </w:rPr>
      </w:pPr>
    </w:p>
    <w:tbl>
      <w:tblPr>
        <w:tblW w:w="9639" w:type="dxa"/>
        <w:tblInd w:w="-5" w:type="dxa"/>
        <w:tblLook w:val="04A0" w:firstRow="1" w:lastRow="0" w:firstColumn="1" w:lastColumn="0" w:noHBand="0" w:noVBand="1"/>
        <w:tblCaption w:val="E"/>
      </w:tblPr>
      <w:tblGrid>
        <w:gridCol w:w="4395"/>
        <w:gridCol w:w="1417"/>
        <w:gridCol w:w="1276"/>
        <w:gridCol w:w="1276"/>
        <w:gridCol w:w="1275"/>
      </w:tblGrid>
      <w:tr w:rsidR="00862C6F" w:rsidRPr="00236418" w14:paraId="5F00253C" w14:textId="77777777" w:rsidTr="00620F53">
        <w:trPr>
          <w:trHeight w:val="367"/>
        </w:trPr>
        <w:tc>
          <w:tcPr>
            <w:tcW w:w="9639" w:type="dxa"/>
            <w:gridSpan w:val="5"/>
            <w:tcBorders>
              <w:top w:val="single" w:sz="4" w:space="0" w:color="auto"/>
              <w:left w:val="single" w:sz="4" w:space="0" w:color="auto"/>
              <w:bottom w:val="nil"/>
              <w:right w:val="single" w:sz="4" w:space="0" w:color="000000"/>
            </w:tcBorders>
            <w:shd w:val="clear" w:color="auto" w:fill="auto"/>
            <w:noWrap/>
            <w:vAlign w:val="center"/>
          </w:tcPr>
          <w:p w14:paraId="4666560E" w14:textId="77777777" w:rsidR="00862C6F" w:rsidRPr="00236418" w:rsidRDefault="00862C6F" w:rsidP="00862C6F">
            <w:pPr>
              <w:tabs>
                <w:tab w:val="clear" w:pos="567"/>
                <w:tab w:val="clear" w:pos="1134"/>
                <w:tab w:val="clear" w:pos="1701"/>
                <w:tab w:val="clear" w:pos="2268"/>
                <w:tab w:val="clear" w:pos="2835"/>
              </w:tabs>
              <w:spacing w:before="40"/>
              <w:jc w:val="center"/>
              <w:rPr>
                <w:b/>
                <w:sz w:val="20"/>
              </w:rPr>
            </w:pPr>
            <w:r w:rsidRPr="00236418">
              <w:rPr>
                <w:rFonts w:cs="Calibri"/>
                <w:b/>
                <w:bCs/>
                <w:sz w:val="20"/>
              </w:rPr>
              <w:t>État de la situation financière au 31 décembre 2019 et comparatif avec les chiffres au 31 décembre 2018</w:t>
            </w:r>
          </w:p>
        </w:tc>
      </w:tr>
      <w:tr w:rsidR="00862C6F" w:rsidRPr="00236418" w14:paraId="05485DA1" w14:textId="77777777" w:rsidTr="00620F53">
        <w:trPr>
          <w:trHeight w:val="615"/>
        </w:trPr>
        <w:tc>
          <w:tcPr>
            <w:tcW w:w="4395" w:type="dxa"/>
            <w:tcBorders>
              <w:top w:val="single" w:sz="4" w:space="0" w:color="auto"/>
              <w:left w:val="single" w:sz="4" w:space="0" w:color="auto"/>
              <w:bottom w:val="nil"/>
              <w:right w:val="single" w:sz="4" w:space="0" w:color="auto"/>
            </w:tcBorders>
            <w:shd w:val="clear" w:color="auto" w:fill="auto"/>
            <w:noWrap/>
            <w:vAlign w:val="center"/>
            <w:hideMark/>
          </w:tcPr>
          <w:p w14:paraId="23A159F2" w14:textId="77777777" w:rsidR="00862C6F" w:rsidRPr="00236418" w:rsidRDefault="00862C6F" w:rsidP="00862C6F">
            <w:pPr>
              <w:rPr>
                <w:rFonts w:cs="Calibri"/>
                <w:sz w:val="20"/>
              </w:rPr>
            </w:pPr>
            <w:r w:rsidRPr="00236418">
              <w:rPr>
                <w:rFonts w:cs="Calibri"/>
                <w:sz w:val="20"/>
              </w:rPr>
              <w:t> </w:t>
            </w:r>
          </w:p>
        </w:tc>
        <w:tc>
          <w:tcPr>
            <w:tcW w:w="2693" w:type="dxa"/>
            <w:gridSpan w:val="2"/>
            <w:tcBorders>
              <w:top w:val="single" w:sz="4" w:space="0" w:color="auto"/>
              <w:left w:val="nil"/>
              <w:bottom w:val="nil"/>
              <w:right w:val="single" w:sz="4" w:space="0" w:color="000000"/>
            </w:tcBorders>
            <w:shd w:val="clear" w:color="auto" w:fill="auto"/>
            <w:vAlign w:val="bottom"/>
            <w:hideMark/>
          </w:tcPr>
          <w:p w14:paraId="00046904" w14:textId="77777777" w:rsidR="00862C6F" w:rsidRPr="00236418" w:rsidRDefault="00862C6F" w:rsidP="00862C6F">
            <w:pPr>
              <w:tabs>
                <w:tab w:val="clear" w:pos="567"/>
                <w:tab w:val="clear" w:pos="1134"/>
                <w:tab w:val="clear" w:pos="1701"/>
                <w:tab w:val="clear" w:pos="2268"/>
                <w:tab w:val="clear" w:pos="2835"/>
              </w:tabs>
              <w:spacing w:before="40"/>
              <w:jc w:val="center"/>
              <w:rPr>
                <w:b/>
                <w:sz w:val="20"/>
              </w:rPr>
            </w:pPr>
            <w:r w:rsidRPr="00236418">
              <w:rPr>
                <w:b/>
                <w:sz w:val="20"/>
              </w:rPr>
              <w:t xml:space="preserve">Fonds de réserve </w:t>
            </w:r>
            <w:r w:rsidRPr="00236418">
              <w:rPr>
                <w:b/>
                <w:sz w:val="20"/>
              </w:rPr>
              <w:br/>
              <w:t xml:space="preserve">et des compléments </w:t>
            </w:r>
          </w:p>
        </w:tc>
        <w:tc>
          <w:tcPr>
            <w:tcW w:w="2551"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43D7899" w14:textId="77777777" w:rsidR="00862C6F" w:rsidRPr="00236418" w:rsidRDefault="00862C6F" w:rsidP="00862C6F">
            <w:pPr>
              <w:tabs>
                <w:tab w:val="clear" w:pos="567"/>
                <w:tab w:val="clear" w:pos="1134"/>
                <w:tab w:val="clear" w:pos="1701"/>
                <w:tab w:val="clear" w:pos="2268"/>
                <w:tab w:val="clear" w:pos="2835"/>
              </w:tabs>
              <w:spacing w:before="40"/>
              <w:jc w:val="center"/>
              <w:rPr>
                <w:b/>
                <w:sz w:val="20"/>
              </w:rPr>
            </w:pPr>
            <w:r w:rsidRPr="00236418">
              <w:rPr>
                <w:b/>
                <w:sz w:val="20"/>
              </w:rPr>
              <w:t>Fonds d'intervention</w:t>
            </w:r>
          </w:p>
        </w:tc>
      </w:tr>
      <w:tr w:rsidR="00862C6F" w:rsidRPr="00236418" w14:paraId="15606E87"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443C94DF" w14:textId="77777777" w:rsidR="00862C6F" w:rsidRPr="00236418" w:rsidRDefault="00862C6F" w:rsidP="00862C6F">
            <w:pPr>
              <w:rPr>
                <w:rFonts w:cs="Calibri"/>
                <w:sz w:val="20"/>
              </w:rPr>
            </w:pPr>
            <w:r w:rsidRPr="00236418">
              <w:rPr>
                <w:rFonts w:cs="Calibri"/>
                <w:sz w:val="20"/>
              </w:rPr>
              <w:t> </w:t>
            </w:r>
          </w:p>
        </w:tc>
        <w:tc>
          <w:tcPr>
            <w:tcW w:w="2693" w:type="dxa"/>
            <w:gridSpan w:val="2"/>
            <w:tcBorders>
              <w:top w:val="nil"/>
              <w:left w:val="nil"/>
              <w:bottom w:val="single" w:sz="4" w:space="0" w:color="auto"/>
              <w:right w:val="nil"/>
            </w:tcBorders>
            <w:shd w:val="clear" w:color="auto" w:fill="auto"/>
            <w:noWrap/>
            <w:vAlign w:val="center"/>
            <w:hideMark/>
          </w:tcPr>
          <w:p w14:paraId="63280F5E" w14:textId="77777777" w:rsidR="00862C6F" w:rsidRPr="00236418" w:rsidRDefault="00862C6F" w:rsidP="00862C6F">
            <w:pPr>
              <w:jc w:val="center"/>
              <w:rPr>
                <w:rFonts w:cs="Calibri"/>
                <w:sz w:val="20"/>
              </w:rPr>
            </w:pPr>
            <w:r w:rsidRPr="00236418">
              <w:rPr>
                <w:rFonts w:cs="Calibri"/>
                <w:sz w:val="20"/>
              </w:rPr>
              <w:t>CHF</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12E2799E" w14:textId="77777777" w:rsidR="00862C6F" w:rsidRPr="00236418" w:rsidRDefault="00862C6F" w:rsidP="00862C6F">
            <w:pPr>
              <w:jc w:val="center"/>
              <w:rPr>
                <w:rFonts w:cs="Calibri"/>
                <w:sz w:val="20"/>
              </w:rPr>
            </w:pPr>
            <w:r w:rsidRPr="00236418">
              <w:rPr>
                <w:rFonts w:cs="Calibri"/>
                <w:sz w:val="20"/>
              </w:rPr>
              <w:t>CHF</w:t>
            </w:r>
          </w:p>
        </w:tc>
      </w:tr>
      <w:tr w:rsidR="00862C6F" w:rsidRPr="00236418" w14:paraId="530C5DF0"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2F7CF980"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 </w:t>
            </w:r>
          </w:p>
        </w:tc>
        <w:tc>
          <w:tcPr>
            <w:tcW w:w="1417" w:type="dxa"/>
            <w:tcBorders>
              <w:top w:val="nil"/>
              <w:left w:val="nil"/>
              <w:bottom w:val="nil"/>
              <w:right w:val="single" w:sz="4" w:space="0" w:color="auto"/>
            </w:tcBorders>
            <w:shd w:val="clear" w:color="auto" w:fill="auto"/>
            <w:noWrap/>
            <w:vAlign w:val="center"/>
            <w:hideMark/>
          </w:tcPr>
          <w:p w14:paraId="687C6FC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2019</w:t>
            </w:r>
          </w:p>
        </w:tc>
        <w:tc>
          <w:tcPr>
            <w:tcW w:w="1276" w:type="dxa"/>
            <w:tcBorders>
              <w:top w:val="nil"/>
              <w:left w:val="nil"/>
              <w:bottom w:val="nil"/>
              <w:right w:val="single" w:sz="4" w:space="0" w:color="auto"/>
            </w:tcBorders>
            <w:shd w:val="clear" w:color="auto" w:fill="auto"/>
            <w:noWrap/>
            <w:vAlign w:val="center"/>
            <w:hideMark/>
          </w:tcPr>
          <w:p w14:paraId="08D8FBB0"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2018</w:t>
            </w:r>
          </w:p>
        </w:tc>
        <w:tc>
          <w:tcPr>
            <w:tcW w:w="1276" w:type="dxa"/>
            <w:tcBorders>
              <w:top w:val="nil"/>
              <w:left w:val="nil"/>
              <w:bottom w:val="nil"/>
              <w:right w:val="single" w:sz="4" w:space="0" w:color="auto"/>
            </w:tcBorders>
            <w:shd w:val="clear" w:color="auto" w:fill="auto"/>
            <w:noWrap/>
            <w:vAlign w:val="center"/>
            <w:hideMark/>
          </w:tcPr>
          <w:p w14:paraId="073C52F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2019</w:t>
            </w:r>
          </w:p>
        </w:tc>
        <w:tc>
          <w:tcPr>
            <w:tcW w:w="1275" w:type="dxa"/>
            <w:tcBorders>
              <w:top w:val="nil"/>
              <w:left w:val="nil"/>
              <w:bottom w:val="nil"/>
              <w:right w:val="single" w:sz="4" w:space="0" w:color="auto"/>
            </w:tcBorders>
            <w:shd w:val="clear" w:color="auto" w:fill="auto"/>
            <w:noWrap/>
            <w:vAlign w:val="center"/>
            <w:hideMark/>
          </w:tcPr>
          <w:p w14:paraId="3047F19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0"/>
              </w:rPr>
            </w:pPr>
            <w:r w:rsidRPr="00236418">
              <w:rPr>
                <w:sz w:val="20"/>
              </w:rPr>
              <w:t>2018</w:t>
            </w:r>
          </w:p>
        </w:tc>
      </w:tr>
      <w:tr w:rsidR="00862C6F" w:rsidRPr="00236418" w14:paraId="364CC44D"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1C7C947C" w14:textId="77777777" w:rsidR="00862C6F" w:rsidRPr="00236418" w:rsidRDefault="00862C6F" w:rsidP="00862C6F">
            <w:pPr>
              <w:tabs>
                <w:tab w:val="clear" w:pos="567"/>
                <w:tab w:val="clear" w:pos="1134"/>
                <w:tab w:val="clear" w:pos="1701"/>
                <w:tab w:val="clear" w:pos="2268"/>
                <w:tab w:val="clear" w:pos="2835"/>
              </w:tabs>
              <w:spacing w:before="60" w:after="60"/>
              <w:rPr>
                <w:sz w:val="20"/>
                <w:u w:val="single"/>
              </w:rPr>
            </w:pPr>
            <w:r w:rsidRPr="00236418">
              <w:rPr>
                <w:sz w:val="20"/>
                <w:u w:val="single"/>
              </w:rPr>
              <w:t>ACTIF</w:t>
            </w:r>
          </w:p>
        </w:tc>
        <w:tc>
          <w:tcPr>
            <w:tcW w:w="1417" w:type="dxa"/>
            <w:tcBorders>
              <w:top w:val="nil"/>
              <w:left w:val="nil"/>
              <w:bottom w:val="nil"/>
              <w:right w:val="single" w:sz="4" w:space="0" w:color="auto"/>
            </w:tcBorders>
            <w:shd w:val="clear" w:color="auto" w:fill="auto"/>
            <w:noWrap/>
            <w:vAlign w:val="center"/>
            <w:hideMark/>
          </w:tcPr>
          <w:p w14:paraId="725919C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hideMark/>
          </w:tcPr>
          <w:p w14:paraId="5F3F0B7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hideMark/>
          </w:tcPr>
          <w:p w14:paraId="10A786C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5" w:type="dxa"/>
            <w:tcBorders>
              <w:top w:val="nil"/>
              <w:left w:val="nil"/>
              <w:bottom w:val="nil"/>
              <w:right w:val="single" w:sz="4" w:space="0" w:color="auto"/>
            </w:tcBorders>
            <w:shd w:val="clear" w:color="auto" w:fill="auto"/>
            <w:noWrap/>
            <w:vAlign w:val="center"/>
            <w:hideMark/>
          </w:tcPr>
          <w:p w14:paraId="05EB7DF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r>
      <w:tr w:rsidR="00862C6F" w:rsidRPr="00236418" w14:paraId="367A0FAF"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3A1387B4"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Trésorerie et équivalents de trésorerie</w:t>
            </w:r>
          </w:p>
        </w:tc>
        <w:tc>
          <w:tcPr>
            <w:tcW w:w="1417" w:type="dxa"/>
            <w:tcBorders>
              <w:top w:val="nil"/>
              <w:left w:val="nil"/>
              <w:bottom w:val="nil"/>
              <w:right w:val="single" w:sz="4" w:space="0" w:color="auto"/>
            </w:tcBorders>
            <w:shd w:val="clear" w:color="auto" w:fill="auto"/>
            <w:noWrap/>
            <w:vAlign w:val="center"/>
          </w:tcPr>
          <w:p w14:paraId="1A49D40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6 236 867,40</w:t>
            </w:r>
          </w:p>
        </w:tc>
        <w:tc>
          <w:tcPr>
            <w:tcW w:w="1276" w:type="dxa"/>
            <w:tcBorders>
              <w:top w:val="nil"/>
              <w:left w:val="nil"/>
              <w:bottom w:val="nil"/>
              <w:right w:val="single" w:sz="4" w:space="0" w:color="auto"/>
            </w:tcBorders>
            <w:shd w:val="clear" w:color="auto" w:fill="auto"/>
            <w:noWrap/>
            <w:vAlign w:val="center"/>
            <w:hideMark/>
          </w:tcPr>
          <w:p w14:paraId="1D5860B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6 236 867,40</w:t>
            </w:r>
          </w:p>
        </w:tc>
        <w:tc>
          <w:tcPr>
            <w:tcW w:w="1276" w:type="dxa"/>
            <w:tcBorders>
              <w:top w:val="nil"/>
              <w:left w:val="nil"/>
              <w:bottom w:val="nil"/>
              <w:right w:val="single" w:sz="4" w:space="0" w:color="auto"/>
            </w:tcBorders>
            <w:shd w:val="clear" w:color="auto" w:fill="auto"/>
            <w:noWrap/>
            <w:vAlign w:val="center"/>
          </w:tcPr>
          <w:p w14:paraId="6282571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277 580,84</w:t>
            </w:r>
          </w:p>
        </w:tc>
        <w:tc>
          <w:tcPr>
            <w:tcW w:w="1275" w:type="dxa"/>
            <w:tcBorders>
              <w:top w:val="nil"/>
              <w:left w:val="nil"/>
              <w:bottom w:val="nil"/>
              <w:right w:val="single" w:sz="4" w:space="0" w:color="auto"/>
            </w:tcBorders>
            <w:shd w:val="clear" w:color="auto" w:fill="auto"/>
            <w:noWrap/>
            <w:vAlign w:val="center"/>
            <w:hideMark/>
          </w:tcPr>
          <w:p w14:paraId="3D530F2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277 580,84</w:t>
            </w:r>
          </w:p>
        </w:tc>
      </w:tr>
      <w:tr w:rsidR="00862C6F" w:rsidRPr="00236418" w14:paraId="0FA50913" w14:textId="77777777" w:rsidTr="00620F53">
        <w:trPr>
          <w:trHeight w:val="300"/>
        </w:trPr>
        <w:tc>
          <w:tcPr>
            <w:tcW w:w="4395" w:type="dxa"/>
            <w:tcBorders>
              <w:top w:val="nil"/>
              <w:left w:val="single" w:sz="4" w:space="0" w:color="auto"/>
              <w:bottom w:val="nil"/>
              <w:right w:val="single" w:sz="4" w:space="0" w:color="auto"/>
            </w:tcBorders>
            <w:shd w:val="clear" w:color="auto" w:fill="auto"/>
            <w:noWrap/>
          </w:tcPr>
          <w:p w14:paraId="03B87A5B"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Fonds à recevoir</w:t>
            </w:r>
          </w:p>
        </w:tc>
        <w:tc>
          <w:tcPr>
            <w:tcW w:w="1417" w:type="dxa"/>
            <w:tcBorders>
              <w:top w:val="nil"/>
              <w:left w:val="nil"/>
              <w:bottom w:val="nil"/>
              <w:right w:val="single" w:sz="4" w:space="0" w:color="auto"/>
            </w:tcBorders>
            <w:shd w:val="clear" w:color="auto" w:fill="auto"/>
            <w:noWrap/>
            <w:vAlign w:val="center"/>
          </w:tcPr>
          <w:p w14:paraId="573A970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−16 864,80</w:t>
            </w:r>
          </w:p>
        </w:tc>
        <w:tc>
          <w:tcPr>
            <w:tcW w:w="1276" w:type="dxa"/>
            <w:tcBorders>
              <w:top w:val="nil"/>
              <w:left w:val="nil"/>
              <w:bottom w:val="nil"/>
              <w:right w:val="single" w:sz="4" w:space="0" w:color="auto"/>
            </w:tcBorders>
            <w:shd w:val="clear" w:color="auto" w:fill="auto"/>
            <w:noWrap/>
            <w:vAlign w:val="center"/>
          </w:tcPr>
          <w:p w14:paraId="7DBFBFB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6" w:type="dxa"/>
            <w:tcBorders>
              <w:top w:val="nil"/>
              <w:left w:val="nil"/>
              <w:bottom w:val="nil"/>
              <w:right w:val="single" w:sz="4" w:space="0" w:color="auto"/>
            </w:tcBorders>
            <w:shd w:val="clear" w:color="auto" w:fill="auto"/>
            <w:noWrap/>
            <w:vAlign w:val="center"/>
          </w:tcPr>
          <w:p w14:paraId="402A3B0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5" w:type="dxa"/>
            <w:tcBorders>
              <w:top w:val="nil"/>
              <w:left w:val="nil"/>
              <w:bottom w:val="nil"/>
              <w:right w:val="single" w:sz="4" w:space="0" w:color="auto"/>
            </w:tcBorders>
            <w:shd w:val="clear" w:color="auto" w:fill="auto"/>
            <w:noWrap/>
            <w:vAlign w:val="center"/>
          </w:tcPr>
          <w:p w14:paraId="2F273EE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4824C797"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4959D99F"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 xml:space="preserve">Débiteurs </w:t>
            </w:r>
          </w:p>
        </w:tc>
        <w:tc>
          <w:tcPr>
            <w:tcW w:w="1417" w:type="dxa"/>
            <w:tcBorders>
              <w:top w:val="nil"/>
              <w:left w:val="nil"/>
              <w:bottom w:val="nil"/>
              <w:right w:val="single" w:sz="4" w:space="0" w:color="auto"/>
            </w:tcBorders>
            <w:shd w:val="clear" w:color="auto" w:fill="auto"/>
            <w:noWrap/>
            <w:vAlign w:val="center"/>
          </w:tcPr>
          <w:p w14:paraId="16FE79B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6" w:type="dxa"/>
            <w:tcBorders>
              <w:top w:val="nil"/>
              <w:left w:val="nil"/>
              <w:bottom w:val="nil"/>
              <w:right w:val="single" w:sz="4" w:space="0" w:color="auto"/>
            </w:tcBorders>
            <w:shd w:val="clear" w:color="auto" w:fill="auto"/>
            <w:noWrap/>
            <w:vAlign w:val="center"/>
            <w:hideMark/>
          </w:tcPr>
          <w:p w14:paraId="3B8F0F0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6" w:type="dxa"/>
            <w:tcBorders>
              <w:top w:val="nil"/>
              <w:left w:val="nil"/>
              <w:bottom w:val="nil"/>
              <w:right w:val="single" w:sz="4" w:space="0" w:color="auto"/>
            </w:tcBorders>
            <w:shd w:val="clear" w:color="auto" w:fill="auto"/>
            <w:noWrap/>
            <w:vAlign w:val="center"/>
          </w:tcPr>
          <w:p w14:paraId="7A3F90C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5" w:type="dxa"/>
            <w:tcBorders>
              <w:top w:val="nil"/>
              <w:left w:val="nil"/>
              <w:bottom w:val="nil"/>
              <w:right w:val="single" w:sz="4" w:space="0" w:color="auto"/>
            </w:tcBorders>
            <w:shd w:val="clear" w:color="auto" w:fill="auto"/>
            <w:noWrap/>
            <w:vAlign w:val="center"/>
            <w:hideMark/>
          </w:tcPr>
          <w:p w14:paraId="73A2D07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7B521738"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4609BBA7"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Actifs transitoires</w:t>
            </w:r>
          </w:p>
        </w:tc>
        <w:tc>
          <w:tcPr>
            <w:tcW w:w="1417" w:type="dxa"/>
            <w:tcBorders>
              <w:top w:val="nil"/>
              <w:left w:val="nil"/>
              <w:bottom w:val="nil"/>
              <w:right w:val="single" w:sz="4" w:space="0" w:color="auto"/>
            </w:tcBorders>
            <w:shd w:val="clear" w:color="auto" w:fill="auto"/>
            <w:noWrap/>
            <w:vAlign w:val="center"/>
          </w:tcPr>
          <w:p w14:paraId="7E70E0A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6" w:type="dxa"/>
            <w:tcBorders>
              <w:top w:val="nil"/>
              <w:left w:val="nil"/>
              <w:bottom w:val="nil"/>
              <w:right w:val="single" w:sz="4" w:space="0" w:color="auto"/>
            </w:tcBorders>
            <w:shd w:val="clear" w:color="auto" w:fill="auto"/>
            <w:noWrap/>
            <w:vAlign w:val="center"/>
            <w:hideMark/>
          </w:tcPr>
          <w:p w14:paraId="4B67C24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6" w:type="dxa"/>
            <w:tcBorders>
              <w:top w:val="nil"/>
              <w:left w:val="nil"/>
              <w:bottom w:val="nil"/>
              <w:right w:val="single" w:sz="4" w:space="0" w:color="auto"/>
            </w:tcBorders>
            <w:shd w:val="clear" w:color="auto" w:fill="auto"/>
            <w:noWrap/>
            <w:vAlign w:val="center"/>
          </w:tcPr>
          <w:p w14:paraId="66952CF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5" w:type="dxa"/>
            <w:tcBorders>
              <w:top w:val="nil"/>
              <w:left w:val="nil"/>
              <w:bottom w:val="nil"/>
              <w:right w:val="single" w:sz="4" w:space="0" w:color="auto"/>
            </w:tcBorders>
            <w:shd w:val="clear" w:color="auto" w:fill="auto"/>
            <w:noWrap/>
            <w:vAlign w:val="center"/>
            <w:hideMark/>
          </w:tcPr>
          <w:p w14:paraId="03EB777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1A5C515D"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1751B223" w14:textId="77777777" w:rsidR="00862C6F" w:rsidRPr="00236418" w:rsidRDefault="00862C6F" w:rsidP="00862C6F">
            <w:pPr>
              <w:tabs>
                <w:tab w:val="clear" w:pos="567"/>
                <w:tab w:val="clear" w:pos="1134"/>
                <w:tab w:val="clear" w:pos="1701"/>
                <w:tab w:val="clear" w:pos="2268"/>
                <w:tab w:val="clear" w:pos="2835"/>
              </w:tabs>
              <w:spacing w:before="60" w:after="60"/>
              <w:rPr>
                <w:b/>
                <w:bCs/>
                <w:sz w:val="20"/>
              </w:rPr>
            </w:pPr>
            <w:r w:rsidRPr="00236418">
              <w:rPr>
                <w:b/>
                <w:bCs/>
                <w:sz w:val="20"/>
              </w:rPr>
              <w:t>TOTAL</w:t>
            </w:r>
          </w:p>
        </w:tc>
        <w:tc>
          <w:tcPr>
            <w:tcW w:w="1417" w:type="dxa"/>
            <w:tcBorders>
              <w:top w:val="nil"/>
              <w:left w:val="nil"/>
              <w:bottom w:val="nil"/>
              <w:right w:val="single" w:sz="4" w:space="0" w:color="auto"/>
            </w:tcBorders>
            <w:shd w:val="clear" w:color="auto" w:fill="auto"/>
            <w:noWrap/>
            <w:vAlign w:val="center"/>
          </w:tcPr>
          <w:p w14:paraId="342BA6AE"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6 220 002,60</w:t>
            </w:r>
          </w:p>
        </w:tc>
        <w:tc>
          <w:tcPr>
            <w:tcW w:w="1276" w:type="dxa"/>
            <w:tcBorders>
              <w:top w:val="nil"/>
              <w:left w:val="nil"/>
              <w:bottom w:val="nil"/>
              <w:right w:val="single" w:sz="4" w:space="0" w:color="auto"/>
            </w:tcBorders>
            <w:shd w:val="clear" w:color="auto" w:fill="auto"/>
            <w:noWrap/>
            <w:vAlign w:val="center"/>
            <w:hideMark/>
          </w:tcPr>
          <w:p w14:paraId="09A6435F"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6 236 867,40</w:t>
            </w:r>
          </w:p>
        </w:tc>
        <w:tc>
          <w:tcPr>
            <w:tcW w:w="1276" w:type="dxa"/>
            <w:tcBorders>
              <w:top w:val="nil"/>
              <w:left w:val="nil"/>
              <w:bottom w:val="nil"/>
              <w:right w:val="single" w:sz="4" w:space="0" w:color="auto"/>
            </w:tcBorders>
            <w:shd w:val="clear" w:color="auto" w:fill="auto"/>
            <w:noWrap/>
            <w:vAlign w:val="center"/>
          </w:tcPr>
          <w:p w14:paraId="4A73450A"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277 580,84</w:t>
            </w:r>
          </w:p>
        </w:tc>
        <w:tc>
          <w:tcPr>
            <w:tcW w:w="1275" w:type="dxa"/>
            <w:tcBorders>
              <w:top w:val="nil"/>
              <w:left w:val="nil"/>
              <w:bottom w:val="nil"/>
              <w:right w:val="single" w:sz="4" w:space="0" w:color="auto"/>
            </w:tcBorders>
            <w:shd w:val="clear" w:color="auto" w:fill="auto"/>
            <w:noWrap/>
            <w:vAlign w:val="center"/>
            <w:hideMark/>
          </w:tcPr>
          <w:p w14:paraId="432C6CF2"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277 580,84</w:t>
            </w:r>
          </w:p>
        </w:tc>
      </w:tr>
      <w:tr w:rsidR="00862C6F" w:rsidRPr="00236418" w14:paraId="5BF58ACB"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62AA2145"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 </w:t>
            </w:r>
          </w:p>
        </w:tc>
        <w:tc>
          <w:tcPr>
            <w:tcW w:w="1417" w:type="dxa"/>
            <w:tcBorders>
              <w:top w:val="nil"/>
              <w:left w:val="nil"/>
              <w:bottom w:val="nil"/>
              <w:right w:val="single" w:sz="4" w:space="0" w:color="auto"/>
            </w:tcBorders>
            <w:shd w:val="clear" w:color="auto" w:fill="auto"/>
            <w:noWrap/>
            <w:vAlign w:val="center"/>
          </w:tcPr>
          <w:p w14:paraId="33CB2EA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hideMark/>
          </w:tcPr>
          <w:p w14:paraId="14C9ADA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tcPr>
          <w:p w14:paraId="181802F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5" w:type="dxa"/>
            <w:tcBorders>
              <w:top w:val="nil"/>
              <w:left w:val="nil"/>
              <w:bottom w:val="nil"/>
              <w:right w:val="single" w:sz="4" w:space="0" w:color="auto"/>
            </w:tcBorders>
            <w:shd w:val="clear" w:color="auto" w:fill="auto"/>
            <w:noWrap/>
            <w:vAlign w:val="center"/>
            <w:hideMark/>
          </w:tcPr>
          <w:p w14:paraId="6C35832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r>
      <w:tr w:rsidR="00862C6F" w:rsidRPr="00236418" w14:paraId="61B41409"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75DA71EC" w14:textId="77777777" w:rsidR="00862C6F" w:rsidRPr="00236418" w:rsidRDefault="00862C6F" w:rsidP="00862C6F">
            <w:pPr>
              <w:tabs>
                <w:tab w:val="clear" w:pos="567"/>
                <w:tab w:val="clear" w:pos="1134"/>
                <w:tab w:val="clear" w:pos="1701"/>
                <w:tab w:val="clear" w:pos="2268"/>
                <w:tab w:val="clear" w:pos="2835"/>
              </w:tabs>
              <w:spacing w:before="60" w:after="60"/>
              <w:rPr>
                <w:sz w:val="20"/>
                <w:u w:val="single"/>
              </w:rPr>
            </w:pPr>
            <w:r w:rsidRPr="00236418">
              <w:rPr>
                <w:sz w:val="20"/>
                <w:u w:val="single"/>
              </w:rPr>
              <w:t>PASSIF</w:t>
            </w:r>
          </w:p>
        </w:tc>
        <w:tc>
          <w:tcPr>
            <w:tcW w:w="1417" w:type="dxa"/>
            <w:tcBorders>
              <w:top w:val="nil"/>
              <w:left w:val="nil"/>
              <w:bottom w:val="nil"/>
              <w:right w:val="single" w:sz="4" w:space="0" w:color="auto"/>
            </w:tcBorders>
            <w:shd w:val="clear" w:color="auto" w:fill="auto"/>
            <w:noWrap/>
            <w:vAlign w:val="center"/>
          </w:tcPr>
          <w:p w14:paraId="5851655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hideMark/>
          </w:tcPr>
          <w:p w14:paraId="45A8B48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6" w:type="dxa"/>
            <w:tcBorders>
              <w:top w:val="nil"/>
              <w:left w:val="nil"/>
              <w:bottom w:val="nil"/>
              <w:right w:val="single" w:sz="4" w:space="0" w:color="auto"/>
            </w:tcBorders>
            <w:shd w:val="clear" w:color="auto" w:fill="auto"/>
            <w:noWrap/>
            <w:vAlign w:val="center"/>
          </w:tcPr>
          <w:p w14:paraId="7423AD8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c>
          <w:tcPr>
            <w:tcW w:w="1275" w:type="dxa"/>
            <w:tcBorders>
              <w:top w:val="nil"/>
              <w:left w:val="nil"/>
              <w:bottom w:val="nil"/>
              <w:right w:val="single" w:sz="4" w:space="0" w:color="auto"/>
            </w:tcBorders>
            <w:shd w:val="clear" w:color="auto" w:fill="auto"/>
            <w:noWrap/>
            <w:vAlign w:val="center"/>
            <w:hideMark/>
          </w:tcPr>
          <w:p w14:paraId="17C4531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p>
        </w:tc>
      </w:tr>
      <w:tr w:rsidR="00862C6F" w:rsidRPr="00236418" w14:paraId="6C13A3F7"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54717B14"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Avantages du personnel</w:t>
            </w:r>
          </w:p>
        </w:tc>
        <w:tc>
          <w:tcPr>
            <w:tcW w:w="1417" w:type="dxa"/>
            <w:tcBorders>
              <w:top w:val="nil"/>
              <w:left w:val="nil"/>
              <w:bottom w:val="nil"/>
              <w:right w:val="single" w:sz="4" w:space="0" w:color="auto"/>
            </w:tcBorders>
            <w:shd w:val="clear" w:color="auto" w:fill="auto"/>
            <w:noWrap/>
            <w:vAlign w:val="center"/>
          </w:tcPr>
          <w:p w14:paraId="208B97F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54 000,00</w:t>
            </w:r>
          </w:p>
        </w:tc>
        <w:tc>
          <w:tcPr>
            <w:tcW w:w="1276" w:type="dxa"/>
            <w:tcBorders>
              <w:top w:val="nil"/>
              <w:left w:val="nil"/>
              <w:right w:val="single" w:sz="4" w:space="0" w:color="auto"/>
            </w:tcBorders>
            <w:shd w:val="clear" w:color="auto" w:fill="auto"/>
            <w:noWrap/>
            <w:vAlign w:val="center"/>
            <w:hideMark/>
          </w:tcPr>
          <w:p w14:paraId="2652AA1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54 000,00</w:t>
            </w:r>
          </w:p>
        </w:tc>
        <w:tc>
          <w:tcPr>
            <w:tcW w:w="1276" w:type="dxa"/>
            <w:tcBorders>
              <w:top w:val="nil"/>
              <w:left w:val="nil"/>
              <w:bottom w:val="nil"/>
              <w:right w:val="single" w:sz="4" w:space="0" w:color="auto"/>
            </w:tcBorders>
            <w:shd w:val="clear" w:color="auto" w:fill="auto"/>
            <w:noWrap/>
            <w:vAlign w:val="center"/>
          </w:tcPr>
          <w:p w14:paraId="4C5309E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c>
          <w:tcPr>
            <w:tcW w:w="1275" w:type="dxa"/>
            <w:tcBorders>
              <w:top w:val="nil"/>
              <w:left w:val="nil"/>
              <w:bottom w:val="nil"/>
              <w:right w:val="single" w:sz="4" w:space="0" w:color="auto"/>
            </w:tcBorders>
            <w:shd w:val="clear" w:color="auto" w:fill="auto"/>
            <w:noWrap/>
            <w:vAlign w:val="center"/>
            <w:hideMark/>
          </w:tcPr>
          <w:p w14:paraId="28AF671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w:t>
            </w:r>
          </w:p>
        </w:tc>
      </w:tr>
      <w:tr w:rsidR="00862C6F" w:rsidRPr="00236418" w14:paraId="48DF22F3"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4886322A" w14:textId="77777777" w:rsidR="00862C6F" w:rsidRPr="00236418" w:rsidRDefault="00862C6F" w:rsidP="00862C6F">
            <w:pPr>
              <w:tabs>
                <w:tab w:val="clear" w:pos="567"/>
                <w:tab w:val="clear" w:pos="1134"/>
                <w:tab w:val="clear" w:pos="1701"/>
                <w:tab w:val="clear" w:pos="2268"/>
                <w:tab w:val="clear" w:pos="2835"/>
              </w:tabs>
              <w:spacing w:before="60" w:after="60"/>
              <w:rPr>
                <w:sz w:val="20"/>
              </w:rPr>
            </w:pPr>
            <w:r w:rsidRPr="00236418">
              <w:rPr>
                <w:sz w:val="20"/>
              </w:rPr>
              <w:t>Fonds propres affectés</w:t>
            </w:r>
          </w:p>
        </w:tc>
        <w:tc>
          <w:tcPr>
            <w:tcW w:w="1417" w:type="dxa"/>
            <w:tcBorders>
              <w:top w:val="nil"/>
              <w:left w:val="nil"/>
              <w:bottom w:val="nil"/>
              <w:right w:val="single" w:sz="4" w:space="0" w:color="auto"/>
            </w:tcBorders>
            <w:shd w:val="clear" w:color="auto" w:fill="auto"/>
            <w:noWrap/>
            <w:vAlign w:val="center"/>
          </w:tcPr>
          <w:p w14:paraId="5F3F63C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6 166 002,60</w:t>
            </w:r>
          </w:p>
        </w:tc>
        <w:tc>
          <w:tcPr>
            <w:tcW w:w="1276" w:type="dxa"/>
            <w:tcBorders>
              <w:top w:val="nil"/>
              <w:left w:val="nil"/>
              <w:bottom w:val="nil"/>
              <w:right w:val="single" w:sz="4" w:space="0" w:color="auto"/>
            </w:tcBorders>
            <w:shd w:val="clear" w:color="auto" w:fill="auto"/>
            <w:noWrap/>
            <w:vAlign w:val="center"/>
            <w:hideMark/>
          </w:tcPr>
          <w:p w14:paraId="1DE3A01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6 182 867,40</w:t>
            </w:r>
          </w:p>
        </w:tc>
        <w:tc>
          <w:tcPr>
            <w:tcW w:w="1276" w:type="dxa"/>
            <w:tcBorders>
              <w:top w:val="nil"/>
              <w:left w:val="single" w:sz="4" w:space="0" w:color="auto"/>
              <w:bottom w:val="nil"/>
              <w:right w:val="single" w:sz="4" w:space="0" w:color="auto"/>
            </w:tcBorders>
            <w:shd w:val="clear" w:color="auto" w:fill="auto"/>
            <w:noWrap/>
            <w:vAlign w:val="center"/>
          </w:tcPr>
          <w:p w14:paraId="4080465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277 580,84</w:t>
            </w:r>
          </w:p>
        </w:tc>
        <w:tc>
          <w:tcPr>
            <w:tcW w:w="1275" w:type="dxa"/>
            <w:tcBorders>
              <w:top w:val="nil"/>
              <w:left w:val="nil"/>
              <w:bottom w:val="nil"/>
              <w:right w:val="single" w:sz="4" w:space="0" w:color="auto"/>
            </w:tcBorders>
            <w:shd w:val="clear" w:color="auto" w:fill="auto"/>
            <w:noWrap/>
            <w:vAlign w:val="center"/>
          </w:tcPr>
          <w:p w14:paraId="1416C70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0"/>
              </w:rPr>
            </w:pPr>
            <w:r w:rsidRPr="00236418">
              <w:rPr>
                <w:sz w:val="20"/>
              </w:rPr>
              <w:t>277 580,84</w:t>
            </w:r>
          </w:p>
        </w:tc>
      </w:tr>
      <w:tr w:rsidR="00862C6F" w:rsidRPr="00236418" w14:paraId="1EE36CCA"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334CAD54" w14:textId="77777777" w:rsidR="00862C6F" w:rsidRPr="00236418" w:rsidRDefault="00862C6F" w:rsidP="00862C6F">
            <w:pPr>
              <w:tabs>
                <w:tab w:val="clear" w:pos="567"/>
                <w:tab w:val="clear" w:pos="1134"/>
                <w:tab w:val="clear" w:pos="1701"/>
                <w:tab w:val="clear" w:pos="2268"/>
                <w:tab w:val="clear" w:pos="2835"/>
              </w:tabs>
              <w:spacing w:before="0"/>
              <w:rPr>
                <w:sz w:val="20"/>
              </w:rPr>
            </w:pPr>
            <w:r w:rsidRPr="00236418">
              <w:rPr>
                <w:sz w:val="20"/>
              </w:rPr>
              <w:t> </w:t>
            </w:r>
          </w:p>
        </w:tc>
        <w:tc>
          <w:tcPr>
            <w:tcW w:w="1417" w:type="dxa"/>
            <w:tcBorders>
              <w:top w:val="nil"/>
              <w:left w:val="nil"/>
              <w:bottom w:val="single" w:sz="4" w:space="0" w:color="auto"/>
              <w:right w:val="single" w:sz="4" w:space="0" w:color="auto"/>
            </w:tcBorders>
            <w:shd w:val="clear" w:color="auto" w:fill="auto"/>
            <w:noWrap/>
            <w:vAlign w:val="center"/>
          </w:tcPr>
          <w:p w14:paraId="1FA23C52"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DF0D03C"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c>
          <w:tcPr>
            <w:tcW w:w="1276" w:type="dxa"/>
            <w:tcBorders>
              <w:top w:val="nil"/>
              <w:left w:val="nil"/>
              <w:bottom w:val="single" w:sz="4" w:space="0" w:color="auto"/>
              <w:right w:val="nil"/>
            </w:tcBorders>
            <w:shd w:val="clear" w:color="auto" w:fill="auto"/>
            <w:noWrap/>
            <w:vAlign w:val="center"/>
          </w:tcPr>
          <w:p w14:paraId="0A715B5A"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9CA3F19" w14:textId="77777777" w:rsidR="00862C6F" w:rsidRPr="00236418" w:rsidRDefault="00862C6F" w:rsidP="00862C6F">
            <w:pPr>
              <w:tabs>
                <w:tab w:val="clear" w:pos="567"/>
                <w:tab w:val="clear" w:pos="1134"/>
                <w:tab w:val="clear" w:pos="1701"/>
                <w:tab w:val="clear" w:pos="2268"/>
                <w:tab w:val="clear" w:pos="2835"/>
              </w:tabs>
              <w:spacing w:before="0"/>
              <w:jc w:val="right"/>
              <w:rPr>
                <w:sz w:val="20"/>
              </w:rPr>
            </w:pPr>
          </w:p>
        </w:tc>
      </w:tr>
      <w:tr w:rsidR="00862C6F" w:rsidRPr="00236418" w14:paraId="57F64317" w14:textId="77777777" w:rsidTr="00620F5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5D13888" w14:textId="77777777" w:rsidR="00862C6F" w:rsidRPr="00236418" w:rsidRDefault="00862C6F" w:rsidP="00862C6F">
            <w:pPr>
              <w:tabs>
                <w:tab w:val="clear" w:pos="567"/>
                <w:tab w:val="clear" w:pos="1134"/>
                <w:tab w:val="clear" w:pos="1701"/>
                <w:tab w:val="clear" w:pos="2268"/>
                <w:tab w:val="clear" w:pos="2835"/>
              </w:tabs>
              <w:spacing w:before="60" w:after="60"/>
              <w:rPr>
                <w:b/>
                <w:bCs/>
                <w:sz w:val="20"/>
              </w:rPr>
            </w:pPr>
            <w:r w:rsidRPr="00236418">
              <w:rPr>
                <w:b/>
                <w:bCs/>
                <w:sz w:val="20"/>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728742"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6 220 002,60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BBBE40"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6 236 867,40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7E7DD5"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277 580,84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AE3364"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rPr>
            </w:pPr>
            <w:r w:rsidRPr="00236418">
              <w:rPr>
                <w:b/>
                <w:bCs/>
                <w:sz w:val="20"/>
              </w:rPr>
              <w:t>277 580,84</w:t>
            </w:r>
          </w:p>
        </w:tc>
      </w:tr>
      <w:bookmarkEnd w:id="2918"/>
      <w:bookmarkEnd w:id="2919"/>
      <w:bookmarkEnd w:id="2920"/>
      <w:bookmarkEnd w:id="2921"/>
      <w:bookmarkEnd w:id="2922"/>
      <w:bookmarkEnd w:id="2923"/>
      <w:bookmarkEnd w:id="2924"/>
      <w:bookmarkEnd w:id="2925"/>
    </w:tbl>
    <w:p w14:paraId="1D78B94D" w14:textId="77777777" w:rsidR="00862C6F" w:rsidRPr="00236418" w:rsidRDefault="00862C6F" w:rsidP="00862C6F">
      <w:pPr>
        <w:sectPr w:rsidR="00862C6F" w:rsidRPr="00236418" w:rsidSect="00620F53">
          <w:pgSz w:w="11907" w:h="16840" w:code="9"/>
          <w:pgMar w:top="1418" w:right="1134" w:bottom="1418" w:left="1134" w:header="720" w:footer="720" w:gutter="0"/>
          <w:cols w:space="708"/>
          <w:docGrid w:linePitch="360"/>
        </w:sectPr>
      </w:pPr>
    </w:p>
    <w:p w14:paraId="3B6980AF" w14:textId="77777777" w:rsidR="00862C6F" w:rsidRPr="00236418" w:rsidRDefault="00862C6F" w:rsidP="00E1454F">
      <w:pPr>
        <w:pStyle w:val="AnnexNo"/>
      </w:pPr>
      <w:bookmarkStart w:id="2926" w:name="_Toc358379356"/>
      <w:bookmarkStart w:id="2927" w:name="_Toc358379973"/>
      <w:bookmarkStart w:id="2928" w:name="_Toc395260977"/>
      <w:bookmarkStart w:id="2929" w:name="_Toc395261112"/>
      <w:bookmarkStart w:id="2930" w:name="_Toc395511762"/>
      <w:bookmarkStart w:id="2931" w:name="_Toc452138675"/>
      <w:bookmarkStart w:id="2932" w:name="_Toc452139124"/>
      <w:bookmarkStart w:id="2933" w:name="_Toc482888053"/>
      <w:bookmarkStart w:id="2934" w:name="_Toc482888396"/>
      <w:bookmarkStart w:id="2935" w:name="_Toc511736690"/>
      <w:bookmarkStart w:id="2936" w:name="_Toc10450818"/>
      <w:bookmarkStart w:id="2937" w:name="_Toc41815005"/>
      <w:bookmarkStart w:id="2938" w:name="_Hlk132893037"/>
      <w:r w:rsidRPr="00236418">
        <w:lastRenderedPageBreak/>
        <w:t xml:space="preserve">ANNEXE </w:t>
      </w:r>
      <w:bookmarkEnd w:id="2926"/>
      <w:bookmarkEnd w:id="2927"/>
      <w:bookmarkEnd w:id="2928"/>
      <w:bookmarkEnd w:id="2929"/>
      <w:bookmarkEnd w:id="2930"/>
      <w:bookmarkEnd w:id="2931"/>
      <w:bookmarkEnd w:id="2932"/>
      <w:bookmarkEnd w:id="2933"/>
      <w:bookmarkEnd w:id="2934"/>
      <w:r w:rsidRPr="00236418">
        <w:t>B</w:t>
      </w:r>
      <w:bookmarkEnd w:id="2935"/>
      <w:bookmarkEnd w:id="2936"/>
      <w:r w:rsidRPr="00236418">
        <w:t>4</w:t>
      </w:r>
      <w:bookmarkEnd w:id="2937"/>
    </w:p>
    <w:p w14:paraId="597A9EE0" w14:textId="7A386E66" w:rsidR="00862C6F" w:rsidRDefault="00862C6F" w:rsidP="00862C6F">
      <w:pPr>
        <w:jc w:val="center"/>
        <w:rPr>
          <w:b/>
          <w:sz w:val="28"/>
        </w:rPr>
      </w:pPr>
      <w:r w:rsidRPr="00236418">
        <w:rPr>
          <w:b/>
          <w:sz w:val="28"/>
        </w:rPr>
        <w:t>Fonds d'affectation spéciale (crédits non utilisés) – Voir la Note 20</w:t>
      </w:r>
    </w:p>
    <w:p w14:paraId="61F02B53" w14:textId="788F5A54" w:rsidR="004B4070" w:rsidRPr="00236418" w:rsidRDefault="004B4070" w:rsidP="00862C6F">
      <w:pPr>
        <w:jc w:val="center"/>
        <w:rPr>
          <w:b/>
          <w:sz w:val="28"/>
        </w:rPr>
      </w:pPr>
      <w:r w:rsidRPr="004B4070">
        <w:drawing>
          <wp:inline distT="0" distB="0" distL="0" distR="0" wp14:anchorId="61D93774" wp14:editId="0FED9211">
            <wp:extent cx="8888730" cy="2479675"/>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88730" cy="2479675"/>
                    </a:xfrm>
                    <a:prstGeom prst="rect">
                      <a:avLst/>
                    </a:prstGeom>
                    <a:noFill/>
                    <a:ln>
                      <a:noFill/>
                    </a:ln>
                  </pic:spPr>
                </pic:pic>
              </a:graphicData>
            </a:graphic>
          </wp:inline>
        </w:drawing>
      </w:r>
    </w:p>
    <w:bookmarkEnd w:id="2938"/>
    <w:p w14:paraId="0C12D66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49B6DBB2" w14:textId="165690BE" w:rsidR="00862C6F" w:rsidRDefault="00862C6F" w:rsidP="00862C6F">
      <w:pPr>
        <w:spacing w:before="240" w:after="240"/>
        <w:jc w:val="center"/>
        <w:rPr>
          <w:b/>
          <w:i/>
          <w:iCs/>
          <w:sz w:val="28"/>
        </w:rPr>
      </w:pPr>
      <w:bookmarkStart w:id="2939" w:name="_Hlk132893088"/>
      <w:r w:rsidRPr="00236418">
        <w:rPr>
          <w:b/>
          <w:sz w:val="28"/>
        </w:rPr>
        <w:lastRenderedPageBreak/>
        <w:t xml:space="preserve">Fonds d'affectation spéciale (crédits non utilisés) </w:t>
      </w:r>
      <w:r w:rsidRPr="00236418">
        <w:rPr>
          <w:b/>
          <w:i/>
          <w:iCs/>
          <w:sz w:val="28"/>
        </w:rPr>
        <w:t>(suite)</w:t>
      </w:r>
    </w:p>
    <w:p w14:paraId="11FB8738" w14:textId="0896B99E" w:rsidR="004B4070" w:rsidRPr="004B4070" w:rsidRDefault="004B4070" w:rsidP="00862C6F">
      <w:pPr>
        <w:spacing w:before="240" w:after="240"/>
        <w:jc w:val="center"/>
        <w:rPr>
          <w:bCs/>
          <w:sz w:val="28"/>
        </w:rPr>
      </w:pPr>
      <w:r w:rsidRPr="004B4070">
        <w:drawing>
          <wp:inline distT="0" distB="0" distL="0" distR="0" wp14:anchorId="34797321" wp14:editId="7734748D">
            <wp:extent cx="8888730" cy="50215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88730" cy="5021580"/>
                    </a:xfrm>
                    <a:prstGeom prst="rect">
                      <a:avLst/>
                    </a:prstGeom>
                    <a:noFill/>
                    <a:ln>
                      <a:noFill/>
                    </a:ln>
                  </pic:spPr>
                </pic:pic>
              </a:graphicData>
            </a:graphic>
          </wp:inline>
        </w:drawing>
      </w:r>
    </w:p>
    <w:bookmarkEnd w:id="2939"/>
    <w:p w14:paraId="194242D3" w14:textId="77777777" w:rsidR="00862C6F" w:rsidRPr="00236418" w:rsidRDefault="00862C6F" w:rsidP="00862C6F">
      <w:r w:rsidRPr="00236418">
        <w:br w:type="page"/>
      </w:r>
    </w:p>
    <w:p w14:paraId="1E0A653B" w14:textId="1849AA56" w:rsidR="00862C6F" w:rsidRDefault="00862C6F" w:rsidP="00862C6F">
      <w:pPr>
        <w:spacing w:before="240" w:after="240"/>
        <w:jc w:val="center"/>
        <w:rPr>
          <w:b/>
          <w:i/>
          <w:iCs/>
          <w:sz w:val="28"/>
        </w:rPr>
      </w:pPr>
      <w:bookmarkStart w:id="2940" w:name="_Hlk132893133"/>
      <w:r w:rsidRPr="00236418">
        <w:rPr>
          <w:b/>
          <w:sz w:val="28"/>
        </w:rPr>
        <w:lastRenderedPageBreak/>
        <w:t xml:space="preserve">Fonds d'affectation spéciale (crédits non utilisés) </w:t>
      </w:r>
      <w:r w:rsidRPr="00236418">
        <w:rPr>
          <w:b/>
          <w:i/>
          <w:iCs/>
          <w:sz w:val="28"/>
        </w:rPr>
        <w:t>(suite)</w:t>
      </w:r>
    </w:p>
    <w:p w14:paraId="5D185F29" w14:textId="7F716D8A" w:rsidR="004B4070" w:rsidRPr="004B4070" w:rsidRDefault="004B4070" w:rsidP="00862C6F">
      <w:pPr>
        <w:spacing w:before="240" w:after="240"/>
        <w:jc w:val="center"/>
        <w:rPr>
          <w:bCs/>
          <w:sz w:val="28"/>
        </w:rPr>
      </w:pPr>
      <w:r w:rsidRPr="004B4070">
        <w:drawing>
          <wp:inline distT="0" distB="0" distL="0" distR="0" wp14:anchorId="0ED116EA" wp14:editId="0CCDA5CC">
            <wp:extent cx="8888730" cy="5442585"/>
            <wp:effectExtent l="0" t="0" r="762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88730" cy="5442585"/>
                    </a:xfrm>
                    <a:prstGeom prst="rect">
                      <a:avLst/>
                    </a:prstGeom>
                    <a:noFill/>
                    <a:ln>
                      <a:noFill/>
                    </a:ln>
                  </pic:spPr>
                </pic:pic>
              </a:graphicData>
            </a:graphic>
          </wp:inline>
        </w:drawing>
      </w:r>
    </w:p>
    <w:bookmarkEnd w:id="2940"/>
    <w:p w14:paraId="45E24128" w14:textId="77777777" w:rsidR="00862C6F" w:rsidRPr="00236418" w:rsidRDefault="00862C6F" w:rsidP="00862C6F">
      <w:r w:rsidRPr="00236418">
        <w:br w:type="page"/>
      </w:r>
    </w:p>
    <w:p w14:paraId="13EA742D" w14:textId="1A92D80B" w:rsidR="00862C6F" w:rsidRDefault="00862C6F" w:rsidP="00862C6F">
      <w:pPr>
        <w:spacing w:before="240" w:after="240"/>
        <w:jc w:val="center"/>
        <w:rPr>
          <w:b/>
          <w:i/>
          <w:iCs/>
          <w:sz w:val="28"/>
        </w:rPr>
      </w:pPr>
      <w:bookmarkStart w:id="2941" w:name="_Hlk132893181"/>
      <w:r w:rsidRPr="00236418">
        <w:rPr>
          <w:b/>
          <w:sz w:val="28"/>
        </w:rPr>
        <w:lastRenderedPageBreak/>
        <w:t xml:space="preserve">Fonds d'affectation spéciale (crédits non utilisés) </w:t>
      </w:r>
      <w:r w:rsidRPr="00236418">
        <w:rPr>
          <w:b/>
          <w:i/>
          <w:iCs/>
          <w:sz w:val="28"/>
        </w:rPr>
        <w:t>(suite)</w:t>
      </w:r>
    </w:p>
    <w:p w14:paraId="0E76DA04" w14:textId="534167CA" w:rsidR="004B4070" w:rsidRPr="004B4070" w:rsidRDefault="004B4070" w:rsidP="00862C6F">
      <w:pPr>
        <w:spacing w:before="240" w:after="240"/>
        <w:jc w:val="center"/>
        <w:rPr>
          <w:bCs/>
          <w:sz w:val="28"/>
        </w:rPr>
      </w:pPr>
      <w:r w:rsidRPr="004B4070">
        <w:drawing>
          <wp:inline distT="0" distB="0" distL="0" distR="0" wp14:anchorId="2D7F63CA" wp14:editId="722E39F1">
            <wp:extent cx="8051755" cy="573942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057889" cy="5743793"/>
                    </a:xfrm>
                    <a:prstGeom prst="rect">
                      <a:avLst/>
                    </a:prstGeom>
                    <a:noFill/>
                    <a:ln>
                      <a:noFill/>
                    </a:ln>
                  </pic:spPr>
                </pic:pic>
              </a:graphicData>
            </a:graphic>
          </wp:inline>
        </w:drawing>
      </w:r>
    </w:p>
    <w:p w14:paraId="1A0C3937" w14:textId="0E8CFC1D" w:rsidR="00862C6F" w:rsidRDefault="00862C6F" w:rsidP="00862C6F">
      <w:pPr>
        <w:spacing w:before="240"/>
        <w:jc w:val="center"/>
        <w:rPr>
          <w:b/>
          <w:i/>
          <w:iCs/>
          <w:sz w:val="28"/>
        </w:rPr>
      </w:pPr>
      <w:bookmarkStart w:id="2942" w:name="_Hlk132893233"/>
      <w:bookmarkEnd w:id="2941"/>
      <w:r w:rsidRPr="00236418">
        <w:rPr>
          <w:b/>
          <w:sz w:val="28"/>
        </w:rPr>
        <w:lastRenderedPageBreak/>
        <w:t xml:space="preserve">Fonds d'affectation spéciale (crédits non utilisés) </w:t>
      </w:r>
      <w:r w:rsidRPr="00236418">
        <w:rPr>
          <w:b/>
          <w:i/>
          <w:iCs/>
          <w:sz w:val="28"/>
        </w:rPr>
        <w:t>(suite)</w:t>
      </w:r>
    </w:p>
    <w:p w14:paraId="1149E45B" w14:textId="03678386" w:rsidR="00862C6F" w:rsidRPr="004B4070" w:rsidRDefault="004B4070" w:rsidP="004B4070">
      <w:pPr>
        <w:spacing w:before="240"/>
        <w:jc w:val="center"/>
        <w:rPr>
          <w:bCs/>
          <w:sz w:val="28"/>
        </w:rPr>
      </w:pPr>
      <w:r w:rsidRPr="004B4070">
        <w:drawing>
          <wp:inline distT="0" distB="0" distL="0" distR="0" wp14:anchorId="232D00B3" wp14:editId="01E02A9A">
            <wp:extent cx="8888730" cy="576008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88730" cy="5760085"/>
                    </a:xfrm>
                    <a:prstGeom prst="rect">
                      <a:avLst/>
                    </a:prstGeom>
                    <a:noFill/>
                    <a:ln>
                      <a:noFill/>
                    </a:ln>
                  </pic:spPr>
                </pic:pic>
              </a:graphicData>
            </a:graphic>
          </wp:inline>
        </w:drawing>
      </w:r>
      <w:bookmarkEnd w:id="2942"/>
      <w:r w:rsidR="00862C6F" w:rsidRPr="00236418">
        <w:br w:type="page"/>
      </w:r>
    </w:p>
    <w:p w14:paraId="5ACA3373" w14:textId="12E55D19" w:rsidR="00862C6F" w:rsidRDefault="00862C6F" w:rsidP="00862C6F">
      <w:pPr>
        <w:spacing w:before="240"/>
        <w:jc w:val="center"/>
        <w:rPr>
          <w:b/>
          <w:i/>
          <w:iCs/>
          <w:sz w:val="28"/>
        </w:rPr>
      </w:pPr>
      <w:bookmarkStart w:id="2943" w:name="_Hlk132893288"/>
      <w:r w:rsidRPr="00236418">
        <w:rPr>
          <w:b/>
          <w:sz w:val="28"/>
        </w:rPr>
        <w:lastRenderedPageBreak/>
        <w:t xml:space="preserve">Fonds d'affectation spéciale (crédits non utilisés) </w:t>
      </w:r>
      <w:r w:rsidRPr="00236418">
        <w:rPr>
          <w:b/>
          <w:i/>
          <w:iCs/>
          <w:sz w:val="28"/>
        </w:rPr>
        <w:t>(fin)</w:t>
      </w:r>
    </w:p>
    <w:p w14:paraId="04313D0F" w14:textId="0843C834" w:rsidR="004B4070" w:rsidRPr="004B4070" w:rsidRDefault="004B4070" w:rsidP="00862C6F">
      <w:pPr>
        <w:spacing w:before="240"/>
        <w:jc w:val="center"/>
        <w:rPr>
          <w:bCs/>
          <w:sz w:val="28"/>
        </w:rPr>
      </w:pPr>
      <w:r w:rsidRPr="004B4070">
        <w:drawing>
          <wp:inline distT="0" distB="0" distL="0" distR="0" wp14:anchorId="74599B8D" wp14:editId="300E758C">
            <wp:extent cx="8888730" cy="5579745"/>
            <wp:effectExtent l="0" t="0" r="762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88730" cy="5579745"/>
                    </a:xfrm>
                    <a:prstGeom prst="rect">
                      <a:avLst/>
                    </a:prstGeom>
                    <a:noFill/>
                    <a:ln>
                      <a:noFill/>
                    </a:ln>
                  </pic:spPr>
                </pic:pic>
              </a:graphicData>
            </a:graphic>
          </wp:inline>
        </w:drawing>
      </w:r>
    </w:p>
    <w:bookmarkEnd w:id="2943"/>
    <w:p w14:paraId="0BE9506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10BF6069" w14:textId="77777777" w:rsidR="00862C6F" w:rsidRPr="00236418" w:rsidRDefault="00862C6F" w:rsidP="00E1454F">
      <w:pPr>
        <w:pStyle w:val="AnnexNo"/>
      </w:pPr>
      <w:bookmarkStart w:id="2944" w:name="_Toc358379357"/>
      <w:bookmarkStart w:id="2945" w:name="_Toc358379974"/>
      <w:bookmarkStart w:id="2946" w:name="_Toc395260978"/>
      <w:bookmarkStart w:id="2947" w:name="_Toc395261113"/>
      <w:bookmarkStart w:id="2948" w:name="_Toc395511763"/>
      <w:bookmarkStart w:id="2949" w:name="_Toc452138676"/>
      <w:bookmarkStart w:id="2950" w:name="_Toc452139125"/>
      <w:bookmarkStart w:id="2951" w:name="_Toc482888054"/>
      <w:bookmarkStart w:id="2952" w:name="_Toc482888397"/>
      <w:bookmarkStart w:id="2953" w:name="_Toc511736691"/>
      <w:bookmarkStart w:id="2954" w:name="_Toc10450819"/>
      <w:bookmarkStart w:id="2955" w:name="_Toc41815006"/>
      <w:bookmarkStart w:id="2956" w:name="_Hlk132893351"/>
      <w:r w:rsidRPr="00236418">
        <w:lastRenderedPageBreak/>
        <w:t xml:space="preserve">ANNEXE </w:t>
      </w:r>
      <w:bookmarkEnd w:id="2944"/>
      <w:bookmarkEnd w:id="2945"/>
      <w:bookmarkEnd w:id="2946"/>
      <w:bookmarkEnd w:id="2947"/>
      <w:bookmarkEnd w:id="2948"/>
      <w:bookmarkEnd w:id="2949"/>
      <w:bookmarkEnd w:id="2950"/>
      <w:bookmarkEnd w:id="2951"/>
      <w:bookmarkEnd w:id="2952"/>
      <w:r w:rsidRPr="00236418">
        <w:t>B</w:t>
      </w:r>
      <w:bookmarkEnd w:id="2953"/>
      <w:bookmarkEnd w:id="2954"/>
      <w:r w:rsidRPr="00236418">
        <w:t>5</w:t>
      </w:r>
      <w:bookmarkEnd w:id="2955"/>
    </w:p>
    <w:p w14:paraId="18E24475" w14:textId="5DDE2200" w:rsidR="00862C6F" w:rsidRDefault="00862C6F" w:rsidP="00862C6F">
      <w:pPr>
        <w:spacing w:after="120"/>
        <w:jc w:val="center"/>
        <w:rPr>
          <w:b/>
          <w:sz w:val="28"/>
        </w:rPr>
      </w:pPr>
      <w:r w:rsidRPr="00236418">
        <w:rPr>
          <w:b/>
          <w:sz w:val="28"/>
        </w:rPr>
        <w:t>Contributions volontaires – en francs suisses – Voir la Note 20</w:t>
      </w:r>
    </w:p>
    <w:p w14:paraId="2DCB4646" w14:textId="34C3E184" w:rsidR="004B4070" w:rsidRPr="004B4070" w:rsidRDefault="004B4070" w:rsidP="00862C6F">
      <w:pPr>
        <w:spacing w:after="120"/>
        <w:jc w:val="center"/>
        <w:rPr>
          <w:bCs/>
          <w:sz w:val="28"/>
        </w:rPr>
      </w:pPr>
      <w:r w:rsidRPr="004B4070">
        <w:drawing>
          <wp:inline distT="0" distB="0" distL="0" distR="0" wp14:anchorId="60A375F5" wp14:editId="7BCF8C79">
            <wp:extent cx="8888730" cy="393319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88730" cy="3933190"/>
                    </a:xfrm>
                    <a:prstGeom prst="rect">
                      <a:avLst/>
                    </a:prstGeom>
                    <a:noFill/>
                    <a:ln>
                      <a:noFill/>
                    </a:ln>
                  </pic:spPr>
                </pic:pic>
              </a:graphicData>
            </a:graphic>
          </wp:inline>
        </w:drawing>
      </w:r>
    </w:p>
    <w:bookmarkEnd w:id="2956"/>
    <w:p w14:paraId="47F2D20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496F537E" w14:textId="26EE8C93" w:rsidR="00862C6F" w:rsidRDefault="00862C6F" w:rsidP="00862C6F">
      <w:pPr>
        <w:spacing w:after="360"/>
        <w:jc w:val="center"/>
        <w:rPr>
          <w:b/>
          <w:sz w:val="28"/>
        </w:rPr>
      </w:pPr>
      <w:bookmarkStart w:id="2957" w:name="_Hlk132893394"/>
      <w:r w:rsidRPr="00236418">
        <w:rPr>
          <w:b/>
          <w:sz w:val="28"/>
        </w:rPr>
        <w:lastRenderedPageBreak/>
        <w:t>Contributions volontaires (</w:t>
      </w:r>
      <w:r w:rsidRPr="00236418">
        <w:rPr>
          <w:b/>
          <w:i/>
          <w:iCs/>
          <w:sz w:val="28"/>
        </w:rPr>
        <w:t>suite</w:t>
      </w:r>
      <w:r w:rsidRPr="00236418">
        <w:rPr>
          <w:b/>
          <w:sz w:val="28"/>
        </w:rPr>
        <w:t>)</w:t>
      </w:r>
    </w:p>
    <w:p w14:paraId="28939AA0" w14:textId="23D8DB7A" w:rsidR="004B4070" w:rsidRPr="004B4070" w:rsidRDefault="004B4070" w:rsidP="00862C6F">
      <w:pPr>
        <w:spacing w:after="360"/>
        <w:jc w:val="center"/>
        <w:rPr>
          <w:bCs/>
          <w:sz w:val="28"/>
        </w:rPr>
      </w:pPr>
      <w:r w:rsidRPr="004B4070">
        <w:drawing>
          <wp:inline distT="0" distB="0" distL="0" distR="0" wp14:anchorId="2B0D3B04" wp14:editId="59361050">
            <wp:extent cx="8888730" cy="1560195"/>
            <wp:effectExtent l="0" t="0" r="762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88730" cy="1560195"/>
                    </a:xfrm>
                    <a:prstGeom prst="rect">
                      <a:avLst/>
                    </a:prstGeom>
                    <a:noFill/>
                    <a:ln>
                      <a:noFill/>
                    </a:ln>
                  </pic:spPr>
                </pic:pic>
              </a:graphicData>
            </a:graphic>
          </wp:inline>
        </w:drawing>
      </w:r>
    </w:p>
    <w:bookmarkEnd w:id="2957"/>
    <w:p w14:paraId="72E57E24" w14:textId="7F459A60" w:rsidR="00862C6F" w:rsidRPr="00236418" w:rsidRDefault="004B4070" w:rsidP="00862C6F">
      <w:r w:rsidRPr="004B4070">
        <w:drawing>
          <wp:inline distT="0" distB="0" distL="0" distR="0" wp14:anchorId="276CC9E2" wp14:editId="55D71326">
            <wp:extent cx="8888730" cy="238506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88730" cy="2385060"/>
                    </a:xfrm>
                    <a:prstGeom prst="rect">
                      <a:avLst/>
                    </a:prstGeom>
                    <a:noFill/>
                    <a:ln>
                      <a:noFill/>
                    </a:ln>
                  </pic:spPr>
                </pic:pic>
              </a:graphicData>
            </a:graphic>
          </wp:inline>
        </w:drawing>
      </w:r>
    </w:p>
    <w:p w14:paraId="517320E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48C23F8B" w14:textId="54D259D5" w:rsidR="00862C6F" w:rsidRDefault="00862C6F" w:rsidP="00862C6F">
      <w:pPr>
        <w:spacing w:after="120"/>
        <w:jc w:val="center"/>
        <w:rPr>
          <w:b/>
          <w:sz w:val="28"/>
        </w:rPr>
      </w:pPr>
      <w:bookmarkStart w:id="2958" w:name="_Hlk132893479"/>
      <w:r w:rsidRPr="00236418">
        <w:rPr>
          <w:b/>
          <w:sz w:val="28"/>
        </w:rPr>
        <w:lastRenderedPageBreak/>
        <w:t>Contributions volontaires (</w:t>
      </w:r>
      <w:r w:rsidRPr="00236418">
        <w:rPr>
          <w:b/>
          <w:i/>
          <w:iCs/>
          <w:sz w:val="28"/>
        </w:rPr>
        <w:t>suite</w:t>
      </w:r>
      <w:r w:rsidRPr="00236418">
        <w:rPr>
          <w:b/>
          <w:sz w:val="28"/>
        </w:rPr>
        <w:t>)</w:t>
      </w:r>
    </w:p>
    <w:p w14:paraId="24CD33D8" w14:textId="07068675" w:rsidR="004B4070" w:rsidRPr="004B4070" w:rsidRDefault="004B4070" w:rsidP="00862C6F">
      <w:pPr>
        <w:spacing w:after="120"/>
        <w:jc w:val="center"/>
        <w:rPr>
          <w:bCs/>
          <w:sz w:val="28"/>
        </w:rPr>
      </w:pPr>
      <w:r w:rsidRPr="004B4070">
        <w:drawing>
          <wp:inline distT="0" distB="0" distL="0" distR="0" wp14:anchorId="686F59B1" wp14:editId="1A9C9A18">
            <wp:extent cx="8888730" cy="4086860"/>
            <wp:effectExtent l="0" t="0" r="762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88730" cy="4086860"/>
                    </a:xfrm>
                    <a:prstGeom prst="rect">
                      <a:avLst/>
                    </a:prstGeom>
                    <a:noFill/>
                    <a:ln>
                      <a:noFill/>
                    </a:ln>
                  </pic:spPr>
                </pic:pic>
              </a:graphicData>
            </a:graphic>
          </wp:inline>
        </w:drawing>
      </w:r>
    </w:p>
    <w:bookmarkEnd w:id="2958"/>
    <w:p w14:paraId="68B79E0E" w14:textId="77777777" w:rsidR="00862C6F" w:rsidRPr="00236418" w:rsidRDefault="00862C6F" w:rsidP="00862C6F">
      <w:r w:rsidRPr="00236418">
        <w:br w:type="page"/>
      </w:r>
    </w:p>
    <w:p w14:paraId="67377B04" w14:textId="570D7C02" w:rsidR="00862C6F" w:rsidRDefault="00862C6F" w:rsidP="00862C6F">
      <w:pPr>
        <w:spacing w:after="120"/>
        <w:jc w:val="center"/>
        <w:rPr>
          <w:b/>
          <w:sz w:val="28"/>
        </w:rPr>
      </w:pPr>
      <w:bookmarkStart w:id="2959" w:name="_Hlk132893529"/>
      <w:r w:rsidRPr="00236418">
        <w:rPr>
          <w:b/>
          <w:sz w:val="28"/>
        </w:rPr>
        <w:lastRenderedPageBreak/>
        <w:t>Contributions volontaires (</w:t>
      </w:r>
      <w:r w:rsidRPr="00236418">
        <w:rPr>
          <w:b/>
          <w:i/>
          <w:iCs/>
          <w:sz w:val="28"/>
        </w:rPr>
        <w:t>suite</w:t>
      </w:r>
      <w:r w:rsidRPr="00236418">
        <w:rPr>
          <w:b/>
          <w:sz w:val="28"/>
        </w:rPr>
        <w:t>)</w:t>
      </w:r>
    </w:p>
    <w:p w14:paraId="3B5B3EA1" w14:textId="51EEA699" w:rsidR="004B4070" w:rsidRPr="004B4070" w:rsidRDefault="004B4070" w:rsidP="00862C6F">
      <w:pPr>
        <w:spacing w:after="120"/>
        <w:jc w:val="center"/>
        <w:rPr>
          <w:bCs/>
          <w:sz w:val="28"/>
        </w:rPr>
      </w:pPr>
      <w:r w:rsidRPr="004B4070">
        <w:drawing>
          <wp:inline distT="0" distB="0" distL="0" distR="0" wp14:anchorId="63587BC4" wp14:editId="2CBA0A64">
            <wp:extent cx="8888730" cy="291973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88730" cy="2919730"/>
                    </a:xfrm>
                    <a:prstGeom prst="rect">
                      <a:avLst/>
                    </a:prstGeom>
                    <a:noFill/>
                    <a:ln>
                      <a:noFill/>
                    </a:ln>
                  </pic:spPr>
                </pic:pic>
              </a:graphicData>
            </a:graphic>
          </wp:inline>
        </w:drawing>
      </w:r>
    </w:p>
    <w:bookmarkEnd w:id="2959"/>
    <w:p w14:paraId="56773E64" w14:textId="4CC82919" w:rsidR="00862C6F" w:rsidRPr="00236418" w:rsidRDefault="004B4070" w:rsidP="00862C6F">
      <w:r w:rsidRPr="004B4070">
        <w:drawing>
          <wp:inline distT="0" distB="0" distL="0" distR="0" wp14:anchorId="3E7A457F" wp14:editId="1BF60C61">
            <wp:extent cx="8888730" cy="375285"/>
            <wp:effectExtent l="0" t="0" r="762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888730" cy="375285"/>
                    </a:xfrm>
                    <a:prstGeom prst="rect">
                      <a:avLst/>
                    </a:prstGeom>
                    <a:noFill/>
                    <a:ln>
                      <a:noFill/>
                    </a:ln>
                  </pic:spPr>
                </pic:pic>
              </a:graphicData>
            </a:graphic>
          </wp:inline>
        </w:drawing>
      </w:r>
    </w:p>
    <w:p w14:paraId="37A1586C" w14:textId="61649898" w:rsidR="00862C6F" w:rsidRPr="00236418" w:rsidRDefault="004B4070" w:rsidP="00862C6F">
      <w:pPr>
        <w:jc w:val="center"/>
      </w:pPr>
      <w:r w:rsidRPr="004B4070">
        <w:drawing>
          <wp:inline distT="0" distB="0" distL="0" distR="0" wp14:anchorId="332DB6D2" wp14:editId="7E45139E">
            <wp:extent cx="8888730" cy="1172845"/>
            <wp:effectExtent l="0" t="0" r="762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888730" cy="1172845"/>
                    </a:xfrm>
                    <a:prstGeom prst="rect">
                      <a:avLst/>
                    </a:prstGeom>
                    <a:noFill/>
                    <a:ln>
                      <a:noFill/>
                    </a:ln>
                  </pic:spPr>
                </pic:pic>
              </a:graphicData>
            </a:graphic>
          </wp:inline>
        </w:drawing>
      </w:r>
    </w:p>
    <w:p w14:paraId="35E5FB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52DEF64D" w14:textId="52A0F637" w:rsidR="00862C6F" w:rsidRDefault="00862C6F" w:rsidP="00862C6F">
      <w:pPr>
        <w:spacing w:after="120"/>
        <w:jc w:val="center"/>
        <w:rPr>
          <w:b/>
          <w:sz w:val="28"/>
        </w:rPr>
      </w:pPr>
      <w:bookmarkStart w:id="2960" w:name="_Hlk132893638"/>
      <w:r w:rsidRPr="00236418">
        <w:rPr>
          <w:b/>
          <w:sz w:val="28"/>
        </w:rPr>
        <w:lastRenderedPageBreak/>
        <w:t>Contributions volontaires (</w:t>
      </w:r>
      <w:r w:rsidRPr="00236418">
        <w:rPr>
          <w:b/>
          <w:i/>
          <w:iCs/>
          <w:sz w:val="28"/>
        </w:rPr>
        <w:t>fin</w:t>
      </w:r>
      <w:r w:rsidRPr="00236418">
        <w:rPr>
          <w:b/>
          <w:sz w:val="28"/>
        </w:rPr>
        <w:t>)</w:t>
      </w:r>
    </w:p>
    <w:p w14:paraId="49AECB7E" w14:textId="59A9615A" w:rsidR="00862C6F" w:rsidRPr="004B4070" w:rsidRDefault="004B4070" w:rsidP="004B4070">
      <w:pPr>
        <w:spacing w:after="120"/>
        <w:jc w:val="center"/>
        <w:rPr>
          <w:bCs/>
          <w:sz w:val="28"/>
        </w:rPr>
      </w:pPr>
      <w:r w:rsidRPr="004B4070">
        <w:drawing>
          <wp:inline distT="0" distB="0" distL="0" distR="0" wp14:anchorId="5E6BB17F" wp14:editId="563F48BA">
            <wp:extent cx="7702738" cy="5771826"/>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706862" cy="5774916"/>
                    </a:xfrm>
                    <a:prstGeom prst="rect">
                      <a:avLst/>
                    </a:prstGeom>
                    <a:noFill/>
                    <a:ln>
                      <a:noFill/>
                    </a:ln>
                  </pic:spPr>
                </pic:pic>
              </a:graphicData>
            </a:graphic>
          </wp:inline>
        </w:drawing>
      </w:r>
      <w:bookmarkStart w:id="2961" w:name="_Toc395261115"/>
      <w:bookmarkStart w:id="2962" w:name="_Toc395511765"/>
      <w:bookmarkEnd w:id="2960"/>
      <w:r w:rsidR="00862C6F" w:rsidRPr="00236418">
        <w:br w:type="page"/>
      </w:r>
    </w:p>
    <w:p w14:paraId="51C170B9" w14:textId="77777777" w:rsidR="00862C6F" w:rsidRPr="00236418" w:rsidRDefault="00862C6F" w:rsidP="00E1454F">
      <w:pPr>
        <w:pStyle w:val="AnnexNo"/>
      </w:pPr>
      <w:bookmarkStart w:id="2963" w:name="_Toc511736692"/>
      <w:bookmarkStart w:id="2964" w:name="_Toc10450820"/>
      <w:bookmarkStart w:id="2965" w:name="_Toc41815007"/>
      <w:r w:rsidRPr="00236418">
        <w:lastRenderedPageBreak/>
        <w:t>ANNEXE B</w:t>
      </w:r>
      <w:bookmarkEnd w:id="2963"/>
      <w:bookmarkEnd w:id="2964"/>
      <w:r w:rsidRPr="00236418">
        <w:t>6</w:t>
      </w:r>
      <w:bookmarkEnd w:id="2965"/>
    </w:p>
    <w:p w14:paraId="050E3BC8" w14:textId="77777777" w:rsidR="00862C6F" w:rsidRPr="00236418" w:rsidRDefault="00862C6F" w:rsidP="00862C6F">
      <w:pPr>
        <w:spacing w:before="240" w:after="240"/>
        <w:jc w:val="center"/>
        <w:rPr>
          <w:b/>
          <w:sz w:val="28"/>
        </w:rPr>
      </w:pPr>
      <w:r w:rsidRPr="00236418">
        <w:rPr>
          <w:b/>
          <w:sz w:val="28"/>
        </w:rPr>
        <w:t xml:space="preserve">Fonds pour le développement des technologies de l'information et </w:t>
      </w:r>
      <w:r w:rsidRPr="00236418">
        <w:rPr>
          <w:b/>
          <w:sz w:val="28"/>
        </w:rPr>
        <w:br/>
        <w:t xml:space="preserve">de la communication (FDTIC) – en francs suisses – Voir la Note </w:t>
      </w:r>
      <w:bookmarkEnd w:id="2961"/>
      <w:bookmarkEnd w:id="2962"/>
      <w:r w:rsidRPr="00236418">
        <w:rPr>
          <w:b/>
          <w:sz w:val="28"/>
        </w:rPr>
        <w:t>20</w:t>
      </w:r>
    </w:p>
    <w:p w14:paraId="0E182194" w14:textId="77777777" w:rsidR="00862C6F" w:rsidRPr="00236418" w:rsidRDefault="00862C6F" w:rsidP="00862C6F">
      <w:pPr>
        <w:spacing w:after="120"/>
        <w:jc w:val="center"/>
      </w:pPr>
      <w:r w:rsidRPr="00236418">
        <w:rPr>
          <w:b/>
          <w:bCs/>
        </w:rPr>
        <w:t>Évolution du Fonds de roulement des TIC</w:t>
      </w:r>
    </w:p>
    <w:tbl>
      <w:tblPr>
        <w:tblW w:w="10227" w:type="dxa"/>
        <w:jc w:val="center"/>
        <w:tblLook w:val="04A0" w:firstRow="1" w:lastRow="0" w:firstColumn="1" w:lastColumn="0" w:noHBand="0" w:noVBand="1"/>
        <w:tblCaption w:val="D"/>
      </w:tblPr>
      <w:tblGrid>
        <w:gridCol w:w="3403"/>
        <w:gridCol w:w="1667"/>
        <w:gridCol w:w="3314"/>
        <w:gridCol w:w="1843"/>
      </w:tblGrid>
      <w:tr w:rsidR="00862C6F" w:rsidRPr="00236418" w14:paraId="03108571" w14:textId="77777777" w:rsidTr="00620F53">
        <w:trPr>
          <w:trHeight w:val="288"/>
          <w:jc w:val="center"/>
        </w:trPr>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CCEDE7"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Diminution</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6CF872B"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2019</w:t>
            </w:r>
          </w:p>
        </w:tc>
        <w:tc>
          <w:tcPr>
            <w:tcW w:w="33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8144B5"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Augmentation</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357D31"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2019</w:t>
            </w:r>
          </w:p>
        </w:tc>
      </w:tr>
      <w:tr w:rsidR="00862C6F" w:rsidRPr="00236418" w14:paraId="4D0ADB06" w14:textId="77777777" w:rsidTr="00620F53">
        <w:trPr>
          <w:trHeight w:val="70"/>
          <w:jc w:val="center"/>
        </w:trPr>
        <w:tc>
          <w:tcPr>
            <w:tcW w:w="3403" w:type="dxa"/>
            <w:tcBorders>
              <w:top w:val="nil"/>
              <w:left w:val="single" w:sz="4" w:space="0" w:color="auto"/>
              <w:bottom w:val="nil"/>
              <w:right w:val="single" w:sz="4" w:space="0" w:color="auto"/>
            </w:tcBorders>
            <w:shd w:val="clear" w:color="auto" w:fill="auto"/>
            <w:noWrap/>
            <w:vAlign w:val="bottom"/>
            <w:hideMark/>
          </w:tcPr>
          <w:p w14:paraId="2BDBF2DB"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vAlign w:val="bottom"/>
            <w:hideMark/>
          </w:tcPr>
          <w:p w14:paraId="300074E2"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3314" w:type="dxa"/>
            <w:tcBorders>
              <w:top w:val="nil"/>
              <w:left w:val="nil"/>
              <w:bottom w:val="nil"/>
              <w:right w:val="single" w:sz="4" w:space="0" w:color="auto"/>
            </w:tcBorders>
            <w:shd w:val="clear" w:color="auto" w:fill="auto"/>
            <w:noWrap/>
            <w:vAlign w:val="bottom"/>
            <w:hideMark/>
          </w:tcPr>
          <w:p w14:paraId="1C90CAD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843" w:type="dxa"/>
            <w:tcBorders>
              <w:top w:val="nil"/>
              <w:left w:val="nil"/>
              <w:bottom w:val="nil"/>
              <w:right w:val="single" w:sz="4" w:space="0" w:color="auto"/>
            </w:tcBorders>
            <w:shd w:val="clear" w:color="auto" w:fill="auto"/>
            <w:noWrap/>
            <w:vAlign w:val="bottom"/>
            <w:hideMark/>
          </w:tcPr>
          <w:p w14:paraId="79C31BB5"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r>
      <w:tr w:rsidR="00862C6F" w:rsidRPr="00236418" w14:paraId="23DC6C14"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34816127"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Financement de projets</w:t>
            </w:r>
          </w:p>
        </w:tc>
        <w:tc>
          <w:tcPr>
            <w:tcW w:w="1667" w:type="dxa"/>
            <w:tcBorders>
              <w:top w:val="nil"/>
              <w:left w:val="nil"/>
              <w:bottom w:val="nil"/>
              <w:right w:val="single" w:sz="4" w:space="0" w:color="auto"/>
            </w:tcBorders>
            <w:shd w:val="clear" w:color="auto" w:fill="auto"/>
            <w:noWrap/>
          </w:tcPr>
          <w:p w14:paraId="6278E53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123 589,00</w:t>
            </w:r>
          </w:p>
        </w:tc>
        <w:tc>
          <w:tcPr>
            <w:tcW w:w="3314" w:type="dxa"/>
            <w:tcBorders>
              <w:top w:val="nil"/>
              <w:left w:val="nil"/>
              <w:bottom w:val="nil"/>
              <w:right w:val="single" w:sz="4" w:space="0" w:color="auto"/>
            </w:tcBorders>
            <w:shd w:val="clear" w:color="auto" w:fill="auto"/>
            <w:noWrap/>
            <w:hideMark/>
          </w:tcPr>
          <w:p w14:paraId="52FD6257"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Contributions 2019</w:t>
            </w:r>
          </w:p>
        </w:tc>
        <w:tc>
          <w:tcPr>
            <w:tcW w:w="1843" w:type="dxa"/>
            <w:tcBorders>
              <w:top w:val="nil"/>
              <w:left w:val="nil"/>
              <w:bottom w:val="nil"/>
              <w:right w:val="single" w:sz="4" w:space="0" w:color="auto"/>
            </w:tcBorders>
            <w:shd w:val="clear" w:color="auto" w:fill="auto"/>
            <w:noWrap/>
          </w:tcPr>
          <w:p w14:paraId="5DB27FC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p>
        </w:tc>
      </w:tr>
      <w:tr w:rsidR="00862C6F" w:rsidRPr="00236418" w14:paraId="43EB2D2B"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5A2B07FE"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Charges administratives</w:t>
            </w:r>
          </w:p>
        </w:tc>
        <w:tc>
          <w:tcPr>
            <w:tcW w:w="1667" w:type="dxa"/>
            <w:tcBorders>
              <w:top w:val="nil"/>
              <w:left w:val="nil"/>
              <w:bottom w:val="nil"/>
              <w:right w:val="single" w:sz="4" w:space="0" w:color="auto"/>
            </w:tcBorders>
            <w:shd w:val="clear" w:color="auto" w:fill="auto"/>
            <w:noWrap/>
          </w:tcPr>
          <w:p w14:paraId="3FDE751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38,79</w:t>
            </w:r>
          </w:p>
        </w:tc>
        <w:tc>
          <w:tcPr>
            <w:tcW w:w="3314" w:type="dxa"/>
            <w:tcBorders>
              <w:top w:val="nil"/>
              <w:left w:val="nil"/>
              <w:bottom w:val="nil"/>
              <w:right w:val="single" w:sz="4" w:space="0" w:color="auto"/>
            </w:tcBorders>
            <w:shd w:val="clear" w:color="auto" w:fill="auto"/>
            <w:noWrap/>
            <w:hideMark/>
          </w:tcPr>
          <w:p w14:paraId="543FAB35"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Intérêts</w:t>
            </w:r>
          </w:p>
        </w:tc>
        <w:tc>
          <w:tcPr>
            <w:tcW w:w="1843" w:type="dxa"/>
            <w:tcBorders>
              <w:top w:val="nil"/>
              <w:left w:val="nil"/>
              <w:bottom w:val="nil"/>
              <w:right w:val="single" w:sz="4" w:space="0" w:color="auto"/>
            </w:tcBorders>
            <w:shd w:val="clear" w:color="auto" w:fill="auto"/>
            <w:noWrap/>
          </w:tcPr>
          <w:p w14:paraId="2997E9A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70 719,02</w:t>
            </w:r>
          </w:p>
        </w:tc>
      </w:tr>
      <w:tr w:rsidR="00862C6F" w:rsidRPr="00236418" w14:paraId="05D7E3AB"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30309660" w14:textId="77777777" w:rsidR="00862C6F" w:rsidRPr="00236418" w:rsidRDefault="00862C6F" w:rsidP="00862C6F">
            <w:pPr>
              <w:tabs>
                <w:tab w:val="clear" w:pos="567"/>
                <w:tab w:val="clear" w:pos="1134"/>
                <w:tab w:val="clear" w:pos="1701"/>
                <w:tab w:val="clear" w:pos="2268"/>
                <w:tab w:val="clear" w:pos="2835"/>
              </w:tabs>
              <w:spacing w:before="60" w:after="60"/>
              <w:rPr>
                <w:color w:val="000000"/>
                <w:sz w:val="22"/>
              </w:rPr>
            </w:pPr>
            <w:r w:rsidRPr="00236418">
              <w:rPr>
                <w:sz w:val="22"/>
              </w:rPr>
              <w:t>Annulation de la réévaluation 2018</w:t>
            </w:r>
          </w:p>
        </w:tc>
        <w:tc>
          <w:tcPr>
            <w:tcW w:w="1667" w:type="dxa"/>
            <w:tcBorders>
              <w:top w:val="nil"/>
              <w:left w:val="nil"/>
              <w:bottom w:val="nil"/>
              <w:right w:val="single" w:sz="4" w:space="0" w:color="auto"/>
            </w:tcBorders>
            <w:shd w:val="clear" w:color="auto" w:fill="auto"/>
            <w:noWrap/>
          </w:tcPr>
          <w:p w14:paraId="5305ACD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98 361,00</w:t>
            </w:r>
          </w:p>
        </w:tc>
        <w:tc>
          <w:tcPr>
            <w:tcW w:w="3314" w:type="dxa"/>
            <w:tcBorders>
              <w:top w:val="nil"/>
              <w:left w:val="nil"/>
              <w:bottom w:val="nil"/>
              <w:right w:val="single" w:sz="4" w:space="0" w:color="auto"/>
            </w:tcBorders>
            <w:shd w:val="clear" w:color="auto" w:fill="auto"/>
            <w:noWrap/>
            <w:hideMark/>
          </w:tcPr>
          <w:p w14:paraId="1BC50815"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Intérêts transférés depuis les fonds d'affectation spéciale</w:t>
            </w:r>
          </w:p>
        </w:tc>
        <w:tc>
          <w:tcPr>
            <w:tcW w:w="1843" w:type="dxa"/>
            <w:tcBorders>
              <w:top w:val="nil"/>
              <w:left w:val="nil"/>
              <w:bottom w:val="nil"/>
              <w:right w:val="single" w:sz="4" w:space="0" w:color="auto"/>
            </w:tcBorders>
            <w:shd w:val="clear" w:color="auto" w:fill="auto"/>
            <w:noWrap/>
          </w:tcPr>
          <w:p w14:paraId="70D3BBC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42 544,46</w:t>
            </w:r>
          </w:p>
        </w:tc>
      </w:tr>
      <w:tr w:rsidR="00862C6F" w:rsidRPr="00236418" w14:paraId="78504027"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4645BBE9"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tcPr>
          <w:p w14:paraId="7C46BA9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p>
        </w:tc>
        <w:tc>
          <w:tcPr>
            <w:tcW w:w="3314" w:type="dxa"/>
            <w:tcBorders>
              <w:top w:val="nil"/>
              <w:left w:val="nil"/>
              <w:bottom w:val="nil"/>
              <w:right w:val="single" w:sz="4" w:space="0" w:color="auto"/>
            </w:tcBorders>
            <w:shd w:val="clear" w:color="auto" w:fill="auto"/>
            <w:noWrap/>
            <w:hideMark/>
          </w:tcPr>
          <w:p w14:paraId="4071816F"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Rapatriement des soldes des projets FDTIC clôturés</w:t>
            </w:r>
          </w:p>
        </w:tc>
        <w:tc>
          <w:tcPr>
            <w:tcW w:w="1843" w:type="dxa"/>
            <w:tcBorders>
              <w:top w:val="nil"/>
              <w:left w:val="nil"/>
              <w:bottom w:val="nil"/>
              <w:right w:val="single" w:sz="4" w:space="0" w:color="auto"/>
            </w:tcBorders>
            <w:shd w:val="clear" w:color="auto" w:fill="auto"/>
            <w:noWrap/>
          </w:tcPr>
          <w:p w14:paraId="5D7F50E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269 612,95</w:t>
            </w:r>
          </w:p>
        </w:tc>
      </w:tr>
      <w:tr w:rsidR="00862C6F" w:rsidRPr="00236418" w14:paraId="30E89C90"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tcPr>
          <w:p w14:paraId="39BA10E1"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tcPr>
          <w:p w14:paraId="3226533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p>
        </w:tc>
        <w:tc>
          <w:tcPr>
            <w:tcW w:w="3314" w:type="dxa"/>
            <w:tcBorders>
              <w:top w:val="nil"/>
              <w:left w:val="nil"/>
              <w:bottom w:val="nil"/>
              <w:right w:val="single" w:sz="4" w:space="0" w:color="auto"/>
            </w:tcBorders>
            <w:shd w:val="clear" w:color="auto" w:fill="auto"/>
            <w:noWrap/>
          </w:tcPr>
          <w:p w14:paraId="03525546"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Réévaluation 2019</w:t>
            </w:r>
          </w:p>
        </w:tc>
        <w:tc>
          <w:tcPr>
            <w:tcW w:w="1843" w:type="dxa"/>
            <w:tcBorders>
              <w:top w:val="nil"/>
              <w:left w:val="nil"/>
              <w:bottom w:val="nil"/>
              <w:right w:val="single" w:sz="4" w:space="0" w:color="auto"/>
            </w:tcBorders>
            <w:shd w:val="clear" w:color="auto" w:fill="auto"/>
            <w:noWrap/>
          </w:tcPr>
          <w:p w14:paraId="089E031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108 727,04</w:t>
            </w:r>
          </w:p>
        </w:tc>
      </w:tr>
      <w:tr w:rsidR="00862C6F" w:rsidRPr="00236418" w14:paraId="189F29C3"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66CB14A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Excédent de recettes</w:t>
            </w:r>
          </w:p>
        </w:tc>
        <w:tc>
          <w:tcPr>
            <w:tcW w:w="1667" w:type="dxa"/>
            <w:tcBorders>
              <w:top w:val="nil"/>
              <w:left w:val="nil"/>
              <w:bottom w:val="nil"/>
              <w:right w:val="single" w:sz="4" w:space="0" w:color="auto"/>
            </w:tcBorders>
            <w:shd w:val="clear" w:color="auto" w:fill="auto"/>
            <w:noWrap/>
          </w:tcPr>
          <w:p w14:paraId="17E4E94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269 614,68</w:t>
            </w:r>
          </w:p>
        </w:tc>
        <w:tc>
          <w:tcPr>
            <w:tcW w:w="3314" w:type="dxa"/>
            <w:tcBorders>
              <w:top w:val="nil"/>
              <w:left w:val="nil"/>
              <w:bottom w:val="nil"/>
              <w:right w:val="single" w:sz="4" w:space="0" w:color="auto"/>
            </w:tcBorders>
            <w:shd w:val="clear" w:color="auto" w:fill="auto"/>
            <w:noWrap/>
            <w:hideMark/>
          </w:tcPr>
          <w:p w14:paraId="43D73D30"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843" w:type="dxa"/>
            <w:tcBorders>
              <w:top w:val="nil"/>
              <w:left w:val="nil"/>
              <w:bottom w:val="nil"/>
              <w:right w:val="single" w:sz="4" w:space="0" w:color="auto"/>
            </w:tcBorders>
            <w:shd w:val="clear" w:color="auto" w:fill="auto"/>
            <w:noWrap/>
          </w:tcPr>
          <w:p w14:paraId="33532AD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p>
        </w:tc>
      </w:tr>
      <w:tr w:rsidR="00862C6F" w:rsidRPr="00236418" w14:paraId="72193FB7"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2D11E566"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667" w:type="dxa"/>
            <w:tcBorders>
              <w:top w:val="nil"/>
              <w:left w:val="nil"/>
              <w:bottom w:val="nil"/>
              <w:right w:val="single" w:sz="4" w:space="0" w:color="auto"/>
            </w:tcBorders>
            <w:shd w:val="clear" w:color="auto" w:fill="auto"/>
            <w:noWrap/>
          </w:tcPr>
          <w:p w14:paraId="229A3F7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p>
        </w:tc>
        <w:tc>
          <w:tcPr>
            <w:tcW w:w="3314" w:type="dxa"/>
            <w:tcBorders>
              <w:top w:val="nil"/>
              <w:left w:val="nil"/>
              <w:bottom w:val="nil"/>
              <w:right w:val="single" w:sz="4" w:space="0" w:color="auto"/>
            </w:tcBorders>
            <w:shd w:val="clear" w:color="auto" w:fill="auto"/>
            <w:noWrap/>
          </w:tcPr>
          <w:p w14:paraId="12808D2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843" w:type="dxa"/>
            <w:tcBorders>
              <w:top w:val="nil"/>
              <w:left w:val="nil"/>
              <w:bottom w:val="nil"/>
              <w:right w:val="single" w:sz="4" w:space="0" w:color="auto"/>
            </w:tcBorders>
            <w:shd w:val="clear" w:color="auto" w:fill="auto"/>
            <w:noWrap/>
          </w:tcPr>
          <w:p w14:paraId="68B4908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p>
        </w:tc>
      </w:tr>
      <w:tr w:rsidR="00862C6F" w:rsidRPr="00236418" w14:paraId="5907510A" w14:textId="77777777" w:rsidTr="00620F53">
        <w:trPr>
          <w:trHeight w:val="300"/>
          <w:jc w:val="center"/>
        </w:trPr>
        <w:tc>
          <w:tcPr>
            <w:tcW w:w="3403" w:type="dxa"/>
            <w:tcBorders>
              <w:top w:val="nil"/>
              <w:left w:val="single" w:sz="4" w:space="0" w:color="auto"/>
              <w:bottom w:val="nil"/>
              <w:right w:val="single" w:sz="4" w:space="0" w:color="auto"/>
            </w:tcBorders>
            <w:shd w:val="clear" w:color="auto" w:fill="auto"/>
            <w:noWrap/>
            <w:vAlign w:val="bottom"/>
            <w:hideMark/>
          </w:tcPr>
          <w:p w14:paraId="4DAE43EB"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667" w:type="dxa"/>
            <w:tcBorders>
              <w:top w:val="single" w:sz="4" w:space="0" w:color="auto"/>
              <w:left w:val="nil"/>
              <w:bottom w:val="double" w:sz="6" w:space="0" w:color="auto"/>
              <w:right w:val="single" w:sz="4" w:space="0" w:color="auto"/>
            </w:tcBorders>
            <w:shd w:val="clear" w:color="auto" w:fill="D9D9D9" w:themeFill="background1" w:themeFillShade="D9"/>
            <w:noWrap/>
          </w:tcPr>
          <w:p w14:paraId="317072B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491 603,47</w:t>
            </w:r>
          </w:p>
        </w:tc>
        <w:tc>
          <w:tcPr>
            <w:tcW w:w="3314" w:type="dxa"/>
            <w:tcBorders>
              <w:top w:val="nil"/>
              <w:left w:val="nil"/>
              <w:bottom w:val="nil"/>
              <w:right w:val="single" w:sz="4" w:space="0" w:color="auto"/>
            </w:tcBorders>
            <w:shd w:val="clear" w:color="auto" w:fill="auto"/>
            <w:noWrap/>
            <w:vAlign w:val="bottom"/>
            <w:hideMark/>
          </w:tcPr>
          <w:p w14:paraId="41ED1F2F"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843" w:type="dxa"/>
            <w:tcBorders>
              <w:top w:val="single" w:sz="4" w:space="0" w:color="auto"/>
              <w:left w:val="nil"/>
              <w:bottom w:val="double" w:sz="6" w:space="0" w:color="auto"/>
              <w:right w:val="single" w:sz="4" w:space="0" w:color="auto"/>
            </w:tcBorders>
            <w:shd w:val="clear" w:color="auto" w:fill="D9D9D9" w:themeFill="background1" w:themeFillShade="D9"/>
            <w:noWrap/>
          </w:tcPr>
          <w:p w14:paraId="40D225F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491 603,47</w:t>
            </w:r>
          </w:p>
        </w:tc>
      </w:tr>
      <w:tr w:rsidR="00862C6F" w:rsidRPr="00236418" w14:paraId="753D8A14" w14:textId="77777777" w:rsidTr="00620F53">
        <w:trPr>
          <w:trHeight w:val="240"/>
          <w:jc w:val="center"/>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8BCE472"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667" w:type="dxa"/>
            <w:tcBorders>
              <w:top w:val="nil"/>
              <w:left w:val="nil"/>
              <w:bottom w:val="single" w:sz="4" w:space="0" w:color="auto"/>
              <w:right w:val="single" w:sz="4" w:space="0" w:color="auto"/>
            </w:tcBorders>
            <w:shd w:val="clear" w:color="auto" w:fill="auto"/>
            <w:noWrap/>
            <w:vAlign w:val="bottom"/>
            <w:hideMark/>
          </w:tcPr>
          <w:p w14:paraId="5194ADE6"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3314" w:type="dxa"/>
            <w:tcBorders>
              <w:top w:val="nil"/>
              <w:left w:val="nil"/>
              <w:bottom w:val="single" w:sz="4" w:space="0" w:color="auto"/>
              <w:right w:val="single" w:sz="4" w:space="0" w:color="auto"/>
            </w:tcBorders>
            <w:shd w:val="clear" w:color="auto" w:fill="auto"/>
            <w:noWrap/>
            <w:vAlign w:val="bottom"/>
            <w:hideMark/>
          </w:tcPr>
          <w:p w14:paraId="4FE02B24"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65E3F51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 </w:t>
            </w:r>
          </w:p>
        </w:tc>
      </w:tr>
    </w:tbl>
    <w:p w14:paraId="54E71999" w14:textId="77777777" w:rsidR="00862C6F" w:rsidRPr="00236418" w:rsidRDefault="00862C6F" w:rsidP="00862C6F">
      <w:pPr>
        <w:jc w:val="center"/>
        <w:rPr>
          <w:b/>
          <w:bCs/>
        </w:rPr>
      </w:pPr>
      <w:r w:rsidRPr="00236418">
        <w:rPr>
          <w:b/>
          <w:bCs/>
        </w:rPr>
        <w:br w:type="page"/>
      </w:r>
    </w:p>
    <w:p w14:paraId="40CDF7FF" w14:textId="77777777" w:rsidR="00862C6F" w:rsidRPr="00236418" w:rsidRDefault="00862C6F" w:rsidP="00E1454F">
      <w:pPr>
        <w:pStyle w:val="AnnexNo"/>
        <w:rPr>
          <w:w w:val="105"/>
        </w:rPr>
      </w:pPr>
      <w:bookmarkStart w:id="2966" w:name="_Toc452138678"/>
      <w:bookmarkStart w:id="2967" w:name="_Toc452139127"/>
      <w:bookmarkStart w:id="2968" w:name="_Toc482888056"/>
      <w:bookmarkStart w:id="2969" w:name="_Toc482888399"/>
      <w:bookmarkStart w:id="2970" w:name="_Toc511736693"/>
      <w:bookmarkStart w:id="2971" w:name="_Toc10450821"/>
      <w:bookmarkStart w:id="2972" w:name="_Toc41815008"/>
      <w:bookmarkStart w:id="2973" w:name="_Hlk132893713"/>
      <w:r w:rsidRPr="00236418">
        <w:rPr>
          <w:w w:val="105"/>
        </w:rPr>
        <w:lastRenderedPageBreak/>
        <w:t xml:space="preserve">ANNEXE </w:t>
      </w:r>
      <w:bookmarkEnd w:id="2966"/>
      <w:bookmarkEnd w:id="2967"/>
      <w:bookmarkEnd w:id="2968"/>
      <w:bookmarkEnd w:id="2969"/>
      <w:r w:rsidRPr="00236418">
        <w:rPr>
          <w:w w:val="105"/>
        </w:rPr>
        <w:t>B</w:t>
      </w:r>
      <w:bookmarkEnd w:id="2970"/>
      <w:bookmarkEnd w:id="2971"/>
      <w:r w:rsidRPr="00236418">
        <w:rPr>
          <w:w w:val="105"/>
        </w:rPr>
        <w:t>7</w:t>
      </w:r>
      <w:bookmarkEnd w:id="2972"/>
    </w:p>
    <w:p w14:paraId="38AFBD51" w14:textId="77777777" w:rsidR="00862C6F" w:rsidRPr="00236418" w:rsidRDefault="00862C6F" w:rsidP="00862C6F">
      <w:pPr>
        <w:jc w:val="center"/>
        <w:rPr>
          <w:caps/>
          <w:sz w:val="28"/>
        </w:rPr>
      </w:pPr>
      <w:bookmarkStart w:id="2974" w:name="_Toc511736694"/>
      <w:bookmarkStart w:id="2975" w:name="_Toc10450822"/>
      <w:r w:rsidRPr="00236418">
        <w:rPr>
          <w:caps/>
          <w:sz w:val="28"/>
        </w:rPr>
        <w:t>ITU TELECOM WORLD 201</w:t>
      </w:r>
      <w:bookmarkEnd w:id="2974"/>
      <w:bookmarkEnd w:id="2975"/>
      <w:r w:rsidRPr="00236418">
        <w:rPr>
          <w:caps/>
          <w:sz w:val="28"/>
        </w:rPr>
        <w:t>9</w:t>
      </w:r>
    </w:p>
    <w:p w14:paraId="48FE916F" w14:textId="77777777" w:rsidR="00862C6F" w:rsidRPr="00236418" w:rsidRDefault="00862C6F" w:rsidP="00862C6F">
      <w:pPr>
        <w:spacing w:after="120"/>
        <w:jc w:val="center"/>
        <w:rPr>
          <w:b/>
          <w:sz w:val="28"/>
        </w:rPr>
      </w:pPr>
      <w:r w:rsidRPr="00236418">
        <w:rPr>
          <w:b/>
          <w:sz w:val="28"/>
        </w:rPr>
        <w:t>Résumé des produits et charges par catégorie au 31 décembre 2019</w:t>
      </w:r>
    </w:p>
    <w:p w14:paraId="691E3453" w14:textId="7D5EF34F" w:rsidR="00862C6F" w:rsidRDefault="00862C6F" w:rsidP="00862C6F">
      <w:pPr>
        <w:jc w:val="center"/>
        <w:rPr>
          <w:i/>
          <w:iCs/>
        </w:rPr>
      </w:pPr>
      <w:r w:rsidRPr="00236418">
        <w:rPr>
          <w:i/>
          <w:iCs/>
        </w:rPr>
        <w:t>En francs suisses (CHF)</w:t>
      </w:r>
    </w:p>
    <w:p w14:paraId="3EA91044" w14:textId="6B998508" w:rsidR="001E56FC" w:rsidRPr="003D539C" w:rsidRDefault="003D539C" w:rsidP="00862C6F">
      <w:pPr>
        <w:jc w:val="center"/>
      </w:pPr>
      <w:r w:rsidRPr="003D539C">
        <w:drawing>
          <wp:inline distT="0" distB="0" distL="0" distR="0" wp14:anchorId="7538CDE2" wp14:editId="264C0F6A">
            <wp:extent cx="8888730" cy="4166235"/>
            <wp:effectExtent l="0" t="0" r="762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888730" cy="4166235"/>
                    </a:xfrm>
                    <a:prstGeom prst="rect">
                      <a:avLst/>
                    </a:prstGeom>
                    <a:noFill/>
                    <a:ln>
                      <a:noFill/>
                    </a:ln>
                  </pic:spPr>
                </pic:pic>
              </a:graphicData>
            </a:graphic>
          </wp:inline>
        </w:drawing>
      </w:r>
    </w:p>
    <w:bookmarkEnd w:id="2973"/>
    <w:p w14:paraId="5A38828F" w14:textId="77777777" w:rsidR="00862C6F" w:rsidRPr="00236418" w:rsidRDefault="00862C6F" w:rsidP="00862C6F">
      <w:pPr>
        <w:jc w:val="center"/>
      </w:pPr>
    </w:p>
    <w:p w14:paraId="44F587A2" w14:textId="77777777" w:rsidR="00862C6F" w:rsidRPr="00236418" w:rsidRDefault="00862C6F" w:rsidP="00862C6F">
      <w:pPr>
        <w:ind w:left="-567"/>
        <w:jc w:val="center"/>
        <w:sectPr w:rsidR="00862C6F" w:rsidRPr="00236418" w:rsidSect="00620F53">
          <w:pgSz w:w="16834" w:h="11907" w:orient="landscape"/>
          <w:pgMar w:top="709" w:right="1418" w:bottom="567" w:left="1418" w:header="720" w:footer="720" w:gutter="0"/>
          <w:paperSrc w:first="15" w:other="15"/>
          <w:cols w:space="720"/>
          <w:docGrid w:linePitch="326"/>
        </w:sectPr>
      </w:pPr>
    </w:p>
    <w:p w14:paraId="1A6129F8" w14:textId="77777777" w:rsidR="00862C6F" w:rsidRPr="00236418" w:rsidRDefault="00862C6F" w:rsidP="00E1454F">
      <w:pPr>
        <w:pStyle w:val="AnnexNo"/>
        <w:spacing w:before="360"/>
      </w:pPr>
      <w:bookmarkStart w:id="2976" w:name="_Toc395260980"/>
      <w:bookmarkStart w:id="2977" w:name="_Toc395261116"/>
      <w:bookmarkStart w:id="2978" w:name="_Toc395511766"/>
      <w:bookmarkStart w:id="2979" w:name="_Toc452138679"/>
      <w:bookmarkStart w:id="2980" w:name="_Toc452139128"/>
      <w:bookmarkStart w:id="2981" w:name="_Toc482888057"/>
      <w:bookmarkStart w:id="2982" w:name="_Toc482888400"/>
      <w:bookmarkStart w:id="2983" w:name="_Toc511736695"/>
      <w:bookmarkStart w:id="2984" w:name="_Toc10450823"/>
      <w:bookmarkStart w:id="2985" w:name="_Toc41815009"/>
      <w:r w:rsidRPr="00236418">
        <w:lastRenderedPageBreak/>
        <w:t xml:space="preserve">ANNEXE </w:t>
      </w:r>
      <w:bookmarkEnd w:id="2976"/>
      <w:bookmarkEnd w:id="2977"/>
      <w:bookmarkEnd w:id="2978"/>
      <w:bookmarkEnd w:id="2979"/>
      <w:bookmarkEnd w:id="2980"/>
      <w:bookmarkEnd w:id="2981"/>
      <w:bookmarkEnd w:id="2982"/>
      <w:bookmarkEnd w:id="2983"/>
      <w:r w:rsidRPr="00236418">
        <w:t>C</w:t>
      </w:r>
      <w:bookmarkEnd w:id="2984"/>
      <w:bookmarkEnd w:id="2985"/>
    </w:p>
    <w:p w14:paraId="1C93D9F3" w14:textId="77777777" w:rsidR="00862C6F" w:rsidRPr="00236418" w:rsidRDefault="00862C6F" w:rsidP="00862C6F">
      <w:pPr>
        <w:spacing w:before="240" w:after="240"/>
        <w:jc w:val="center"/>
        <w:rPr>
          <w:b/>
          <w:sz w:val="28"/>
        </w:rPr>
      </w:pPr>
      <w:bookmarkStart w:id="2986" w:name="_Toc395261117"/>
      <w:bookmarkStart w:id="2987" w:name="_Toc395511767"/>
      <w:r w:rsidRPr="00236418">
        <w:rPr>
          <w:b/>
          <w:sz w:val="28"/>
        </w:rPr>
        <w:t>SITUATION DES ARRIÉRÉS AU 31.12.201</w:t>
      </w:r>
      <w:bookmarkEnd w:id="2986"/>
      <w:bookmarkEnd w:id="2987"/>
      <w:r w:rsidRPr="00236418">
        <w:rPr>
          <w:b/>
          <w:sz w:val="28"/>
        </w:rPr>
        <w:t>9</w:t>
      </w:r>
    </w:p>
    <w:p w14:paraId="6F1D045C" w14:textId="77777777" w:rsidR="00862C6F" w:rsidRPr="00236418" w:rsidRDefault="00862C6F" w:rsidP="00862C6F">
      <w:pPr>
        <w:keepNext/>
        <w:tabs>
          <w:tab w:val="clear" w:pos="567"/>
          <w:tab w:val="clear" w:pos="1134"/>
          <w:tab w:val="clear" w:pos="1701"/>
          <w:tab w:val="clear" w:pos="2268"/>
          <w:tab w:val="clear" w:pos="2835"/>
          <w:tab w:val="left" w:pos="2948"/>
          <w:tab w:val="left" w:pos="4082"/>
        </w:tabs>
        <w:spacing w:before="0" w:after="120"/>
        <w:jc w:val="center"/>
        <w:rPr>
          <w:b/>
        </w:rPr>
      </w:pPr>
      <w:r w:rsidRPr="00236418">
        <w:rPr>
          <w:b/>
        </w:rPr>
        <w:t>MONTANTS DUS CONCERNANT LES CONTRIBUTIONS ET LES PUBLICATIONS</w:t>
      </w:r>
    </w:p>
    <w:tbl>
      <w:tblPr>
        <w:tblW w:w="0" w:type="auto"/>
        <w:jc w:val="center"/>
        <w:tblLook w:val="04A0" w:firstRow="1" w:lastRow="0" w:firstColumn="1" w:lastColumn="0" w:noHBand="0" w:noVBand="1"/>
        <w:tblCaption w:val="MONTANTS DUS CONCERNANT LES CONTRIBUTIONS ET LES PUBLICATIONS"/>
      </w:tblPr>
      <w:tblGrid>
        <w:gridCol w:w="3681"/>
        <w:gridCol w:w="1726"/>
        <w:gridCol w:w="1484"/>
        <w:gridCol w:w="1254"/>
        <w:gridCol w:w="1484"/>
      </w:tblGrid>
      <w:tr w:rsidR="00862C6F" w:rsidRPr="00236418" w14:paraId="77D5C8C2" w14:textId="77777777" w:rsidTr="00620F53">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473D2965" w14:textId="77777777" w:rsidR="00862C6F" w:rsidRPr="00236418" w:rsidRDefault="00862C6F" w:rsidP="00862C6F">
            <w:pPr>
              <w:tabs>
                <w:tab w:val="clear" w:pos="567"/>
                <w:tab w:val="clear" w:pos="1134"/>
                <w:tab w:val="clear" w:pos="1701"/>
                <w:tab w:val="clear" w:pos="2268"/>
                <w:tab w:val="clear" w:pos="2835"/>
              </w:tabs>
              <w:spacing w:after="120"/>
              <w:ind w:left="562" w:hanging="425"/>
              <w:rPr>
                <w:b/>
                <w:sz w:val="22"/>
              </w:rPr>
            </w:pPr>
            <w:proofErr w:type="spellStart"/>
            <w:r w:rsidRPr="00236418">
              <w:rPr>
                <w:b/>
                <w:sz w:val="22"/>
              </w:rPr>
              <w:t>A</w:t>
            </w:r>
            <w:proofErr w:type="spellEnd"/>
            <w:r w:rsidRPr="00236418">
              <w:rPr>
                <w:b/>
                <w:sz w:val="22"/>
              </w:rPr>
              <w:tab/>
              <w:t>États Membres de l'Union</w:t>
            </w:r>
          </w:p>
        </w:tc>
        <w:tc>
          <w:tcPr>
            <w:tcW w:w="1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069D7CB"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Année</w:t>
            </w:r>
          </w:p>
        </w:tc>
        <w:tc>
          <w:tcPr>
            <w:tcW w:w="14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78840E4"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Contributions</w:t>
            </w:r>
          </w:p>
        </w:tc>
        <w:tc>
          <w:tcPr>
            <w:tcW w:w="125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12E42DE"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Publications</w:t>
            </w:r>
          </w:p>
        </w:tc>
        <w:tc>
          <w:tcPr>
            <w:tcW w:w="14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76C828E5"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Total</w:t>
            </w:r>
          </w:p>
        </w:tc>
      </w:tr>
      <w:tr w:rsidR="00862C6F" w:rsidRPr="00236418" w14:paraId="20D8CB19" w14:textId="77777777" w:rsidTr="00620F53">
        <w:trPr>
          <w:trHeight w:val="300"/>
          <w:jc w:val="center"/>
        </w:trPr>
        <w:tc>
          <w:tcPr>
            <w:tcW w:w="3681" w:type="dxa"/>
            <w:tcBorders>
              <w:top w:val="single" w:sz="4" w:space="0" w:color="auto"/>
              <w:left w:val="single" w:sz="4" w:space="0" w:color="auto"/>
              <w:bottom w:val="nil"/>
              <w:right w:val="single" w:sz="4" w:space="0" w:color="auto"/>
            </w:tcBorders>
            <w:shd w:val="clear" w:color="auto" w:fill="auto"/>
            <w:tcMar>
              <w:left w:w="108" w:type="dxa"/>
              <w:right w:w="0" w:type="dxa"/>
            </w:tcMar>
            <w:vAlign w:val="bottom"/>
            <w:hideMark/>
          </w:tcPr>
          <w:p w14:paraId="5F83A626"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Antigua-et-Barbuda</w:t>
            </w:r>
          </w:p>
        </w:tc>
        <w:tc>
          <w:tcPr>
            <w:tcW w:w="1726" w:type="dxa"/>
            <w:tcBorders>
              <w:top w:val="nil"/>
              <w:left w:val="nil"/>
              <w:bottom w:val="nil"/>
              <w:right w:val="single" w:sz="4" w:space="0" w:color="auto"/>
            </w:tcBorders>
            <w:noWrap/>
            <w:vAlign w:val="bottom"/>
          </w:tcPr>
          <w:p w14:paraId="5889DA64"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1987-2018</w:t>
            </w:r>
          </w:p>
        </w:tc>
        <w:tc>
          <w:tcPr>
            <w:tcW w:w="1484" w:type="dxa"/>
            <w:tcBorders>
              <w:top w:val="nil"/>
              <w:left w:val="nil"/>
              <w:bottom w:val="nil"/>
              <w:right w:val="single" w:sz="4" w:space="0" w:color="auto"/>
            </w:tcBorders>
            <w:noWrap/>
            <w:vAlign w:val="bottom"/>
          </w:tcPr>
          <w:p w14:paraId="3B8C1F5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2 037 848,20</w:t>
            </w:r>
          </w:p>
        </w:tc>
        <w:tc>
          <w:tcPr>
            <w:tcW w:w="1254" w:type="dxa"/>
            <w:tcBorders>
              <w:top w:val="nil"/>
              <w:left w:val="nil"/>
              <w:bottom w:val="nil"/>
              <w:right w:val="single" w:sz="4" w:space="0" w:color="auto"/>
            </w:tcBorders>
            <w:noWrap/>
            <w:vAlign w:val="bottom"/>
          </w:tcPr>
          <w:p w14:paraId="099A635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41 149,00</w:t>
            </w:r>
          </w:p>
        </w:tc>
        <w:tc>
          <w:tcPr>
            <w:tcW w:w="1484" w:type="dxa"/>
            <w:tcBorders>
              <w:top w:val="nil"/>
              <w:left w:val="nil"/>
              <w:bottom w:val="nil"/>
              <w:right w:val="single" w:sz="4" w:space="0" w:color="auto"/>
            </w:tcBorders>
            <w:noWrap/>
            <w:vAlign w:val="bottom"/>
          </w:tcPr>
          <w:p w14:paraId="02E185D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2 078 997,20</w:t>
            </w:r>
          </w:p>
        </w:tc>
      </w:tr>
      <w:tr w:rsidR="00862C6F" w:rsidRPr="00236418" w14:paraId="2EA0EEDB"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7F43BD3"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Argentine</w:t>
            </w:r>
          </w:p>
        </w:tc>
        <w:tc>
          <w:tcPr>
            <w:tcW w:w="1726" w:type="dxa"/>
            <w:tcBorders>
              <w:top w:val="nil"/>
              <w:left w:val="nil"/>
              <w:bottom w:val="nil"/>
              <w:right w:val="single" w:sz="4" w:space="0" w:color="auto"/>
            </w:tcBorders>
            <w:noWrap/>
            <w:vAlign w:val="bottom"/>
          </w:tcPr>
          <w:p w14:paraId="2FA7F1E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2018</w:t>
            </w:r>
          </w:p>
        </w:tc>
        <w:tc>
          <w:tcPr>
            <w:tcW w:w="1484" w:type="dxa"/>
            <w:tcBorders>
              <w:top w:val="nil"/>
              <w:left w:val="nil"/>
              <w:bottom w:val="nil"/>
              <w:right w:val="single" w:sz="4" w:space="0" w:color="auto"/>
            </w:tcBorders>
            <w:noWrap/>
            <w:vAlign w:val="bottom"/>
          </w:tcPr>
          <w:p w14:paraId="58F82C7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8 215,00</w:t>
            </w:r>
          </w:p>
        </w:tc>
        <w:tc>
          <w:tcPr>
            <w:tcW w:w="1254" w:type="dxa"/>
            <w:tcBorders>
              <w:top w:val="nil"/>
              <w:left w:val="nil"/>
              <w:bottom w:val="nil"/>
              <w:right w:val="single" w:sz="4" w:space="0" w:color="auto"/>
            </w:tcBorders>
            <w:noWrap/>
            <w:vAlign w:val="bottom"/>
          </w:tcPr>
          <w:p w14:paraId="43CED39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098BD3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8 215,00</w:t>
            </w:r>
          </w:p>
        </w:tc>
      </w:tr>
      <w:tr w:rsidR="00862C6F" w:rsidRPr="00236418" w14:paraId="2E545197"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6EF820C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Cameroun</w:t>
            </w:r>
          </w:p>
        </w:tc>
        <w:tc>
          <w:tcPr>
            <w:tcW w:w="1726" w:type="dxa"/>
            <w:tcBorders>
              <w:top w:val="nil"/>
              <w:left w:val="nil"/>
              <w:bottom w:val="nil"/>
              <w:right w:val="single" w:sz="4" w:space="0" w:color="auto"/>
            </w:tcBorders>
            <w:noWrap/>
            <w:vAlign w:val="bottom"/>
          </w:tcPr>
          <w:p w14:paraId="400F18C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2014-2018</w:t>
            </w:r>
          </w:p>
        </w:tc>
        <w:tc>
          <w:tcPr>
            <w:tcW w:w="1484" w:type="dxa"/>
            <w:tcBorders>
              <w:top w:val="nil"/>
              <w:left w:val="nil"/>
              <w:bottom w:val="nil"/>
              <w:right w:val="single" w:sz="4" w:space="0" w:color="auto"/>
            </w:tcBorders>
            <w:noWrap/>
            <w:vAlign w:val="bottom"/>
          </w:tcPr>
          <w:p w14:paraId="1E35C4F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494 456,41</w:t>
            </w:r>
          </w:p>
        </w:tc>
        <w:tc>
          <w:tcPr>
            <w:tcW w:w="1254" w:type="dxa"/>
            <w:tcBorders>
              <w:top w:val="nil"/>
              <w:left w:val="nil"/>
              <w:bottom w:val="nil"/>
              <w:right w:val="single" w:sz="4" w:space="0" w:color="auto"/>
            </w:tcBorders>
            <w:noWrap/>
            <w:vAlign w:val="bottom"/>
          </w:tcPr>
          <w:p w14:paraId="0FD2D0B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259DB5C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494 456,41</w:t>
            </w:r>
          </w:p>
        </w:tc>
      </w:tr>
      <w:tr w:rsidR="00862C6F" w:rsidRPr="00236418" w14:paraId="360B87E9"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73CAD8B5"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Tchad</w:t>
            </w:r>
          </w:p>
        </w:tc>
        <w:tc>
          <w:tcPr>
            <w:tcW w:w="1726" w:type="dxa"/>
            <w:tcBorders>
              <w:top w:val="nil"/>
              <w:left w:val="nil"/>
              <w:bottom w:val="nil"/>
              <w:right w:val="single" w:sz="4" w:space="0" w:color="auto"/>
            </w:tcBorders>
            <w:noWrap/>
            <w:vAlign w:val="bottom"/>
          </w:tcPr>
          <w:p w14:paraId="47E8833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2017-2018</w:t>
            </w:r>
          </w:p>
        </w:tc>
        <w:tc>
          <w:tcPr>
            <w:tcW w:w="1484" w:type="dxa"/>
            <w:tcBorders>
              <w:top w:val="nil"/>
              <w:left w:val="nil"/>
              <w:bottom w:val="nil"/>
              <w:right w:val="single" w:sz="4" w:space="0" w:color="auto"/>
            </w:tcBorders>
            <w:noWrap/>
            <w:vAlign w:val="bottom"/>
          </w:tcPr>
          <w:p w14:paraId="3DFE27A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23 278,55</w:t>
            </w:r>
          </w:p>
        </w:tc>
        <w:tc>
          <w:tcPr>
            <w:tcW w:w="1254" w:type="dxa"/>
            <w:tcBorders>
              <w:top w:val="nil"/>
              <w:left w:val="nil"/>
              <w:bottom w:val="nil"/>
              <w:right w:val="single" w:sz="4" w:space="0" w:color="auto"/>
            </w:tcBorders>
            <w:noWrap/>
            <w:vAlign w:val="bottom"/>
          </w:tcPr>
          <w:p w14:paraId="5A43E94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A58A6F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23 278,55</w:t>
            </w:r>
          </w:p>
        </w:tc>
      </w:tr>
      <w:tr w:rsidR="00862C6F" w:rsidRPr="00236418" w14:paraId="6385D7B8"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7369D879"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Cuba</w:t>
            </w:r>
          </w:p>
        </w:tc>
        <w:tc>
          <w:tcPr>
            <w:tcW w:w="1726" w:type="dxa"/>
            <w:tcBorders>
              <w:top w:val="nil"/>
              <w:left w:val="nil"/>
              <w:bottom w:val="nil"/>
              <w:right w:val="single" w:sz="4" w:space="0" w:color="auto"/>
            </w:tcBorders>
            <w:noWrap/>
            <w:vAlign w:val="bottom"/>
          </w:tcPr>
          <w:p w14:paraId="3EA28A3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2016-2018</w:t>
            </w:r>
          </w:p>
        </w:tc>
        <w:tc>
          <w:tcPr>
            <w:tcW w:w="1484" w:type="dxa"/>
            <w:tcBorders>
              <w:top w:val="nil"/>
              <w:left w:val="nil"/>
              <w:bottom w:val="nil"/>
              <w:right w:val="single" w:sz="4" w:space="0" w:color="auto"/>
            </w:tcBorders>
            <w:noWrap/>
            <w:vAlign w:val="bottom"/>
          </w:tcPr>
          <w:p w14:paraId="7C9CA44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7 513,59</w:t>
            </w:r>
          </w:p>
        </w:tc>
        <w:tc>
          <w:tcPr>
            <w:tcW w:w="1254" w:type="dxa"/>
            <w:tcBorders>
              <w:top w:val="nil"/>
              <w:left w:val="nil"/>
              <w:bottom w:val="nil"/>
              <w:right w:val="single" w:sz="4" w:space="0" w:color="auto"/>
            </w:tcBorders>
            <w:noWrap/>
            <w:vAlign w:val="bottom"/>
          </w:tcPr>
          <w:p w14:paraId="2056811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31A35F2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7 513,59</w:t>
            </w:r>
          </w:p>
        </w:tc>
      </w:tr>
      <w:tr w:rsidR="00862C6F" w:rsidRPr="00236418" w14:paraId="7D1F5537"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20B1A069"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roofErr w:type="spellStart"/>
            <w:r w:rsidRPr="00236418">
              <w:rPr>
                <w:sz w:val="22"/>
              </w:rPr>
              <w:t>Rép</w:t>
            </w:r>
            <w:proofErr w:type="spellEnd"/>
            <w:r w:rsidRPr="00236418">
              <w:rPr>
                <w:sz w:val="22"/>
              </w:rPr>
              <w:t>. dém. du Congo</w:t>
            </w:r>
          </w:p>
        </w:tc>
        <w:tc>
          <w:tcPr>
            <w:tcW w:w="1726" w:type="dxa"/>
            <w:tcBorders>
              <w:top w:val="nil"/>
              <w:left w:val="nil"/>
              <w:bottom w:val="nil"/>
              <w:right w:val="single" w:sz="4" w:space="0" w:color="auto"/>
            </w:tcBorders>
            <w:noWrap/>
            <w:vAlign w:val="bottom"/>
          </w:tcPr>
          <w:p w14:paraId="5963AB91"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2017-2018</w:t>
            </w:r>
          </w:p>
        </w:tc>
        <w:tc>
          <w:tcPr>
            <w:tcW w:w="1484" w:type="dxa"/>
            <w:tcBorders>
              <w:top w:val="nil"/>
              <w:left w:val="nil"/>
              <w:bottom w:val="nil"/>
              <w:right w:val="single" w:sz="4" w:space="0" w:color="auto"/>
            </w:tcBorders>
            <w:noWrap/>
            <w:vAlign w:val="bottom"/>
          </w:tcPr>
          <w:p w14:paraId="5FB9C83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23 753,80</w:t>
            </w:r>
          </w:p>
        </w:tc>
        <w:tc>
          <w:tcPr>
            <w:tcW w:w="1254" w:type="dxa"/>
            <w:tcBorders>
              <w:top w:val="nil"/>
              <w:left w:val="nil"/>
              <w:bottom w:val="nil"/>
              <w:right w:val="single" w:sz="4" w:space="0" w:color="auto"/>
            </w:tcBorders>
            <w:noWrap/>
            <w:vAlign w:val="bottom"/>
          </w:tcPr>
          <w:p w14:paraId="7541FCE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F911D5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23 753,80</w:t>
            </w:r>
          </w:p>
        </w:tc>
      </w:tr>
      <w:tr w:rsidR="00862C6F" w:rsidRPr="00236418" w14:paraId="5F2489A4"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6150B41"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Dominique</w:t>
            </w:r>
          </w:p>
        </w:tc>
        <w:tc>
          <w:tcPr>
            <w:tcW w:w="1726" w:type="dxa"/>
            <w:tcBorders>
              <w:top w:val="nil"/>
              <w:left w:val="nil"/>
              <w:bottom w:val="nil"/>
              <w:right w:val="single" w:sz="4" w:space="0" w:color="auto"/>
            </w:tcBorders>
            <w:noWrap/>
            <w:vAlign w:val="bottom"/>
          </w:tcPr>
          <w:p w14:paraId="605D823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2001-2018</w:t>
            </w:r>
          </w:p>
        </w:tc>
        <w:tc>
          <w:tcPr>
            <w:tcW w:w="1484" w:type="dxa"/>
            <w:tcBorders>
              <w:top w:val="nil"/>
              <w:left w:val="nil"/>
              <w:bottom w:val="nil"/>
              <w:right w:val="single" w:sz="4" w:space="0" w:color="auto"/>
            </w:tcBorders>
            <w:noWrap/>
            <w:vAlign w:val="bottom"/>
          </w:tcPr>
          <w:p w14:paraId="7E5994B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506 383,65</w:t>
            </w:r>
          </w:p>
        </w:tc>
        <w:tc>
          <w:tcPr>
            <w:tcW w:w="1254" w:type="dxa"/>
            <w:tcBorders>
              <w:top w:val="nil"/>
              <w:left w:val="nil"/>
              <w:bottom w:val="nil"/>
              <w:right w:val="single" w:sz="4" w:space="0" w:color="auto"/>
            </w:tcBorders>
            <w:noWrap/>
            <w:vAlign w:val="bottom"/>
          </w:tcPr>
          <w:p w14:paraId="4DABA37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4CAB353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506 383,65</w:t>
            </w:r>
          </w:p>
        </w:tc>
      </w:tr>
      <w:tr w:rsidR="00862C6F" w:rsidRPr="00236418" w14:paraId="5AE453B8"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17C1478D"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Guinée équatoriale</w:t>
            </w:r>
          </w:p>
        </w:tc>
        <w:tc>
          <w:tcPr>
            <w:tcW w:w="1726" w:type="dxa"/>
            <w:tcBorders>
              <w:top w:val="nil"/>
              <w:left w:val="nil"/>
              <w:bottom w:val="nil"/>
              <w:right w:val="single" w:sz="4" w:space="0" w:color="auto"/>
            </w:tcBorders>
            <w:noWrap/>
            <w:vAlign w:val="bottom"/>
          </w:tcPr>
          <w:p w14:paraId="6CE2A012"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2018</w:t>
            </w:r>
          </w:p>
        </w:tc>
        <w:tc>
          <w:tcPr>
            <w:tcW w:w="1484" w:type="dxa"/>
            <w:tcBorders>
              <w:top w:val="nil"/>
              <w:left w:val="nil"/>
              <w:bottom w:val="nil"/>
              <w:right w:val="single" w:sz="4" w:space="0" w:color="auto"/>
            </w:tcBorders>
            <w:noWrap/>
            <w:vAlign w:val="bottom"/>
          </w:tcPr>
          <w:p w14:paraId="4D23C70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43 715,10</w:t>
            </w:r>
          </w:p>
        </w:tc>
        <w:tc>
          <w:tcPr>
            <w:tcW w:w="1254" w:type="dxa"/>
            <w:tcBorders>
              <w:top w:val="nil"/>
              <w:left w:val="nil"/>
              <w:bottom w:val="nil"/>
              <w:right w:val="single" w:sz="4" w:space="0" w:color="auto"/>
            </w:tcBorders>
            <w:noWrap/>
            <w:vAlign w:val="bottom"/>
          </w:tcPr>
          <w:p w14:paraId="709828F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1867A2F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43 715,10</w:t>
            </w:r>
          </w:p>
        </w:tc>
      </w:tr>
      <w:tr w:rsidR="00862C6F" w:rsidRPr="00236418" w14:paraId="3CFCEE65"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046CA033"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Érythrée</w:t>
            </w:r>
          </w:p>
        </w:tc>
        <w:tc>
          <w:tcPr>
            <w:tcW w:w="1726" w:type="dxa"/>
            <w:tcBorders>
              <w:top w:val="nil"/>
              <w:left w:val="nil"/>
              <w:bottom w:val="nil"/>
              <w:right w:val="single" w:sz="4" w:space="0" w:color="auto"/>
            </w:tcBorders>
            <w:noWrap/>
            <w:vAlign w:val="bottom"/>
          </w:tcPr>
          <w:p w14:paraId="564A7CA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2017-2018</w:t>
            </w:r>
          </w:p>
        </w:tc>
        <w:tc>
          <w:tcPr>
            <w:tcW w:w="1484" w:type="dxa"/>
            <w:tcBorders>
              <w:top w:val="nil"/>
              <w:left w:val="nil"/>
              <w:bottom w:val="nil"/>
              <w:right w:val="single" w:sz="4" w:space="0" w:color="auto"/>
            </w:tcBorders>
            <w:noWrap/>
            <w:vAlign w:val="bottom"/>
          </w:tcPr>
          <w:p w14:paraId="029CC80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22 539,85</w:t>
            </w:r>
          </w:p>
        </w:tc>
        <w:tc>
          <w:tcPr>
            <w:tcW w:w="1254" w:type="dxa"/>
            <w:tcBorders>
              <w:top w:val="nil"/>
              <w:left w:val="nil"/>
              <w:bottom w:val="nil"/>
              <w:right w:val="single" w:sz="4" w:space="0" w:color="auto"/>
            </w:tcBorders>
            <w:noWrap/>
            <w:vAlign w:val="bottom"/>
          </w:tcPr>
          <w:p w14:paraId="53B227E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4B0C83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22 539,85</w:t>
            </w:r>
          </w:p>
        </w:tc>
      </w:tr>
      <w:tr w:rsidR="00862C6F" w:rsidRPr="00236418" w14:paraId="0101740D"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4E52766D"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Éthiopie</w:t>
            </w:r>
          </w:p>
        </w:tc>
        <w:tc>
          <w:tcPr>
            <w:tcW w:w="1726" w:type="dxa"/>
            <w:tcBorders>
              <w:top w:val="nil"/>
              <w:left w:val="nil"/>
              <w:bottom w:val="nil"/>
              <w:right w:val="single" w:sz="4" w:space="0" w:color="auto"/>
            </w:tcBorders>
            <w:noWrap/>
            <w:vAlign w:val="bottom"/>
          </w:tcPr>
          <w:p w14:paraId="4C96165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2017-2018</w:t>
            </w:r>
          </w:p>
        </w:tc>
        <w:tc>
          <w:tcPr>
            <w:tcW w:w="1484" w:type="dxa"/>
            <w:tcBorders>
              <w:top w:val="nil"/>
              <w:left w:val="nil"/>
              <w:bottom w:val="nil"/>
              <w:right w:val="single" w:sz="4" w:space="0" w:color="auto"/>
            </w:tcBorders>
            <w:noWrap/>
            <w:vAlign w:val="bottom"/>
          </w:tcPr>
          <w:p w14:paraId="34E463F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22 430,55</w:t>
            </w:r>
          </w:p>
        </w:tc>
        <w:tc>
          <w:tcPr>
            <w:tcW w:w="1254" w:type="dxa"/>
            <w:tcBorders>
              <w:top w:val="nil"/>
              <w:left w:val="nil"/>
              <w:bottom w:val="nil"/>
              <w:right w:val="single" w:sz="4" w:space="0" w:color="auto"/>
            </w:tcBorders>
            <w:noWrap/>
            <w:vAlign w:val="bottom"/>
          </w:tcPr>
          <w:p w14:paraId="38DC02C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6B6446E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22 430,55</w:t>
            </w:r>
          </w:p>
        </w:tc>
      </w:tr>
      <w:tr w:rsidR="00862C6F" w:rsidRPr="00236418" w14:paraId="46CE22CE"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2FCDBFB6"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Guinée</w:t>
            </w:r>
          </w:p>
        </w:tc>
        <w:tc>
          <w:tcPr>
            <w:tcW w:w="1726" w:type="dxa"/>
            <w:tcBorders>
              <w:top w:val="nil"/>
              <w:left w:val="nil"/>
              <w:bottom w:val="nil"/>
              <w:right w:val="single" w:sz="4" w:space="0" w:color="auto"/>
            </w:tcBorders>
            <w:noWrap/>
            <w:vAlign w:val="bottom"/>
          </w:tcPr>
          <w:p w14:paraId="03406A4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2014-2018</w:t>
            </w:r>
          </w:p>
        </w:tc>
        <w:tc>
          <w:tcPr>
            <w:tcW w:w="1484" w:type="dxa"/>
            <w:tcBorders>
              <w:top w:val="nil"/>
              <w:left w:val="nil"/>
              <w:bottom w:val="nil"/>
              <w:right w:val="single" w:sz="4" w:space="0" w:color="auto"/>
            </w:tcBorders>
            <w:noWrap/>
            <w:vAlign w:val="bottom"/>
          </w:tcPr>
          <w:p w14:paraId="593B18B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174 382,77</w:t>
            </w:r>
          </w:p>
        </w:tc>
        <w:tc>
          <w:tcPr>
            <w:tcW w:w="1254" w:type="dxa"/>
            <w:tcBorders>
              <w:top w:val="nil"/>
              <w:left w:val="nil"/>
              <w:bottom w:val="nil"/>
              <w:right w:val="single" w:sz="4" w:space="0" w:color="auto"/>
            </w:tcBorders>
            <w:noWrap/>
            <w:vAlign w:val="bottom"/>
          </w:tcPr>
          <w:p w14:paraId="4B30665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90,20</w:t>
            </w:r>
          </w:p>
        </w:tc>
        <w:tc>
          <w:tcPr>
            <w:tcW w:w="1484" w:type="dxa"/>
            <w:tcBorders>
              <w:top w:val="nil"/>
              <w:left w:val="nil"/>
              <w:bottom w:val="nil"/>
              <w:right w:val="single" w:sz="4" w:space="0" w:color="auto"/>
            </w:tcBorders>
            <w:noWrap/>
            <w:vAlign w:val="bottom"/>
          </w:tcPr>
          <w:p w14:paraId="1AD3B4D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174 472,97</w:t>
            </w:r>
          </w:p>
        </w:tc>
      </w:tr>
      <w:tr w:rsidR="00862C6F" w:rsidRPr="00236418" w14:paraId="5071D136"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6D1A0C3B"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Iran</w:t>
            </w:r>
          </w:p>
        </w:tc>
        <w:tc>
          <w:tcPr>
            <w:tcW w:w="1726" w:type="dxa"/>
            <w:tcBorders>
              <w:top w:val="nil"/>
              <w:left w:val="nil"/>
              <w:bottom w:val="nil"/>
              <w:right w:val="single" w:sz="4" w:space="0" w:color="auto"/>
            </w:tcBorders>
            <w:noWrap/>
            <w:vAlign w:val="bottom"/>
          </w:tcPr>
          <w:p w14:paraId="1B5413A5"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2016-2018</w:t>
            </w:r>
          </w:p>
        </w:tc>
        <w:tc>
          <w:tcPr>
            <w:tcW w:w="1484" w:type="dxa"/>
            <w:tcBorders>
              <w:top w:val="nil"/>
              <w:left w:val="nil"/>
              <w:bottom w:val="nil"/>
              <w:right w:val="single" w:sz="4" w:space="0" w:color="auto"/>
            </w:tcBorders>
            <w:noWrap/>
            <w:vAlign w:val="bottom"/>
          </w:tcPr>
          <w:p w14:paraId="03825D1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102 809,39</w:t>
            </w:r>
          </w:p>
        </w:tc>
        <w:tc>
          <w:tcPr>
            <w:tcW w:w="1254" w:type="dxa"/>
            <w:tcBorders>
              <w:top w:val="nil"/>
              <w:left w:val="nil"/>
              <w:bottom w:val="nil"/>
              <w:right w:val="single" w:sz="4" w:space="0" w:color="auto"/>
            </w:tcBorders>
            <w:noWrap/>
            <w:vAlign w:val="bottom"/>
          </w:tcPr>
          <w:p w14:paraId="3B3ACF8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5A38CF3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102 809,39</w:t>
            </w:r>
          </w:p>
        </w:tc>
      </w:tr>
      <w:tr w:rsidR="00862C6F" w:rsidRPr="00236418" w14:paraId="4A52BC12"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973DDD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Libye</w:t>
            </w:r>
          </w:p>
        </w:tc>
        <w:tc>
          <w:tcPr>
            <w:tcW w:w="1726" w:type="dxa"/>
            <w:tcBorders>
              <w:top w:val="nil"/>
              <w:left w:val="nil"/>
              <w:bottom w:val="nil"/>
              <w:right w:val="single" w:sz="4" w:space="0" w:color="auto"/>
            </w:tcBorders>
            <w:noWrap/>
            <w:vAlign w:val="bottom"/>
          </w:tcPr>
          <w:p w14:paraId="2D13013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2014-2018</w:t>
            </w:r>
          </w:p>
        </w:tc>
        <w:tc>
          <w:tcPr>
            <w:tcW w:w="1484" w:type="dxa"/>
            <w:tcBorders>
              <w:top w:val="nil"/>
              <w:left w:val="nil"/>
              <w:bottom w:val="nil"/>
              <w:right w:val="single" w:sz="4" w:space="0" w:color="auto"/>
            </w:tcBorders>
            <w:noWrap/>
            <w:vAlign w:val="bottom"/>
          </w:tcPr>
          <w:p w14:paraId="4D22489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1 970 551,80</w:t>
            </w:r>
          </w:p>
        </w:tc>
        <w:tc>
          <w:tcPr>
            <w:tcW w:w="1254" w:type="dxa"/>
            <w:tcBorders>
              <w:top w:val="nil"/>
              <w:left w:val="nil"/>
              <w:bottom w:val="nil"/>
              <w:right w:val="single" w:sz="4" w:space="0" w:color="auto"/>
            </w:tcBorders>
            <w:noWrap/>
            <w:vAlign w:val="bottom"/>
          </w:tcPr>
          <w:p w14:paraId="37487A4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287444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1 970 551,80</w:t>
            </w:r>
          </w:p>
        </w:tc>
      </w:tr>
      <w:tr w:rsidR="00862C6F" w:rsidRPr="00236418" w14:paraId="0C589E4D"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6305D095"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Iles Marshall</w:t>
            </w:r>
          </w:p>
        </w:tc>
        <w:tc>
          <w:tcPr>
            <w:tcW w:w="1726" w:type="dxa"/>
            <w:tcBorders>
              <w:top w:val="nil"/>
              <w:left w:val="nil"/>
              <w:bottom w:val="nil"/>
              <w:right w:val="single" w:sz="4" w:space="0" w:color="auto"/>
            </w:tcBorders>
            <w:noWrap/>
            <w:vAlign w:val="bottom"/>
          </w:tcPr>
          <w:p w14:paraId="711FE05B"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2017-2018</w:t>
            </w:r>
          </w:p>
        </w:tc>
        <w:tc>
          <w:tcPr>
            <w:tcW w:w="1484" w:type="dxa"/>
            <w:tcBorders>
              <w:top w:val="nil"/>
              <w:left w:val="nil"/>
              <w:bottom w:val="nil"/>
              <w:right w:val="single" w:sz="4" w:space="0" w:color="auto"/>
            </w:tcBorders>
            <w:noWrap/>
            <w:vAlign w:val="bottom"/>
          </w:tcPr>
          <w:p w14:paraId="6EEF096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10 097,78</w:t>
            </w:r>
          </w:p>
        </w:tc>
        <w:tc>
          <w:tcPr>
            <w:tcW w:w="1254" w:type="dxa"/>
            <w:tcBorders>
              <w:top w:val="nil"/>
              <w:left w:val="nil"/>
              <w:bottom w:val="nil"/>
              <w:right w:val="single" w:sz="4" w:space="0" w:color="auto"/>
            </w:tcBorders>
            <w:noWrap/>
            <w:vAlign w:val="bottom"/>
          </w:tcPr>
          <w:p w14:paraId="6348A87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5745E7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10 097,78</w:t>
            </w:r>
          </w:p>
        </w:tc>
      </w:tr>
      <w:tr w:rsidR="00862C6F" w:rsidRPr="00236418" w14:paraId="23B7C619"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EBDA3C0"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Mozambique</w:t>
            </w:r>
          </w:p>
        </w:tc>
        <w:tc>
          <w:tcPr>
            <w:tcW w:w="1726" w:type="dxa"/>
            <w:tcBorders>
              <w:top w:val="nil"/>
              <w:left w:val="nil"/>
              <w:bottom w:val="nil"/>
              <w:right w:val="single" w:sz="4" w:space="0" w:color="auto"/>
            </w:tcBorders>
            <w:noWrap/>
            <w:vAlign w:val="bottom"/>
          </w:tcPr>
          <w:p w14:paraId="0C3FC3E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2018</w:t>
            </w:r>
          </w:p>
        </w:tc>
        <w:tc>
          <w:tcPr>
            <w:tcW w:w="1484" w:type="dxa"/>
            <w:tcBorders>
              <w:top w:val="nil"/>
              <w:left w:val="nil"/>
              <w:bottom w:val="nil"/>
              <w:right w:val="single" w:sz="4" w:space="0" w:color="auto"/>
            </w:tcBorders>
            <w:noWrap/>
            <w:vAlign w:val="bottom"/>
          </w:tcPr>
          <w:p w14:paraId="054C70B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21 857,50</w:t>
            </w:r>
          </w:p>
        </w:tc>
        <w:tc>
          <w:tcPr>
            <w:tcW w:w="1254" w:type="dxa"/>
            <w:tcBorders>
              <w:top w:val="nil"/>
              <w:left w:val="nil"/>
              <w:bottom w:val="nil"/>
              <w:right w:val="single" w:sz="4" w:space="0" w:color="auto"/>
            </w:tcBorders>
            <w:noWrap/>
            <w:vAlign w:val="bottom"/>
          </w:tcPr>
          <w:p w14:paraId="608D85A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304D621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21 857,50</w:t>
            </w:r>
          </w:p>
        </w:tc>
      </w:tr>
      <w:tr w:rsidR="00862C6F" w:rsidRPr="00236418" w14:paraId="353A113E"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5C376F18"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Nauru</w:t>
            </w:r>
          </w:p>
        </w:tc>
        <w:tc>
          <w:tcPr>
            <w:tcW w:w="1726" w:type="dxa"/>
            <w:tcBorders>
              <w:top w:val="nil"/>
              <w:left w:val="nil"/>
              <w:bottom w:val="nil"/>
              <w:right w:val="single" w:sz="4" w:space="0" w:color="auto"/>
            </w:tcBorders>
            <w:noWrap/>
            <w:vAlign w:val="bottom"/>
          </w:tcPr>
          <w:p w14:paraId="55ADC68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1991-2017</w:t>
            </w:r>
          </w:p>
        </w:tc>
        <w:tc>
          <w:tcPr>
            <w:tcW w:w="1484" w:type="dxa"/>
            <w:tcBorders>
              <w:top w:val="nil"/>
              <w:left w:val="nil"/>
              <w:bottom w:val="nil"/>
              <w:right w:val="single" w:sz="4" w:space="0" w:color="auto"/>
            </w:tcBorders>
            <w:noWrap/>
            <w:vAlign w:val="bottom"/>
          </w:tcPr>
          <w:p w14:paraId="06A62EF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1 691 422,55</w:t>
            </w:r>
          </w:p>
        </w:tc>
        <w:tc>
          <w:tcPr>
            <w:tcW w:w="1254" w:type="dxa"/>
            <w:tcBorders>
              <w:top w:val="nil"/>
              <w:left w:val="nil"/>
              <w:bottom w:val="nil"/>
              <w:right w:val="single" w:sz="4" w:space="0" w:color="auto"/>
            </w:tcBorders>
            <w:noWrap/>
            <w:vAlign w:val="bottom"/>
          </w:tcPr>
          <w:p w14:paraId="30639DB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8A6E20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1 691 422,55</w:t>
            </w:r>
          </w:p>
        </w:tc>
      </w:tr>
      <w:tr w:rsidR="00862C6F" w:rsidRPr="00236418" w14:paraId="76F39491"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0FB4442E"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Népal</w:t>
            </w:r>
          </w:p>
        </w:tc>
        <w:tc>
          <w:tcPr>
            <w:tcW w:w="1726" w:type="dxa"/>
            <w:tcBorders>
              <w:top w:val="nil"/>
              <w:left w:val="nil"/>
              <w:bottom w:val="nil"/>
              <w:right w:val="single" w:sz="4" w:space="0" w:color="auto"/>
            </w:tcBorders>
            <w:noWrap/>
            <w:vAlign w:val="bottom"/>
          </w:tcPr>
          <w:p w14:paraId="11A84539"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2013-2018</w:t>
            </w:r>
          </w:p>
        </w:tc>
        <w:tc>
          <w:tcPr>
            <w:tcW w:w="1484" w:type="dxa"/>
            <w:tcBorders>
              <w:top w:val="nil"/>
              <w:left w:val="nil"/>
              <w:bottom w:val="nil"/>
              <w:right w:val="single" w:sz="4" w:space="0" w:color="auto"/>
            </w:tcBorders>
            <w:noWrap/>
            <w:vAlign w:val="bottom"/>
          </w:tcPr>
          <w:p w14:paraId="7F744B2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8 872,65</w:t>
            </w:r>
          </w:p>
        </w:tc>
        <w:tc>
          <w:tcPr>
            <w:tcW w:w="1254" w:type="dxa"/>
            <w:tcBorders>
              <w:top w:val="nil"/>
              <w:left w:val="nil"/>
              <w:bottom w:val="nil"/>
              <w:right w:val="single" w:sz="4" w:space="0" w:color="auto"/>
            </w:tcBorders>
            <w:noWrap/>
            <w:vAlign w:val="bottom"/>
          </w:tcPr>
          <w:p w14:paraId="2B7356B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42,00</w:t>
            </w:r>
          </w:p>
        </w:tc>
        <w:tc>
          <w:tcPr>
            <w:tcW w:w="1484" w:type="dxa"/>
            <w:tcBorders>
              <w:top w:val="nil"/>
              <w:left w:val="nil"/>
              <w:bottom w:val="nil"/>
              <w:right w:val="single" w:sz="4" w:space="0" w:color="auto"/>
            </w:tcBorders>
            <w:noWrap/>
            <w:vAlign w:val="bottom"/>
          </w:tcPr>
          <w:p w14:paraId="02D315A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8 914,65</w:t>
            </w:r>
          </w:p>
        </w:tc>
      </w:tr>
      <w:tr w:rsidR="00862C6F" w:rsidRPr="00236418" w14:paraId="20035B71"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79976F24"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Nicaragua</w:t>
            </w:r>
          </w:p>
        </w:tc>
        <w:tc>
          <w:tcPr>
            <w:tcW w:w="1726" w:type="dxa"/>
            <w:tcBorders>
              <w:top w:val="nil"/>
              <w:left w:val="nil"/>
              <w:bottom w:val="nil"/>
              <w:right w:val="single" w:sz="4" w:space="0" w:color="auto"/>
            </w:tcBorders>
            <w:noWrap/>
            <w:vAlign w:val="bottom"/>
          </w:tcPr>
          <w:p w14:paraId="418FC192"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2015-2018</w:t>
            </w:r>
          </w:p>
        </w:tc>
        <w:tc>
          <w:tcPr>
            <w:tcW w:w="1484" w:type="dxa"/>
            <w:tcBorders>
              <w:top w:val="nil"/>
              <w:left w:val="nil"/>
              <w:bottom w:val="nil"/>
              <w:right w:val="single" w:sz="4" w:space="0" w:color="auto"/>
            </w:tcBorders>
            <w:noWrap/>
            <w:vAlign w:val="bottom"/>
          </w:tcPr>
          <w:p w14:paraId="4301E3D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382 473,30</w:t>
            </w:r>
          </w:p>
        </w:tc>
        <w:tc>
          <w:tcPr>
            <w:tcW w:w="1254" w:type="dxa"/>
            <w:tcBorders>
              <w:top w:val="nil"/>
              <w:left w:val="nil"/>
              <w:bottom w:val="nil"/>
              <w:right w:val="single" w:sz="4" w:space="0" w:color="auto"/>
            </w:tcBorders>
            <w:noWrap/>
            <w:vAlign w:val="bottom"/>
          </w:tcPr>
          <w:p w14:paraId="3A8F8FB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3089580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382 473,30</w:t>
            </w:r>
          </w:p>
        </w:tc>
      </w:tr>
      <w:tr w:rsidR="00862C6F" w:rsidRPr="00236418" w14:paraId="2FFD219B"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BD7AF6E"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Pakistan</w:t>
            </w:r>
          </w:p>
        </w:tc>
        <w:tc>
          <w:tcPr>
            <w:tcW w:w="1726" w:type="dxa"/>
            <w:tcBorders>
              <w:top w:val="nil"/>
              <w:left w:val="nil"/>
              <w:bottom w:val="nil"/>
              <w:right w:val="single" w:sz="4" w:space="0" w:color="auto"/>
            </w:tcBorders>
            <w:noWrap/>
            <w:vAlign w:val="bottom"/>
          </w:tcPr>
          <w:p w14:paraId="5C71DD5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2017-2018</w:t>
            </w:r>
          </w:p>
        </w:tc>
        <w:tc>
          <w:tcPr>
            <w:tcW w:w="1484" w:type="dxa"/>
            <w:tcBorders>
              <w:top w:val="nil"/>
              <w:left w:val="nil"/>
              <w:bottom w:val="nil"/>
              <w:right w:val="single" w:sz="4" w:space="0" w:color="auto"/>
            </w:tcBorders>
            <w:noWrap/>
            <w:vAlign w:val="bottom"/>
          </w:tcPr>
          <w:p w14:paraId="174505E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159 910,97</w:t>
            </w:r>
          </w:p>
        </w:tc>
        <w:tc>
          <w:tcPr>
            <w:tcW w:w="1254" w:type="dxa"/>
            <w:tcBorders>
              <w:top w:val="nil"/>
              <w:left w:val="nil"/>
              <w:bottom w:val="nil"/>
              <w:right w:val="single" w:sz="4" w:space="0" w:color="auto"/>
            </w:tcBorders>
            <w:noWrap/>
            <w:vAlign w:val="bottom"/>
          </w:tcPr>
          <w:p w14:paraId="4E01658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26A2009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159 910,97</w:t>
            </w:r>
          </w:p>
        </w:tc>
      </w:tr>
      <w:tr w:rsidR="00862C6F" w:rsidRPr="00236418" w14:paraId="2CA775BE"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1CFF0A1B"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Pérou</w:t>
            </w:r>
          </w:p>
        </w:tc>
        <w:tc>
          <w:tcPr>
            <w:tcW w:w="1726" w:type="dxa"/>
            <w:tcBorders>
              <w:top w:val="nil"/>
              <w:left w:val="nil"/>
              <w:bottom w:val="nil"/>
              <w:right w:val="single" w:sz="4" w:space="0" w:color="auto"/>
            </w:tcBorders>
            <w:noWrap/>
            <w:vAlign w:val="bottom"/>
          </w:tcPr>
          <w:p w14:paraId="7F337CA1"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2014-2018</w:t>
            </w:r>
          </w:p>
        </w:tc>
        <w:tc>
          <w:tcPr>
            <w:tcW w:w="1484" w:type="dxa"/>
            <w:tcBorders>
              <w:top w:val="nil"/>
              <w:left w:val="nil"/>
              <w:bottom w:val="nil"/>
              <w:right w:val="single" w:sz="4" w:space="0" w:color="auto"/>
            </w:tcBorders>
            <w:noWrap/>
            <w:vAlign w:val="bottom"/>
          </w:tcPr>
          <w:p w14:paraId="75412FF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7 572,35</w:t>
            </w:r>
          </w:p>
        </w:tc>
        <w:tc>
          <w:tcPr>
            <w:tcW w:w="1254" w:type="dxa"/>
            <w:tcBorders>
              <w:top w:val="nil"/>
              <w:left w:val="nil"/>
              <w:bottom w:val="nil"/>
              <w:right w:val="single" w:sz="4" w:space="0" w:color="auto"/>
            </w:tcBorders>
            <w:noWrap/>
            <w:vAlign w:val="bottom"/>
          </w:tcPr>
          <w:p w14:paraId="60DACE5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452B63F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7 572,35</w:t>
            </w:r>
          </w:p>
        </w:tc>
      </w:tr>
      <w:tr w:rsidR="00862C6F" w:rsidRPr="00236418" w14:paraId="0808F6D2"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2F5CC088"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Tunisie</w:t>
            </w:r>
          </w:p>
        </w:tc>
        <w:tc>
          <w:tcPr>
            <w:tcW w:w="1726" w:type="dxa"/>
            <w:tcBorders>
              <w:top w:val="nil"/>
              <w:left w:val="nil"/>
              <w:bottom w:val="nil"/>
              <w:right w:val="single" w:sz="4" w:space="0" w:color="auto"/>
            </w:tcBorders>
            <w:noWrap/>
            <w:vAlign w:val="bottom"/>
          </w:tcPr>
          <w:p w14:paraId="1452F85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2015-2018</w:t>
            </w:r>
          </w:p>
        </w:tc>
        <w:tc>
          <w:tcPr>
            <w:tcW w:w="1484" w:type="dxa"/>
            <w:tcBorders>
              <w:top w:val="nil"/>
              <w:left w:val="nil"/>
              <w:bottom w:val="nil"/>
              <w:right w:val="single" w:sz="4" w:space="0" w:color="auto"/>
            </w:tcBorders>
            <w:noWrap/>
            <w:vAlign w:val="bottom"/>
          </w:tcPr>
          <w:p w14:paraId="4E0D569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14 529,40</w:t>
            </w:r>
          </w:p>
        </w:tc>
        <w:tc>
          <w:tcPr>
            <w:tcW w:w="1254" w:type="dxa"/>
            <w:tcBorders>
              <w:top w:val="nil"/>
              <w:left w:val="nil"/>
              <w:bottom w:val="nil"/>
              <w:right w:val="single" w:sz="4" w:space="0" w:color="auto"/>
            </w:tcBorders>
            <w:noWrap/>
            <w:vAlign w:val="bottom"/>
          </w:tcPr>
          <w:p w14:paraId="70C0329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186223E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14 529,40</w:t>
            </w:r>
          </w:p>
        </w:tc>
      </w:tr>
      <w:tr w:rsidR="00862C6F" w:rsidRPr="00236418" w14:paraId="0C602960"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5AF180D9"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Vanuatu</w:t>
            </w:r>
          </w:p>
        </w:tc>
        <w:tc>
          <w:tcPr>
            <w:tcW w:w="1726" w:type="dxa"/>
            <w:tcBorders>
              <w:top w:val="nil"/>
              <w:left w:val="nil"/>
              <w:bottom w:val="nil"/>
              <w:right w:val="single" w:sz="4" w:space="0" w:color="auto"/>
            </w:tcBorders>
            <w:noWrap/>
            <w:vAlign w:val="bottom"/>
          </w:tcPr>
          <w:p w14:paraId="7DE8E54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2014-2018</w:t>
            </w:r>
          </w:p>
        </w:tc>
        <w:tc>
          <w:tcPr>
            <w:tcW w:w="1484" w:type="dxa"/>
            <w:tcBorders>
              <w:top w:val="nil"/>
              <w:left w:val="nil"/>
              <w:bottom w:val="nil"/>
              <w:right w:val="single" w:sz="4" w:space="0" w:color="auto"/>
            </w:tcBorders>
            <w:noWrap/>
            <w:vAlign w:val="bottom"/>
          </w:tcPr>
          <w:p w14:paraId="6AB032C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56 283,64</w:t>
            </w:r>
          </w:p>
        </w:tc>
        <w:tc>
          <w:tcPr>
            <w:tcW w:w="1254" w:type="dxa"/>
            <w:tcBorders>
              <w:top w:val="nil"/>
              <w:left w:val="nil"/>
              <w:bottom w:val="nil"/>
              <w:right w:val="single" w:sz="4" w:space="0" w:color="auto"/>
            </w:tcBorders>
            <w:noWrap/>
            <w:vAlign w:val="bottom"/>
          </w:tcPr>
          <w:p w14:paraId="0498C47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73B5468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56 283,64</w:t>
            </w:r>
          </w:p>
        </w:tc>
      </w:tr>
      <w:tr w:rsidR="00862C6F" w:rsidRPr="00236418" w14:paraId="296A8A6D" w14:textId="77777777" w:rsidTr="00620F53">
        <w:trPr>
          <w:trHeight w:val="300"/>
          <w:jc w:val="center"/>
        </w:trPr>
        <w:tc>
          <w:tcPr>
            <w:tcW w:w="3681" w:type="dxa"/>
            <w:tcBorders>
              <w:top w:val="nil"/>
              <w:left w:val="single" w:sz="4" w:space="0" w:color="auto"/>
              <w:bottom w:val="single" w:sz="4" w:space="0" w:color="auto"/>
              <w:right w:val="single" w:sz="4" w:space="0" w:color="auto"/>
            </w:tcBorders>
            <w:shd w:val="clear" w:color="auto" w:fill="auto"/>
            <w:tcMar>
              <w:left w:w="108" w:type="dxa"/>
              <w:right w:w="0" w:type="dxa"/>
            </w:tcMar>
            <w:vAlign w:val="bottom"/>
          </w:tcPr>
          <w:p w14:paraId="60200A7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Venezuela</w:t>
            </w:r>
          </w:p>
        </w:tc>
        <w:tc>
          <w:tcPr>
            <w:tcW w:w="1726" w:type="dxa"/>
            <w:tcBorders>
              <w:top w:val="nil"/>
              <w:left w:val="nil"/>
              <w:bottom w:val="nil"/>
              <w:right w:val="single" w:sz="4" w:space="0" w:color="auto"/>
            </w:tcBorders>
            <w:noWrap/>
            <w:vAlign w:val="bottom"/>
          </w:tcPr>
          <w:p w14:paraId="483F233E"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en-GB"/>
              </w:rPr>
              <w:t>2013-2018</w:t>
            </w:r>
          </w:p>
        </w:tc>
        <w:tc>
          <w:tcPr>
            <w:tcW w:w="1484" w:type="dxa"/>
            <w:tcBorders>
              <w:top w:val="nil"/>
              <w:left w:val="nil"/>
              <w:bottom w:val="nil"/>
              <w:right w:val="single" w:sz="4" w:space="0" w:color="auto"/>
            </w:tcBorders>
            <w:noWrap/>
            <w:vAlign w:val="bottom"/>
          </w:tcPr>
          <w:p w14:paraId="3937E67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1 151 162,89</w:t>
            </w:r>
          </w:p>
        </w:tc>
        <w:tc>
          <w:tcPr>
            <w:tcW w:w="1254" w:type="dxa"/>
            <w:tcBorders>
              <w:top w:val="nil"/>
              <w:left w:val="nil"/>
              <w:bottom w:val="nil"/>
              <w:right w:val="single" w:sz="4" w:space="0" w:color="auto"/>
            </w:tcBorders>
            <w:noWrap/>
            <w:vAlign w:val="bottom"/>
          </w:tcPr>
          <w:p w14:paraId="3090BD5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0,00</w:t>
            </w:r>
          </w:p>
        </w:tc>
        <w:tc>
          <w:tcPr>
            <w:tcW w:w="1484" w:type="dxa"/>
            <w:tcBorders>
              <w:top w:val="nil"/>
              <w:left w:val="nil"/>
              <w:bottom w:val="nil"/>
              <w:right w:val="single" w:sz="4" w:space="0" w:color="auto"/>
            </w:tcBorders>
            <w:noWrap/>
            <w:vAlign w:val="bottom"/>
          </w:tcPr>
          <w:p w14:paraId="3BBBA9B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1 151 162,89</w:t>
            </w:r>
          </w:p>
        </w:tc>
      </w:tr>
      <w:tr w:rsidR="00862C6F" w:rsidRPr="00236418" w14:paraId="03DBBFA6" w14:textId="77777777" w:rsidTr="00620F53">
        <w:trPr>
          <w:trHeight w:val="300"/>
          <w:jc w:val="center"/>
        </w:trPr>
        <w:tc>
          <w:tcPr>
            <w:tcW w:w="5407"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0" w:type="dxa"/>
            </w:tcMar>
            <w:vAlign w:val="center"/>
          </w:tcPr>
          <w:p w14:paraId="774D533B"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2"/>
                <w:lang w:eastAsia="zh-CN"/>
              </w:rPr>
            </w:pPr>
          </w:p>
        </w:tc>
        <w:tc>
          <w:tcPr>
            <w:tcW w:w="1484" w:type="dxa"/>
            <w:tcBorders>
              <w:top w:val="single" w:sz="4" w:space="0" w:color="auto"/>
              <w:left w:val="nil"/>
              <w:bottom w:val="single" w:sz="4" w:space="0" w:color="auto"/>
              <w:right w:val="single" w:sz="4" w:space="0" w:color="auto"/>
            </w:tcBorders>
            <w:noWrap/>
            <w:vAlign w:val="bottom"/>
          </w:tcPr>
          <w:p w14:paraId="6C7F044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8 942 061,69</w:t>
            </w:r>
          </w:p>
        </w:tc>
        <w:tc>
          <w:tcPr>
            <w:tcW w:w="1254" w:type="dxa"/>
            <w:tcBorders>
              <w:top w:val="single" w:sz="4" w:space="0" w:color="auto"/>
              <w:left w:val="nil"/>
              <w:bottom w:val="single" w:sz="4" w:space="0" w:color="auto"/>
              <w:right w:val="single" w:sz="4" w:space="0" w:color="auto"/>
            </w:tcBorders>
            <w:noWrap/>
            <w:vAlign w:val="bottom"/>
          </w:tcPr>
          <w:p w14:paraId="5FD31B5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41 281,20</w:t>
            </w:r>
          </w:p>
        </w:tc>
        <w:tc>
          <w:tcPr>
            <w:tcW w:w="1484" w:type="dxa"/>
            <w:tcBorders>
              <w:top w:val="single" w:sz="4" w:space="0" w:color="auto"/>
              <w:left w:val="nil"/>
              <w:bottom w:val="single" w:sz="4" w:space="0" w:color="auto"/>
              <w:right w:val="single" w:sz="4" w:space="0" w:color="auto"/>
            </w:tcBorders>
            <w:noWrap/>
            <w:vAlign w:val="bottom"/>
          </w:tcPr>
          <w:p w14:paraId="40CC977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en-GB"/>
              </w:rPr>
              <w:t>8 983 342,89</w:t>
            </w:r>
          </w:p>
        </w:tc>
      </w:tr>
    </w:tbl>
    <w:p w14:paraId="2053E9BF" w14:textId="77777777" w:rsidR="00862C6F" w:rsidRPr="00236418" w:rsidRDefault="00862C6F" w:rsidP="00862C6F"/>
    <w:p w14:paraId="4E3AFED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236418" w14:paraId="51539B31" w14:textId="77777777" w:rsidTr="00620F53">
        <w:trPr>
          <w:trHeight w:val="300"/>
          <w:tblHeader/>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EFEEE" w14:textId="77777777" w:rsidR="00862C6F" w:rsidRPr="00236418" w:rsidRDefault="00862C6F" w:rsidP="00862C6F">
            <w:pPr>
              <w:keepNext/>
              <w:keepLines/>
              <w:tabs>
                <w:tab w:val="clear" w:pos="567"/>
                <w:tab w:val="clear" w:pos="1134"/>
                <w:tab w:val="clear" w:pos="1701"/>
                <w:tab w:val="clear" w:pos="2268"/>
                <w:tab w:val="clear" w:pos="2835"/>
              </w:tabs>
              <w:spacing w:after="120"/>
              <w:ind w:left="454" w:hanging="454"/>
              <w:rPr>
                <w:b/>
                <w:sz w:val="22"/>
              </w:rPr>
            </w:pPr>
            <w:r w:rsidRPr="00236418">
              <w:rPr>
                <w:b/>
                <w:sz w:val="22"/>
              </w:rPr>
              <w:lastRenderedPageBreak/>
              <w:t>B</w:t>
            </w:r>
            <w:r w:rsidRPr="00236418">
              <w:rPr>
                <w:b/>
                <w:sz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1996CA3A" w14:textId="77777777" w:rsidR="00862C6F" w:rsidRPr="00236418" w:rsidRDefault="00862C6F" w:rsidP="00862C6F">
            <w:pPr>
              <w:keepNext/>
              <w:keepLines/>
              <w:tabs>
                <w:tab w:val="clear" w:pos="567"/>
                <w:tab w:val="clear" w:pos="1134"/>
                <w:tab w:val="clear" w:pos="1701"/>
                <w:tab w:val="clear" w:pos="2268"/>
                <w:tab w:val="clear" w:pos="2835"/>
              </w:tabs>
              <w:spacing w:after="120"/>
              <w:jc w:val="center"/>
              <w:rPr>
                <w:b/>
                <w:sz w:val="22"/>
              </w:rPr>
            </w:pPr>
            <w:r w:rsidRPr="00236418">
              <w:rPr>
                <w:b/>
                <w:sz w:val="22"/>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48D8DDC6" w14:textId="77777777" w:rsidR="00862C6F" w:rsidRPr="00236418" w:rsidRDefault="00862C6F" w:rsidP="00862C6F">
            <w:pPr>
              <w:keepNext/>
              <w:keepLines/>
              <w:tabs>
                <w:tab w:val="clear" w:pos="567"/>
                <w:tab w:val="clear" w:pos="1134"/>
                <w:tab w:val="clear" w:pos="1701"/>
                <w:tab w:val="clear" w:pos="2268"/>
                <w:tab w:val="clear" w:pos="2835"/>
              </w:tabs>
              <w:spacing w:after="120"/>
              <w:jc w:val="center"/>
              <w:rPr>
                <w:b/>
                <w:sz w:val="22"/>
              </w:rPr>
            </w:pPr>
            <w:r w:rsidRPr="00236418">
              <w:rPr>
                <w:b/>
                <w:sz w:val="22"/>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42C0D271" w14:textId="77777777" w:rsidR="00862C6F" w:rsidRPr="00236418" w:rsidRDefault="00862C6F" w:rsidP="00862C6F">
            <w:pPr>
              <w:keepNext/>
              <w:keepLines/>
              <w:tabs>
                <w:tab w:val="clear" w:pos="567"/>
                <w:tab w:val="clear" w:pos="1134"/>
                <w:tab w:val="clear" w:pos="1701"/>
                <w:tab w:val="clear" w:pos="2268"/>
                <w:tab w:val="clear" w:pos="2835"/>
              </w:tabs>
              <w:spacing w:after="120"/>
              <w:jc w:val="center"/>
              <w:rPr>
                <w:b/>
                <w:sz w:val="22"/>
              </w:rPr>
            </w:pPr>
            <w:r w:rsidRPr="00236418">
              <w:rPr>
                <w:b/>
                <w:sz w:val="22"/>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7A5606E6" w14:textId="77777777" w:rsidR="00862C6F" w:rsidRPr="00236418" w:rsidRDefault="00862C6F" w:rsidP="00862C6F">
            <w:pPr>
              <w:keepNext/>
              <w:keepLines/>
              <w:tabs>
                <w:tab w:val="clear" w:pos="567"/>
                <w:tab w:val="clear" w:pos="1134"/>
                <w:tab w:val="clear" w:pos="1701"/>
                <w:tab w:val="clear" w:pos="2268"/>
                <w:tab w:val="clear" w:pos="2835"/>
              </w:tabs>
              <w:spacing w:after="120"/>
              <w:jc w:val="center"/>
              <w:rPr>
                <w:b/>
                <w:sz w:val="22"/>
              </w:rPr>
            </w:pPr>
            <w:r w:rsidRPr="00236418">
              <w:rPr>
                <w:b/>
                <w:sz w:val="22"/>
              </w:rPr>
              <w:t>Total</w:t>
            </w:r>
          </w:p>
        </w:tc>
      </w:tr>
      <w:tr w:rsidR="00862C6F" w:rsidRPr="00236418" w14:paraId="0FD4883B"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F758789"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Algérie</w:t>
            </w:r>
          </w:p>
        </w:tc>
        <w:tc>
          <w:tcPr>
            <w:tcW w:w="1296" w:type="dxa"/>
            <w:tcBorders>
              <w:top w:val="single" w:sz="4" w:space="0" w:color="auto"/>
              <w:left w:val="single" w:sz="4" w:space="0" w:color="auto"/>
              <w:bottom w:val="nil"/>
              <w:right w:val="single" w:sz="4" w:space="0" w:color="auto"/>
            </w:tcBorders>
            <w:shd w:val="clear" w:color="auto" w:fill="auto"/>
            <w:noWrap/>
            <w:hideMark/>
          </w:tcPr>
          <w:p w14:paraId="2ADD595B" w14:textId="77777777" w:rsidR="00862C6F" w:rsidRPr="00236418" w:rsidRDefault="00862C6F" w:rsidP="00862C6F">
            <w:pPr>
              <w:keepNext/>
              <w:keepLines/>
              <w:jc w:val="center"/>
              <w:rPr>
                <w:b/>
                <w:bCs/>
                <w:sz w:val="22"/>
                <w:szCs w:val="22"/>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08B9AF96" w14:textId="77777777" w:rsidR="00862C6F" w:rsidRPr="00236418" w:rsidRDefault="00862C6F" w:rsidP="00862C6F">
            <w:pPr>
              <w:keepNext/>
              <w:keepLines/>
              <w:jc w:val="right"/>
              <w:rPr>
                <w:rFonts w:ascii="Times New Roman" w:hAnsi="Times New Roman"/>
                <w:sz w:val="22"/>
                <w:szCs w:val="22"/>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5691B175" w14:textId="77777777" w:rsidR="00862C6F" w:rsidRPr="00236418" w:rsidRDefault="00862C6F" w:rsidP="00862C6F">
            <w:pPr>
              <w:keepNext/>
              <w:keepLines/>
              <w:jc w:val="right"/>
              <w:rPr>
                <w:rFonts w:ascii="Times New Roman" w:hAnsi="Times New Roman"/>
                <w:sz w:val="22"/>
                <w:szCs w:val="22"/>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E51B68A" w14:textId="77777777" w:rsidR="00862C6F" w:rsidRPr="00236418" w:rsidRDefault="00862C6F" w:rsidP="00862C6F">
            <w:pPr>
              <w:keepNext/>
              <w:keepLines/>
              <w:jc w:val="right"/>
              <w:rPr>
                <w:rFonts w:ascii="Times New Roman" w:hAnsi="Times New Roman"/>
                <w:sz w:val="22"/>
                <w:szCs w:val="22"/>
              </w:rPr>
            </w:pPr>
          </w:p>
        </w:tc>
      </w:tr>
      <w:tr w:rsidR="00862C6F" w:rsidRPr="00236418" w14:paraId="33E6FA22"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77AE678"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Centre de développement des technologies avancées, Alger</w:t>
            </w:r>
          </w:p>
        </w:tc>
        <w:tc>
          <w:tcPr>
            <w:tcW w:w="1296" w:type="dxa"/>
            <w:tcBorders>
              <w:top w:val="nil"/>
              <w:left w:val="single" w:sz="4" w:space="0" w:color="auto"/>
              <w:bottom w:val="nil"/>
              <w:right w:val="single" w:sz="4" w:space="0" w:color="auto"/>
            </w:tcBorders>
            <w:shd w:val="clear" w:color="auto" w:fill="auto"/>
            <w:noWrap/>
            <w:vAlign w:val="bottom"/>
            <w:hideMark/>
          </w:tcPr>
          <w:p w14:paraId="70E87B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w:t>
            </w:r>
          </w:p>
        </w:tc>
        <w:tc>
          <w:tcPr>
            <w:tcW w:w="1611" w:type="dxa"/>
            <w:noWrap/>
            <w:vAlign w:val="bottom"/>
            <w:hideMark/>
          </w:tcPr>
          <w:p w14:paraId="21E1A0F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2 603,25</w:t>
            </w:r>
          </w:p>
        </w:tc>
        <w:tc>
          <w:tcPr>
            <w:tcW w:w="1333" w:type="dxa"/>
            <w:tcBorders>
              <w:top w:val="nil"/>
              <w:left w:val="single" w:sz="4" w:space="0" w:color="auto"/>
              <w:bottom w:val="nil"/>
              <w:right w:val="single" w:sz="4" w:space="0" w:color="auto"/>
            </w:tcBorders>
            <w:shd w:val="clear" w:color="auto" w:fill="auto"/>
            <w:noWrap/>
            <w:vAlign w:val="bottom"/>
            <w:hideMark/>
          </w:tcPr>
          <w:p w14:paraId="67E9009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noWrap/>
            <w:vAlign w:val="bottom"/>
            <w:hideMark/>
          </w:tcPr>
          <w:p w14:paraId="70C7968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2 603,25</w:t>
            </w:r>
          </w:p>
        </w:tc>
      </w:tr>
      <w:tr w:rsidR="00862C6F" w:rsidRPr="00236418" w14:paraId="4A319824"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F16C7A3"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 xml:space="preserve">Institut National de la Poste et des Technologies de l'Information et de la </w:t>
            </w:r>
            <w:proofErr w:type="spellStart"/>
            <w:r w:rsidRPr="00236418">
              <w:rPr>
                <w:rFonts w:asciiTheme="minorHAnsi" w:eastAsia="Batang" w:hAnsiTheme="minorHAnsi"/>
                <w:sz w:val="22"/>
                <w:szCs w:val="22"/>
              </w:rPr>
              <w:t>Comm</w:t>
            </w:r>
            <w:proofErr w:type="spellEnd"/>
            <w:r w:rsidRPr="00236418">
              <w:rPr>
                <w:rFonts w:asciiTheme="minorHAnsi" w:eastAsia="Batang" w:hAnsiTheme="minorHAnsi"/>
                <w:sz w:val="22"/>
                <w:szCs w:val="22"/>
              </w:rPr>
              <w:t>., Alger</w:t>
            </w:r>
          </w:p>
        </w:tc>
        <w:tc>
          <w:tcPr>
            <w:tcW w:w="1296" w:type="dxa"/>
            <w:tcBorders>
              <w:top w:val="nil"/>
              <w:left w:val="single" w:sz="4" w:space="0" w:color="auto"/>
              <w:bottom w:val="nil"/>
              <w:right w:val="single" w:sz="4" w:space="0" w:color="auto"/>
            </w:tcBorders>
            <w:shd w:val="clear" w:color="auto" w:fill="auto"/>
            <w:noWrap/>
            <w:vAlign w:val="bottom"/>
          </w:tcPr>
          <w:p w14:paraId="67F5978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2012-2013</w:t>
            </w:r>
          </w:p>
        </w:tc>
        <w:tc>
          <w:tcPr>
            <w:tcW w:w="1611" w:type="dxa"/>
            <w:noWrap/>
            <w:vAlign w:val="bottom"/>
          </w:tcPr>
          <w:p w14:paraId="53C2CB5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3 454,20</w:t>
            </w:r>
          </w:p>
        </w:tc>
        <w:tc>
          <w:tcPr>
            <w:tcW w:w="1333" w:type="dxa"/>
            <w:tcBorders>
              <w:top w:val="nil"/>
              <w:left w:val="single" w:sz="4" w:space="0" w:color="auto"/>
              <w:bottom w:val="nil"/>
              <w:right w:val="single" w:sz="4" w:space="0" w:color="auto"/>
            </w:tcBorders>
            <w:shd w:val="clear" w:color="auto" w:fill="auto"/>
            <w:noWrap/>
            <w:vAlign w:val="bottom"/>
          </w:tcPr>
          <w:p w14:paraId="72FEC1E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noWrap/>
            <w:vAlign w:val="bottom"/>
          </w:tcPr>
          <w:p w14:paraId="3260E4A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3 454,20</w:t>
            </w:r>
          </w:p>
        </w:tc>
      </w:tr>
      <w:tr w:rsidR="00862C6F" w:rsidRPr="00236418" w14:paraId="0054EE7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BA66801"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Orascom</w:t>
            </w:r>
            <w:proofErr w:type="spellEnd"/>
            <w:r w:rsidRPr="00236418">
              <w:rPr>
                <w:rFonts w:asciiTheme="minorHAnsi" w:eastAsia="Batang" w:hAnsiTheme="minorHAnsi"/>
                <w:sz w:val="22"/>
                <w:szCs w:val="22"/>
              </w:rPr>
              <w:t xml:space="preserve"> Telecom Algérie, Alger</w:t>
            </w:r>
          </w:p>
        </w:tc>
        <w:tc>
          <w:tcPr>
            <w:tcW w:w="1296" w:type="dxa"/>
            <w:tcBorders>
              <w:top w:val="nil"/>
              <w:left w:val="single" w:sz="4" w:space="0" w:color="auto"/>
              <w:bottom w:val="nil"/>
              <w:right w:val="single" w:sz="4" w:space="0" w:color="auto"/>
            </w:tcBorders>
            <w:shd w:val="clear" w:color="auto" w:fill="auto"/>
            <w:noWrap/>
            <w:vAlign w:val="bottom"/>
            <w:hideMark/>
          </w:tcPr>
          <w:p w14:paraId="69F0E0C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2010</w:t>
            </w:r>
          </w:p>
        </w:tc>
        <w:tc>
          <w:tcPr>
            <w:tcW w:w="1611" w:type="dxa"/>
            <w:noWrap/>
            <w:vAlign w:val="bottom"/>
            <w:hideMark/>
          </w:tcPr>
          <w:p w14:paraId="58EC1A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6 967,55</w:t>
            </w:r>
          </w:p>
        </w:tc>
        <w:tc>
          <w:tcPr>
            <w:tcW w:w="1333" w:type="dxa"/>
            <w:tcBorders>
              <w:top w:val="nil"/>
              <w:left w:val="single" w:sz="4" w:space="0" w:color="auto"/>
              <w:bottom w:val="nil"/>
              <w:right w:val="single" w:sz="4" w:space="0" w:color="auto"/>
            </w:tcBorders>
            <w:shd w:val="clear" w:color="auto" w:fill="auto"/>
            <w:noWrap/>
            <w:vAlign w:val="bottom"/>
            <w:hideMark/>
          </w:tcPr>
          <w:p w14:paraId="74B6ADB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noWrap/>
            <w:vAlign w:val="bottom"/>
            <w:hideMark/>
          </w:tcPr>
          <w:p w14:paraId="1F32F1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6 967,55</w:t>
            </w:r>
          </w:p>
        </w:tc>
      </w:tr>
      <w:tr w:rsidR="00862C6F" w:rsidRPr="00236418" w14:paraId="3EB7FA0A"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54CEDB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Wataniya</w:t>
            </w:r>
            <w:proofErr w:type="spellEnd"/>
            <w:r w:rsidRPr="00236418">
              <w:rPr>
                <w:rFonts w:asciiTheme="minorHAnsi" w:eastAsia="Batang" w:hAnsiTheme="minorHAnsi"/>
                <w:sz w:val="22"/>
                <w:szCs w:val="22"/>
              </w:rPr>
              <w:t xml:space="preserve"> Telecom Algérie Spa, Alger</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347B4C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2005-2007</w:t>
            </w:r>
          </w:p>
        </w:tc>
        <w:tc>
          <w:tcPr>
            <w:tcW w:w="1611" w:type="dxa"/>
            <w:tcBorders>
              <w:top w:val="nil"/>
              <w:left w:val="nil"/>
              <w:bottom w:val="single" w:sz="4" w:space="0" w:color="auto"/>
              <w:right w:val="nil"/>
            </w:tcBorders>
            <w:noWrap/>
            <w:vAlign w:val="bottom"/>
            <w:hideMark/>
          </w:tcPr>
          <w:p w14:paraId="70EF533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8 425,00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857664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noWrap/>
            <w:vAlign w:val="bottom"/>
            <w:hideMark/>
          </w:tcPr>
          <w:p w14:paraId="3BFB9C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8 425,00</w:t>
            </w:r>
          </w:p>
        </w:tc>
      </w:tr>
      <w:tr w:rsidR="00862C6F" w:rsidRPr="00236418" w14:paraId="029FA22B" w14:textId="77777777" w:rsidTr="00620F53">
        <w:trPr>
          <w:trHeight w:val="385"/>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33001824"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Argentine</w:t>
            </w:r>
          </w:p>
        </w:tc>
        <w:tc>
          <w:tcPr>
            <w:tcW w:w="1296" w:type="dxa"/>
            <w:tcBorders>
              <w:top w:val="nil"/>
              <w:left w:val="single" w:sz="4" w:space="0" w:color="auto"/>
              <w:bottom w:val="nil"/>
              <w:right w:val="single" w:sz="4" w:space="0" w:color="auto"/>
            </w:tcBorders>
            <w:shd w:val="clear" w:color="auto" w:fill="auto"/>
            <w:noWrap/>
            <w:vAlign w:val="bottom"/>
          </w:tcPr>
          <w:p w14:paraId="25AAF3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2A5F4C1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24F6C8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2A7C6E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2C5D4162" w14:textId="77777777" w:rsidTr="00620F53">
        <w:trPr>
          <w:trHeight w:val="600"/>
          <w:jc w:val="center"/>
        </w:trPr>
        <w:tc>
          <w:tcPr>
            <w:tcW w:w="3778" w:type="dxa"/>
            <w:tcBorders>
              <w:top w:val="nil"/>
              <w:left w:val="single" w:sz="4" w:space="0" w:color="auto"/>
              <w:bottom w:val="nil"/>
              <w:right w:val="single" w:sz="4" w:space="0" w:color="auto"/>
            </w:tcBorders>
            <w:shd w:val="clear" w:color="auto" w:fill="auto"/>
            <w:vAlign w:val="bottom"/>
            <w:hideMark/>
          </w:tcPr>
          <w:p w14:paraId="411CEF36"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eastAsia="Batang"/>
                <w:sz w:val="22"/>
                <w:szCs w:val="22"/>
                <w:lang w:val="en-US"/>
              </w:rPr>
              <w:t>–</w:t>
            </w:r>
            <w:r w:rsidRPr="00596807">
              <w:rPr>
                <w:rFonts w:eastAsia="Batang"/>
                <w:sz w:val="22"/>
                <w:szCs w:val="22"/>
                <w:lang w:val="en-US"/>
              </w:rPr>
              <w:tab/>
            </w:r>
            <w:proofErr w:type="spellStart"/>
            <w:r w:rsidRPr="00596807">
              <w:rPr>
                <w:rFonts w:asciiTheme="minorHAnsi" w:eastAsia="Batang" w:hAnsiTheme="minorHAnsi"/>
                <w:sz w:val="22"/>
                <w:szCs w:val="22"/>
                <w:lang w:val="en-US"/>
              </w:rPr>
              <w:t>Cooperativa</w:t>
            </w:r>
            <w:proofErr w:type="spellEnd"/>
            <w:r w:rsidRPr="00596807">
              <w:rPr>
                <w:rFonts w:asciiTheme="minorHAnsi" w:eastAsia="Batang" w:hAnsiTheme="minorHAnsi"/>
                <w:sz w:val="22"/>
                <w:szCs w:val="22"/>
                <w:lang w:val="en-US"/>
              </w:rPr>
              <w:t xml:space="preserve"> Telefónica (COTELCAM), Buenos Aires</w:t>
            </w:r>
          </w:p>
        </w:tc>
        <w:tc>
          <w:tcPr>
            <w:tcW w:w="1296" w:type="dxa"/>
            <w:tcBorders>
              <w:top w:val="nil"/>
              <w:left w:val="single" w:sz="4" w:space="0" w:color="auto"/>
              <w:bottom w:val="nil"/>
              <w:right w:val="single" w:sz="4" w:space="0" w:color="auto"/>
            </w:tcBorders>
            <w:shd w:val="clear" w:color="auto" w:fill="auto"/>
            <w:noWrap/>
            <w:vAlign w:val="bottom"/>
            <w:hideMark/>
          </w:tcPr>
          <w:p w14:paraId="0E11CF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2003-2006</w:t>
            </w:r>
          </w:p>
        </w:tc>
        <w:tc>
          <w:tcPr>
            <w:tcW w:w="1611" w:type="dxa"/>
            <w:noWrap/>
            <w:vAlign w:val="bottom"/>
            <w:hideMark/>
          </w:tcPr>
          <w:p w14:paraId="5C45B2A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38 182,10</w:t>
            </w:r>
          </w:p>
        </w:tc>
        <w:tc>
          <w:tcPr>
            <w:tcW w:w="1333" w:type="dxa"/>
            <w:tcBorders>
              <w:top w:val="nil"/>
              <w:left w:val="single" w:sz="4" w:space="0" w:color="auto"/>
              <w:bottom w:val="nil"/>
              <w:right w:val="single" w:sz="4" w:space="0" w:color="auto"/>
            </w:tcBorders>
            <w:shd w:val="clear" w:color="auto" w:fill="auto"/>
            <w:noWrap/>
            <w:vAlign w:val="bottom"/>
            <w:hideMark/>
          </w:tcPr>
          <w:p w14:paraId="78E4CC6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noWrap/>
            <w:vAlign w:val="bottom"/>
            <w:hideMark/>
          </w:tcPr>
          <w:p w14:paraId="7C82435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38 182,10</w:t>
            </w:r>
          </w:p>
        </w:tc>
      </w:tr>
      <w:tr w:rsidR="00862C6F" w:rsidRPr="00236418" w14:paraId="6CB49EF1"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0A2270B"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IMPSAT Corp. S.A., Buenos Aires</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7C08DB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1999-2006</w:t>
            </w:r>
          </w:p>
        </w:tc>
        <w:tc>
          <w:tcPr>
            <w:tcW w:w="1611" w:type="dxa"/>
            <w:tcBorders>
              <w:top w:val="nil"/>
              <w:left w:val="nil"/>
              <w:bottom w:val="single" w:sz="4" w:space="0" w:color="auto"/>
              <w:right w:val="nil"/>
            </w:tcBorders>
            <w:noWrap/>
            <w:vAlign w:val="bottom"/>
            <w:hideMark/>
          </w:tcPr>
          <w:p w14:paraId="710877B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60 970,70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6CE5C56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noWrap/>
            <w:vAlign w:val="bottom"/>
            <w:hideMark/>
          </w:tcPr>
          <w:p w14:paraId="45D3E2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60 970,70</w:t>
            </w:r>
          </w:p>
        </w:tc>
      </w:tr>
      <w:tr w:rsidR="00862C6F" w:rsidRPr="00236418" w14:paraId="7D32AE1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68427A63" w14:textId="77777777" w:rsidR="00862C6F" w:rsidRPr="00236418" w:rsidRDefault="00862C6F" w:rsidP="00862C6F">
            <w:pPr>
              <w:rPr>
                <w:b/>
                <w:bCs/>
                <w:sz w:val="22"/>
                <w:szCs w:val="22"/>
              </w:rPr>
            </w:pPr>
            <w:r w:rsidRPr="00236418">
              <w:rPr>
                <w:b/>
                <w:bCs/>
                <w:sz w:val="22"/>
                <w:szCs w:val="22"/>
              </w:rPr>
              <w:t>Australie</w:t>
            </w:r>
          </w:p>
        </w:tc>
        <w:tc>
          <w:tcPr>
            <w:tcW w:w="1296" w:type="dxa"/>
            <w:tcBorders>
              <w:top w:val="nil"/>
              <w:left w:val="single" w:sz="4" w:space="0" w:color="auto"/>
              <w:bottom w:val="nil"/>
              <w:right w:val="single" w:sz="4" w:space="0" w:color="auto"/>
            </w:tcBorders>
            <w:shd w:val="clear" w:color="auto" w:fill="auto"/>
            <w:noWrap/>
            <w:vAlign w:val="bottom"/>
          </w:tcPr>
          <w:p w14:paraId="595E051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06F687D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3AC540C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3C53FD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5E506D35"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1C4E689A" w14:textId="77777777" w:rsidR="00862C6F" w:rsidRPr="00596807" w:rsidRDefault="00862C6F" w:rsidP="00862C6F">
            <w:pPr>
              <w:tabs>
                <w:tab w:val="clear" w:pos="567"/>
                <w:tab w:val="clear" w:pos="1134"/>
                <w:tab w:val="clear" w:pos="1701"/>
                <w:tab w:val="clear" w:pos="2268"/>
                <w:tab w:val="clear" w:pos="2835"/>
                <w:tab w:val="left" w:pos="318"/>
              </w:tabs>
              <w:spacing w:beforeLines="20" w:before="48" w:afterLines="20" w:after="48"/>
              <w:rPr>
                <w:b/>
                <w:sz w:val="22"/>
                <w:szCs w:val="22"/>
                <w:lang w:val="en-US"/>
              </w:rPr>
            </w:pPr>
            <w:r w:rsidRPr="00596807">
              <w:rPr>
                <w:sz w:val="22"/>
                <w:szCs w:val="22"/>
                <w:lang w:val="en-US"/>
              </w:rPr>
              <w:t>–</w:t>
            </w:r>
            <w:r w:rsidRPr="00596807">
              <w:rPr>
                <w:sz w:val="22"/>
                <w:szCs w:val="22"/>
                <w:lang w:val="en-US"/>
              </w:rPr>
              <w:tab/>
            </w:r>
            <w:proofErr w:type="spellStart"/>
            <w:r w:rsidRPr="00596807">
              <w:rPr>
                <w:sz w:val="22"/>
                <w:szCs w:val="22"/>
                <w:lang w:val="en-US"/>
              </w:rPr>
              <w:t>NewSat</w:t>
            </w:r>
            <w:proofErr w:type="spellEnd"/>
            <w:r w:rsidRPr="00596807">
              <w:rPr>
                <w:sz w:val="22"/>
                <w:szCs w:val="22"/>
                <w:lang w:val="en-US"/>
              </w:rPr>
              <w:t xml:space="preserve"> Limited Pty. Ltd., Sydney</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70F9C5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w:t>
            </w:r>
          </w:p>
        </w:tc>
        <w:tc>
          <w:tcPr>
            <w:tcW w:w="1611" w:type="dxa"/>
            <w:tcBorders>
              <w:top w:val="nil"/>
              <w:left w:val="nil"/>
              <w:bottom w:val="single" w:sz="4" w:space="0" w:color="auto"/>
              <w:right w:val="nil"/>
            </w:tcBorders>
            <w:shd w:val="clear" w:color="auto" w:fill="auto"/>
            <w:noWrap/>
            <w:vAlign w:val="bottom"/>
          </w:tcPr>
          <w:p w14:paraId="7CEC5DA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5 300,10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2D209D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ED14BA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5 300,10</w:t>
            </w:r>
          </w:p>
        </w:tc>
      </w:tr>
      <w:tr w:rsidR="00862C6F" w:rsidRPr="00236418" w14:paraId="04D81C1E"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E7A69C9"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Azerbaïdjan</w:t>
            </w:r>
          </w:p>
        </w:tc>
        <w:tc>
          <w:tcPr>
            <w:tcW w:w="1296" w:type="dxa"/>
            <w:tcBorders>
              <w:top w:val="nil"/>
              <w:left w:val="single" w:sz="4" w:space="0" w:color="auto"/>
              <w:bottom w:val="nil"/>
              <w:right w:val="single" w:sz="4" w:space="0" w:color="auto"/>
            </w:tcBorders>
            <w:shd w:val="clear" w:color="auto" w:fill="auto"/>
            <w:noWrap/>
            <w:vAlign w:val="bottom"/>
            <w:hideMark/>
          </w:tcPr>
          <w:p w14:paraId="4939349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32A24B6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733BF7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37459E5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00D476AD"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71BB5A5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Université technique d'Azerbaïdjan,</w:t>
            </w:r>
            <w:r w:rsidRPr="00236418">
              <w:rPr>
                <w:rFonts w:eastAsia="Batang"/>
                <w:sz w:val="22"/>
                <w:szCs w:val="22"/>
              </w:rPr>
              <w:t xml:space="preserve"> Bakou</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B85218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2015-2016</w:t>
            </w:r>
          </w:p>
        </w:tc>
        <w:tc>
          <w:tcPr>
            <w:tcW w:w="1611" w:type="dxa"/>
            <w:tcBorders>
              <w:top w:val="nil"/>
              <w:left w:val="nil"/>
              <w:bottom w:val="single" w:sz="4" w:space="0" w:color="auto"/>
              <w:right w:val="nil"/>
            </w:tcBorders>
            <w:shd w:val="clear" w:color="auto" w:fill="auto"/>
            <w:noWrap/>
            <w:vAlign w:val="bottom"/>
          </w:tcPr>
          <w:p w14:paraId="7D64302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2 479,75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0798288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3578D4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2 479,75</w:t>
            </w:r>
          </w:p>
        </w:tc>
      </w:tr>
      <w:tr w:rsidR="00862C6F" w:rsidRPr="00236418" w14:paraId="0C820EFB"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1D98B35"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Bahreïn</w:t>
            </w:r>
          </w:p>
        </w:tc>
        <w:tc>
          <w:tcPr>
            <w:tcW w:w="1296" w:type="dxa"/>
            <w:tcBorders>
              <w:top w:val="nil"/>
              <w:left w:val="single" w:sz="4" w:space="0" w:color="auto"/>
              <w:bottom w:val="nil"/>
              <w:right w:val="single" w:sz="4" w:space="0" w:color="auto"/>
            </w:tcBorders>
            <w:shd w:val="clear" w:color="auto" w:fill="auto"/>
            <w:noWrap/>
            <w:vAlign w:val="bottom"/>
            <w:hideMark/>
          </w:tcPr>
          <w:p w14:paraId="41BE719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421833C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35871A2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1B043C1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5D0124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748577BD"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Gateway Gulf LLC, Manama</w:t>
            </w:r>
          </w:p>
        </w:tc>
        <w:tc>
          <w:tcPr>
            <w:tcW w:w="1296" w:type="dxa"/>
            <w:tcBorders>
              <w:top w:val="nil"/>
              <w:left w:val="single" w:sz="4" w:space="0" w:color="auto"/>
              <w:right w:val="single" w:sz="4" w:space="0" w:color="auto"/>
            </w:tcBorders>
            <w:shd w:val="clear" w:color="auto" w:fill="auto"/>
            <w:noWrap/>
            <w:vAlign w:val="bottom"/>
            <w:hideMark/>
          </w:tcPr>
          <w:p w14:paraId="3F4F959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2010</w:t>
            </w:r>
          </w:p>
        </w:tc>
        <w:tc>
          <w:tcPr>
            <w:tcW w:w="1611" w:type="dxa"/>
            <w:noWrap/>
            <w:vAlign w:val="bottom"/>
            <w:hideMark/>
          </w:tcPr>
          <w:p w14:paraId="6B2A3BC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6 967,55</w:t>
            </w:r>
          </w:p>
        </w:tc>
        <w:tc>
          <w:tcPr>
            <w:tcW w:w="1333" w:type="dxa"/>
            <w:tcBorders>
              <w:top w:val="nil"/>
              <w:left w:val="single" w:sz="4" w:space="0" w:color="auto"/>
              <w:right w:val="single" w:sz="4" w:space="0" w:color="auto"/>
            </w:tcBorders>
            <w:shd w:val="clear" w:color="auto" w:fill="auto"/>
            <w:noWrap/>
            <w:vAlign w:val="bottom"/>
            <w:hideMark/>
          </w:tcPr>
          <w:p w14:paraId="4E4472D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noWrap/>
            <w:vAlign w:val="bottom"/>
            <w:hideMark/>
          </w:tcPr>
          <w:p w14:paraId="32F7C1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6 967,55</w:t>
            </w:r>
          </w:p>
        </w:tc>
      </w:tr>
      <w:tr w:rsidR="00862C6F" w:rsidRPr="00236418" w14:paraId="31A503E9"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7A5A047B"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t>Univ. Collège de Bahreïn, Manama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A6AE8F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bottom w:val="single" w:sz="4" w:space="0" w:color="auto"/>
              <w:right w:val="nil"/>
            </w:tcBorders>
            <w:noWrap/>
            <w:vAlign w:val="bottom"/>
          </w:tcPr>
          <w:p w14:paraId="2277C5A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2 126,98</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7E6C9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11" w:type="dxa"/>
            <w:tcBorders>
              <w:top w:val="nil"/>
              <w:left w:val="nil"/>
              <w:bottom w:val="single" w:sz="4" w:space="0" w:color="auto"/>
              <w:right w:val="single" w:sz="4" w:space="0" w:color="auto"/>
            </w:tcBorders>
            <w:noWrap/>
            <w:vAlign w:val="bottom"/>
          </w:tcPr>
          <w:p w14:paraId="1BC362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2 126,98</w:t>
            </w:r>
          </w:p>
        </w:tc>
      </w:tr>
      <w:tr w:rsidR="00862C6F" w:rsidRPr="00236418" w14:paraId="5ADEFC70"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293E095"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Bélarus</w:t>
            </w:r>
          </w:p>
        </w:tc>
        <w:tc>
          <w:tcPr>
            <w:tcW w:w="1296" w:type="dxa"/>
            <w:tcBorders>
              <w:top w:val="nil"/>
              <w:left w:val="single" w:sz="4" w:space="0" w:color="auto"/>
              <w:bottom w:val="nil"/>
              <w:right w:val="single" w:sz="4" w:space="0" w:color="auto"/>
            </w:tcBorders>
            <w:shd w:val="clear" w:color="auto" w:fill="auto"/>
            <w:noWrap/>
            <w:vAlign w:val="bottom"/>
            <w:hideMark/>
          </w:tcPr>
          <w:p w14:paraId="1E1B6CE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1D2E8D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E02B2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6892980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97E99D8"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378741DC"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Belarsat</w:t>
            </w:r>
            <w:proofErr w:type="spellEnd"/>
            <w:r w:rsidRPr="00236418">
              <w:rPr>
                <w:rFonts w:asciiTheme="minorHAnsi" w:eastAsia="Batang" w:hAnsiTheme="minorHAnsi"/>
                <w:sz w:val="22"/>
                <w:szCs w:val="22"/>
              </w:rPr>
              <w:t xml:space="preserve"> LLC, Minsk</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AF6615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2009-2010</w:t>
            </w:r>
          </w:p>
        </w:tc>
        <w:tc>
          <w:tcPr>
            <w:tcW w:w="1611" w:type="dxa"/>
            <w:tcBorders>
              <w:top w:val="nil"/>
              <w:left w:val="nil"/>
              <w:bottom w:val="single" w:sz="4" w:space="0" w:color="auto"/>
              <w:right w:val="nil"/>
            </w:tcBorders>
            <w:shd w:val="clear" w:color="auto" w:fill="auto"/>
            <w:noWrap/>
            <w:vAlign w:val="bottom"/>
            <w:hideMark/>
          </w:tcPr>
          <w:p w14:paraId="390177A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22 039,50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858708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3E2A9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22 039,50</w:t>
            </w:r>
          </w:p>
        </w:tc>
      </w:tr>
      <w:tr w:rsidR="00862C6F" w:rsidRPr="00236418" w14:paraId="56BA95B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8E0EB48"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Belgique</w:t>
            </w:r>
          </w:p>
        </w:tc>
        <w:tc>
          <w:tcPr>
            <w:tcW w:w="1296" w:type="dxa"/>
            <w:tcBorders>
              <w:top w:val="nil"/>
              <w:left w:val="single" w:sz="4" w:space="0" w:color="auto"/>
              <w:bottom w:val="nil"/>
              <w:right w:val="single" w:sz="4" w:space="0" w:color="auto"/>
            </w:tcBorders>
            <w:shd w:val="clear" w:color="auto" w:fill="auto"/>
            <w:noWrap/>
            <w:vAlign w:val="bottom"/>
            <w:hideMark/>
          </w:tcPr>
          <w:p w14:paraId="27AEEDA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7CDF872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651474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172738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1DC7E592"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F0E82BE"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AnSem</w:t>
            </w:r>
            <w:proofErr w:type="spellEnd"/>
            <w:r w:rsidRPr="00236418">
              <w:rPr>
                <w:rFonts w:asciiTheme="minorHAnsi" w:eastAsia="Batang" w:hAnsiTheme="minorHAnsi"/>
                <w:sz w:val="22"/>
                <w:szCs w:val="22"/>
              </w:rPr>
              <w:t xml:space="preserve">, </w:t>
            </w:r>
            <w:proofErr w:type="spellStart"/>
            <w:r w:rsidRPr="00236418">
              <w:rPr>
                <w:rFonts w:asciiTheme="minorHAnsi" w:eastAsia="Batang" w:hAnsiTheme="minorHAnsi"/>
                <w:sz w:val="22"/>
                <w:szCs w:val="22"/>
              </w:rPr>
              <w:t>Heverlee</w:t>
            </w:r>
            <w:proofErr w:type="spellEnd"/>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ABA97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2010</w:t>
            </w:r>
          </w:p>
        </w:tc>
        <w:tc>
          <w:tcPr>
            <w:tcW w:w="1611" w:type="dxa"/>
            <w:tcBorders>
              <w:top w:val="nil"/>
              <w:left w:val="nil"/>
              <w:bottom w:val="single" w:sz="4" w:space="0" w:color="auto"/>
              <w:right w:val="nil"/>
            </w:tcBorders>
            <w:shd w:val="clear" w:color="auto" w:fill="auto"/>
            <w:noWrap/>
            <w:vAlign w:val="bottom"/>
            <w:hideMark/>
          </w:tcPr>
          <w:p w14:paraId="63449A3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18 580,05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9DDFA7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33DF6F9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18 580,05</w:t>
            </w:r>
          </w:p>
        </w:tc>
      </w:tr>
      <w:tr w:rsidR="00862C6F" w:rsidRPr="00236418" w14:paraId="77EC601E"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18BEC7FD"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bCs/>
                <w:sz w:val="22"/>
                <w:szCs w:val="22"/>
              </w:rPr>
            </w:pPr>
            <w:r w:rsidRPr="00236418">
              <w:rPr>
                <w:b/>
                <w:bCs/>
                <w:sz w:val="22"/>
                <w:szCs w:val="22"/>
              </w:rPr>
              <w:t>Botswana</w:t>
            </w:r>
          </w:p>
        </w:tc>
        <w:tc>
          <w:tcPr>
            <w:tcW w:w="1296" w:type="dxa"/>
            <w:tcBorders>
              <w:top w:val="nil"/>
              <w:left w:val="single" w:sz="4" w:space="0" w:color="auto"/>
              <w:bottom w:val="nil"/>
              <w:right w:val="single" w:sz="4" w:space="0" w:color="auto"/>
            </w:tcBorders>
            <w:shd w:val="clear" w:color="auto" w:fill="auto"/>
            <w:noWrap/>
            <w:vAlign w:val="bottom"/>
          </w:tcPr>
          <w:p w14:paraId="6A0B065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43FFBBE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44D88DD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42C76EA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42F755A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4230573C"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imes New Roman" w:eastAsia="Batang" w:hAnsi="Times New Roman"/>
                <w:sz w:val="22"/>
                <w:szCs w:val="22"/>
                <w:lang w:val="en-US"/>
              </w:rPr>
            </w:pPr>
            <w:r w:rsidRPr="00596807">
              <w:rPr>
                <w:rFonts w:eastAsia="Batang"/>
                <w:sz w:val="22"/>
                <w:szCs w:val="22"/>
                <w:lang w:val="en-US"/>
              </w:rPr>
              <w:t>–</w:t>
            </w:r>
            <w:r w:rsidRPr="00596807">
              <w:rPr>
                <w:rFonts w:eastAsia="Batang"/>
                <w:sz w:val="22"/>
                <w:szCs w:val="22"/>
                <w:lang w:val="en-US"/>
              </w:rPr>
              <w:tab/>
            </w:r>
            <w:proofErr w:type="spellStart"/>
            <w:r w:rsidRPr="00596807">
              <w:rPr>
                <w:rFonts w:eastAsia="Batang"/>
                <w:sz w:val="22"/>
                <w:szCs w:val="22"/>
                <w:lang w:val="en-US"/>
              </w:rPr>
              <w:t>Mascom</w:t>
            </w:r>
            <w:proofErr w:type="spellEnd"/>
            <w:r w:rsidRPr="00596807">
              <w:rPr>
                <w:rFonts w:eastAsia="Batang"/>
                <w:sz w:val="22"/>
                <w:szCs w:val="22"/>
                <w:lang w:val="en-US"/>
              </w:rPr>
              <w:t xml:space="preserve"> Wireless Botswana (Pty), Gaborone</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538F67D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2012-2013</w:t>
            </w:r>
          </w:p>
        </w:tc>
        <w:tc>
          <w:tcPr>
            <w:tcW w:w="1611" w:type="dxa"/>
            <w:tcBorders>
              <w:top w:val="nil"/>
              <w:left w:val="nil"/>
              <w:bottom w:val="single" w:sz="4" w:space="0" w:color="auto"/>
              <w:right w:val="nil"/>
            </w:tcBorders>
            <w:shd w:val="clear" w:color="auto" w:fill="auto"/>
            <w:noWrap/>
            <w:vAlign w:val="bottom"/>
          </w:tcPr>
          <w:p w14:paraId="3F8FBB8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5 885,85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0819559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4EF5B3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5 885,85</w:t>
            </w:r>
          </w:p>
        </w:tc>
      </w:tr>
      <w:tr w:rsidR="00862C6F" w:rsidRPr="00236418" w14:paraId="552FF7CE"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59D2762"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Canada</w:t>
            </w:r>
          </w:p>
        </w:tc>
        <w:tc>
          <w:tcPr>
            <w:tcW w:w="1296" w:type="dxa"/>
            <w:tcBorders>
              <w:top w:val="nil"/>
              <w:left w:val="single" w:sz="4" w:space="0" w:color="auto"/>
              <w:bottom w:val="nil"/>
              <w:right w:val="single" w:sz="4" w:space="0" w:color="auto"/>
            </w:tcBorders>
            <w:shd w:val="clear" w:color="auto" w:fill="auto"/>
            <w:noWrap/>
            <w:vAlign w:val="bottom"/>
            <w:hideMark/>
          </w:tcPr>
          <w:p w14:paraId="18FC93E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2CC39CD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6765220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2DD811C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709E8B7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C429039"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Avvasi</w:t>
            </w:r>
            <w:proofErr w:type="spellEnd"/>
            <w:r w:rsidRPr="00236418">
              <w:rPr>
                <w:rFonts w:asciiTheme="minorHAnsi" w:eastAsia="Batang" w:hAnsiTheme="minorHAnsi"/>
                <w:sz w:val="22"/>
                <w:szCs w:val="22"/>
              </w:rPr>
              <w:t xml:space="preserve"> Inc., Waterloo</w:t>
            </w:r>
          </w:p>
        </w:tc>
        <w:tc>
          <w:tcPr>
            <w:tcW w:w="1296" w:type="dxa"/>
            <w:tcBorders>
              <w:top w:val="nil"/>
              <w:left w:val="single" w:sz="4" w:space="0" w:color="auto"/>
              <w:bottom w:val="nil"/>
              <w:right w:val="single" w:sz="4" w:space="0" w:color="auto"/>
            </w:tcBorders>
            <w:shd w:val="clear" w:color="auto" w:fill="auto"/>
            <w:noWrap/>
            <w:vAlign w:val="bottom"/>
          </w:tcPr>
          <w:p w14:paraId="10A3B44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w:t>
            </w:r>
          </w:p>
        </w:tc>
        <w:tc>
          <w:tcPr>
            <w:tcW w:w="1611" w:type="dxa"/>
            <w:tcBorders>
              <w:top w:val="nil"/>
              <w:left w:val="nil"/>
              <w:bottom w:val="nil"/>
              <w:right w:val="nil"/>
            </w:tcBorders>
            <w:shd w:val="clear" w:color="auto" w:fill="auto"/>
            <w:noWrap/>
            <w:vAlign w:val="bottom"/>
          </w:tcPr>
          <w:p w14:paraId="7346B10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13 098,20</w:t>
            </w:r>
          </w:p>
        </w:tc>
        <w:tc>
          <w:tcPr>
            <w:tcW w:w="1333" w:type="dxa"/>
            <w:tcBorders>
              <w:top w:val="nil"/>
              <w:left w:val="single" w:sz="4" w:space="0" w:color="auto"/>
              <w:bottom w:val="nil"/>
              <w:right w:val="single" w:sz="4" w:space="0" w:color="auto"/>
            </w:tcBorders>
            <w:shd w:val="clear" w:color="auto" w:fill="auto"/>
            <w:noWrap/>
            <w:vAlign w:val="bottom"/>
          </w:tcPr>
          <w:p w14:paraId="7A0303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609FE19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13 098,20</w:t>
            </w:r>
          </w:p>
        </w:tc>
      </w:tr>
      <w:tr w:rsidR="00862C6F" w:rsidRPr="00236418" w14:paraId="04A0455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D5928C1"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Chine (République populaire de)</w:t>
            </w:r>
          </w:p>
        </w:tc>
        <w:tc>
          <w:tcPr>
            <w:tcW w:w="1296" w:type="dxa"/>
            <w:tcBorders>
              <w:top w:val="nil"/>
              <w:left w:val="single" w:sz="4" w:space="0" w:color="auto"/>
              <w:bottom w:val="nil"/>
              <w:right w:val="single" w:sz="4" w:space="0" w:color="auto"/>
            </w:tcBorders>
            <w:shd w:val="clear" w:color="auto" w:fill="auto"/>
            <w:noWrap/>
            <w:vAlign w:val="bottom"/>
            <w:hideMark/>
          </w:tcPr>
          <w:p w14:paraId="307D236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4BC3A4C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B94F38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0C506E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BF97B6D"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38FDD0A"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PCCW Limited, Hong Kong</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111F8D5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2002-2006</w:t>
            </w:r>
          </w:p>
        </w:tc>
        <w:tc>
          <w:tcPr>
            <w:tcW w:w="1611" w:type="dxa"/>
            <w:tcBorders>
              <w:top w:val="nil"/>
              <w:left w:val="nil"/>
              <w:bottom w:val="single" w:sz="4" w:space="0" w:color="auto"/>
              <w:right w:val="nil"/>
            </w:tcBorders>
            <w:shd w:val="clear" w:color="auto" w:fill="auto"/>
            <w:noWrap/>
            <w:vAlign w:val="bottom"/>
            <w:hideMark/>
          </w:tcPr>
          <w:p w14:paraId="027E32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1 074 830,35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3E54CDB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566496C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1 074 830,35</w:t>
            </w:r>
          </w:p>
        </w:tc>
      </w:tr>
    </w:tbl>
    <w:p w14:paraId="5D00FFB4" w14:textId="77777777" w:rsidR="00862C6F" w:rsidRPr="00236418" w:rsidRDefault="00862C6F" w:rsidP="00862C6F"/>
    <w:p w14:paraId="0A5E87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236418" w14:paraId="11EE867B" w14:textId="77777777" w:rsidTr="00620F53">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E6A22" w14:textId="77777777" w:rsidR="00862C6F" w:rsidRPr="00236418" w:rsidRDefault="00862C6F" w:rsidP="00862C6F">
            <w:pPr>
              <w:tabs>
                <w:tab w:val="clear" w:pos="567"/>
                <w:tab w:val="clear" w:pos="1134"/>
                <w:tab w:val="clear" w:pos="1701"/>
                <w:tab w:val="clear" w:pos="2268"/>
                <w:tab w:val="clear" w:pos="2835"/>
                <w:tab w:val="left" w:pos="313"/>
              </w:tabs>
              <w:spacing w:beforeLines="20" w:before="48" w:afterLines="20" w:after="48"/>
              <w:ind w:left="313" w:hanging="313"/>
              <w:rPr>
                <w:rFonts w:asciiTheme="minorHAnsi" w:hAnsiTheme="minorHAnsi"/>
                <w:b/>
                <w:sz w:val="22"/>
                <w:szCs w:val="22"/>
              </w:rPr>
            </w:pPr>
            <w:r w:rsidRPr="00236418">
              <w:rPr>
                <w:rFonts w:asciiTheme="minorHAnsi" w:hAnsiTheme="minorHAnsi"/>
                <w:b/>
                <w:sz w:val="22"/>
                <w:szCs w:val="22"/>
              </w:rPr>
              <w:lastRenderedPageBreak/>
              <w:t>B</w:t>
            </w:r>
            <w:r w:rsidRPr="00236418">
              <w:rPr>
                <w:rFonts w:asciiTheme="minorHAnsi" w:hAnsiTheme="minorHAnsi"/>
                <w:b/>
                <w:sz w:val="22"/>
                <w:szCs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11EA97B6"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FCAD02B"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52A10485"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063748BF"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Total</w:t>
            </w:r>
          </w:p>
        </w:tc>
      </w:tr>
      <w:tr w:rsidR="00862C6F" w:rsidRPr="00236418" w14:paraId="2651EFC5"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06A9CDEA"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Costa Rica</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B4D4A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tcPr>
          <w:p w14:paraId="1F2DD95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tcPr>
          <w:p w14:paraId="3CF7EE5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tcPr>
          <w:p w14:paraId="0E7E821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24015CC3"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3068279E" w14:textId="77777777" w:rsidR="00862C6F" w:rsidRPr="00236418" w:rsidRDefault="00862C6F" w:rsidP="00862C6F">
            <w:pPr>
              <w:keepNext/>
              <w:keepLines/>
              <w:tabs>
                <w:tab w:val="clear" w:pos="567"/>
                <w:tab w:val="clear" w:pos="1134"/>
                <w:tab w:val="clear" w:pos="1701"/>
                <w:tab w:val="clear" w:pos="2268"/>
                <w:tab w:val="clear" w:pos="2835"/>
                <w:tab w:val="left" w:pos="313"/>
              </w:tabs>
              <w:spacing w:beforeLines="20" w:before="48" w:afterLines="20" w:after="48"/>
              <w:rPr>
                <w:bCs/>
                <w:sz w:val="22"/>
                <w:szCs w:val="22"/>
              </w:rPr>
            </w:pPr>
            <w:r w:rsidRPr="00236418">
              <w:rPr>
                <w:bCs/>
                <w:sz w:val="22"/>
                <w:szCs w:val="22"/>
              </w:rPr>
              <w:t>–</w:t>
            </w:r>
            <w:r w:rsidRPr="00236418">
              <w:rPr>
                <w:bCs/>
                <w:sz w:val="22"/>
                <w:szCs w:val="22"/>
              </w:rPr>
              <w:tab/>
              <w:t>Université de Costa Rica, San José</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26C4A41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2017</w:t>
            </w:r>
          </w:p>
        </w:tc>
        <w:tc>
          <w:tcPr>
            <w:tcW w:w="1611" w:type="dxa"/>
            <w:tcBorders>
              <w:top w:val="nil"/>
              <w:left w:val="nil"/>
              <w:bottom w:val="single" w:sz="4" w:space="0" w:color="auto"/>
              <w:right w:val="nil"/>
            </w:tcBorders>
            <w:shd w:val="clear" w:color="auto" w:fill="auto"/>
            <w:noWrap/>
            <w:vAlign w:val="bottom"/>
          </w:tcPr>
          <w:p w14:paraId="60D7584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2 316,90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0625A6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834287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2 316,90</w:t>
            </w:r>
          </w:p>
        </w:tc>
      </w:tr>
      <w:tr w:rsidR="00862C6F" w:rsidRPr="00236418" w14:paraId="76CF96B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3505E28"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Côte d'Ivoire</w:t>
            </w:r>
          </w:p>
        </w:tc>
        <w:tc>
          <w:tcPr>
            <w:tcW w:w="1296" w:type="dxa"/>
            <w:tcBorders>
              <w:top w:val="nil"/>
              <w:left w:val="single" w:sz="4" w:space="0" w:color="auto"/>
              <w:bottom w:val="nil"/>
              <w:right w:val="single" w:sz="4" w:space="0" w:color="auto"/>
            </w:tcBorders>
            <w:shd w:val="clear" w:color="auto" w:fill="auto"/>
            <w:noWrap/>
            <w:vAlign w:val="bottom"/>
            <w:hideMark/>
          </w:tcPr>
          <w:p w14:paraId="1D39230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3400F4F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3C1AD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58169E9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4B95A82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4D50435"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imes New Roman" w:eastAsia="Batang" w:hAnsi="Times New Roman"/>
                <w:b/>
                <w:sz w:val="22"/>
                <w:szCs w:val="22"/>
              </w:rPr>
            </w:pPr>
            <w:r w:rsidRPr="00236418">
              <w:rPr>
                <w:rFonts w:eastAsia="Batang"/>
                <w:sz w:val="22"/>
                <w:szCs w:val="22"/>
              </w:rPr>
              <w:t>–</w:t>
            </w:r>
            <w:r w:rsidRPr="00236418">
              <w:rPr>
                <w:rFonts w:eastAsia="Batang"/>
                <w:sz w:val="22"/>
                <w:szCs w:val="22"/>
              </w:rPr>
              <w:tab/>
              <w:t>Association des Consommateurs de télécommunications, Abidjan</w:t>
            </w:r>
          </w:p>
        </w:tc>
        <w:tc>
          <w:tcPr>
            <w:tcW w:w="1296" w:type="dxa"/>
            <w:tcBorders>
              <w:top w:val="nil"/>
              <w:left w:val="single" w:sz="4" w:space="0" w:color="auto"/>
              <w:bottom w:val="nil"/>
              <w:right w:val="single" w:sz="4" w:space="0" w:color="auto"/>
            </w:tcBorders>
            <w:shd w:val="clear" w:color="auto" w:fill="auto"/>
            <w:noWrap/>
            <w:vAlign w:val="bottom"/>
          </w:tcPr>
          <w:p w14:paraId="4B0F1B2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2007-2008</w:t>
            </w:r>
          </w:p>
        </w:tc>
        <w:tc>
          <w:tcPr>
            <w:tcW w:w="1611" w:type="dxa"/>
            <w:noWrap/>
            <w:vAlign w:val="bottom"/>
          </w:tcPr>
          <w:p w14:paraId="1D908B7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8 701,85</w:t>
            </w:r>
          </w:p>
        </w:tc>
        <w:tc>
          <w:tcPr>
            <w:tcW w:w="1333" w:type="dxa"/>
            <w:tcBorders>
              <w:top w:val="nil"/>
              <w:left w:val="single" w:sz="4" w:space="0" w:color="auto"/>
              <w:bottom w:val="nil"/>
              <w:right w:val="single" w:sz="4" w:space="0" w:color="auto"/>
            </w:tcBorders>
            <w:shd w:val="clear" w:color="auto" w:fill="auto"/>
            <w:noWrap/>
            <w:vAlign w:val="bottom"/>
          </w:tcPr>
          <w:p w14:paraId="4D4343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noWrap/>
            <w:vAlign w:val="bottom"/>
          </w:tcPr>
          <w:p w14:paraId="2875D5B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8 701,85</w:t>
            </w:r>
          </w:p>
        </w:tc>
      </w:tr>
      <w:tr w:rsidR="00862C6F" w:rsidRPr="00236418" w14:paraId="3CC110BC"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7618B22"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Côte d'Ivoire Telecom, Abidjan</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42367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2002-2006</w:t>
            </w:r>
          </w:p>
        </w:tc>
        <w:tc>
          <w:tcPr>
            <w:tcW w:w="1611" w:type="dxa"/>
            <w:tcBorders>
              <w:top w:val="nil"/>
              <w:left w:val="nil"/>
              <w:bottom w:val="single" w:sz="4" w:space="0" w:color="auto"/>
              <w:right w:val="nil"/>
            </w:tcBorders>
            <w:noWrap/>
            <w:vAlign w:val="bottom"/>
            <w:hideMark/>
          </w:tcPr>
          <w:p w14:paraId="5D4487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826 292,50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906D39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nil"/>
            </w:tcBorders>
            <w:noWrap/>
            <w:vAlign w:val="bottom"/>
            <w:hideMark/>
          </w:tcPr>
          <w:p w14:paraId="05EEFF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826 292,50</w:t>
            </w:r>
          </w:p>
        </w:tc>
      </w:tr>
      <w:tr w:rsidR="00862C6F" w:rsidRPr="00236418" w14:paraId="07A5E803"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55ABC188"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Guinée équatoriale</w:t>
            </w:r>
          </w:p>
        </w:tc>
        <w:tc>
          <w:tcPr>
            <w:tcW w:w="1296" w:type="dxa"/>
            <w:tcBorders>
              <w:top w:val="nil"/>
              <w:left w:val="single" w:sz="4" w:space="0" w:color="auto"/>
              <w:bottom w:val="nil"/>
              <w:right w:val="single" w:sz="4" w:space="0" w:color="auto"/>
            </w:tcBorders>
            <w:shd w:val="clear" w:color="auto" w:fill="auto"/>
            <w:noWrap/>
            <w:vAlign w:val="bottom"/>
          </w:tcPr>
          <w:p w14:paraId="392C51F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7450C56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59B29A8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33DEDBE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02A6BE85"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2C26115" w14:textId="77777777" w:rsidR="00862C6F" w:rsidRPr="00236418" w:rsidRDefault="00862C6F" w:rsidP="00862C6F">
            <w:pPr>
              <w:tabs>
                <w:tab w:val="clear" w:pos="567"/>
                <w:tab w:val="clear" w:pos="1134"/>
                <w:tab w:val="clear" w:pos="1701"/>
                <w:tab w:val="clear" w:pos="2268"/>
                <w:tab w:val="clear" w:pos="2835"/>
                <w:tab w:val="left" w:pos="313"/>
              </w:tabs>
              <w:spacing w:beforeLines="20" w:before="48" w:afterLines="20" w:after="48"/>
              <w:rPr>
                <w:b/>
                <w:sz w:val="22"/>
                <w:szCs w:val="22"/>
              </w:rPr>
            </w:pPr>
            <w:r w:rsidRPr="00236418">
              <w:rPr>
                <w:sz w:val="22"/>
                <w:szCs w:val="22"/>
              </w:rPr>
              <w:t>–</w:t>
            </w:r>
            <w:r w:rsidRPr="00236418">
              <w:rPr>
                <w:sz w:val="22"/>
                <w:szCs w:val="22"/>
              </w:rPr>
              <w:tab/>
            </w:r>
            <w:r w:rsidRPr="00236418">
              <w:rPr>
                <w:sz w:val="22"/>
                <w:szCs w:val="22"/>
                <w:lang w:eastAsia="zh-CN"/>
              </w:rPr>
              <w:t>GETESA, Malabo</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61319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2015-2016</w:t>
            </w:r>
          </w:p>
        </w:tc>
        <w:tc>
          <w:tcPr>
            <w:tcW w:w="1611" w:type="dxa"/>
            <w:tcBorders>
              <w:top w:val="nil"/>
              <w:left w:val="nil"/>
              <w:bottom w:val="single" w:sz="4" w:space="0" w:color="auto"/>
              <w:right w:val="nil"/>
            </w:tcBorders>
            <w:shd w:val="clear" w:color="auto" w:fill="auto"/>
            <w:noWrap/>
            <w:vAlign w:val="bottom"/>
          </w:tcPr>
          <w:p w14:paraId="55CAF56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2 138,72</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6355EE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887F3F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2 138,72</w:t>
            </w:r>
          </w:p>
        </w:tc>
      </w:tr>
      <w:tr w:rsidR="00862C6F" w:rsidRPr="00236418" w14:paraId="33D41662"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1E7B6DA"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Égypte</w:t>
            </w:r>
          </w:p>
        </w:tc>
        <w:tc>
          <w:tcPr>
            <w:tcW w:w="1296" w:type="dxa"/>
            <w:tcBorders>
              <w:top w:val="nil"/>
              <w:left w:val="single" w:sz="4" w:space="0" w:color="auto"/>
              <w:bottom w:val="nil"/>
              <w:right w:val="single" w:sz="4" w:space="0" w:color="auto"/>
            </w:tcBorders>
            <w:shd w:val="clear" w:color="auto" w:fill="auto"/>
            <w:noWrap/>
            <w:vAlign w:val="bottom"/>
            <w:hideMark/>
          </w:tcPr>
          <w:p w14:paraId="415EAE6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685665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55788B9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0C910E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04A0C36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A6B8065"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Barkotel</w:t>
            </w:r>
            <w:proofErr w:type="spellEnd"/>
            <w:r w:rsidRPr="00236418">
              <w:rPr>
                <w:rFonts w:asciiTheme="minorHAnsi" w:eastAsia="Batang" w:hAnsiTheme="minorHAnsi"/>
                <w:sz w:val="22"/>
                <w:szCs w:val="22"/>
              </w:rPr>
              <w:t xml:space="preserve"> Communications, Le Caire</w:t>
            </w:r>
          </w:p>
        </w:tc>
        <w:tc>
          <w:tcPr>
            <w:tcW w:w="1296" w:type="dxa"/>
            <w:tcBorders>
              <w:top w:val="nil"/>
              <w:left w:val="single" w:sz="4" w:space="0" w:color="auto"/>
              <w:bottom w:val="nil"/>
              <w:right w:val="single" w:sz="4" w:space="0" w:color="auto"/>
            </w:tcBorders>
            <w:shd w:val="clear" w:color="auto" w:fill="auto"/>
            <w:noWrap/>
            <w:vAlign w:val="bottom"/>
            <w:hideMark/>
          </w:tcPr>
          <w:p w14:paraId="392997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2002-2006</w:t>
            </w:r>
          </w:p>
        </w:tc>
        <w:tc>
          <w:tcPr>
            <w:tcW w:w="1611" w:type="dxa"/>
            <w:noWrap/>
            <w:vAlign w:val="bottom"/>
            <w:hideMark/>
          </w:tcPr>
          <w:p w14:paraId="0BB46F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47 069,00</w:t>
            </w:r>
          </w:p>
        </w:tc>
        <w:tc>
          <w:tcPr>
            <w:tcW w:w="1333" w:type="dxa"/>
            <w:tcBorders>
              <w:top w:val="nil"/>
              <w:left w:val="single" w:sz="4" w:space="0" w:color="auto"/>
              <w:bottom w:val="nil"/>
              <w:right w:val="single" w:sz="4" w:space="0" w:color="auto"/>
            </w:tcBorders>
            <w:shd w:val="clear" w:color="auto" w:fill="auto"/>
            <w:noWrap/>
            <w:vAlign w:val="bottom"/>
            <w:hideMark/>
          </w:tcPr>
          <w:p w14:paraId="2434B5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152D444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47 069,00</w:t>
            </w:r>
          </w:p>
        </w:tc>
      </w:tr>
      <w:tr w:rsidR="00862C6F" w:rsidRPr="00236418" w14:paraId="3CD25DD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67583C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LINKdoNET</w:t>
            </w:r>
            <w:proofErr w:type="spellEnd"/>
            <w:r w:rsidRPr="00236418">
              <w:rPr>
                <w:rFonts w:asciiTheme="minorHAnsi" w:eastAsia="Batang" w:hAnsiTheme="minorHAnsi"/>
                <w:sz w:val="22"/>
                <w:szCs w:val="22"/>
              </w:rPr>
              <w:t>, Le Caire</w:t>
            </w:r>
          </w:p>
        </w:tc>
        <w:tc>
          <w:tcPr>
            <w:tcW w:w="1296" w:type="dxa"/>
            <w:tcBorders>
              <w:top w:val="nil"/>
              <w:left w:val="single" w:sz="4" w:space="0" w:color="auto"/>
              <w:bottom w:val="nil"/>
              <w:right w:val="single" w:sz="4" w:space="0" w:color="auto"/>
            </w:tcBorders>
            <w:shd w:val="clear" w:color="auto" w:fill="auto"/>
            <w:noWrap/>
            <w:vAlign w:val="bottom"/>
            <w:hideMark/>
          </w:tcPr>
          <w:p w14:paraId="054CA9E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2008-2009</w:t>
            </w:r>
          </w:p>
        </w:tc>
        <w:tc>
          <w:tcPr>
            <w:tcW w:w="1611" w:type="dxa"/>
            <w:noWrap/>
            <w:vAlign w:val="bottom"/>
            <w:hideMark/>
          </w:tcPr>
          <w:p w14:paraId="691EE97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7 507,50</w:t>
            </w:r>
          </w:p>
        </w:tc>
        <w:tc>
          <w:tcPr>
            <w:tcW w:w="1333" w:type="dxa"/>
            <w:tcBorders>
              <w:top w:val="nil"/>
              <w:left w:val="single" w:sz="4" w:space="0" w:color="auto"/>
              <w:bottom w:val="nil"/>
              <w:right w:val="single" w:sz="4" w:space="0" w:color="auto"/>
            </w:tcBorders>
            <w:shd w:val="clear" w:color="auto" w:fill="auto"/>
            <w:noWrap/>
            <w:vAlign w:val="bottom"/>
            <w:hideMark/>
          </w:tcPr>
          <w:p w14:paraId="61F07A2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618B6C9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7 507,50</w:t>
            </w:r>
          </w:p>
        </w:tc>
      </w:tr>
      <w:tr w:rsidR="00862C6F" w:rsidRPr="00236418" w14:paraId="650F183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D679BCF"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Telecom Consultants, Le Caire</w:t>
            </w:r>
          </w:p>
        </w:tc>
        <w:tc>
          <w:tcPr>
            <w:tcW w:w="1296" w:type="dxa"/>
            <w:tcBorders>
              <w:top w:val="nil"/>
              <w:left w:val="single" w:sz="4" w:space="0" w:color="auto"/>
              <w:bottom w:val="nil"/>
              <w:right w:val="single" w:sz="4" w:space="0" w:color="auto"/>
            </w:tcBorders>
            <w:shd w:val="clear" w:color="auto" w:fill="auto"/>
            <w:noWrap/>
            <w:vAlign w:val="bottom"/>
            <w:hideMark/>
          </w:tcPr>
          <w:p w14:paraId="3AD13AB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2002-2006</w:t>
            </w:r>
          </w:p>
        </w:tc>
        <w:tc>
          <w:tcPr>
            <w:tcW w:w="1611" w:type="dxa"/>
            <w:noWrap/>
            <w:vAlign w:val="bottom"/>
            <w:hideMark/>
          </w:tcPr>
          <w:p w14:paraId="07C5D1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49 159,40</w:t>
            </w:r>
          </w:p>
        </w:tc>
        <w:tc>
          <w:tcPr>
            <w:tcW w:w="1333" w:type="dxa"/>
            <w:tcBorders>
              <w:top w:val="nil"/>
              <w:left w:val="single" w:sz="4" w:space="0" w:color="auto"/>
              <w:bottom w:val="nil"/>
              <w:right w:val="single" w:sz="4" w:space="0" w:color="auto"/>
            </w:tcBorders>
            <w:shd w:val="clear" w:color="auto" w:fill="auto"/>
            <w:noWrap/>
            <w:vAlign w:val="bottom"/>
            <w:hideMark/>
          </w:tcPr>
          <w:p w14:paraId="4B00FC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7FD9E4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49 159,40</w:t>
            </w:r>
          </w:p>
        </w:tc>
      </w:tr>
      <w:tr w:rsidR="00862C6F" w:rsidRPr="00236418" w14:paraId="67F86CF9"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F211774"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 xml:space="preserve">Trade </w:t>
            </w:r>
            <w:proofErr w:type="spellStart"/>
            <w:r w:rsidRPr="00236418">
              <w:rPr>
                <w:rFonts w:asciiTheme="minorHAnsi" w:eastAsia="Batang" w:hAnsiTheme="minorHAnsi"/>
                <w:sz w:val="22"/>
                <w:szCs w:val="22"/>
              </w:rPr>
              <w:t>Fairs</w:t>
            </w:r>
            <w:proofErr w:type="spellEnd"/>
            <w:r w:rsidRPr="00236418">
              <w:rPr>
                <w:rFonts w:asciiTheme="minorHAnsi" w:eastAsia="Batang" w:hAnsiTheme="minorHAnsi"/>
                <w:sz w:val="22"/>
                <w:szCs w:val="22"/>
              </w:rPr>
              <w:t xml:space="preserve"> International, Le Caire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38D815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2000-2006</w:t>
            </w:r>
          </w:p>
        </w:tc>
        <w:tc>
          <w:tcPr>
            <w:tcW w:w="1611" w:type="dxa"/>
            <w:tcBorders>
              <w:top w:val="nil"/>
              <w:left w:val="nil"/>
              <w:bottom w:val="single" w:sz="4" w:space="0" w:color="auto"/>
              <w:right w:val="nil"/>
            </w:tcBorders>
            <w:noWrap/>
            <w:vAlign w:val="bottom"/>
            <w:hideMark/>
          </w:tcPr>
          <w:p w14:paraId="66A732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64 716,90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373EDC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019FBBE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64 716,90</w:t>
            </w:r>
          </w:p>
        </w:tc>
      </w:tr>
      <w:tr w:rsidR="00862C6F" w:rsidRPr="00236418" w14:paraId="7F37B59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4079876A"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Fidji</w:t>
            </w:r>
          </w:p>
        </w:tc>
        <w:tc>
          <w:tcPr>
            <w:tcW w:w="1296" w:type="dxa"/>
            <w:tcBorders>
              <w:top w:val="nil"/>
              <w:left w:val="single" w:sz="4" w:space="0" w:color="auto"/>
              <w:bottom w:val="nil"/>
              <w:right w:val="single" w:sz="4" w:space="0" w:color="auto"/>
            </w:tcBorders>
            <w:shd w:val="clear" w:color="auto" w:fill="auto"/>
            <w:noWrap/>
            <w:vAlign w:val="bottom"/>
          </w:tcPr>
          <w:p w14:paraId="114CD5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4BAA9A6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6AF35DF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15692ED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4A469B56"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173F465E"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t>South Pacific Commission, Suva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17B413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2012-2013</w:t>
            </w:r>
          </w:p>
        </w:tc>
        <w:tc>
          <w:tcPr>
            <w:tcW w:w="1611" w:type="dxa"/>
            <w:tcBorders>
              <w:top w:val="nil"/>
              <w:left w:val="nil"/>
              <w:bottom w:val="single" w:sz="4" w:space="0" w:color="auto"/>
              <w:right w:val="nil"/>
            </w:tcBorders>
            <w:shd w:val="clear" w:color="auto" w:fill="auto"/>
            <w:noWrap/>
            <w:vAlign w:val="bottom"/>
          </w:tcPr>
          <w:p w14:paraId="2081B6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5 882,55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2B394B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50182B6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5 882,55</w:t>
            </w:r>
          </w:p>
        </w:tc>
      </w:tr>
      <w:tr w:rsidR="00862C6F" w:rsidRPr="00236418" w14:paraId="0F6047D9"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11C20890"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Finlande</w:t>
            </w:r>
          </w:p>
        </w:tc>
        <w:tc>
          <w:tcPr>
            <w:tcW w:w="1296" w:type="dxa"/>
            <w:tcBorders>
              <w:top w:val="nil"/>
              <w:left w:val="single" w:sz="4" w:space="0" w:color="auto"/>
              <w:bottom w:val="nil"/>
              <w:right w:val="single" w:sz="4" w:space="0" w:color="auto"/>
            </w:tcBorders>
            <w:shd w:val="clear" w:color="auto" w:fill="auto"/>
            <w:noWrap/>
            <w:vAlign w:val="bottom"/>
            <w:hideMark/>
          </w:tcPr>
          <w:p w14:paraId="5BCF396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37D919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EB4267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0035148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6638887"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7BB0FF09"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eastAsia="Batang"/>
                <w:sz w:val="22"/>
                <w:szCs w:val="22"/>
              </w:rPr>
              <w:t>Octagon</w:t>
            </w:r>
            <w:proofErr w:type="spellEnd"/>
            <w:r w:rsidRPr="00236418">
              <w:rPr>
                <w:rFonts w:eastAsia="Batang"/>
                <w:sz w:val="22"/>
                <w:szCs w:val="22"/>
              </w:rPr>
              <w:t xml:space="preserve"> Telecom Oy (Ex. </w:t>
            </w:r>
            <w:r w:rsidRPr="00236418">
              <w:rPr>
                <w:rFonts w:asciiTheme="minorHAnsi" w:eastAsia="Batang" w:hAnsiTheme="minorHAnsi"/>
                <w:sz w:val="22"/>
                <w:szCs w:val="22"/>
              </w:rPr>
              <w:t xml:space="preserve">Oy </w:t>
            </w:r>
            <w:proofErr w:type="spellStart"/>
            <w:r w:rsidRPr="00236418">
              <w:rPr>
                <w:rFonts w:asciiTheme="minorHAnsi" w:eastAsia="Batang" w:hAnsiTheme="minorHAnsi"/>
                <w:sz w:val="22"/>
                <w:szCs w:val="22"/>
              </w:rPr>
              <w:t>Cubio</w:t>
            </w:r>
            <w:proofErr w:type="spellEnd"/>
            <w:r w:rsidRPr="00236418">
              <w:rPr>
                <w:rFonts w:asciiTheme="minorHAnsi" w:eastAsia="Batang" w:hAnsiTheme="minorHAnsi"/>
                <w:sz w:val="22"/>
                <w:szCs w:val="22"/>
              </w:rPr>
              <w:t xml:space="preserve"> Communications Ltd.), Helsinki</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034F51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2012-2013</w:t>
            </w:r>
          </w:p>
        </w:tc>
        <w:tc>
          <w:tcPr>
            <w:tcW w:w="1611" w:type="dxa"/>
            <w:tcBorders>
              <w:top w:val="nil"/>
              <w:left w:val="nil"/>
              <w:bottom w:val="single" w:sz="4" w:space="0" w:color="auto"/>
              <w:right w:val="nil"/>
            </w:tcBorders>
            <w:shd w:val="clear" w:color="auto" w:fill="auto"/>
            <w:noWrap/>
            <w:vAlign w:val="bottom"/>
            <w:hideMark/>
          </w:tcPr>
          <w:p w14:paraId="1AAC145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14 406,65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695B11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7B7848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14 406,65</w:t>
            </w:r>
          </w:p>
        </w:tc>
      </w:tr>
      <w:tr w:rsidR="00862C6F" w:rsidRPr="00236418" w14:paraId="125FBDB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13799550"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France</w:t>
            </w:r>
          </w:p>
        </w:tc>
        <w:tc>
          <w:tcPr>
            <w:tcW w:w="1296" w:type="dxa"/>
            <w:tcBorders>
              <w:top w:val="nil"/>
              <w:left w:val="single" w:sz="4" w:space="0" w:color="auto"/>
              <w:bottom w:val="nil"/>
              <w:right w:val="single" w:sz="4" w:space="0" w:color="auto"/>
            </w:tcBorders>
            <w:shd w:val="clear" w:color="auto" w:fill="auto"/>
            <w:noWrap/>
            <w:vAlign w:val="bottom"/>
            <w:hideMark/>
          </w:tcPr>
          <w:p w14:paraId="3A61D1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55B34CA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5A915E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15D473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669F397"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7DFE8CAA"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LegalBox</w:t>
            </w:r>
            <w:proofErr w:type="spellEnd"/>
            <w:r w:rsidRPr="00236418">
              <w:rPr>
                <w:rFonts w:asciiTheme="minorHAnsi" w:eastAsia="Batang" w:hAnsiTheme="minorHAnsi"/>
                <w:sz w:val="22"/>
                <w:szCs w:val="22"/>
              </w:rPr>
              <w:t>, Paris</w:t>
            </w:r>
          </w:p>
        </w:tc>
        <w:tc>
          <w:tcPr>
            <w:tcW w:w="1296" w:type="dxa"/>
            <w:tcBorders>
              <w:top w:val="nil"/>
              <w:left w:val="single" w:sz="4" w:space="0" w:color="auto"/>
              <w:right w:val="single" w:sz="4" w:space="0" w:color="auto"/>
            </w:tcBorders>
            <w:shd w:val="clear" w:color="auto" w:fill="auto"/>
            <w:noWrap/>
            <w:vAlign w:val="bottom"/>
            <w:hideMark/>
          </w:tcPr>
          <w:p w14:paraId="29675E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2016-2017</w:t>
            </w:r>
          </w:p>
        </w:tc>
        <w:tc>
          <w:tcPr>
            <w:tcW w:w="1611" w:type="dxa"/>
            <w:tcBorders>
              <w:top w:val="nil"/>
              <w:left w:val="nil"/>
              <w:right w:val="nil"/>
            </w:tcBorders>
            <w:shd w:val="clear" w:color="auto" w:fill="auto"/>
            <w:noWrap/>
            <w:vAlign w:val="bottom"/>
            <w:hideMark/>
          </w:tcPr>
          <w:p w14:paraId="7DAFA0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17 217,13</w:t>
            </w:r>
          </w:p>
        </w:tc>
        <w:tc>
          <w:tcPr>
            <w:tcW w:w="1333" w:type="dxa"/>
            <w:tcBorders>
              <w:top w:val="nil"/>
              <w:left w:val="single" w:sz="4" w:space="0" w:color="auto"/>
              <w:right w:val="single" w:sz="4" w:space="0" w:color="auto"/>
            </w:tcBorders>
            <w:shd w:val="clear" w:color="auto" w:fill="auto"/>
            <w:noWrap/>
            <w:vAlign w:val="bottom"/>
            <w:hideMark/>
          </w:tcPr>
          <w:p w14:paraId="55B8A1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hideMark/>
          </w:tcPr>
          <w:p w14:paraId="2722357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17 217,13</w:t>
            </w:r>
          </w:p>
        </w:tc>
      </w:tr>
      <w:tr w:rsidR="00862C6F" w:rsidRPr="00236418" w14:paraId="69692101"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09B2CE2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t>PMI Conseil, Luynes</w:t>
            </w:r>
          </w:p>
        </w:tc>
        <w:tc>
          <w:tcPr>
            <w:tcW w:w="1296" w:type="dxa"/>
            <w:tcBorders>
              <w:top w:val="nil"/>
              <w:left w:val="single" w:sz="4" w:space="0" w:color="auto"/>
              <w:right w:val="single" w:sz="4" w:space="0" w:color="auto"/>
            </w:tcBorders>
            <w:shd w:val="clear" w:color="auto" w:fill="auto"/>
            <w:noWrap/>
            <w:vAlign w:val="bottom"/>
          </w:tcPr>
          <w:p w14:paraId="2B9AC5D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right w:val="nil"/>
            </w:tcBorders>
            <w:shd w:val="clear" w:color="auto" w:fill="auto"/>
            <w:noWrap/>
            <w:vAlign w:val="bottom"/>
          </w:tcPr>
          <w:p w14:paraId="6BA5B57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8 743,05</w:t>
            </w:r>
          </w:p>
        </w:tc>
        <w:tc>
          <w:tcPr>
            <w:tcW w:w="1333" w:type="dxa"/>
            <w:tcBorders>
              <w:top w:val="nil"/>
              <w:left w:val="single" w:sz="4" w:space="0" w:color="auto"/>
              <w:right w:val="single" w:sz="4" w:space="0" w:color="auto"/>
            </w:tcBorders>
            <w:shd w:val="clear" w:color="auto" w:fill="auto"/>
            <w:noWrap/>
            <w:vAlign w:val="bottom"/>
          </w:tcPr>
          <w:p w14:paraId="4F3015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tcPr>
          <w:p w14:paraId="02BEB66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8 743,05</w:t>
            </w:r>
          </w:p>
        </w:tc>
      </w:tr>
      <w:tr w:rsidR="00862C6F" w:rsidRPr="00236418" w14:paraId="411D0C25"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124000E"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t>Viable France, Paris</w:t>
            </w:r>
          </w:p>
        </w:tc>
        <w:tc>
          <w:tcPr>
            <w:tcW w:w="1296" w:type="dxa"/>
            <w:tcBorders>
              <w:left w:val="single" w:sz="4" w:space="0" w:color="auto"/>
              <w:bottom w:val="single" w:sz="4" w:space="0" w:color="auto"/>
              <w:right w:val="single" w:sz="4" w:space="0" w:color="auto"/>
            </w:tcBorders>
            <w:shd w:val="clear" w:color="auto" w:fill="auto"/>
            <w:noWrap/>
            <w:vAlign w:val="bottom"/>
          </w:tcPr>
          <w:p w14:paraId="5D22D7A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2010-2012</w:t>
            </w:r>
          </w:p>
        </w:tc>
        <w:tc>
          <w:tcPr>
            <w:tcW w:w="1611" w:type="dxa"/>
            <w:tcBorders>
              <w:left w:val="nil"/>
              <w:bottom w:val="single" w:sz="4" w:space="0" w:color="auto"/>
              <w:right w:val="nil"/>
            </w:tcBorders>
            <w:shd w:val="clear" w:color="auto" w:fill="auto"/>
            <w:noWrap/>
            <w:vAlign w:val="bottom"/>
          </w:tcPr>
          <w:p w14:paraId="1CB7EE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13 095,30</w:t>
            </w:r>
          </w:p>
        </w:tc>
        <w:tc>
          <w:tcPr>
            <w:tcW w:w="1333" w:type="dxa"/>
            <w:tcBorders>
              <w:left w:val="single" w:sz="4" w:space="0" w:color="auto"/>
              <w:bottom w:val="single" w:sz="4" w:space="0" w:color="auto"/>
              <w:right w:val="single" w:sz="4" w:space="0" w:color="auto"/>
            </w:tcBorders>
            <w:shd w:val="clear" w:color="auto" w:fill="auto"/>
            <w:noWrap/>
            <w:vAlign w:val="bottom"/>
          </w:tcPr>
          <w:p w14:paraId="5752BD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left w:val="nil"/>
              <w:bottom w:val="single" w:sz="4" w:space="0" w:color="auto"/>
              <w:right w:val="single" w:sz="4" w:space="0" w:color="auto"/>
            </w:tcBorders>
            <w:shd w:val="clear" w:color="auto" w:fill="auto"/>
            <w:noWrap/>
            <w:vAlign w:val="bottom"/>
          </w:tcPr>
          <w:p w14:paraId="1C31E4A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13 095,30</w:t>
            </w:r>
          </w:p>
        </w:tc>
      </w:tr>
      <w:tr w:rsidR="00862C6F" w:rsidRPr="00236418" w14:paraId="36CAADE0"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1267B37F"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Ghana</w:t>
            </w:r>
          </w:p>
        </w:tc>
        <w:tc>
          <w:tcPr>
            <w:tcW w:w="1296" w:type="dxa"/>
            <w:tcBorders>
              <w:top w:val="nil"/>
              <w:left w:val="single" w:sz="4" w:space="0" w:color="auto"/>
              <w:bottom w:val="nil"/>
              <w:right w:val="single" w:sz="4" w:space="0" w:color="auto"/>
            </w:tcBorders>
            <w:shd w:val="clear" w:color="auto" w:fill="auto"/>
            <w:noWrap/>
            <w:vAlign w:val="bottom"/>
          </w:tcPr>
          <w:p w14:paraId="2F5DD0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3D195A8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10B29CB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2F3246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3492E81F"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187D4BDC" w14:textId="77777777" w:rsidR="00862C6F" w:rsidRPr="00236418" w:rsidRDefault="00862C6F" w:rsidP="00862C6F">
            <w:pPr>
              <w:tabs>
                <w:tab w:val="clear" w:pos="567"/>
                <w:tab w:val="clear" w:pos="1134"/>
                <w:tab w:val="clear" w:pos="1701"/>
                <w:tab w:val="clear" w:pos="2268"/>
                <w:tab w:val="clear" w:pos="2835"/>
                <w:tab w:val="left" w:pos="313"/>
              </w:tabs>
              <w:spacing w:beforeLines="20" w:before="48" w:afterLines="20" w:after="48"/>
              <w:rPr>
                <w:b/>
                <w:sz w:val="22"/>
                <w:szCs w:val="22"/>
              </w:rPr>
            </w:pPr>
            <w:r w:rsidRPr="00236418">
              <w:rPr>
                <w:sz w:val="22"/>
                <w:szCs w:val="22"/>
              </w:rPr>
              <w:t>–</w:t>
            </w:r>
            <w:r w:rsidRPr="00236418">
              <w:rPr>
                <w:sz w:val="22"/>
                <w:szCs w:val="22"/>
              </w:rPr>
              <w:tab/>
            </w:r>
            <w:proofErr w:type="spellStart"/>
            <w:r w:rsidRPr="00236418">
              <w:rPr>
                <w:sz w:val="22"/>
                <w:szCs w:val="22"/>
                <w:lang w:eastAsia="zh-CN"/>
              </w:rPr>
              <w:t>Regional</w:t>
            </w:r>
            <w:proofErr w:type="spellEnd"/>
            <w:r w:rsidRPr="00236418">
              <w:rPr>
                <w:sz w:val="22"/>
                <w:szCs w:val="22"/>
                <w:lang w:eastAsia="zh-CN"/>
              </w:rPr>
              <w:t xml:space="preserve"> Maritime </w:t>
            </w:r>
            <w:proofErr w:type="spellStart"/>
            <w:r w:rsidRPr="00236418">
              <w:rPr>
                <w:sz w:val="22"/>
                <w:szCs w:val="22"/>
                <w:lang w:eastAsia="zh-CN"/>
              </w:rPr>
              <w:t>University</w:t>
            </w:r>
            <w:proofErr w:type="spellEnd"/>
            <w:r w:rsidRPr="00236418">
              <w:rPr>
                <w:sz w:val="22"/>
                <w:szCs w:val="22"/>
                <w:lang w:eastAsia="zh-CN"/>
              </w:rPr>
              <w:t>, Accra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19D3F6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w:t>
            </w:r>
          </w:p>
        </w:tc>
        <w:tc>
          <w:tcPr>
            <w:tcW w:w="1611" w:type="dxa"/>
            <w:tcBorders>
              <w:top w:val="nil"/>
              <w:left w:val="nil"/>
              <w:bottom w:val="single" w:sz="4" w:space="0" w:color="auto"/>
              <w:right w:val="nil"/>
            </w:tcBorders>
            <w:shd w:val="clear" w:color="auto" w:fill="auto"/>
            <w:noWrap/>
            <w:vAlign w:val="bottom"/>
          </w:tcPr>
          <w:p w14:paraId="73A2E7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2 353,91</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BA77D5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380F0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2 353,91</w:t>
            </w:r>
          </w:p>
        </w:tc>
      </w:tr>
      <w:tr w:rsidR="00862C6F" w:rsidRPr="00236418" w14:paraId="3F4516C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2DFC54E"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 xml:space="preserve">Haïti </w:t>
            </w:r>
          </w:p>
        </w:tc>
        <w:tc>
          <w:tcPr>
            <w:tcW w:w="1296" w:type="dxa"/>
            <w:tcBorders>
              <w:top w:val="nil"/>
              <w:left w:val="single" w:sz="4" w:space="0" w:color="auto"/>
              <w:bottom w:val="nil"/>
              <w:right w:val="single" w:sz="4" w:space="0" w:color="auto"/>
            </w:tcBorders>
            <w:shd w:val="clear" w:color="auto" w:fill="auto"/>
            <w:noWrap/>
            <w:vAlign w:val="bottom"/>
            <w:hideMark/>
          </w:tcPr>
          <w:p w14:paraId="5DA105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055224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3B5F01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46BF985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57E0BC4C" w14:textId="77777777" w:rsidTr="00620F53">
        <w:trPr>
          <w:trHeight w:val="283"/>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886C45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proofErr w:type="spellStart"/>
            <w:r w:rsidRPr="00236418">
              <w:rPr>
                <w:rFonts w:asciiTheme="minorHAnsi" w:eastAsia="Batang" w:hAnsiTheme="minorHAnsi"/>
                <w:sz w:val="22"/>
                <w:szCs w:val="22"/>
              </w:rPr>
              <w:t>Haiti</w:t>
            </w:r>
            <w:proofErr w:type="spellEnd"/>
            <w:r w:rsidRPr="00236418">
              <w:rPr>
                <w:rFonts w:asciiTheme="minorHAnsi" w:eastAsia="Batang" w:hAnsiTheme="minorHAnsi"/>
                <w:sz w:val="22"/>
                <w:szCs w:val="22"/>
              </w:rPr>
              <w:t xml:space="preserve"> Télécommunications Int. S.A., </w:t>
            </w:r>
            <w:proofErr w:type="spellStart"/>
            <w:r w:rsidRPr="00236418">
              <w:rPr>
                <w:rFonts w:asciiTheme="minorHAnsi" w:eastAsia="Batang" w:hAnsiTheme="minorHAnsi"/>
                <w:sz w:val="22"/>
                <w:szCs w:val="22"/>
              </w:rPr>
              <w:t>Petion</w:t>
            </w:r>
            <w:proofErr w:type="spellEnd"/>
            <w:r w:rsidRPr="00236418">
              <w:rPr>
                <w:rFonts w:asciiTheme="minorHAnsi" w:eastAsia="Batang" w:hAnsiTheme="minorHAnsi"/>
                <w:sz w:val="22"/>
                <w:szCs w:val="22"/>
              </w:rPr>
              <w:t>-Ville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52698A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w:t>
            </w:r>
          </w:p>
        </w:tc>
        <w:tc>
          <w:tcPr>
            <w:tcW w:w="1611" w:type="dxa"/>
            <w:tcBorders>
              <w:top w:val="nil"/>
              <w:left w:val="nil"/>
              <w:bottom w:val="single" w:sz="4" w:space="0" w:color="auto"/>
              <w:right w:val="nil"/>
            </w:tcBorders>
            <w:shd w:val="clear" w:color="auto" w:fill="auto"/>
            <w:noWrap/>
            <w:vAlign w:val="bottom"/>
            <w:hideMark/>
          </w:tcPr>
          <w:p w14:paraId="74BB9C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62 629,55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C7F406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18D5A9D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62 629,55</w:t>
            </w:r>
          </w:p>
        </w:tc>
      </w:tr>
      <w:tr w:rsidR="00862C6F" w:rsidRPr="00236418" w14:paraId="724C851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3A495BC"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 xml:space="preserve">Honduras </w:t>
            </w:r>
          </w:p>
        </w:tc>
        <w:tc>
          <w:tcPr>
            <w:tcW w:w="1296" w:type="dxa"/>
            <w:tcBorders>
              <w:top w:val="nil"/>
              <w:left w:val="single" w:sz="4" w:space="0" w:color="auto"/>
              <w:bottom w:val="nil"/>
              <w:right w:val="single" w:sz="4" w:space="0" w:color="auto"/>
            </w:tcBorders>
            <w:shd w:val="clear" w:color="auto" w:fill="auto"/>
            <w:noWrap/>
            <w:vAlign w:val="bottom"/>
            <w:hideMark/>
          </w:tcPr>
          <w:p w14:paraId="3C113D3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7C6735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E7224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1BDFC3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3FB3499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7C9BFDCE"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UNITEC, Tegucigalpa</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764B84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w:t>
            </w:r>
          </w:p>
        </w:tc>
        <w:tc>
          <w:tcPr>
            <w:tcW w:w="1611" w:type="dxa"/>
            <w:tcBorders>
              <w:top w:val="nil"/>
              <w:left w:val="nil"/>
              <w:bottom w:val="single" w:sz="4" w:space="0" w:color="auto"/>
              <w:right w:val="nil"/>
            </w:tcBorders>
            <w:shd w:val="clear" w:color="auto" w:fill="auto"/>
            <w:noWrap/>
            <w:vAlign w:val="bottom"/>
            <w:hideMark/>
          </w:tcPr>
          <w:p w14:paraId="3DFF548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3 100,50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75B019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957931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3 100,50</w:t>
            </w:r>
          </w:p>
        </w:tc>
      </w:tr>
      <w:tr w:rsidR="00862C6F" w:rsidRPr="00236418" w14:paraId="64CE0803"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C1A7347" w14:textId="77777777" w:rsidR="00862C6F" w:rsidRPr="00236418" w:rsidRDefault="00862C6F" w:rsidP="00862C6F">
            <w:pPr>
              <w:keepNext/>
              <w:keepLines/>
              <w:tabs>
                <w:tab w:val="clear" w:pos="567"/>
                <w:tab w:val="clear" w:pos="1134"/>
                <w:tab w:val="clear" w:pos="1701"/>
                <w:tab w:val="clear" w:pos="2268"/>
                <w:tab w:val="clear" w:pos="2835"/>
                <w:tab w:val="left" w:pos="277"/>
              </w:tabs>
              <w:spacing w:beforeLines="20" w:before="48" w:afterLines="20" w:after="48"/>
              <w:ind w:left="277" w:hanging="277"/>
              <w:rPr>
                <w:rFonts w:asciiTheme="minorHAnsi" w:hAnsiTheme="minorHAnsi"/>
                <w:b/>
                <w:sz w:val="22"/>
                <w:szCs w:val="22"/>
              </w:rPr>
            </w:pPr>
            <w:r w:rsidRPr="00236418">
              <w:rPr>
                <w:rFonts w:asciiTheme="minorHAnsi" w:hAnsiTheme="minorHAnsi"/>
                <w:b/>
                <w:sz w:val="22"/>
                <w:szCs w:val="22"/>
              </w:rPr>
              <w:lastRenderedPageBreak/>
              <w:t>B</w:t>
            </w:r>
            <w:r w:rsidRPr="00236418">
              <w:rPr>
                <w:rFonts w:asciiTheme="minorHAnsi" w:hAnsiTheme="minorHAnsi"/>
                <w:b/>
                <w:sz w:val="22"/>
                <w:szCs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7DC553B0"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16289288"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2D8A2E2B"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2919FB65"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Total</w:t>
            </w:r>
          </w:p>
        </w:tc>
      </w:tr>
      <w:tr w:rsidR="00862C6F" w:rsidRPr="00236418" w14:paraId="208FFF51"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4F164F61"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Hongrie</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25F0127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tcPr>
          <w:p w14:paraId="0601D52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tcPr>
          <w:p w14:paraId="0F5ACB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tcPr>
          <w:p w14:paraId="294A404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5F50A4BE"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4F428A03" w14:textId="77777777" w:rsidR="00862C6F" w:rsidRPr="00236418" w:rsidRDefault="00862C6F" w:rsidP="00862C6F">
            <w:pPr>
              <w:keepNext/>
              <w:keepLines/>
              <w:tabs>
                <w:tab w:val="clear" w:pos="567"/>
                <w:tab w:val="clear" w:pos="1134"/>
                <w:tab w:val="clear" w:pos="1701"/>
                <w:tab w:val="clear" w:pos="2268"/>
                <w:tab w:val="clear" w:pos="2835"/>
                <w:tab w:val="left" w:pos="238"/>
              </w:tabs>
              <w:spacing w:beforeLines="20" w:before="48" w:afterLines="20" w:after="48"/>
              <w:ind w:left="238" w:hanging="238"/>
              <w:rPr>
                <w:bCs/>
                <w:sz w:val="22"/>
                <w:szCs w:val="22"/>
              </w:rPr>
            </w:pPr>
            <w:r w:rsidRPr="00236418">
              <w:rPr>
                <w:bCs/>
                <w:sz w:val="22"/>
                <w:szCs w:val="22"/>
              </w:rPr>
              <w:t>–</w:t>
            </w:r>
            <w:r w:rsidRPr="00236418">
              <w:rPr>
                <w:bCs/>
                <w:sz w:val="22"/>
                <w:szCs w:val="22"/>
              </w:rPr>
              <w:tab/>
            </w:r>
            <w:proofErr w:type="spellStart"/>
            <w:r w:rsidRPr="00236418">
              <w:rPr>
                <w:bCs/>
                <w:sz w:val="22"/>
                <w:szCs w:val="22"/>
              </w:rPr>
              <w:t>MCNTelecom</w:t>
            </w:r>
            <w:proofErr w:type="spellEnd"/>
            <w:r w:rsidRPr="00236418">
              <w:rPr>
                <w:bCs/>
                <w:sz w:val="22"/>
                <w:szCs w:val="22"/>
              </w:rPr>
              <w:t xml:space="preserve">, Budapest (Ex. Tel2tel </w:t>
            </w:r>
            <w:proofErr w:type="spellStart"/>
            <w:r w:rsidRPr="00236418">
              <w:rPr>
                <w:bCs/>
                <w:sz w:val="22"/>
                <w:szCs w:val="22"/>
              </w:rPr>
              <w:t>Kft</w:t>
            </w:r>
            <w:proofErr w:type="spellEnd"/>
            <w:r w:rsidRPr="00236418">
              <w:rPr>
                <w:bCs/>
                <w:sz w:val="22"/>
                <w:szCs w:val="22"/>
              </w:rPr>
              <w:t>.)</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6B568C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2017</w:t>
            </w:r>
          </w:p>
        </w:tc>
        <w:tc>
          <w:tcPr>
            <w:tcW w:w="1611" w:type="dxa"/>
            <w:tcBorders>
              <w:top w:val="nil"/>
              <w:left w:val="nil"/>
              <w:bottom w:val="single" w:sz="4" w:space="0" w:color="auto"/>
              <w:right w:val="nil"/>
            </w:tcBorders>
            <w:shd w:val="clear" w:color="auto" w:fill="auto"/>
            <w:noWrap/>
            <w:vAlign w:val="bottom"/>
          </w:tcPr>
          <w:p w14:paraId="3881BCB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12 356,80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43270B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E1AA59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12 356,80</w:t>
            </w:r>
          </w:p>
        </w:tc>
      </w:tr>
      <w:tr w:rsidR="00862C6F" w:rsidRPr="00236418" w14:paraId="4E9D74DB"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3CD0117"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Inde</w:t>
            </w:r>
          </w:p>
        </w:tc>
        <w:tc>
          <w:tcPr>
            <w:tcW w:w="1296" w:type="dxa"/>
            <w:tcBorders>
              <w:top w:val="nil"/>
              <w:left w:val="single" w:sz="4" w:space="0" w:color="auto"/>
              <w:bottom w:val="nil"/>
              <w:right w:val="single" w:sz="4" w:space="0" w:color="auto"/>
            </w:tcBorders>
            <w:shd w:val="clear" w:color="auto" w:fill="auto"/>
            <w:noWrap/>
            <w:vAlign w:val="bottom"/>
            <w:hideMark/>
          </w:tcPr>
          <w:p w14:paraId="5AAF90B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1C4EBF2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4070C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6D86274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D63756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998D9E4"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en-US"/>
              </w:rPr>
            </w:pPr>
            <w:r w:rsidRPr="00596807">
              <w:rPr>
                <w:rFonts w:eastAsia="Batang"/>
                <w:sz w:val="22"/>
                <w:szCs w:val="22"/>
                <w:lang w:val="en-US"/>
              </w:rPr>
              <w:t>–</w:t>
            </w:r>
            <w:r w:rsidRPr="00596807">
              <w:rPr>
                <w:rFonts w:eastAsia="Batang"/>
                <w:sz w:val="22"/>
                <w:szCs w:val="22"/>
                <w:lang w:val="en-US"/>
              </w:rPr>
              <w:tab/>
              <w:t>Amity Institute of Telecom Eng., Noida</w:t>
            </w:r>
          </w:p>
        </w:tc>
        <w:tc>
          <w:tcPr>
            <w:tcW w:w="1296" w:type="dxa"/>
            <w:tcBorders>
              <w:top w:val="nil"/>
              <w:left w:val="single" w:sz="4" w:space="0" w:color="auto"/>
              <w:bottom w:val="nil"/>
              <w:right w:val="single" w:sz="4" w:space="0" w:color="auto"/>
            </w:tcBorders>
            <w:shd w:val="clear" w:color="auto" w:fill="auto"/>
            <w:noWrap/>
            <w:vAlign w:val="bottom"/>
          </w:tcPr>
          <w:p w14:paraId="47EBBB9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2017</w:t>
            </w:r>
          </w:p>
        </w:tc>
        <w:tc>
          <w:tcPr>
            <w:tcW w:w="1611" w:type="dxa"/>
            <w:noWrap/>
            <w:vAlign w:val="bottom"/>
          </w:tcPr>
          <w:p w14:paraId="39899A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2 316,90</w:t>
            </w:r>
          </w:p>
        </w:tc>
        <w:tc>
          <w:tcPr>
            <w:tcW w:w="1333" w:type="dxa"/>
            <w:tcBorders>
              <w:top w:val="nil"/>
              <w:left w:val="single" w:sz="4" w:space="0" w:color="auto"/>
              <w:bottom w:val="nil"/>
              <w:right w:val="single" w:sz="4" w:space="0" w:color="auto"/>
            </w:tcBorders>
            <w:shd w:val="clear" w:color="auto" w:fill="auto"/>
            <w:noWrap/>
            <w:vAlign w:val="bottom"/>
          </w:tcPr>
          <w:p w14:paraId="6EFED4F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413D72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2 316,90</w:t>
            </w:r>
          </w:p>
        </w:tc>
      </w:tr>
      <w:tr w:rsidR="00862C6F" w:rsidRPr="00236418" w14:paraId="576CE66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B9C1EB4"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eastAsia="Batang"/>
                <w:sz w:val="22"/>
                <w:szCs w:val="22"/>
                <w:lang w:val="en-US"/>
              </w:rPr>
              <w:t>–</w:t>
            </w:r>
            <w:r w:rsidRPr="00596807">
              <w:rPr>
                <w:rFonts w:eastAsia="Batang"/>
                <w:sz w:val="22"/>
                <w:szCs w:val="22"/>
                <w:lang w:val="en-US"/>
              </w:rPr>
              <w:tab/>
            </w:r>
            <w:r w:rsidRPr="00596807">
              <w:rPr>
                <w:rFonts w:asciiTheme="minorHAnsi" w:eastAsia="Batang" w:hAnsiTheme="minorHAnsi"/>
                <w:sz w:val="22"/>
                <w:szCs w:val="22"/>
                <w:lang w:val="en-US"/>
              </w:rPr>
              <w:t>Centre for Internet and Society, Bangalore</w:t>
            </w:r>
          </w:p>
        </w:tc>
        <w:tc>
          <w:tcPr>
            <w:tcW w:w="1296" w:type="dxa"/>
            <w:tcBorders>
              <w:top w:val="nil"/>
              <w:left w:val="single" w:sz="4" w:space="0" w:color="auto"/>
              <w:bottom w:val="nil"/>
              <w:right w:val="single" w:sz="4" w:space="0" w:color="auto"/>
            </w:tcBorders>
            <w:shd w:val="clear" w:color="auto" w:fill="auto"/>
            <w:noWrap/>
            <w:vAlign w:val="bottom"/>
            <w:hideMark/>
          </w:tcPr>
          <w:p w14:paraId="4F52A60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2014-2015</w:t>
            </w:r>
          </w:p>
        </w:tc>
        <w:tc>
          <w:tcPr>
            <w:tcW w:w="1611" w:type="dxa"/>
            <w:noWrap/>
            <w:vAlign w:val="bottom"/>
            <w:hideMark/>
          </w:tcPr>
          <w:p w14:paraId="30B8FF3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5 230,05</w:t>
            </w:r>
          </w:p>
        </w:tc>
        <w:tc>
          <w:tcPr>
            <w:tcW w:w="1333" w:type="dxa"/>
            <w:tcBorders>
              <w:top w:val="nil"/>
              <w:left w:val="single" w:sz="4" w:space="0" w:color="auto"/>
              <w:bottom w:val="nil"/>
              <w:right w:val="single" w:sz="4" w:space="0" w:color="auto"/>
            </w:tcBorders>
            <w:shd w:val="clear" w:color="auto" w:fill="auto"/>
            <w:noWrap/>
            <w:vAlign w:val="bottom"/>
            <w:hideMark/>
          </w:tcPr>
          <w:p w14:paraId="4423A73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26D1BD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5 230,05</w:t>
            </w:r>
          </w:p>
        </w:tc>
      </w:tr>
      <w:tr w:rsidR="00862C6F" w:rsidRPr="00236418" w14:paraId="6013437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7CFDC95"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en-US"/>
              </w:rPr>
            </w:pPr>
            <w:r w:rsidRPr="00596807">
              <w:rPr>
                <w:rFonts w:eastAsia="Batang"/>
                <w:sz w:val="22"/>
                <w:szCs w:val="22"/>
                <w:lang w:val="en-US"/>
              </w:rPr>
              <w:t>–</w:t>
            </w:r>
            <w:r w:rsidRPr="00596807">
              <w:rPr>
                <w:rFonts w:eastAsia="Batang"/>
                <w:sz w:val="22"/>
                <w:szCs w:val="22"/>
                <w:lang w:val="en-US"/>
              </w:rPr>
              <w:tab/>
              <w:t>HRM Inst. of Tech. &amp; Management, New Delhi</w:t>
            </w:r>
          </w:p>
        </w:tc>
        <w:tc>
          <w:tcPr>
            <w:tcW w:w="1296" w:type="dxa"/>
            <w:tcBorders>
              <w:top w:val="nil"/>
              <w:left w:val="single" w:sz="4" w:space="0" w:color="auto"/>
              <w:bottom w:val="nil"/>
              <w:right w:val="single" w:sz="4" w:space="0" w:color="auto"/>
            </w:tcBorders>
            <w:shd w:val="clear" w:color="auto" w:fill="auto"/>
            <w:noWrap/>
            <w:vAlign w:val="bottom"/>
          </w:tcPr>
          <w:p w14:paraId="4C4DE7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2016-2018</w:t>
            </w:r>
          </w:p>
        </w:tc>
        <w:tc>
          <w:tcPr>
            <w:tcW w:w="1611" w:type="dxa"/>
            <w:noWrap/>
            <w:vAlign w:val="bottom"/>
          </w:tcPr>
          <w:p w14:paraId="63B5A7E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2 260,30</w:t>
            </w:r>
          </w:p>
        </w:tc>
        <w:tc>
          <w:tcPr>
            <w:tcW w:w="1333" w:type="dxa"/>
            <w:tcBorders>
              <w:top w:val="nil"/>
              <w:left w:val="single" w:sz="4" w:space="0" w:color="auto"/>
              <w:bottom w:val="nil"/>
              <w:right w:val="single" w:sz="4" w:space="0" w:color="auto"/>
            </w:tcBorders>
            <w:shd w:val="clear" w:color="auto" w:fill="auto"/>
            <w:noWrap/>
            <w:vAlign w:val="bottom"/>
          </w:tcPr>
          <w:p w14:paraId="4AF83E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11" w:type="dxa"/>
            <w:tcBorders>
              <w:top w:val="nil"/>
              <w:left w:val="nil"/>
              <w:bottom w:val="nil"/>
              <w:right w:val="single" w:sz="4" w:space="0" w:color="auto"/>
            </w:tcBorders>
            <w:shd w:val="clear" w:color="auto" w:fill="auto"/>
            <w:noWrap/>
            <w:vAlign w:val="bottom"/>
          </w:tcPr>
          <w:p w14:paraId="307A54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2 260,30</w:t>
            </w:r>
          </w:p>
        </w:tc>
      </w:tr>
      <w:tr w:rsidR="00862C6F" w:rsidRPr="00236418" w14:paraId="4962036A"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E0FF8A8"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 xml:space="preserve">Luna </w:t>
            </w:r>
            <w:proofErr w:type="spellStart"/>
            <w:r w:rsidRPr="00236418">
              <w:rPr>
                <w:rFonts w:asciiTheme="minorHAnsi" w:eastAsia="Batang" w:hAnsiTheme="minorHAnsi"/>
                <w:sz w:val="22"/>
                <w:szCs w:val="22"/>
              </w:rPr>
              <w:t>Ergonomics</w:t>
            </w:r>
            <w:proofErr w:type="spellEnd"/>
            <w:r w:rsidRPr="00236418">
              <w:rPr>
                <w:rFonts w:asciiTheme="minorHAnsi" w:eastAsia="Batang" w:hAnsiTheme="minorHAnsi"/>
                <w:sz w:val="22"/>
                <w:szCs w:val="22"/>
              </w:rPr>
              <w:t xml:space="preserve"> </w:t>
            </w:r>
            <w:proofErr w:type="spellStart"/>
            <w:r w:rsidRPr="00236418">
              <w:rPr>
                <w:rFonts w:asciiTheme="minorHAnsi" w:eastAsia="Batang" w:hAnsiTheme="minorHAnsi"/>
                <w:sz w:val="22"/>
                <w:szCs w:val="22"/>
              </w:rPr>
              <w:t>Pvt</w:t>
            </w:r>
            <w:proofErr w:type="spellEnd"/>
            <w:r w:rsidRPr="00236418">
              <w:rPr>
                <w:rFonts w:asciiTheme="minorHAnsi" w:eastAsia="Batang" w:hAnsiTheme="minorHAnsi"/>
                <w:sz w:val="22"/>
                <w:szCs w:val="22"/>
              </w:rPr>
              <w:t xml:space="preserve">. Ltd., </w:t>
            </w:r>
            <w:proofErr w:type="spellStart"/>
            <w:r w:rsidRPr="00236418">
              <w:rPr>
                <w:rFonts w:asciiTheme="minorHAnsi" w:eastAsia="Batang" w:hAnsiTheme="minorHAnsi"/>
                <w:sz w:val="22"/>
                <w:szCs w:val="22"/>
              </w:rPr>
              <w:t>Noida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25C329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2011</w:t>
            </w:r>
          </w:p>
        </w:tc>
        <w:tc>
          <w:tcPr>
            <w:tcW w:w="1611" w:type="dxa"/>
            <w:noWrap/>
            <w:vAlign w:val="bottom"/>
            <w:hideMark/>
          </w:tcPr>
          <w:p w14:paraId="4B1690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3BB555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36A3EA5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6 573,15</w:t>
            </w:r>
          </w:p>
        </w:tc>
      </w:tr>
      <w:tr w:rsidR="00862C6F" w:rsidRPr="00236418" w14:paraId="3D754E2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029E45B"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en-US"/>
              </w:rPr>
            </w:pPr>
            <w:r w:rsidRPr="00596807">
              <w:rPr>
                <w:rFonts w:eastAsia="Batang"/>
                <w:sz w:val="22"/>
                <w:szCs w:val="22"/>
                <w:lang w:val="en-US"/>
              </w:rPr>
              <w:t>–</w:t>
            </w:r>
            <w:r w:rsidRPr="00596807">
              <w:rPr>
                <w:rFonts w:eastAsia="Batang"/>
                <w:sz w:val="22"/>
                <w:szCs w:val="22"/>
                <w:lang w:val="en-US"/>
              </w:rPr>
              <w:tab/>
            </w:r>
            <w:proofErr w:type="spellStart"/>
            <w:r w:rsidRPr="00596807">
              <w:rPr>
                <w:rFonts w:eastAsia="Batang"/>
                <w:sz w:val="22"/>
                <w:szCs w:val="22"/>
                <w:lang w:val="en-US"/>
              </w:rPr>
              <w:t>Raitel</w:t>
            </w:r>
            <w:proofErr w:type="spellEnd"/>
            <w:r w:rsidRPr="00596807">
              <w:rPr>
                <w:rFonts w:eastAsia="Batang"/>
                <w:sz w:val="22"/>
                <w:szCs w:val="22"/>
                <w:lang w:val="en-US"/>
              </w:rPr>
              <w:t xml:space="preserve"> Corporation on India Ltd., New Delhi</w:t>
            </w:r>
          </w:p>
        </w:tc>
        <w:tc>
          <w:tcPr>
            <w:tcW w:w="1296" w:type="dxa"/>
            <w:tcBorders>
              <w:top w:val="nil"/>
              <w:left w:val="single" w:sz="4" w:space="0" w:color="auto"/>
              <w:bottom w:val="nil"/>
              <w:right w:val="single" w:sz="4" w:space="0" w:color="auto"/>
            </w:tcBorders>
            <w:shd w:val="clear" w:color="auto" w:fill="auto"/>
            <w:noWrap/>
            <w:vAlign w:val="bottom"/>
          </w:tcPr>
          <w:p w14:paraId="722A51A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w:t>
            </w:r>
          </w:p>
        </w:tc>
        <w:tc>
          <w:tcPr>
            <w:tcW w:w="1611" w:type="dxa"/>
            <w:noWrap/>
            <w:vAlign w:val="bottom"/>
          </w:tcPr>
          <w:p w14:paraId="5C8B17E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5 850,10</w:t>
            </w:r>
          </w:p>
        </w:tc>
        <w:tc>
          <w:tcPr>
            <w:tcW w:w="1333" w:type="dxa"/>
            <w:tcBorders>
              <w:top w:val="nil"/>
              <w:left w:val="single" w:sz="4" w:space="0" w:color="auto"/>
              <w:bottom w:val="nil"/>
              <w:right w:val="single" w:sz="4" w:space="0" w:color="auto"/>
            </w:tcBorders>
            <w:shd w:val="clear" w:color="auto" w:fill="auto"/>
            <w:noWrap/>
            <w:vAlign w:val="bottom"/>
          </w:tcPr>
          <w:p w14:paraId="5F2202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36C1A21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5 850,10</w:t>
            </w:r>
          </w:p>
        </w:tc>
      </w:tr>
      <w:tr w:rsidR="00862C6F" w:rsidRPr="00236418" w14:paraId="555D251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8445EFF"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 xml:space="preserve">Reliance </w:t>
            </w:r>
            <w:proofErr w:type="spellStart"/>
            <w:r w:rsidRPr="00236418">
              <w:rPr>
                <w:rFonts w:asciiTheme="minorHAnsi" w:eastAsia="Batang" w:hAnsiTheme="minorHAnsi"/>
                <w:sz w:val="22"/>
                <w:szCs w:val="22"/>
              </w:rPr>
              <w:t>Infocom</w:t>
            </w:r>
            <w:proofErr w:type="spellEnd"/>
            <w:r w:rsidRPr="00236418">
              <w:rPr>
                <w:rFonts w:asciiTheme="minorHAnsi" w:eastAsia="Batang" w:hAnsiTheme="minorHAnsi"/>
                <w:sz w:val="22"/>
                <w:szCs w:val="22"/>
              </w:rPr>
              <w:t xml:space="preserve"> Ltd., Navi Mumbai</w:t>
            </w:r>
          </w:p>
        </w:tc>
        <w:tc>
          <w:tcPr>
            <w:tcW w:w="1296" w:type="dxa"/>
            <w:tcBorders>
              <w:top w:val="nil"/>
              <w:left w:val="single" w:sz="4" w:space="0" w:color="auto"/>
              <w:bottom w:val="nil"/>
              <w:right w:val="single" w:sz="4" w:space="0" w:color="auto"/>
            </w:tcBorders>
            <w:shd w:val="clear" w:color="auto" w:fill="auto"/>
            <w:noWrap/>
            <w:vAlign w:val="bottom"/>
            <w:hideMark/>
          </w:tcPr>
          <w:p w14:paraId="51FD504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2009</w:t>
            </w:r>
          </w:p>
        </w:tc>
        <w:tc>
          <w:tcPr>
            <w:tcW w:w="1611" w:type="dxa"/>
            <w:noWrap/>
            <w:vAlign w:val="bottom"/>
            <w:hideMark/>
          </w:tcPr>
          <w:p w14:paraId="7DFC8B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125 554,60</w:t>
            </w:r>
          </w:p>
        </w:tc>
        <w:tc>
          <w:tcPr>
            <w:tcW w:w="1333" w:type="dxa"/>
            <w:tcBorders>
              <w:top w:val="nil"/>
              <w:left w:val="single" w:sz="4" w:space="0" w:color="auto"/>
              <w:bottom w:val="nil"/>
              <w:right w:val="single" w:sz="4" w:space="0" w:color="auto"/>
            </w:tcBorders>
            <w:shd w:val="clear" w:color="auto" w:fill="auto"/>
            <w:noWrap/>
            <w:vAlign w:val="bottom"/>
            <w:hideMark/>
          </w:tcPr>
          <w:p w14:paraId="5C80AF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4FC861C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125 554,60</w:t>
            </w:r>
          </w:p>
        </w:tc>
      </w:tr>
      <w:tr w:rsidR="00862C6F" w:rsidRPr="00236418" w14:paraId="654C585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1654DA7"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eastAsia="Batang"/>
                <w:sz w:val="22"/>
                <w:szCs w:val="22"/>
                <w:lang w:val="en-US"/>
              </w:rPr>
              <w:t>–</w:t>
            </w:r>
            <w:r w:rsidRPr="00596807">
              <w:rPr>
                <w:rFonts w:eastAsia="Batang"/>
                <w:sz w:val="22"/>
                <w:szCs w:val="22"/>
                <w:lang w:val="en-US"/>
              </w:rPr>
              <w:tab/>
            </w:r>
            <w:proofErr w:type="spellStart"/>
            <w:r w:rsidRPr="00596807">
              <w:rPr>
                <w:rFonts w:asciiTheme="minorHAnsi" w:eastAsia="Batang" w:hAnsiTheme="minorHAnsi"/>
                <w:sz w:val="22"/>
                <w:szCs w:val="22"/>
                <w:lang w:val="en-US"/>
              </w:rPr>
              <w:t>Sinhgad</w:t>
            </w:r>
            <w:proofErr w:type="spellEnd"/>
            <w:r w:rsidRPr="00596807">
              <w:rPr>
                <w:rFonts w:asciiTheme="minorHAnsi" w:eastAsia="Batang" w:hAnsiTheme="minorHAnsi"/>
                <w:sz w:val="22"/>
                <w:szCs w:val="22"/>
                <w:lang w:val="en-US"/>
              </w:rPr>
              <w:t xml:space="preserve"> Tech. Education Society, Pune</w:t>
            </w:r>
          </w:p>
        </w:tc>
        <w:tc>
          <w:tcPr>
            <w:tcW w:w="1296" w:type="dxa"/>
            <w:tcBorders>
              <w:top w:val="nil"/>
              <w:left w:val="single" w:sz="4" w:space="0" w:color="auto"/>
              <w:bottom w:val="nil"/>
              <w:right w:val="single" w:sz="4" w:space="0" w:color="auto"/>
            </w:tcBorders>
            <w:shd w:val="clear" w:color="auto" w:fill="auto"/>
            <w:noWrap/>
            <w:vAlign w:val="bottom"/>
            <w:hideMark/>
          </w:tcPr>
          <w:p w14:paraId="5660FF7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2011-2012</w:t>
            </w:r>
          </w:p>
        </w:tc>
        <w:tc>
          <w:tcPr>
            <w:tcW w:w="1611" w:type="dxa"/>
            <w:noWrap/>
            <w:vAlign w:val="bottom"/>
            <w:hideMark/>
          </w:tcPr>
          <w:p w14:paraId="6236807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4 420,45</w:t>
            </w:r>
          </w:p>
        </w:tc>
        <w:tc>
          <w:tcPr>
            <w:tcW w:w="1333" w:type="dxa"/>
            <w:tcBorders>
              <w:top w:val="nil"/>
              <w:left w:val="single" w:sz="4" w:space="0" w:color="auto"/>
              <w:bottom w:val="nil"/>
              <w:right w:val="single" w:sz="4" w:space="0" w:color="auto"/>
            </w:tcBorders>
            <w:shd w:val="clear" w:color="auto" w:fill="auto"/>
            <w:noWrap/>
            <w:vAlign w:val="bottom"/>
            <w:hideMark/>
          </w:tcPr>
          <w:p w14:paraId="5FEBC44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72D4B5B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4 420,45</w:t>
            </w:r>
          </w:p>
        </w:tc>
      </w:tr>
      <w:tr w:rsidR="00862C6F" w:rsidRPr="00236418" w14:paraId="366BC63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CE4FAA9"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t>Tata Communications Ltd., New Delhi</w:t>
            </w:r>
          </w:p>
        </w:tc>
        <w:tc>
          <w:tcPr>
            <w:tcW w:w="1296" w:type="dxa"/>
            <w:tcBorders>
              <w:top w:val="nil"/>
              <w:left w:val="single" w:sz="4" w:space="0" w:color="auto"/>
              <w:bottom w:val="nil"/>
              <w:right w:val="single" w:sz="4" w:space="0" w:color="auto"/>
            </w:tcBorders>
            <w:shd w:val="clear" w:color="auto" w:fill="auto"/>
            <w:noWrap/>
            <w:vAlign w:val="bottom"/>
          </w:tcPr>
          <w:p w14:paraId="3770FA1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w:t>
            </w:r>
          </w:p>
        </w:tc>
        <w:tc>
          <w:tcPr>
            <w:tcW w:w="1611" w:type="dxa"/>
            <w:noWrap/>
            <w:vAlign w:val="bottom"/>
          </w:tcPr>
          <w:p w14:paraId="04361B6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5 850,10</w:t>
            </w:r>
          </w:p>
        </w:tc>
        <w:tc>
          <w:tcPr>
            <w:tcW w:w="1333" w:type="dxa"/>
            <w:tcBorders>
              <w:top w:val="nil"/>
              <w:left w:val="single" w:sz="4" w:space="0" w:color="auto"/>
              <w:bottom w:val="nil"/>
              <w:right w:val="single" w:sz="4" w:space="0" w:color="auto"/>
            </w:tcBorders>
            <w:shd w:val="clear" w:color="auto" w:fill="auto"/>
            <w:noWrap/>
            <w:vAlign w:val="bottom"/>
          </w:tcPr>
          <w:p w14:paraId="2AC5B48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7DAB79C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5 850,10</w:t>
            </w:r>
          </w:p>
        </w:tc>
      </w:tr>
      <w:tr w:rsidR="00862C6F" w:rsidRPr="00236418" w14:paraId="4BD776D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FA04728"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eastAsia="Batang"/>
                <w:sz w:val="22"/>
                <w:szCs w:val="22"/>
              </w:rPr>
              <w:t>–</w:t>
            </w:r>
            <w:r w:rsidRPr="00236418">
              <w:rPr>
                <w:rFonts w:eastAsia="Batang"/>
                <w:sz w:val="22"/>
                <w:szCs w:val="22"/>
              </w:rPr>
              <w:tab/>
            </w:r>
            <w:r w:rsidRPr="00236418">
              <w:rPr>
                <w:rFonts w:asciiTheme="minorHAnsi" w:eastAsia="Batang" w:hAnsiTheme="minorHAnsi"/>
                <w:sz w:val="22"/>
                <w:szCs w:val="22"/>
              </w:rPr>
              <w:t>Telecommunications Consultants, New Delhi</w:t>
            </w:r>
          </w:p>
        </w:tc>
        <w:tc>
          <w:tcPr>
            <w:tcW w:w="1296" w:type="dxa"/>
            <w:tcBorders>
              <w:top w:val="nil"/>
              <w:left w:val="single" w:sz="4" w:space="0" w:color="auto"/>
              <w:bottom w:val="nil"/>
              <w:right w:val="single" w:sz="4" w:space="0" w:color="auto"/>
            </w:tcBorders>
            <w:shd w:val="clear" w:color="auto" w:fill="auto"/>
            <w:noWrap/>
            <w:vAlign w:val="bottom"/>
            <w:hideMark/>
          </w:tcPr>
          <w:p w14:paraId="22D6AA3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2006-2007</w:t>
            </w:r>
          </w:p>
        </w:tc>
        <w:tc>
          <w:tcPr>
            <w:tcW w:w="1611" w:type="dxa"/>
            <w:noWrap/>
            <w:vAlign w:val="bottom"/>
            <w:hideMark/>
          </w:tcPr>
          <w:p w14:paraId="204BD96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136 757,85</w:t>
            </w:r>
          </w:p>
        </w:tc>
        <w:tc>
          <w:tcPr>
            <w:tcW w:w="1333" w:type="dxa"/>
            <w:tcBorders>
              <w:top w:val="nil"/>
              <w:left w:val="single" w:sz="4" w:space="0" w:color="auto"/>
              <w:bottom w:val="nil"/>
              <w:right w:val="single" w:sz="4" w:space="0" w:color="auto"/>
            </w:tcBorders>
            <w:shd w:val="clear" w:color="auto" w:fill="auto"/>
            <w:noWrap/>
            <w:vAlign w:val="bottom"/>
            <w:hideMark/>
          </w:tcPr>
          <w:p w14:paraId="18E0998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7B6E26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136 757,85</w:t>
            </w:r>
          </w:p>
        </w:tc>
      </w:tr>
      <w:tr w:rsidR="00862C6F" w:rsidRPr="00236418" w14:paraId="4D34A33F"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23F6C098"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rPr>
            </w:pPr>
            <w:r w:rsidRPr="00236418">
              <w:rPr>
                <w:rFonts w:eastAsia="Batang"/>
                <w:sz w:val="22"/>
                <w:szCs w:val="22"/>
              </w:rPr>
              <w:t>–</w:t>
            </w:r>
            <w:r w:rsidRPr="00236418">
              <w:rPr>
                <w:rFonts w:eastAsia="Batang"/>
                <w:sz w:val="22"/>
                <w:szCs w:val="22"/>
              </w:rPr>
              <w:tab/>
              <w:t>Vihaan Networks Ltd., Gurgaon</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C473A5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w:t>
            </w:r>
          </w:p>
        </w:tc>
        <w:tc>
          <w:tcPr>
            <w:tcW w:w="1611" w:type="dxa"/>
            <w:tcBorders>
              <w:top w:val="nil"/>
              <w:left w:val="nil"/>
              <w:bottom w:val="single" w:sz="4" w:space="0" w:color="auto"/>
              <w:right w:val="nil"/>
            </w:tcBorders>
            <w:noWrap/>
            <w:vAlign w:val="bottom"/>
          </w:tcPr>
          <w:p w14:paraId="639530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52 650,55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D84FB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1A4E01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52 650,55</w:t>
            </w:r>
          </w:p>
        </w:tc>
      </w:tr>
      <w:tr w:rsidR="00862C6F" w:rsidRPr="00236418" w14:paraId="14A1A72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7679521"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Indonésie</w:t>
            </w:r>
          </w:p>
        </w:tc>
        <w:tc>
          <w:tcPr>
            <w:tcW w:w="1296" w:type="dxa"/>
            <w:tcBorders>
              <w:top w:val="nil"/>
              <w:left w:val="single" w:sz="4" w:space="0" w:color="auto"/>
              <w:bottom w:val="nil"/>
              <w:right w:val="single" w:sz="4" w:space="0" w:color="auto"/>
            </w:tcBorders>
            <w:shd w:val="clear" w:color="auto" w:fill="auto"/>
            <w:noWrap/>
            <w:vAlign w:val="bottom"/>
            <w:hideMark/>
          </w:tcPr>
          <w:p w14:paraId="5BD10CB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7DE2DBA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31218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68475C0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0E7EA2F2"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89729CA"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eastAsia="Batang"/>
                <w:sz w:val="22"/>
                <w:szCs w:val="22"/>
                <w:lang w:val="en-US"/>
              </w:rPr>
              <w:t>–</w:t>
            </w:r>
            <w:r w:rsidRPr="00596807">
              <w:rPr>
                <w:rFonts w:eastAsia="Batang"/>
                <w:sz w:val="22"/>
                <w:szCs w:val="22"/>
                <w:lang w:val="en-US"/>
              </w:rPr>
              <w:tab/>
            </w:r>
            <w:r w:rsidRPr="00596807">
              <w:rPr>
                <w:rFonts w:asciiTheme="minorHAnsi" w:eastAsia="Batang" w:hAnsiTheme="minorHAnsi"/>
                <w:sz w:val="22"/>
                <w:szCs w:val="22"/>
                <w:lang w:val="en-US"/>
              </w:rPr>
              <w:t xml:space="preserve">PT Bakrie Telecom </w:t>
            </w:r>
            <w:proofErr w:type="spellStart"/>
            <w:r w:rsidRPr="00596807">
              <w:rPr>
                <w:rFonts w:asciiTheme="minorHAnsi" w:eastAsia="Batang" w:hAnsiTheme="minorHAnsi"/>
                <w:sz w:val="22"/>
                <w:szCs w:val="22"/>
                <w:lang w:val="en-US"/>
              </w:rPr>
              <w:t>Tbk</w:t>
            </w:r>
            <w:proofErr w:type="spellEnd"/>
            <w:r w:rsidRPr="00596807">
              <w:rPr>
                <w:rFonts w:asciiTheme="minorHAnsi" w:eastAsia="Batang" w:hAnsiTheme="minorHAnsi"/>
                <w:sz w:val="22"/>
                <w:szCs w:val="22"/>
                <w:lang w:val="en-US"/>
              </w:rPr>
              <w:t>., Jakarta</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A2AE5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1997-2002</w:t>
            </w:r>
          </w:p>
        </w:tc>
        <w:tc>
          <w:tcPr>
            <w:tcW w:w="1611" w:type="dxa"/>
            <w:tcBorders>
              <w:top w:val="nil"/>
              <w:left w:val="nil"/>
              <w:bottom w:val="single" w:sz="4" w:space="0" w:color="auto"/>
              <w:right w:val="nil"/>
            </w:tcBorders>
            <w:shd w:val="clear" w:color="auto" w:fill="auto"/>
            <w:noWrap/>
            <w:vAlign w:val="bottom"/>
            <w:hideMark/>
          </w:tcPr>
          <w:p w14:paraId="5AC484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64 486,25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4020D6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6E3068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64 486,25</w:t>
            </w:r>
          </w:p>
        </w:tc>
      </w:tr>
      <w:tr w:rsidR="00862C6F" w:rsidRPr="00236418" w14:paraId="3E632A0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B3DC3FB"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 xml:space="preserve">Israël </w:t>
            </w:r>
          </w:p>
        </w:tc>
        <w:tc>
          <w:tcPr>
            <w:tcW w:w="1296" w:type="dxa"/>
            <w:tcBorders>
              <w:top w:val="nil"/>
              <w:left w:val="single" w:sz="4" w:space="0" w:color="auto"/>
              <w:bottom w:val="nil"/>
              <w:right w:val="single" w:sz="4" w:space="0" w:color="auto"/>
            </w:tcBorders>
            <w:shd w:val="clear" w:color="auto" w:fill="auto"/>
            <w:noWrap/>
            <w:vAlign w:val="bottom"/>
            <w:hideMark/>
          </w:tcPr>
          <w:p w14:paraId="7B94322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7F54BDF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71085E6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691AA6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73A42FE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D514987"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Gilat</w:t>
            </w:r>
            <w:proofErr w:type="spellEnd"/>
            <w:r w:rsidRPr="00596807">
              <w:rPr>
                <w:rFonts w:asciiTheme="minorHAnsi" w:eastAsia="Batang" w:hAnsiTheme="minorHAnsi"/>
                <w:sz w:val="22"/>
                <w:szCs w:val="22"/>
                <w:lang w:val="en-US"/>
              </w:rPr>
              <w:t xml:space="preserve"> Satellite Networks Ltd., Petah </w:t>
            </w:r>
            <w:proofErr w:type="spellStart"/>
            <w:r w:rsidRPr="00596807">
              <w:rPr>
                <w:rFonts w:asciiTheme="minorHAnsi" w:eastAsia="Batang" w:hAnsiTheme="minorHAnsi"/>
                <w:sz w:val="22"/>
                <w:szCs w:val="22"/>
                <w:lang w:val="en-US"/>
              </w:rPr>
              <w:t>Tikva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327EB63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1997-2002</w:t>
            </w:r>
          </w:p>
        </w:tc>
        <w:tc>
          <w:tcPr>
            <w:tcW w:w="1611" w:type="dxa"/>
            <w:noWrap/>
            <w:vAlign w:val="bottom"/>
            <w:hideMark/>
          </w:tcPr>
          <w:p w14:paraId="4220D3F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113 629,75</w:t>
            </w:r>
          </w:p>
        </w:tc>
        <w:tc>
          <w:tcPr>
            <w:tcW w:w="1333" w:type="dxa"/>
            <w:tcBorders>
              <w:top w:val="nil"/>
              <w:left w:val="single" w:sz="4" w:space="0" w:color="auto"/>
              <w:bottom w:val="nil"/>
              <w:right w:val="single" w:sz="4" w:space="0" w:color="auto"/>
            </w:tcBorders>
            <w:shd w:val="clear" w:color="auto" w:fill="auto"/>
            <w:noWrap/>
            <w:vAlign w:val="bottom"/>
            <w:hideMark/>
          </w:tcPr>
          <w:p w14:paraId="007073D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7519A3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113 629,75</w:t>
            </w:r>
          </w:p>
        </w:tc>
      </w:tr>
      <w:tr w:rsidR="00862C6F" w:rsidRPr="00236418" w14:paraId="47F08E7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CCE10C5"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 xml:space="preserve">IP Light, </w:t>
            </w:r>
            <w:proofErr w:type="spellStart"/>
            <w:r w:rsidRPr="00236418">
              <w:rPr>
                <w:rFonts w:asciiTheme="minorHAnsi" w:eastAsia="Batang" w:hAnsiTheme="minorHAnsi"/>
                <w:sz w:val="22"/>
                <w:szCs w:val="22"/>
              </w:rPr>
              <w:t>Petach</w:t>
            </w:r>
            <w:proofErr w:type="spellEnd"/>
            <w:r w:rsidRPr="00236418">
              <w:rPr>
                <w:rFonts w:asciiTheme="minorHAnsi" w:eastAsia="Batang" w:hAnsiTheme="minorHAnsi"/>
                <w:sz w:val="22"/>
                <w:szCs w:val="22"/>
              </w:rPr>
              <w:t xml:space="preserve"> </w:t>
            </w:r>
            <w:proofErr w:type="spellStart"/>
            <w:r w:rsidRPr="00236418">
              <w:rPr>
                <w:rFonts w:asciiTheme="minorHAnsi" w:eastAsia="Batang" w:hAnsiTheme="minorHAnsi"/>
                <w:sz w:val="22"/>
                <w:szCs w:val="22"/>
              </w:rPr>
              <w:t>Tikva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086658C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2017</w:t>
            </w:r>
          </w:p>
        </w:tc>
        <w:tc>
          <w:tcPr>
            <w:tcW w:w="1611" w:type="dxa"/>
            <w:noWrap/>
            <w:vAlign w:val="bottom"/>
            <w:hideMark/>
          </w:tcPr>
          <w:p w14:paraId="5968332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12 356,80</w:t>
            </w:r>
          </w:p>
        </w:tc>
        <w:tc>
          <w:tcPr>
            <w:tcW w:w="1333" w:type="dxa"/>
            <w:tcBorders>
              <w:top w:val="nil"/>
              <w:left w:val="single" w:sz="4" w:space="0" w:color="auto"/>
              <w:bottom w:val="nil"/>
              <w:right w:val="single" w:sz="4" w:space="0" w:color="auto"/>
            </w:tcBorders>
            <w:shd w:val="clear" w:color="auto" w:fill="auto"/>
            <w:noWrap/>
            <w:vAlign w:val="bottom"/>
            <w:hideMark/>
          </w:tcPr>
          <w:p w14:paraId="0D7EC1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52C0C2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12 356,80</w:t>
            </w:r>
          </w:p>
        </w:tc>
      </w:tr>
      <w:tr w:rsidR="00862C6F" w:rsidRPr="00236418" w14:paraId="7C78CCC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297540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TangoTec</w:t>
            </w:r>
            <w:proofErr w:type="spellEnd"/>
            <w:r w:rsidRPr="00236418">
              <w:rPr>
                <w:rFonts w:asciiTheme="minorHAnsi" w:eastAsia="Batang" w:hAnsiTheme="minorHAnsi"/>
                <w:sz w:val="22"/>
                <w:szCs w:val="22"/>
              </w:rPr>
              <w:t xml:space="preserve">, Il </w:t>
            </w:r>
            <w:proofErr w:type="spellStart"/>
            <w:r w:rsidRPr="00236418">
              <w:rPr>
                <w:rFonts w:asciiTheme="minorHAnsi" w:eastAsia="Batang" w:hAnsiTheme="minorHAnsi"/>
                <w:sz w:val="22"/>
                <w:szCs w:val="22"/>
              </w:rPr>
              <w:t>Haifa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327EC19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2015-2016</w:t>
            </w:r>
          </w:p>
        </w:tc>
        <w:tc>
          <w:tcPr>
            <w:tcW w:w="1611" w:type="dxa"/>
            <w:noWrap/>
            <w:vAlign w:val="bottom"/>
            <w:hideMark/>
          </w:tcPr>
          <w:p w14:paraId="43D4C6C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11 880,85</w:t>
            </w:r>
          </w:p>
        </w:tc>
        <w:tc>
          <w:tcPr>
            <w:tcW w:w="1333" w:type="dxa"/>
            <w:tcBorders>
              <w:top w:val="nil"/>
              <w:left w:val="single" w:sz="4" w:space="0" w:color="auto"/>
              <w:bottom w:val="nil"/>
              <w:right w:val="single" w:sz="4" w:space="0" w:color="auto"/>
            </w:tcBorders>
            <w:shd w:val="clear" w:color="auto" w:fill="auto"/>
            <w:noWrap/>
            <w:vAlign w:val="bottom"/>
            <w:hideMark/>
          </w:tcPr>
          <w:p w14:paraId="54DB41E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7A7BDA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11 880,85</w:t>
            </w:r>
          </w:p>
        </w:tc>
      </w:tr>
      <w:tr w:rsidR="00862C6F" w:rsidRPr="00236418" w14:paraId="0C831085"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154444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Telrad</w:t>
            </w:r>
            <w:proofErr w:type="spellEnd"/>
            <w:r w:rsidRPr="00236418">
              <w:rPr>
                <w:rFonts w:asciiTheme="minorHAnsi" w:eastAsia="Batang" w:hAnsiTheme="minorHAnsi"/>
                <w:sz w:val="22"/>
                <w:szCs w:val="22"/>
              </w:rPr>
              <w:t xml:space="preserve"> Networks Ltd., LOD</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8CB75B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1998-2006</w:t>
            </w:r>
          </w:p>
        </w:tc>
        <w:tc>
          <w:tcPr>
            <w:tcW w:w="1611" w:type="dxa"/>
            <w:tcBorders>
              <w:top w:val="nil"/>
              <w:left w:val="nil"/>
              <w:bottom w:val="single" w:sz="4" w:space="0" w:color="auto"/>
              <w:right w:val="nil"/>
            </w:tcBorders>
            <w:noWrap/>
            <w:vAlign w:val="bottom"/>
            <w:hideMark/>
          </w:tcPr>
          <w:p w14:paraId="106FA9E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99 131,35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6D4B94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9D5073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99 131,35</w:t>
            </w:r>
          </w:p>
        </w:tc>
      </w:tr>
    </w:tbl>
    <w:p w14:paraId="1B1D66A1" w14:textId="77777777" w:rsidR="00862C6F" w:rsidRPr="00236418" w:rsidRDefault="00862C6F" w:rsidP="00862C6F">
      <w:r w:rsidRPr="00236418">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236418" w14:paraId="7D8B3E0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1F6FDB0" w14:textId="77777777" w:rsidR="00862C6F" w:rsidRPr="00236418" w:rsidRDefault="00862C6F" w:rsidP="00862C6F">
            <w:pPr>
              <w:tabs>
                <w:tab w:val="clear" w:pos="567"/>
                <w:tab w:val="clear" w:pos="1134"/>
                <w:tab w:val="clear" w:pos="1701"/>
                <w:tab w:val="clear" w:pos="2268"/>
                <w:tab w:val="clear" w:pos="2835"/>
                <w:tab w:val="left" w:pos="287"/>
              </w:tabs>
              <w:spacing w:beforeLines="20" w:before="48" w:afterLines="20" w:after="48"/>
              <w:ind w:left="287" w:hanging="287"/>
              <w:rPr>
                <w:b/>
                <w:sz w:val="22"/>
                <w:szCs w:val="22"/>
              </w:rPr>
            </w:pPr>
            <w:r w:rsidRPr="00236418">
              <w:rPr>
                <w:b/>
                <w:sz w:val="22"/>
                <w:szCs w:val="22"/>
              </w:rPr>
              <w:lastRenderedPageBreak/>
              <w:t>B</w:t>
            </w:r>
            <w:r w:rsidRPr="00236418">
              <w:rPr>
                <w:b/>
                <w:sz w:val="22"/>
                <w:szCs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0B6F228E"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418D5E5A"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67698872"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56A470E1"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Total</w:t>
            </w:r>
          </w:p>
        </w:tc>
      </w:tr>
      <w:tr w:rsidR="00862C6F" w:rsidRPr="00236418" w14:paraId="036D1FA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1D88284"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Italie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A13DD4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xml:space="preserve"> </w:t>
            </w:r>
          </w:p>
        </w:tc>
        <w:tc>
          <w:tcPr>
            <w:tcW w:w="1611" w:type="dxa"/>
            <w:tcBorders>
              <w:top w:val="single" w:sz="4" w:space="0" w:color="auto"/>
              <w:left w:val="nil"/>
              <w:bottom w:val="nil"/>
              <w:right w:val="nil"/>
            </w:tcBorders>
            <w:shd w:val="clear" w:color="auto" w:fill="auto"/>
            <w:noWrap/>
            <w:vAlign w:val="bottom"/>
            <w:hideMark/>
          </w:tcPr>
          <w:p w14:paraId="771D49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xml:space="preserve">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39A6441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xml:space="preserve"> </w:t>
            </w:r>
          </w:p>
        </w:tc>
        <w:tc>
          <w:tcPr>
            <w:tcW w:w="1611" w:type="dxa"/>
            <w:tcBorders>
              <w:top w:val="single" w:sz="4" w:space="0" w:color="auto"/>
              <w:left w:val="nil"/>
              <w:bottom w:val="nil"/>
              <w:right w:val="single" w:sz="4" w:space="0" w:color="auto"/>
            </w:tcBorders>
            <w:shd w:val="clear" w:color="auto" w:fill="auto"/>
            <w:noWrap/>
            <w:vAlign w:val="bottom"/>
            <w:hideMark/>
          </w:tcPr>
          <w:p w14:paraId="3A8E62B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xml:space="preserve"> </w:t>
            </w:r>
          </w:p>
        </w:tc>
      </w:tr>
      <w:tr w:rsidR="00862C6F" w:rsidRPr="00236418" w14:paraId="1104C33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C6527F6"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 xml:space="preserve">Aethra S.p.A., </w:t>
            </w:r>
            <w:proofErr w:type="spellStart"/>
            <w:r w:rsidRPr="00596807">
              <w:rPr>
                <w:rFonts w:asciiTheme="minorHAnsi" w:eastAsia="Batang" w:hAnsiTheme="minorHAnsi"/>
                <w:sz w:val="22"/>
                <w:szCs w:val="22"/>
                <w:lang w:val="en-US"/>
              </w:rPr>
              <w:t>Palombina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1FBAC2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2007-2008</w:t>
            </w:r>
          </w:p>
        </w:tc>
        <w:tc>
          <w:tcPr>
            <w:tcW w:w="1611" w:type="dxa"/>
            <w:noWrap/>
            <w:vAlign w:val="bottom"/>
            <w:hideMark/>
          </w:tcPr>
          <w:p w14:paraId="5ABF33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35 276,45</w:t>
            </w:r>
          </w:p>
        </w:tc>
        <w:tc>
          <w:tcPr>
            <w:tcW w:w="1333" w:type="dxa"/>
            <w:tcBorders>
              <w:top w:val="nil"/>
              <w:left w:val="single" w:sz="4" w:space="0" w:color="auto"/>
              <w:bottom w:val="nil"/>
              <w:right w:val="single" w:sz="4" w:space="0" w:color="auto"/>
            </w:tcBorders>
            <w:shd w:val="clear" w:color="auto" w:fill="auto"/>
            <w:noWrap/>
            <w:vAlign w:val="bottom"/>
            <w:hideMark/>
          </w:tcPr>
          <w:p w14:paraId="74367DF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698AE87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35 276,45</w:t>
            </w:r>
          </w:p>
        </w:tc>
      </w:tr>
      <w:tr w:rsidR="00862C6F" w:rsidRPr="00236418" w14:paraId="4FE3183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7EC218B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ComProve</w:t>
            </w:r>
            <w:proofErr w:type="spellEnd"/>
            <w:r w:rsidRPr="00236418">
              <w:rPr>
                <w:rFonts w:asciiTheme="minorHAnsi" w:eastAsia="Batang" w:hAnsiTheme="minorHAnsi"/>
                <w:sz w:val="22"/>
                <w:szCs w:val="22"/>
              </w:rPr>
              <w:t xml:space="preserve"> Technologies </w:t>
            </w:r>
            <w:proofErr w:type="spellStart"/>
            <w:r w:rsidRPr="00236418">
              <w:rPr>
                <w:rFonts w:asciiTheme="minorHAnsi" w:eastAsia="Batang" w:hAnsiTheme="minorHAnsi"/>
                <w:sz w:val="22"/>
                <w:szCs w:val="22"/>
              </w:rPr>
              <w:t>SpA</w:t>
            </w:r>
            <w:proofErr w:type="spellEnd"/>
          </w:p>
        </w:tc>
        <w:tc>
          <w:tcPr>
            <w:tcW w:w="1296" w:type="dxa"/>
            <w:tcBorders>
              <w:top w:val="nil"/>
              <w:left w:val="single" w:sz="4" w:space="0" w:color="auto"/>
              <w:bottom w:val="nil"/>
              <w:right w:val="single" w:sz="4" w:space="0" w:color="auto"/>
            </w:tcBorders>
            <w:shd w:val="clear" w:color="auto" w:fill="auto"/>
            <w:noWrap/>
            <w:vAlign w:val="bottom"/>
          </w:tcPr>
          <w:p w14:paraId="773A97A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noWrap/>
            <w:vAlign w:val="bottom"/>
          </w:tcPr>
          <w:p w14:paraId="1DD952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3 885,78</w:t>
            </w:r>
          </w:p>
        </w:tc>
        <w:tc>
          <w:tcPr>
            <w:tcW w:w="1333" w:type="dxa"/>
            <w:tcBorders>
              <w:top w:val="nil"/>
              <w:left w:val="single" w:sz="4" w:space="0" w:color="auto"/>
              <w:bottom w:val="nil"/>
              <w:right w:val="single" w:sz="4" w:space="0" w:color="auto"/>
            </w:tcBorders>
            <w:shd w:val="clear" w:color="auto" w:fill="auto"/>
            <w:noWrap/>
            <w:vAlign w:val="bottom"/>
          </w:tcPr>
          <w:p w14:paraId="3546F6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7E7E572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3 885,78</w:t>
            </w:r>
          </w:p>
        </w:tc>
      </w:tr>
      <w:tr w:rsidR="00862C6F" w:rsidRPr="00236418" w14:paraId="1DC21350"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5624B8BE"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Intermatica</w:t>
            </w:r>
            <w:proofErr w:type="spellEnd"/>
            <w:r w:rsidRPr="00596807">
              <w:rPr>
                <w:rFonts w:asciiTheme="minorHAnsi" w:eastAsia="Batang" w:hAnsiTheme="minorHAnsi"/>
                <w:sz w:val="22"/>
                <w:szCs w:val="22"/>
                <w:lang w:val="en-US"/>
              </w:rPr>
              <w:t xml:space="preserve"> S.p.A., Rome</w:t>
            </w:r>
          </w:p>
        </w:tc>
        <w:tc>
          <w:tcPr>
            <w:tcW w:w="1296" w:type="dxa"/>
            <w:tcBorders>
              <w:top w:val="nil"/>
              <w:left w:val="single" w:sz="4" w:space="0" w:color="auto"/>
              <w:bottom w:val="nil"/>
              <w:right w:val="single" w:sz="4" w:space="0" w:color="auto"/>
            </w:tcBorders>
            <w:shd w:val="clear" w:color="auto" w:fill="auto"/>
            <w:noWrap/>
            <w:vAlign w:val="bottom"/>
          </w:tcPr>
          <w:p w14:paraId="59D024C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2015-2018</w:t>
            </w:r>
          </w:p>
        </w:tc>
        <w:tc>
          <w:tcPr>
            <w:tcW w:w="1611" w:type="dxa"/>
            <w:noWrap/>
            <w:vAlign w:val="bottom"/>
          </w:tcPr>
          <w:p w14:paraId="21205C6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2 787,80</w:t>
            </w:r>
          </w:p>
        </w:tc>
        <w:tc>
          <w:tcPr>
            <w:tcW w:w="1333" w:type="dxa"/>
            <w:tcBorders>
              <w:top w:val="nil"/>
              <w:left w:val="single" w:sz="4" w:space="0" w:color="auto"/>
              <w:bottom w:val="nil"/>
              <w:right w:val="single" w:sz="4" w:space="0" w:color="auto"/>
            </w:tcBorders>
            <w:shd w:val="clear" w:color="auto" w:fill="auto"/>
            <w:noWrap/>
            <w:vAlign w:val="bottom"/>
          </w:tcPr>
          <w:p w14:paraId="7186DC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5DBC597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2 787,80</w:t>
            </w:r>
          </w:p>
        </w:tc>
      </w:tr>
      <w:tr w:rsidR="00862C6F" w:rsidRPr="00236418" w14:paraId="4DC23D2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396BA40D"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 xml:space="preserve">Leonardo (Ex. </w:t>
            </w:r>
            <w:proofErr w:type="spellStart"/>
            <w:r w:rsidRPr="00236418">
              <w:rPr>
                <w:rFonts w:asciiTheme="minorHAnsi" w:eastAsia="Batang" w:hAnsiTheme="minorHAnsi"/>
                <w:sz w:val="22"/>
                <w:szCs w:val="22"/>
              </w:rPr>
              <w:t>Selex</w:t>
            </w:r>
            <w:proofErr w:type="spellEnd"/>
            <w:r w:rsidRPr="00236418">
              <w:rPr>
                <w:rFonts w:asciiTheme="minorHAnsi" w:eastAsia="Batang" w:hAnsiTheme="minorHAnsi"/>
                <w:sz w:val="22"/>
                <w:szCs w:val="22"/>
              </w:rPr>
              <w:t xml:space="preserve"> Communications </w:t>
            </w:r>
            <w:proofErr w:type="spellStart"/>
            <w:r w:rsidRPr="00236418">
              <w:rPr>
                <w:rFonts w:asciiTheme="minorHAnsi" w:eastAsia="Batang" w:hAnsiTheme="minorHAnsi"/>
                <w:sz w:val="22"/>
                <w:szCs w:val="22"/>
              </w:rPr>
              <w:t>S.p.A</w:t>
            </w:r>
            <w:proofErr w:type="spellEnd"/>
            <w:r w:rsidRPr="00236418">
              <w:rPr>
                <w:rFonts w:asciiTheme="minorHAnsi" w:eastAsia="Batang" w:hAnsiTheme="minorHAnsi"/>
                <w:sz w:val="22"/>
                <w:szCs w:val="22"/>
              </w:rPr>
              <w:t>.), Rome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18165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2001-2007</w:t>
            </w:r>
          </w:p>
        </w:tc>
        <w:tc>
          <w:tcPr>
            <w:tcW w:w="1611" w:type="dxa"/>
            <w:tcBorders>
              <w:top w:val="nil"/>
              <w:left w:val="nil"/>
              <w:bottom w:val="single" w:sz="4" w:space="0" w:color="auto"/>
              <w:right w:val="nil"/>
            </w:tcBorders>
            <w:noWrap/>
            <w:vAlign w:val="bottom"/>
            <w:hideMark/>
          </w:tcPr>
          <w:p w14:paraId="0C147DF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579 093,00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931532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4500AF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579 093,00</w:t>
            </w:r>
          </w:p>
        </w:tc>
      </w:tr>
      <w:tr w:rsidR="00862C6F" w:rsidRPr="00236418" w14:paraId="7D4C244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FB04E85"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Jordanie</w:t>
            </w:r>
          </w:p>
        </w:tc>
        <w:tc>
          <w:tcPr>
            <w:tcW w:w="1296" w:type="dxa"/>
            <w:tcBorders>
              <w:top w:val="nil"/>
              <w:left w:val="single" w:sz="4" w:space="0" w:color="auto"/>
              <w:bottom w:val="nil"/>
              <w:right w:val="single" w:sz="4" w:space="0" w:color="auto"/>
            </w:tcBorders>
            <w:shd w:val="clear" w:color="auto" w:fill="auto"/>
            <w:noWrap/>
            <w:vAlign w:val="bottom"/>
            <w:hideMark/>
          </w:tcPr>
          <w:p w14:paraId="19C0FF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1C256A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6271A6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3D0B80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FBE29B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6D18A9D5"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 xml:space="preserve">Jordan Mobile </w:t>
            </w:r>
            <w:proofErr w:type="spellStart"/>
            <w:r w:rsidRPr="00236418">
              <w:rPr>
                <w:rFonts w:asciiTheme="minorHAnsi" w:eastAsia="Batang" w:hAnsiTheme="minorHAnsi"/>
                <w:sz w:val="22"/>
                <w:szCs w:val="22"/>
              </w:rPr>
              <w:t>Telecomm</w:t>
            </w:r>
            <w:proofErr w:type="spellEnd"/>
            <w:r w:rsidRPr="00236418">
              <w:rPr>
                <w:rFonts w:asciiTheme="minorHAnsi" w:eastAsia="Batang" w:hAnsiTheme="minorHAnsi"/>
                <w:sz w:val="22"/>
                <w:szCs w:val="22"/>
              </w:rPr>
              <w:t>., Amman</w:t>
            </w:r>
          </w:p>
        </w:tc>
        <w:tc>
          <w:tcPr>
            <w:tcW w:w="1296" w:type="dxa"/>
            <w:tcBorders>
              <w:top w:val="nil"/>
              <w:left w:val="single" w:sz="4" w:space="0" w:color="auto"/>
              <w:bottom w:val="nil"/>
              <w:right w:val="single" w:sz="4" w:space="0" w:color="auto"/>
            </w:tcBorders>
            <w:shd w:val="clear" w:color="auto" w:fill="auto"/>
            <w:noWrap/>
            <w:vAlign w:val="bottom"/>
          </w:tcPr>
          <w:p w14:paraId="66383BE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w:t>
            </w:r>
          </w:p>
        </w:tc>
        <w:tc>
          <w:tcPr>
            <w:tcW w:w="1611" w:type="dxa"/>
            <w:noWrap/>
            <w:vAlign w:val="bottom"/>
          </w:tcPr>
          <w:p w14:paraId="165ED99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4 911,85</w:t>
            </w:r>
          </w:p>
        </w:tc>
        <w:tc>
          <w:tcPr>
            <w:tcW w:w="1333" w:type="dxa"/>
            <w:tcBorders>
              <w:top w:val="nil"/>
              <w:left w:val="single" w:sz="4" w:space="0" w:color="auto"/>
              <w:bottom w:val="nil"/>
              <w:right w:val="single" w:sz="4" w:space="0" w:color="auto"/>
            </w:tcBorders>
            <w:shd w:val="clear" w:color="auto" w:fill="auto"/>
            <w:noWrap/>
            <w:vAlign w:val="bottom"/>
          </w:tcPr>
          <w:p w14:paraId="4FCD88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1B0A287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4 911,85</w:t>
            </w:r>
          </w:p>
        </w:tc>
      </w:tr>
      <w:tr w:rsidR="00862C6F" w:rsidRPr="00236418" w14:paraId="041EC54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D52B023"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Middle East Communications (MEC), Amman</w:t>
            </w:r>
          </w:p>
        </w:tc>
        <w:tc>
          <w:tcPr>
            <w:tcW w:w="1296" w:type="dxa"/>
            <w:tcBorders>
              <w:top w:val="nil"/>
              <w:left w:val="single" w:sz="4" w:space="0" w:color="auto"/>
              <w:bottom w:val="nil"/>
              <w:right w:val="single" w:sz="4" w:space="0" w:color="auto"/>
            </w:tcBorders>
            <w:shd w:val="clear" w:color="auto" w:fill="auto"/>
            <w:noWrap/>
            <w:vAlign w:val="bottom"/>
            <w:hideMark/>
          </w:tcPr>
          <w:p w14:paraId="183C0F2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2008-2009</w:t>
            </w:r>
          </w:p>
        </w:tc>
        <w:tc>
          <w:tcPr>
            <w:tcW w:w="1611" w:type="dxa"/>
            <w:noWrap/>
            <w:vAlign w:val="bottom"/>
            <w:hideMark/>
          </w:tcPr>
          <w:p w14:paraId="531DF5F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7 416,70</w:t>
            </w:r>
          </w:p>
        </w:tc>
        <w:tc>
          <w:tcPr>
            <w:tcW w:w="1333" w:type="dxa"/>
            <w:tcBorders>
              <w:top w:val="nil"/>
              <w:left w:val="single" w:sz="4" w:space="0" w:color="auto"/>
              <w:bottom w:val="nil"/>
              <w:right w:val="single" w:sz="4" w:space="0" w:color="auto"/>
            </w:tcBorders>
            <w:shd w:val="clear" w:color="auto" w:fill="auto"/>
            <w:noWrap/>
            <w:vAlign w:val="bottom"/>
            <w:hideMark/>
          </w:tcPr>
          <w:p w14:paraId="3F71609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7B94521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7 416,70</w:t>
            </w:r>
          </w:p>
        </w:tc>
      </w:tr>
      <w:tr w:rsidR="00862C6F" w:rsidRPr="00236418" w14:paraId="00A67465"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B83FF9A"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Talal Abu-</w:t>
            </w:r>
            <w:proofErr w:type="spellStart"/>
            <w:r w:rsidRPr="00596807">
              <w:rPr>
                <w:rFonts w:asciiTheme="minorHAnsi" w:eastAsia="Batang" w:hAnsiTheme="minorHAnsi"/>
                <w:sz w:val="22"/>
                <w:szCs w:val="22"/>
                <w:lang w:val="en-US"/>
              </w:rPr>
              <w:t>Ghazaleh</w:t>
            </w:r>
            <w:proofErr w:type="spellEnd"/>
            <w:r w:rsidRPr="00596807">
              <w:rPr>
                <w:rFonts w:asciiTheme="minorHAnsi" w:eastAsia="Batang" w:hAnsiTheme="minorHAnsi"/>
                <w:sz w:val="22"/>
                <w:szCs w:val="22"/>
                <w:lang w:val="en-US"/>
              </w:rPr>
              <w:t xml:space="preserve"> &amp; Co., Amman</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1F18E9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2006-2007</w:t>
            </w:r>
          </w:p>
        </w:tc>
        <w:tc>
          <w:tcPr>
            <w:tcW w:w="1611" w:type="dxa"/>
            <w:tcBorders>
              <w:top w:val="nil"/>
              <w:left w:val="nil"/>
              <w:bottom w:val="single" w:sz="4" w:space="0" w:color="auto"/>
              <w:right w:val="nil"/>
            </w:tcBorders>
            <w:noWrap/>
            <w:vAlign w:val="bottom"/>
            <w:hideMark/>
          </w:tcPr>
          <w:p w14:paraId="2AF8E4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17 094,90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960A0D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7B0818A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17 094,90</w:t>
            </w:r>
          </w:p>
        </w:tc>
      </w:tr>
      <w:tr w:rsidR="00862C6F" w:rsidRPr="00236418" w14:paraId="31221C90"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CCC0350"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Kazakhstan</w:t>
            </w:r>
          </w:p>
        </w:tc>
        <w:tc>
          <w:tcPr>
            <w:tcW w:w="1296" w:type="dxa"/>
            <w:tcBorders>
              <w:top w:val="nil"/>
              <w:left w:val="single" w:sz="4" w:space="0" w:color="auto"/>
              <w:bottom w:val="nil"/>
              <w:right w:val="single" w:sz="4" w:space="0" w:color="auto"/>
            </w:tcBorders>
            <w:shd w:val="clear" w:color="auto" w:fill="auto"/>
            <w:noWrap/>
            <w:vAlign w:val="bottom"/>
            <w:hideMark/>
          </w:tcPr>
          <w:p w14:paraId="09A7C58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045139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3B232B5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4F41FA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10373854"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4AE8C5E"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Kazakh Academy of Transp. &amp; Comm., Almaty</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74BB3A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2008-2009</w:t>
            </w:r>
          </w:p>
        </w:tc>
        <w:tc>
          <w:tcPr>
            <w:tcW w:w="1611" w:type="dxa"/>
            <w:tcBorders>
              <w:top w:val="nil"/>
              <w:left w:val="nil"/>
              <w:bottom w:val="single" w:sz="4" w:space="0" w:color="auto"/>
              <w:right w:val="nil"/>
            </w:tcBorders>
            <w:shd w:val="clear" w:color="auto" w:fill="auto"/>
            <w:noWrap/>
            <w:vAlign w:val="bottom"/>
            <w:hideMark/>
          </w:tcPr>
          <w:p w14:paraId="6E37449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8 054,40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95011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6FAB0DA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8 054,40</w:t>
            </w:r>
          </w:p>
        </w:tc>
      </w:tr>
      <w:tr w:rsidR="00862C6F" w:rsidRPr="00236418" w14:paraId="31760D5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178A9C9"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Kenya</w:t>
            </w:r>
          </w:p>
        </w:tc>
        <w:tc>
          <w:tcPr>
            <w:tcW w:w="1296" w:type="dxa"/>
            <w:tcBorders>
              <w:top w:val="nil"/>
              <w:left w:val="single" w:sz="4" w:space="0" w:color="auto"/>
              <w:bottom w:val="nil"/>
              <w:right w:val="single" w:sz="4" w:space="0" w:color="auto"/>
            </w:tcBorders>
            <w:shd w:val="clear" w:color="auto" w:fill="auto"/>
            <w:noWrap/>
            <w:vAlign w:val="bottom"/>
            <w:hideMark/>
          </w:tcPr>
          <w:p w14:paraId="7D16517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5C4147E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4F716AB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4D181F5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38CC25D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8E99A5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Intersat</w:t>
            </w:r>
            <w:proofErr w:type="spellEnd"/>
            <w:r w:rsidRPr="00236418">
              <w:rPr>
                <w:rFonts w:asciiTheme="minorHAnsi" w:eastAsia="Batang" w:hAnsiTheme="minorHAnsi"/>
                <w:sz w:val="22"/>
                <w:szCs w:val="22"/>
              </w:rPr>
              <w:t xml:space="preserve"> </w:t>
            </w:r>
            <w:proofErr w:type="spellStart"/>
            <w:r w:rsidRPr="00236418">
              <w:rPr>
                <w:rFonts w:asciiTheme="minorHAnsi" w:eastAsia="Batang" w:hAnsiTheme="minorHAnsi"/>
                <w:sz w:val="22"/>
                <w:szCs w:val="22"/>
              </w:rPr>
              <w:t>Africa</w:t>
            </w:r>
            <w:proofErr w:type="spellEnd"/>
            <w:r w:rsidRPr="00236418">
              <w:rPr>
                <w:rFonts w:asciiTheme="minorHAnsi" w:eastAsia="Batang" w:hAnsiTheme="minorHAnsi"/>
                <w:sz w:val="22"/>
                <w:szCs w:val="22"/>
              </w:rPr>
              <w:t xml:space="preserve"> Limited, Nairobi</w:t>
            </w:r>
          </w:p>
        </w:tc>
        <w:tc>
          <w:tcPr>
            <w:tcW w:w="1296" w:type="dxa"/>
            <w:tcBorders>
              <w:top w:val="nil"/>
              <w:left w:val="single" w:sz="4" w:space="0" w:color="auto"/>
              <w:bottom w:val="nil"/>
              <w:right w:val="single" w:sz="4" w:space="0" w:color="auto"/>
            </w:tcBorders>
            <w:shd w:val="clear" w:color="auto" w:fill="auto"/>
            <w:noWrap/>
            <w:vAlign w:val="bottom"/>
            <w:hideMark/>
          </w:tcPr>
          <w:p w14:paraId="54D1F0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2010-2012</w:t>
            </w:r>
          </w:p>
        </w:tc>
        <w:tc>
          <w:tcPr>
            <w:tcW w:w="1611" w:type="dxa"/>
            <w:noWrap/>
            <w:vAlign w:val="bottom"/>
          </w:tcPr>
          <w:p w14:paraId="150893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6 407,05</w:t>
            </w:r>
          </w:p>
        </w:tc>
        <w:tc>
          <w:tcPr>
            <w:tcW w:w="1333" w:type="dxa"/>
            <w:tcBorders>
              <w:top w:val="nil"/>
              <w:left w:val="single" w:sz="4" w:space="0" w:color="auto"/>
              <w:bottom w:val="nil"/>
              <w:right w:val="single" w:sz="4" w:space="0" w:color="auto"/>
            </w:tcBorders>
            <w:shd w:val="clear" w:color="auto" w:fill="auto"/>
            <w:noWrap/>
            <w:vAlign w:val="bottom"/>
            <w:hideMark/>
          </w:tcPr>
          <w:p w14:paraId="04FE0F4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219DAB9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6 407,05</w:t>
            </w:r>
          </w:p>
        </w:tc>
      </w:tr>
      <w:tr w:rsidR="00862C6F" w:rsidRPr="00236418" w14:paraId="5AD83BD6"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AD51B47"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Telcom</w:t>
            </w:r>
            <w:proofErr w:type="spellEnd"/>
            <w:r w:rsidRPr="00236418">
              <w:rPr>
                <w:rFonts w:asciiTheme="minorHAnsi" w:eastAsia="Batang" w:hAnsiTheme="minorHAnsi"/>
                <w:sz w:val="22"/>
                <w:szCs w:val="22"/>
              </w:rPr>
              <w:t xml:space="preserve"> Kenya Limited, Nairobi</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C8428A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2005-2007</w:t>
            </w:r>
          </w:p>
        </w:tc>
        <w:tc>
          <w:tcPr>
            <w:tcW w:w="1611" w:type="dxa"/>
            <w:tcBorders>
              <w:top w:val="nil"/>
              <w:left w:val="nil"/>
              <w:bottom w:val="single" w:sz="4" w:space="0" w:color="auto"/>
              <w:right w:val="nil"/>
            </w:tcBorders>
            <w:noWrap/>
            <w:vAlign w:val="bottom"/>
          </w:tcPr>
          <w:p w14:paraId="6518F29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352 139,30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91FC68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310E97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352 139,30</w:t>
            </w:r>
          </w:p>
        </w:tc>
      </w:tr>
      <w:tr w:rsidR="00862C6F" w:rsidRPr="00236418" w14:paraId="018D9C5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47C6BE4"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République de Corée</w:t>
            </w:r>
          </w:p>
        </w:tc>
        <w:tc>
          <w:tcPr>
            <w:tcW w:w="1296" w:type="dxa"/>
            <w:tcBorders>
              <w:top w:val="nil"/>
              <w:left w:val="single" w:sz="4" w:space="0" w:color="auto"/>
              <w:bottom w:val="nil"/>
              <w:right w:val="single" w:sz="4" w:space="0" w:color="auto"/>
            </w:tcBorders>
            <w:shd w:val="clear" w:color="auto" w:fill="auto"/>
            <w:noWrap/>
            <w:vAlign w:val="bottom"/>
            <w:hideMark/>
          </w:tcPr>
          <w:p w14:paraId="2443D9E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5A0C399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20AC75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128E8B9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332AAC5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0B3547A" w14:textId="77777777" w:rsidR="00862C6F" w:rsidRPr="00236418" w:rsidRDefault="00862C6F" w:rsidP="00862C6F">
            <w:pPr>
              <w:tabs>
                <w:tab w:val="clear" w:pos="567"/>
                <w:tab w:val="clear" w:pos="1134"/>
                <w:tab w:val="clear" w:pos="1701"/>
                <w:tab w:val="clear" w:pos="2268"/>
                <w:tab w:val="clear" w:pos="2835"/>
                <w:tab w:val="left" w:pos="318"/>
              </w:tabs>
              <w:spacing w:beforeLines="20" w:before="48" w:afterLines="20" w:after="48"/>
              <w:rPr>
                <w:b/>
                <w:sz w:val="22"/>
                <w:szCs w:val="22"/>
              </w:rPr>
            </w:pPr>
            <w:r w:rsidRPr="00236418">
              <w:rPr>
                <w:sz w:val="22"/>
                <w:szCs w:val="22"/>
              </w:rPr>
              <w:t>–</w:t>
            </w:r>
            <w:r w:rsidRPr="00236418">
              <w:rPr>
                <w:sz w:val="22"/>
                <w:szCs w:val="22"/>
              </w:rPr>
              <w:tab/>
              <w:t>Ericsson-LG, Anyang-Shi</w:t>
            </w:r>
          </w:p>
        </w:tc>
        <w:tc>
          <w:tcPr>
            <w:tcW w:w="1296" w:type="dxa"/>
            <w:tcBorders>
              <w:top w:val="nil"/>
              <w:left w:val="single" w:sz="4" w:space="0" w:color="auto"/>
              <w:right w:val="single" w:sz="4" w:space="0" w:color="auto"/>
            </w:tcBorders>
            <w:shd w:val="clear" w:color="auto" w:fill="auto"/>
            <w:noWrap/>
            <w:vAlign w:val="bottom"/>
          </w:tcPr>
          <w:p w14:paraId="6ABC9FD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2013-2014</w:t>
            </w:r>
          </w:p>
        </w:tc>
        <w:tc>
          <w:tcPr>
            <w:tcW w:w="1611" w:type="dxa"/>
            <w:tcBorders>
              <w:top w:val="nil"/>
              <w:left w:val="nil"/>
              <w:right w:val="nil"/>
            </w:tcBorders>
            <w:shd w:val="clear" w:color="auto" w:fill="auto"/>
            <w:noWrap/>
            <w:vAlign w:val="bottom"/>
          </w:tcPr>
          <w:p w14:paraId="614DDAE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14 805,50</w:t>
            </w:r>
          </w:p>
        </w:tc>
        <w:tc>
          <w:tcPr>
            <w:tcW w:w="1333" w:type="dxa"/>
            <w:tcBorders>
              <w:top w:val="nil"/>
              <w:left w:val="single" w:sz="4" w:space="0" w:color="auto"/>
              <w:right w:val="single" w:sz="4" w:space="0" w:color="auto"/>
            </w:tcBorders>
            <w:shd w:val="clear" w:color="auto" w:fill="auto"/>
            <w:noWrap/>
            <w:vAlign w:val="bottom"/>
          </w:tcPr>
          <w:p w14:paraId="02D4C5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tcPr>
          <w:p w14:paraId="37A43F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14 805,50</w:t>
            </w:r>
          </w:p>
        </w:tc>
      </w:tr>
      <w:tr w:rsidR="00862C6F" w:rsidRPr="00236418" w14:paraId="56FA0C7D"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72302DE" w14:textId="77777777" w:rsidR="00862C6F" w:rsidRPr="00236418" w:rsidRDefault="00862C6F" w:rsidP="00862C6F">
            <w:pPr>
              <w:tabs>
                <w:tab w:val="clear" w:pos="567"/>
                <w:tab w:val="clear" w:pos="1134"/>
                <w:tab w:val="clear" w:pos="1701"/>
                <w:tab w:val="clear" w:pos="2268"/>
                <w:tab w:val="clear" w:pos="2835"/>
                <w:tab w:val="left" w:pos="318"/>
              </w:tabs>
              <w:spacing w:beforeLines="20" w:before="48" w:afterLines="20" w:after="48"/>
              <w:rPr>
                <w:sz w:val="22"/>
                <w:szCs w:val="22"/>
              </w:rPr>
            </w:pPr>
            <w:r w:rsidRPr="00236418">
              <w:rPr>
                <w:sz w:val="22"/>
                <w:szCs w:val="22"/>
              </w:rPr>
              <w:t>–</w:t>
            </w:r>
            <w:r w:rsidRPr="00236418">
              <w:rPr>
                <w:sz w:val="22"/>
                <w:szCs w:val="22"/>
              </w:rPr>
              <w:tab/>
              <w:t xml:space="preserve">SUNY </w:t>
            </w:r>
            <w:proofErr w:type="spellStart"/>
            <w:r w:rsidRPr="00236418">
              <w:rPr>
                <w:sz w:val="22"/>
                <w:szCs w:val="22"/>
              </w:rPr>
              <w:t>Korea</w:t>
            </w:r>
            <w:proofErr w:type="spellEnd"/>
            <w:r w:rsidRPr="00236418">
              <w:rPr>
                <w:sz w:val="22"/>
                <w:szCs w:val="22"/>
              </w:rPr>
              <w:t>, Incheon</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531B00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bottom w:val="single" w:sz="4" w:space="0" w:color="auto"/>
              <w:right w:val="nil"/>
            </w:tcBorders>
            <w:shd w:val="clear" w:color="auto" w:fill="auto"/>
            <w:noWrap/>
            <w:vAlign w:val="bottom"/>
          </w:tcPr>
          <w:p w14:paraId="3E3ACA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2 003,63</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708773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11" w:type="dxa"/>
            <w:tcBorders>
              <w:top w:val="nil"/>
              <w:left w:val="nil"/>
              <w:bottom w:val="single" w:sz="4" w:space="0" w:color="auto"/>
              <w:right w:val="single" w:sz="4" w:space="0" w:color="auto"/>
            </w:tcBorders>
            <w:shd w:val="clear" w:color="auto" w:fill="auto"/>
            <w:noWrap/>
            <w:vAlign w:val="bottom"/>
          </w:tcPr>
          <w:p w14:paraId="1755F08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2 003,63</w:t>
            </w:r>
          </w:p>
        </w:tc>
      </w:tr>
      <w:tr w:rsidR="00862C6F" w:rsidRPr="00236418" w14:paraId="66EE7616"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1BE0B40"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Koweït</w:t>
            </w:r>
          </w:p>
        </w:tc>
        <w:tc>
          <w:tcPr>
            <w:tcW w:w="1296" w:type="dxa"/>
            <w:tcBorders>
              <w:top w:val="nil"/>
              <w:left w:val="single" w:sz="4" w:space="0" w:color="auto"/>
              <w:right w:val="single" w:sz="4" w:space="0" w:color="auto"/>
            </w:tcBorders>
            <w:shd w:val="clear" w:color="auto" w:fill="auto"/>
            <w:noWrap/>
            <w:vAlign w:val="bottom"/>
            <w:hideMark/>
          </w:tcPr>
          <w:p w14:paraId="02C269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right w:val="nil"/>
            </w:tcBorders>
            <w:shd w:val="clear" w:color="auto" w:fill="auto"/>
            <w:noWrap/>
            <w:vAlign w:val="bottom"/>
            <w:hideMark/>
          </w:tcPr>
          <w:p w14:paraId="7744C02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right w:val="single" w:sz="4" w:space="0" w:color="auto"/>
            </w:tcBorders>
            <w:shd w:val="clear" w:color="auto" w:fill="auto"/>
            <w:noWrap/>
            <w:vAlign w:val="bottom"/>
            <w:hideMark/>
          </w:tcPr>
          <w:p w14:paraId="238DA83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right w:val="single" w:sz="4" w:space="0" w:color="auto"/>
            </w:tcBorders>
            <w:shd w:val="clear" w:color="auto" w:fill="auto"/>
            <w:noWrap/>
            <w:vAlign w:val="bottom"/>
            <w:hideMark/>
          </w:tcPr>
          <w:p w14:paraId="0C7B07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2C62CA1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65350986"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 xml:space="preserve">The Arabian Business Franchise, </w:t>
            </w:r>
            <w:proofErr w:type="spellStart"/>
            <w:r w:rsidRPr="00596807">
              <w:rPr>
                <w:rFonts w:asciiTheme="minorHAnsi" w:eastAsia="Batang" w:hAnsiTheme="minorHAnsi"/>
                <w:sz w:val="22"/>
                <w:szCs w:val="22"/>
                <w:lang w:val="en-US"/>
              </w:rPr>
              <w:t>Hawalli</w:t>
            </w:r>
            <w:proofErr w:type="spellEnd"/>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EBB4A3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2006-2007</w:t>
            </w:r>
          </w:p>
        </w:tc>
        <w:tc>
          <w:tcPr>
            <w:tcW w:w="1611" w:type="dxa"/>
            <w:tcBorders>
              <w:top w:val="nil"/>
              <w:left w:val="nil"/>
              <w:bottom w:val="single" w:sz="4" w:space="0" w:color="auto"/>
              <w:right w:val="nil"/>
            </w:tcBorders>
            <w:shd w:val="clear" w:color="auto" w:fill="auto"/>
            <w:noWrap/>
            <w:vAlign w:val="bottom"/>
          </w:tcPr>
          <w:p w14:paraId="321B3FC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17 094,90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5A6B862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6A0712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17 094,90</w:t>
            </w:r>
          </w:p>
        </w:tc>
      </w:tr>
      <w:tr w:rsidR="00862C6F" w:rsidRPr="00236418" w14:paraId="5911043F"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64EF83C8"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Kirghizistan</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539F8F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tcPr>
          <w:p w14:paraId="2B3F1E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tcPr>
          <w:p w14:paraId="2F6F5F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tcPr>
          <w:p w14:paraId="5EBB78A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24A6ED69"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7CDCD3B4"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Kyrgyztelecom</w:t>
            </w:r>
            <w:proofErr w:type="spellEnd"/>
            <w:r w:rsidRPr="00236418">
              <w:rPr>
                <w:rFonts w:asciiTheme="minorHAnsi" w:eastAsia="Batang" w:hAnsiTheme="minorHAnsi"/>
                <w:sz w:val="22"/>
                <w:szCs w:val="22"/>
              </w:rPr>
              <w:t xml:space="preserve"> OJSC, Bichkek</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EB2930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w:t>
            </w:r>
          </w:p>
        </w:tc>
        <w:tc>
          <w:tcPr>
            <w:tcW w:w="1611" w:type="dxa"/>
            <w:tcBorders>
              <w:top w:val="nil"/>
              <w:left w:val="nil"/>
              <w:bottom w:val="single" w:sz="4" w:space="0" w:color="auto"/>
              <w:right w:val="nil"/>
            </w:tcBorders>
            <w:shd w:val="clear" w:color="auto" w:fill="auto"/>
            <w:noWrap/>
            <w:vAlign w:val="bottom"/>
          </w:tcPr>
          <w:p w14:paraId="63BF70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6 842,60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249BD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2013D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6 842,60</w:t>
            </w:r>
          </w:p>
        </w:tc>
      </w:tr>
      <w:tr w:rsidR="00862C6F" w:rsidRPr="00236418" w14:paraId="35011C05"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2EEA266"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Liban</w:t>
            </w:r>
          </w:p>
        </w:tc>
        <w:tc>
          <w:tcPr>
            <w:tcW w:w="1296" w:type="dxa"/>
            <w:tcBorders>
              <w:top w:val="nil"/>
              <w:left w:val="single" w:sz="4" w:space="0" w:color="auto"/>
              <w:bottom w:val="nil"/>
              <w:right w:val="single" w:sz="4" w:space="0" w:color="auto"/>
            </w:tcBorders>
            <w:shd w:val="clear" w:color="auto" w:fill="auto"/>
            <w:noWrap/>
            <w:vAlign w:val="bottom"/>
            <w:hideMark/>
          </w:tcPr>
          <w:p w14:paraId="07D8E0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263A7F1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D2AE47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618B387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49D7B47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69CC4E9"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Al-</w:t>
            </w:r>
            <w:proofErr w:type="spellStart"/>
            <w:r w:rsidRPr="00596807">
              <w:rPr>
                <w:rFonts w:asciiTheme="minorHAnsi" w:eastAsia="Batang" w:hAnsiTheme="minorHAnsi"/>
                <w:sz w:val="22"/>
                <w:szCs w:val="22"/>
                <w:lang w:val="en-US"/>
              </w:rPr>
              <w:t>Iktissad</w:t>
            </w:r>
            <w:proofErr w:type="spellEnd"/>
            <w:r w:rsidRPr="00596807">
              <w:rPr>
                <w:rFonts w:asciiTheme="minorHAnsi" w:eastAsia="Batang" w:hAnsiTheme="minorHAnsi"/>
                <w:sz w:val="22"/>
                <w:szCs w:val="22"/>
                <w:lang w:val="en-US"/>
              </w:rPr>
              <w:t xml:space="preserve"> Wal-</w:t>
            </w:r>
            <w:proofErr w:type="spellStart"/>
            <w:r w:rsidRPr="00596807">
              <w:rPr>
                <w:rFonts w:asciiTheme="minorHAnsi" w:eastAsia="Batang" w:hAnsiTheme="minorHAnsi"/>
                <w:sz w:val="22"/>
                <w:szCs w:val="22"/>
                <w:lang w:val="en-US"/>
              </w:rPr>
              <w:t>Aamal</w:t>
            </w:r>
            <w:proofErr w:type="spellEnd"/>
            <w:r w:rsidRPr="00596807">
              <w:rPr>
                <w:rFonts w:asciiTheme="minorHAnsi" w:eastAsia="Batang" w:hAnsiTheme="minorHAnsi"/>
                <w:sz w:val="22"/>
                <w:szCs w:val="22"/>
                <w:lang w:val="en-US"/>
              </w:rPr>
              <w:t xml:space="preserve"> Group, </w:t>
            </w:r>
            <w:proofErr w:type="spellStart"/>
            <w:r w:rsidRPr="00596807">
              <w:rPr>
                <w:rFonts w:asciiTheme="minorHAnsi" w:eastAsia="Batang" w:hAnsiTheme="minorHAnsi"/>
                <w:sz w:val="22"/>
                <w:szCs w:val="22"/>
                <w:lang w:val="en-US"/>
              </w:rPr>
              <w:t>Beyrouth</w:t>
            </w:r>
            <w:proofErr w:type="spellEnd"/>
          </w:p>
        </w:tc>
        <w:tc>
          <w:tcPr>
            <w:tcW w:w="1296" w:type="dxa"/>
            <w:tcBorders>
              <w:top w:val="nil"/>
              <w:left w:val="single" w:sz="4" w:space="0" w:color="auto"/>
              <w:bottom w:val="nil"/>
              <w:right w:val="single" w:sz="4" w:space="0" w:color="auto"/>
            </w:tcBorders>
            <w:shd w:val="clear" w:color="auto" w:fill="auto"/>
            <w:noWrap/>
            <w:vAlign w:val="bottom"/>
          </w:tcPr>
          <w:p w14:paraId="473AD0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w:t>
            </w:r>
          </w:p>
        </w:tc>
        <w:tc>
          <w:tcPr>
            <w:tcW w:w="1611" w:type="dxa"/>
            <w:noWrap/>
            <w:vAlign w:val="bottom"/>
          </w:tcPr>
          <w:p w14:paraId="3670A2E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5 206,55</w:t>
            </w:r>
          </w:p>
        </w:tc>
        <w:tc>
          <w:tcPr>
            <w:tcW w:w="1333" w:type="dxa"/>
            <w:tcBorders>
              <w:top w:val="nil"/>
              <w:left w:val="single" w:sz="4" w:space="0" w:color="auto"/>
              <w:bottom w:val="nil"/>
              <w:right w:val="single" w:sz="4" w:space="0" w:color="auto"/>
            </w:tcBorders>
            <w:shd w:val="clear" w:color="auto" w:fill="auto"/>
            <w:noWrap/>
            <w:vAlign w:val="bottom"/>
          </w:tcPr>
          <w:p w14:paraId="1A2535D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208FDB2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5 206,55</w:t>
            </w:r>
          </w:p>
        </w:tc>
      </w:tr>
      <w:tr w:rsidR="00862C6F" w:rsidRPr="00236418" w14:paraId="0F3B0F9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333541B"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Arabcom</w:t>
            </w:r>
            <w:proofErr w:type="spellEnd"/>
            <w:r w:rsidRPr="00236418">
              <w:rPr>
                <w:rFonts w:asciiTheme="minorHAnsi" w:eastAsia="Batang" w:hAnsiTheme="minorHAnsi"/>
                <w:sz w:val="22"/>
                <w:szCs w:val="22"/>
              </w:rPr>
              <w:t xml:space="preserve"> </w:t>
            </w:r>
            <w:proofErr w:type="spellStart"/>
            <w:r w:rsidRPr="00236418">
              <w:rPr>
                <w:rFonts w:asciiTheme="minorHAnsi" w:eastAsia="Batang" w:hAnsiTheme="minorHAnsi"/>
                <w:sz w:val="22"/>
                <w:szCs w:val="22"/>
              </w:rPr>
              <w:t>Hitek</w:t>
            </w:r>
            <w:proofErr w:type="spellEnd"/>
            <w:r w:rsidRPr="00236418">
              <w:rPr>
                <w:rFonts w:asciiTheme="minorHAnsi" w:eastAsia="Batang" w:hAnsiTheme="minorHAnsi"/>
                <w:sz w:val="22"/>
                <w:szCs w:val="22"/>
              </w:rPr>
              <w:t>, Beyrouth</w:t>
            </w:r>
          </w:p>
        </w:tc>
        <w:tc>
          <w:tcPr>
            <w:tcW w:w="1296" w:type="dxa"/>
            <w:tcBorders>
              <w:top w:val="nil"/>
              <w:left w:val="single" w:sz="4" w:space="0" w:color="auto"/>
              <w:bottom w:val="nil"/>
              <w:right w:val="single" w:sz="4" w:space="0" w:color="auto"/>
            </w:tcBorders>
            <w:shd w:val="clear" w:color="auto" w:fill="auto"/>
            <w:noWrap/>
            <w:vAlign w:val="bottom"/>
            <w:hideMark/>
          </w:tcPr>
          <w:p w14:paraId="132E7AF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2001-2006</w:t>
            </w:r>
          </w:p>
        </w:tc>
        <w:tc>
          <w:tcPr>
            <w:tcW w:w="1611" w:type="dxa"/>
            <w:noWrap/>
            <w:vAlign w:val="bottom"/>
            <w:hideMark/>
          </w:tcPr>
          <w:p w14:paraId="792FD94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60 786,20</w:t>
            </w:r>
          </w:p>
        </w:tc>
        <w:tc>
          <w:tcPr>
            <w:tcW w:w="1333" w:type="dxa"/>
            <w:tcBorders>
              <w:top w:val="nil"/>
              <w:left w:val="single" w:sz="4" w:space="0" w:color="auto"/>
              <w:bottom w:val="nil"/>
              <w:right w:val="single" w:sz="4" w:space="0" w:color="auto"/>
            </w:tcBorders>
            <w:shd w:val="clear" w:color="auto" w:fill="auto"/>
            <w:noWrap/>
            <w:vAlign w:val="bottom"/>
            <w:hideMark/>
          </w:tcPr>
          <w:p w14:paraId="3BAE5AB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2ADA2E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60 786,20</w:t>
            </w:r>
          </w:p>
        </w:tc>
      </w:tr>
      <w:tr w:rsidR="00862C6F" w:rsidRPr="00236418" w14:paraId="6AB1752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7D28D97"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ExiCon</w:t>
            </w:r>
            <w:proofErr w:type="spellEnd"/>
            <w:r w:rsidRPr="00236418">
              <w:rPr>
                <w:rFonts w:asciiTheme="minorHAnsi" w:eastAsia="Batang" w:hAnsiTheme="minorHAnsi"/>
                <w:sz w:val="22"/>
                <w:szCs w:val="22"/>
              </w:rPr>
              <w:t xml:space="preserve"> International Group, Beyrouth</w:t>
            </w:r>
          </w:p>
        </w:tc>
        <w:tc>
          <w:tcPr>
            <w:tcW w:w="1296" w:type="dxa"/>
            <w:tcBorders>
              <w:top w:val="nil"/>
              <w:left w:val="single" w:sz="4" w:space="0" w:color="auto"/>
              <w:bottom w:val="nil"/>
              <w:right w:val="single" w:sz="4" w:space="0" w:color="auto"/>
            </w:tcBorders>
            <w:shd w:val="clear" w:color="auto" w:fill="auto"/>
            <w:noWrap/>
            <w:vAlign w:val="bottom"/>
            <w:hideMark/>
          </w:tcPr>
          <w:p w14:paraId="138EC35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2010-2011</w:t>
            </w:r>
          </w:p>
        </w:tc>
        <w:tc>
          <w:tcPr>
            <w:tcW w:w="1611" w:type="dxa"/>
            <w:noWrap/>
            <w:vAlign w:val="bottom"/>
            <w:hideMark/>
          </w:tcPr>
          <w:p w14:paraId="66E94A4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6 608,70</w:t>
            </w:r>
          </w:p>
        </w:tc>
        <w:tc>
          <w:tcPr>
            <w:tcW w:w="1333" w:type="dxa"/>
            <w:tcBorders>
              <w:top w:val="nil"/>
              <w:left w:val="single" w:sz="4" w:space="0" w:color="auto"/>
              <w:bottom w:val="nil"/>
              <w:right w:val="single" w:sz="4" w:space="0" w:color="auto"/>
            </w:tcBorders>
            <w:shd w:val="clear" w:color="auto" w:fill="auto"/>
            <w:noWrap/>
            <w:vAlign w:val="bottom"/>
            <w:hideMark/>
          </w:tcPr>
          <w:p w14:paraId="1ED480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595D48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6 608,70</w:t>
            </w:r>
          </w:p>
        </w:tc>
      </w:tr>
      <w:tr w:rsidR="00862C6F" w:rsidRPr="00236418" w14:paraId="47589F2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4E7A83E"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IDMI Sal offshore, Beyrouth</w:t>
            </w:r>
          </w:p>
        </w:tc>
        <w:tc>
          <w:tcPr>
            <w:tcW w:w="1296" w:type="dxa"/>
            <w:tcBorders>
              <w:top w:val="nil"/>
              <w:left w:val="single" w:sz="4" w:space="0" w:color="auto"/>
              <w:bottom w:val="nil"/>
              <w:right w:val="single" w:sz="4" w:space="0" w:color="auto"/>
            </w:tcBorders>
            <w:shd w:val="clear" w:color="auto" w:fill="auto"/>
            <w:noWrap/>
            <w:vAlign w:val="bottom"/>
            <w:hideMark/>
          </w:tcPr>
          <w:p w14:paraId="362E14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2011</w:t>
            </w:r>
          </w:p>
        </w:tc>
        <w:tc>
          <w:tcPr>
            <w:tcW w:w="1611" w:type="dxa"/>
            <w:noWrap/>
            <w:vAlign w:val="bottom"/>
            <w:hideMark/>
          </w:tcPr>
          <w:p w14:paraId="20E505F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0D21931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5C15B1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6 573,15</w:t>
            </w:r>
          </w:p>
        </w:tc>
      </w:tr>
      <w:tr w:rsidR="00862C6F" w:rsidRPr="00236418" w14:paraId="4E1FF10F"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DDD856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MNT/</w:t>
            </w:r>
            <w:proofErr w:type="spellStart"/>
            <w:r w:rsidRPr="00236418">
              <w:rPr>
                <w:rFonts w:asciiTheme="minorHAnsi" w:eastAsia="Batang" w:hAnsiTheme="minorHAnsi"/>
                <w:sz w:val="22"/>
                <w:szCs w:val="22"/>
              </w:rPr>
              <w:t>Investcom</w:t>
            </w:r>
            <w:proofErr w:type="spellEnd"/>
            <w:r w:rsidRPr="00236418">
              <w:rPr>
                <w:rFonts w:asciiTheme="minorHAnsi" w:eastAsia="Batang" w:hAnsiTheme="minorHAnsi"/>
                <w:sz w:val="22"/>
                <w:szCs w:val="22"/>
              </w:rPr>
              <w:t xml:space="preserve"> LLC, Beyrouth</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652FCF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w:t>
            </w:r>
          </w:p>
        </w:tc>
        <w:tc>
          <w:tcPr>
            <w:tcW w:w="1611" w:type="dxa"/>
            <w:tcBorders>
              <w:top w:val="nil"/>
              <w:left w:val="nil"/>
              <w:bottom w:val="single" w:sz="4" w:space="0" w:color="auto"/>
              <w:right w:val="nil"/>
            </w:tcBorders>
            <w:noWrap/>
            <w:vAlign w:val="bottom"/>
            <w:hideMark/>
          </w:tcPr>
          <w:p w14:paraId="58C017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7 828,75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C432C3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180335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7 828,75</w:t>
            </w:r>
          </w:p>
        </w:tc>
      </w:tr>
      <w:tr w:rsidR="00862C6F" w:rsidRPr="00236418" w14:paraId="4B876E1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A6FA77D"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 xml:space="preserve">Libéria </w:t>
            </w:r>
          </w:p>
        </w:tc>
        <w:tc>
          <w:tcPr>
            <w:tcW w:w="1296" w:type="dxa"/>
            <w:tcBorders>
              <w:top w:val="nil"/>
              <w:left w:val="single" w:sz="4" w:space="0" w:color="auto"/>
              <w:bottom w:val="nil"/>
              <w:right w:val="single" w:sz="4" w:space="0" w:color="auto"/>
            </w:tcBorders>
            <w:shd w:val="clear" w:color="auto" w:fill="auto"/>
            <w:noWrap/>
            <w:vAlign w:val="bottom"/>
            <w:hideMark/>
          </w:tcPr>
          <w:p w14:paraId="6879347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236418">
              <w:rPr>
                <w:b/>
                <w:bCs/>
                <w:sz w:val="22"/>
                <w:szCs w:val="22"/>
                <w:lang w:eastAsia="zh-CN"/>
              </w:rPr>
              <w:t> </w:t>
            </w:r>
          </w:p>
        </w:tc>
        <w:tc>
          <w:tcPr>
            <w:tcW w:w="1611" w:type="dxa"/>
            <w:tcBorders>
              <w:top w:val="nil"/>
              <w:left w:val="nil"/>
              <w:bottom w:val="nil"/>
              <w:right w:val="nil"/>
            </w:tcBorders>
            <w:shd w:val="clear" w:color="auto" w:fill="auto"/>
            <w:noWrap/>
            <w:vAlign w:val="bottom"/>
            <w:hideMark/>
          </w:tcPr>
          <w:p w14:paraId="0CDF5D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236418">
              <w:rPr>
                <w:b/>
                <w:bCs/>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70084E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236418">
              <w:rPr>
                <w:b/>
                <w:bCs/>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09B04D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236418">
              <w:rPr>
                <w:b/>
                <w:bCs/>
                <w:sz w:val="22"/>
                <w:szCs w:val="22"/>
                <w:lang w:eastAsia="zh-CN"/>
              </w:rPr>
              <w:t> </w:t>
            </w:r>
          </w:p>
        </w:tc>
      </w:tr>
      <w:tr w:rsidR="00862C6F" w:rsidRPr="00236418" w14:paraId="24F28F47"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59747D1"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West Africa Telecomm, Inc., Monrovia</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7AAE02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2007</w:t>
            </w:r>
          </w:p>
        </w:tc>
        <w:tc>
          <w:tcPr>
            <w:tcW w:w="1611" w:type="dxa"/>
            <w:tcBorders>
              <w:top w:val="nil"/>
              <w:left w:val="nil"/>
              <w:bottom w:val="single" w:sz="4" w:space="0" w:color="auto"/>
              <w:right w:val="nil"/>
            </w:tcBorders>
            <w:shd w:val="clear" w:color="auto" w:fill="auto"/>
            <w:noWrap/>
            <w:vAlign w:val="bottom"/>
            <w:hideMark/>
          </w:tcPr>
          <w:p w14:paraId="316575E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8 298,50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1C6A15C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2CD290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8 298,50</w:t>
            </w:r>
          </w:p>
        </w:tc>
      </w:tr>
    </w:tbl>
    <w:p w14:paraId="086F6AB7" w14:textId="77777777" w:rsidR="00862C6F" w:rsidRPr="00236418" w:rsidRDefault="00862C6F" w:rsidP="00862C6F"/>
    <w:p w14:paraId="355DB2B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236418" w14:paraId="08000BC6"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69EE8B4" w14:textId="77777777" w:rsidR="00862C6F" w:rsidRPr="00236418" w:rsidRDefault="00862C6F" w:rsidP="00862C6F">
            <w:pPr>
              <w:tabs>
                <w:tab w:val="clear" w:pos="567"/>
                <w:tab w:val="clear" w:pos="1134"/>
                <w:tab w:val="clear" w:pos="1701"/>
                <w:tab w:val="clear" w:pos="2268"/>
                <w:tab w:val="clear" w:pos="2835"/>
                <w:tab w:val="left" w:pos="277"/>
              </w:tabs>
              <w:spacing w:beforeLines="20" w:before="48" w:afterLines="20" w:after="48"/>
              <w:ind w:left="277" w:hanging="277"/>
              <w:rPr>
                <w:rFonts w:asciiTheme="minorHAnsi" w:hAnsiTheme="minorHAnsi"/>
                <w:b/>
                <w:sz w:val="22"/>
                <w:szCs w:val="22"/>
              </w:rPr>
            </w:pPr>
            <w:r w:rsidRPr="00236418">
              <w:rPr>
                <w:rFonts w:asciiTheme="minorHAnsi" w:hAnsiTheme="minorHAnsi"/>
                <w:b/>
                <w:sz w:val="22"/>
                <w:szCs w:val="22"/>
              </w:rPr>
              <w:lastRenderedPageBreak/>
              <w:t>B</w:t>
            </w:r>
            <w:r w:rsidRPr="00236418">
              <w:rPr>
                <w:rFonts w:asciiTheme="minorHAnsi" w:hAnsiTheme="minorHAnsi"/>
                <w:b/>
                <w:sz w:val="22"/>
                <w:szCs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79523EBE"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33DFACE"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5BCB8D5F"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2AFB5BDE"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Total</w:t>
            </w:r>
          </w:p>
        </w:tc>
      </w:tr>
      <w:tr w:rsidR="00862C6F" w:rsidRPr="00236418" w14:paraId="7C4443F2"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4D06048"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Libye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90A6A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hideMark/>
          </w:tcPr>
          <w:p w14:paraId="2F99CB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3A2C28B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4B2241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55E8900D"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1EF8443"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Libyana</w:t>
            </w:r>
            <w:proofErr w:type="spellEnd"/>
            <w:r w:rsidRPr="00596807">
              <w:rPr>
                <w:rFonts w:asciiTheme="minorHAnsi" w:eastAsia="Batang" w:hAnsiTheme="minorHAnsi"/>
                <w:sz w:val="22"/>
                <w:szCs w:val="22"/>
                <w:lang w:val="en-US"/>
              </w:rPr>
              <w:t xml:space="preserve"> Mobile Phone Company, Tripoli</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CB1E72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2010-2012</w:t>
            </w:r>
          </w:p>
        </w:tc>
        <w:tc>
          <w:tcPr>
            <w:tcW w:w="1611" w:type="dxa"/>
            <w:tcBorders>
              <w:top w:val="nil"/>
              <w:left w:val="nil"/>
              <w:bottom w:val="single" w:sz="4" w:space="0" w:color="auto"/>
              <w:right w:val="nil"/>
            </w:tcBorders>
            <w:shd w:val="clear" w:color="auto" w:fill="auto"/>
            <w:noWrap/>
            <w:vAlign w:val="bottom"/>
            <w:hideMark/>
          </w:tcPr>
          <w:p w14:paraId="0FFE148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147 819,10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165F9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60130D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147 819,10</w:t>
            </w:r>
          </w:p>
        </w:tc>
      </w:tr>
      <w:tr w:rsidR="00862C6F" w:rsidRPr="00236418" w14:paraId="6F362914"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55EB24E1"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Luxembourg</w:t>
            </w:r>
          </w:p>
        </w:tc>
        <w:tc>
          <w:tcPr>
            <w:tcW w:w="1296" w:type="dxa"/>
            <w:tcBorders>
              <w:top w:val="nil"/>
              <w:left w:val="single" w:sz="4" w:space="0" w:color="auto"/>
              <w:right w:val="single" w:sz="4" w:space="0" w:color="auto"/>
            </w:tcBorders>
            <w:shd w:val="clear" w:color="auto" w:fill="auto"/>
            <w:noWrap/>
            <w:vAlign w:val="bottom"/>
          </w:tcPr>
          <w:p w14:paraId="38F2A3A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11" w:type="dxa"/>
            <w:tcBorders>
              <w:top w:val="nil"/>
              <w:left w:val="nil"/>
              <w:right w:val="nil"/>
            </w:tcBorders>
            <w:shd w:val="clear" w:color="auto" w:fill="auto"/>
            <w:noWrap/>
            <w:vAlign w:val="bottom"/>
          </w:tcPr>
          <w:p w14:paraId="4F7C33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333" w:type="dxa"/>
            <w:tcBorders>
              <w:top w:val="nil"/>
              <w:left w:val="single" w:sz="4" w:space="0" w:color="auto"/>
              <w:right w:val="single" w:sz="4" w:space="0" w:color="auto"/>
            </w:tcBorders>
            <w:shd w:val="clear" w:color="auto" w:fill="auto"/>
            <w:noWrap/>
            <w:vAlign w:val="bottom"/>
          </w:tcPr>
          <w:p w14:paraId="6ADC10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611" w:type="dxa"/>
            <w:tcBorders>
              <w:top w:val="nil"/>
              <w:left w:val="nil"/>
              <w:right w:val="single" w:sz="4" w:space="0" w:color="auto"/>
            </w:tcBorders>
            <w:shd w:val="clear" w:color="auto" w:fill="auto"/>
            <w:noWrap/>
            <w:vAlign w:val="bottom"/>
          </w:tcPr>
          <w:p w14:paraId="1781F23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r>
      <w:tr w:rsidR="00862C6F" w:rsidRPr="00236418" w14:paraId="2F68D56E"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BD2E333" w14:textId="77777777" w:rsidR="00862C6F" w:rsidRPr="00236418" w:rsidRDefault="00862C6F" w:rsidP="00862C6F">
            <w:pPr>
              <w:tabs>
                <w:tab w:val="clear" w:pos="567"/>
                <w:tab w:val="clear" w:pos="1134"/>
                <w:tab w:val="clear" w:pos="1701"/>
                <w:tab w:val="clear" w:pos="2268"/>
                <w:tab w:val="clear" w:pos="2835"/>
                <w:tab w:val="left" w:pos="313"/>
              </w:tabs>
              <w:spacing w:before="60" w:after="60"/>
              <w:ind w:left="313" w:hanging="313"/>
              <w:rPr>
                <w:sz w:val="22"/>
              </w:rPr>
            </w:pPr>
            <w:r w:rsidRPr="00236418">
              <w:rPr>
                <w:rFonts w:asciiTheme="minorHAnsi" w:hAnsiTheme="minorHAnsi"/>
                <w:sz w:val="22"/>
                <w:szCs w:val="22"/>
              </w:rPr>
              <w:t>–</w:t>
            </w:r>
            <w:r w:rsidRPr="00236418">
              <w:rPr>
                <w:rFonts w:asciiTheme="minorHAnsi" w:hAnsiTheme="minorHAnsi"/>
                <w:sz w:val="22"/>
                <w:szCs w:val="22"/>
              </w:rPr>
              <w:tab/>
              <w:t xml:space="preserve">Luxembourg </w:t>
            </w:r>
            <w:proofErr w:type="spellStart"/>
            <w:r w:rsidRPr="00236418">
              <w:rPr>
                <w:rFonts w:asciiTheme="minorHAnsi" w:hAnsiTheme="minorHAnsi"/>
                <w:sz w:val="22"/>
                <w:szCs w:val="22"/>
              </w:rPr>
              <w:t>Space</w:t>
            </w:r>
            <w:proofErr w:type="spellEnd"/>
            <w:r w:rsidRPr="00236418">
              <w:rPr>
                <w:rFonts w:asciiTheme="minorHAnsi" w:hAnsiTheme="minorHAnsi"/>
                <w:sz w:val="22"/>
                <w:szCs w:val="22"/>
              </w:rPr>
              <w:t xml:space="preserve"> </w:t>
            </w:r>
            <w:proofErr w:type="spellStart"/>
            <w:r w:rsidRPr="00236418">
              <w:rPr>
                <w:rFonts w:asciiTheme="minorHAnsi" w:hAnsiTheme="minorHAnsi"/>
                <w:sz w:val="22"/>
                <w:szCs w:val="22"/>
              </w:rPr>
              <w:t>Telecomm</w:t>
            </w:r>
            <w:proofErr w:type="spellEnd"/>
            <w:r w:rsidRPr="00236418">
              <w:rPr>
                <w:rFonts w:asciiTheme="minorHAnsi" w:hAnsiTheme="minorHAnsi"/>
                <w:sz w:val="22"/>
                <w:szCs w:val="22"/>
              </w:rPr>
              <w:t>, Luxembourg</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462C3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bottom w:val="single" w:sz="4" w:space="0" w:color="auto"/>
              <w:right w:val="nil"/>
            </w:tcBorders>
            <w:shd w:val="clear" w:color="auto" w:fill="auto"/>
            <w:noWrap/>
            <w:vAlign w:val="bottom"/>
          </w:tcPr>
          <w:p w14:paraId="4BF73EB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34 972,05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72CF24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42576F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34 972,05</w:t>
            </w:r>
          </w:p>
        </w:tc>
      </w:tr>
      <w:tr w:rsidR="00862C6F" w:rsidRPr="00236418" w14:paraId="7CC34C4F"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63D09B26"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Mali</w:t>
            </w:r>
          </w:p>
        </w:tc>
        <w:tc>
          <w:tcPr>
            <w:tcW w:w="1296" w:type="dxa"/>
            <w:tcBorders>
              <w:top w:val="single" w:sz="4" w:space="0" w:color="auto"/>
              <w:left w:val="single" w:sz="4" w:space="0" w:color="auto"/>
              <w:right w:val="single" w:sz="4" w:space="0" w:color="auto"/>
            </w:tcBorders>
            <w:shd w:val="clear" w:color="auto" w:fill="auto"/>
            <w:noWrap/>
            <w:vAlign w:val="bottom"/>
          </w:tcPr>
          <w:p w14:paraId="54DCF7D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11" w:type="dxa"/>
            <w:tcBorders>
              <w:top w:val="single" w:sz="4" w:space="0" w:color="auto"/>
              <w:left w:val="nil"/>
              <w:right w:val="nil"/>
            </w:tcBorders>
            <w:shd w:val="clear" w:color="auto" w:fill="auto"/>
            <w:noWrap/>
            <w:vAlign w:val="bottom"/>
          </w:tcPr>
          <w:p w14:paraId="3C1DCB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33" w:type="dxa"/>
            <w:tcBorders>
              <w:top w:val="single" w:sz="4" w:space="0" w:color="auto"/>
              <w:left w:val="single" w:sz="4" w:space="0" w:color="auto"/>
              <w:right w:val="single" w:sz="4" w:space="0" w:color="auto"/>
            </w:tcBorders>
            <w:shd w:val="clear" w:color="auto" w:fill="auto"/>
            <w:noWrap/>
            <w:vAlign w:val="bottom"/>
          </w:tcPr>
          <w:p w14:paraId="5E085A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11" w:type="dxa"/>
            <w:tcBorders>
              <w:top w:val="single" w:sz="4" w:space="0" w:color="auto"/>
              <w:left w:val="nil"/>
              <w:right w:val="single" w:sz="4" w:space="0" w:color="auto"/>
            </w:tcBorders>
            <w:shd w:val="clear" w:color="auto" w:fill="auto"/>
            <w:noWrap/>
            <w:vAlign w:val="bottom"/>
          </w:tcPr>
          <w:p w14:paraId="018F97E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r>
      <w:tr w:rsidR="00862C6F" w:rsidRPr="00236418" w14:paraId="3A4978D4"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6B537945" w14:textId="77777777" w:rsidR="00862C6F" w:rsidRPr="00236418" w:rsidRDefault="00862C6F" w:rsidP="00862C6F">
            <w:pPr>
              <w:tabs>
                <w:tab w:val="clear" w:pos="567"/>
                <w:tab w:val="clear" w:pos="1134"/>
                <w:tab w:val="clear" w:pos="1701"/>
                <w:tab w:val="clear" w:pos="2268"/>
                <w:tab w:val="clear" w:pos="2835"/>
                <w:tab w:val="left" w:pos="288"/>
              </w:tabs>
              <w:spacing w:before="60" w:after="60"/>
              <w:rPr>
                <w:sz w:val="22"/>
              </w:rPr>
            </w:pPr>
            <w:r w:rsidRPr="00236418">
              <w:rPr>
                <w:rFonts w:asciiTheme="minorHAnsi" w:hAnsiTheme="minorHAnsi"/>
                <w:sz w:val="22"/>
                <w:szCs w:val="22"/>
              </w:rPr>
              <w:t>–</w:t>
            </w:r>
            <w:r w:rsidRPr="00236418">
              <w:rPr>
                <w:rFonts w:asciiTheme="minorHAnsi" w:hAnsiTheme="minorHAnsi"/>
                <w:sz w:val="22"/>
                <w:szCs w:val="22"/>
              </w:rPr>
              <w:tab/>
              <w:t>Orange Mali SA, Bamako</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C603A2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bottom w:val="single" w:sz="4" w:space="0" w:color="auto"/>
              <w:right w:val="nil"/>
            </w:tcBorders>
            <w:shd w:val="clear" w:color="auto" w:fill="auto"/>
            <w:noWrap/>
            <w:vAlign w:val="bottom"/>
          </w:tcPr>
          <w:p w14:paraId="12A324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3 003,85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7AD267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68A919A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3 003,85</w:t>
            </w:r>
          </w:p>
        </w:tc>
      </w:tr>
      <w:tr w:rsidR="00862C6F" w:rsidRPr="00236418" w14:paraId="122EA0E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FAD2519"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Mauritanie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2074FFE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hideMark/>
          </w:tcPr>
          <w:p w14:paraId="438945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044525D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6BC8D2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20B50CB8" w14:textId="77777777" w:rsidTr="00620F53">
        <w:trPr>
          <w:trHeight w:val="600"/>
          <w:jc w:val="center"/>
        </w:trPr>
        <w:tc>
          <w:tcPr>
            <w:tcW w:w="3778" w:type="dxa"/>
            <w:tcBorders>
              <w:top w:val="nil"/>
              <w:left w:val="single" w:sz="4" w:space="0" w:color="auto"/>
              <w:bottom w:val="nil"/>
              <w:right w:val="single" w:sz="4" w:space="0" w:color="auto"/>
            </w:tcBorders>
            <w:shd w:val="clear" w:color="auto" w:fill="auto"/>
            <w:vAlign w:val="bottom"/>
            <w:hideMark/>
          </w:tcPr>
          <w:p w14:paraId="21E06F1A"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Agence de Promotion de l'Accès Universel aux Services (APAUS), Nouakchott</w:t>
            </w:r>
          </w:p>
        </w:tc>
        <w:tc>
          <w:tcPr>
            <w:tcW w:w="1296" w:type="dxa"/>
            <w:tcBorders>
              <w:top w:val="nil"/>
              <w:left w:val="single" w:sz="4" w:space="0" w:color="auto"/>
              <w:bottom w:val="nil"/>
              <w:right w:val="single" w:sz="4" w:space="0" w:color="auto"/>
            </w:tcBorders>
            <w:shd w:val="clear" w:color="auto" w:fill="auto"/>
            <w:noWrap/>
            <w:vAlign w:val="bottom"/>
            <w:hideMark/>
          </w:tcPr>
          <w:p w14:paraId="3A130B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w:t>
            </w:r>
          </w:p>
        </w:tc>
        <w:tc>
          <w:tcPr>
            <w:tcW w:w="1611" w:type="dxa"/>
            <w:noWrap/>
            <w:vAlign w:val="bottom"/>
            <w:hideMark/>
          </w:tcPr>
          <w:p w14:paraId="07ABB7F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6 201,10</w:t>
            </w:r>
          </w:p>
        </w:tc>
        <w:tc>
          <w:tcPr>
            <w:tcW w:w="1333" w:type="dxa"/>
            <w:tcBorders>
              <w:top w:val="nil"/>
              <w:left w:val="single" w:sz="4" w:space="0" w:color="auto"/>
              <w:bottom w:val="nil"/>
              <w:right w:val="single" w:sz="4" w:space="0" w:color="auto"/>
            </w:tcBorders>
            <w:shd w:val="clear" w:color="auto" w:fill="auto"/>
            <w:noWrap/>
            <w:vAlign w:val="bottom"/>
            <w:hideMark/>
          </w:tcPr>
          <w:p w14:paraId="61BD292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30E01C9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6 201,10</w:t>
            </w:r>
          </w:p>
        </w:tc>
      </w:tr>
      <w:tr w:rsidR="00862C6F" w:rsidRPr="00236418" w14:paraId="63E87238" w14:textId="77777777" w:rsidTr="00620F53">
        <w:trPr>
          <w:trHeight w:val="292"/>
          <w:jc w:val="center"/>
        </w:trPr>
        <w:tc>
          <w:tcPr>
            <w:tcW w:w="3778" w:type="dxa"/>
            <w:tcBorders>
              <w:top w:val="nil"/>
              <w:left w:val="single" w:sz="4" w:space="0" w:color="auto"/>
              <w:bottom w:val="nil"/>
              <w:right w:val="single" w:sz="4" w:space="0" w:color="auto"/>
            </w:tcBorders>
            <w:shd w:val="clear" w:color="auto" w:fill="auto"/>
            <w:vAlign w:val="bottom"/>
          </w:tcPr>
          <w:p w14:paraId="5CB5B619"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Chinguitel</w:t>
            </w:r>
            <w:proofErr w:type="spellEnd"/>
            <w:r w:rsidRPr="00236418">
              <w:rPr>
                <w:rFonts w:asciiTheme="minorHAnsi" w:eastAsia="Batang" w:hAnsiTheme="minorHAnsi"/>
                <w:sz w:val="22"/>
                <w:szCs w:val="22"/>
              </w:rPr>
              <w:t xml:space="preserve"> S.A., Nouakchott</w:t>
            </w:r>
          </w:p>
        </w:tc>
        <w:tc>
          <w:tcPr>
            <w:tcW w:w="1296" w:type="dxa"/>
            <w:tcBorders>
              <w:top w:val="nil"/>
              <w:left w:val="single" w:sz="4" w:space="0" w:color="auto"/>
              <w:bottom w:val="nil"/>
              <w:right w:val="single" w:sz="4" w:space="0" w:color="auto"/>
            </w:tcBorders>
            <w:shd w:val="clear" w:color="auto" w:fill="auto"/>
            <w:noWrap/>
            <w:vAlign w:val="bottom"/>
          </w:tcPr>
          <w:p w14:paraId="4217D35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2013-2015</w:t>
            </w:r>
          </w:p>
        </w:tc>
        <w:tc>
          <w:tcPr>
            <w:tcW w:w="1611" w:type="dxa"/>
            <w:noWrap/>
            <w:vAlign w:val="bottom"/>
          </w:tcPr>
          <w:p w14:paraId="2712BC6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5 254,25</w:t>
            </w:r>
          </w:p>
        </w:tc>
        <w:tc>
          <w:tcPr>
            <w:tcW w:w="1333" w:type="dxa"/>
            <w:tcBorders>
              <w:top w:val="nil"/>
              <w:left w:val="single" w:sz="4" w:space="0" w:color="auto"/>
              <w:bottom w:val="nil"/>
              <w:right w:val="single" w:sz="4" w:space="0" w:color="auto"/>
            </w:tcBorders>
            <w:shd w:val="clear" w:color="auto" w:fill="auto"/>
            <w:noWrap/>
            <w:vAlign w:val="bottom"/>
          </w:tcPr>
          <w:p w14:paraId="14D22C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5E0AEB0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5 254,25</w:t>
            </w:r>
          </w:p>
        </w:tc>
      </w:tr>
      <w:tr w:rsidR="00862C6F" w:rsidRPr="00236418" w14:paraId="5429DAB4" w14:textId="77777777" w:rsidTr="00620F53">
        <w:trPr>
          <w:trHeight w:val="581"/>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772AB07"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Société mauritanienne des télécommunications (MAURITEL S.A.), Nouakchott</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5181FD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w:t>
            </w:r>
          </w:p>
        </w:tc>
        <w:tc>
          <w:tcPr>
            <w:tcW w:w="1611" w:type="dxa"/>
            <w:tcBorders>
              <w:top w:val="nil"/>
              <w:left w:val="nil"/>
              <w:bottom w:val="single" w:sz="4" w:space="0" w:color="auto"/>
              <w:right w:val="nil"/>
            </w:tcBorders>
            <w:noWrap/>
            <w:vAlign w:val="bottom"/>
            <w:hideMark/>
          </w:tcPr>
          <w:p w14:paraId="798A049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70 458,35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3EE0243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37DA7E3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70 458,35</w:t>
            </w:r>
          </w:p>
        </w:tc>
      </w:tr>
      <w:tr w:rsidR="00862C6F" w:rsidRPr="00236418" w14:paraId="58291358"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4B7FE7C"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Mexique</w:t>
            </w:r>
          </w:p>
        </w:tc>
        <w:tc>
          <w:tcPr>
            <w:tcW w:w="1296" w:type="dxa"/>
            <w:tcBorders>
              <w:top w:val="nil"/>
              <w:left w:val="single" w:sz="4" w:space="0" w:color="auto"/>
              <w:right w:val="single" w:sz="4" w:space="0" w:color="auto"/>
            </w:tcBorders>
            <w:shd w:val="clear" w:color="auto" w:fill="auto"/>
            <w:noWrap/>
            <w:vAlign w:val="bottom"/>
            <w:hideMark/>
          </w:tcPr>
          <w:p w14:paraId="01AAC5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right w:val="nil"/>
            </w:tcBorders>
            <w:shd w:val="clear" w:color="auto" w:fill="auto"/>
            <w:noWrap/>
            <w:vAlign w:val="bottom"/>
            <w:hideMark/>
          </w:tcPr>
          <w:p w14:paraId="0F70FD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right w:val="single" w:sz="4" w:space="0" w:color="auto"/>
            </w:tcBorders>
            <w:shd w:val="clear" w:color="auto" w:fill="auto"/>
            <w:noWrap/>
            <w:vAlign w:val="bottom"/>
            <w:hideMark/>
          </w:tcPr>
          <w:p w14:paraId="7CA83B8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right w:val="single" w:sz="4" w:space="0" w:color="auto"/>
            </w:tcBorders>
            <w:shd w:val="clear" w:color="auto" w:fill="auto"/>
            <w:noWrap/>
            <w:vAlign w:val="bottom"/>
            <w:hideMark/>
          </w:tcPr>
          <w:p w14:paraId="5CFFB0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39108EB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AD7E98A"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CANITEC, Mexico</w:t>
            </w:r>
          </w:p>
        </w:tc>
        <w:tc>
          <w:tcPr>
            <w:tcW w:w="1296" w:type="dxa"/>
            <w:tcBorders>
              <w:top w:val="nil"/>
              <w:left w:val="single" w:sz="4" w:space="0" w:color="auto"/>
              <w:right w:val="single" w:sz="4" w:space="0" w:color="auto"/>
            </w:tcBorders>
            <w:shd w:val="clear" w:color="auto" w:fill="auto"/>
            <w:noWrap/>
            <w:vAlign w:val="bottom"/>
            <w:hideMark/>
          </w:tcPr>
          <w:p w14:paraId="0827336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2011-2013</w:t>
            </w:r>
          </w:p>
        </w:tc>
        <w:tc>
          <w:tcPr>
            <w:tcW w:w="1611" w:type="dxa"/>
            <w:noWrap/>
            <w:vAlign w:val="bottom"/>
            <w:hideMark/>
          </w:tcPr>
          <w:p w14:paraId="62EC530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6 028,95</w:t>
            </w:r>
          </w:p>
        </w:tc>
        <w:tc>
          <w:tcPr>
            <w:tcW w:w="1333" w:type="dxa"/>
            <w:tcBorders>
              <w:top w:val="nil"/>
              <w:left w:val="single" w:sz="4" w:space="0" w:color="auto"/>
              <w:right w:val="single" w:sz="4" w:space="0" w:color="auto"/>
            </w:tcBorders>
            <w:shd w:val="clear" w:color="auto" w:fill="auto"/>
            <w:noWrap/>
            <w:vAlign w:val="bottom"/>
            <w:hideMark/>
          </w:tcPr>
          <w:p w14:paraId="1F3943F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hideMark/>
          </w:tcPr>
          <w:p w14:paraId="72F195E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6 028,95</w:t>
            </w:r>
          </w:p>
        </w:tc>
      </w:tr>
      <w:tr w:rsidR="00862C6F" w:rsidRPr="00236418" w14:paraId="7929AB4A"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B3FED8D"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 xml:space="preserve">Colegio de Ing. </w:t>
            </w:r>
            <w:proofErr w:type="spellStart"/>
            <w:r w:rsidRPr="00596807">
              <w:rPr>
                <w:rFonts w:asciiTheme="minorHAnsi" w:eastAsia="Batang" w:hAnsiTheme="minorHAnsi"/>
                <w:sz w:val="22"/>
                <w:szCs w:val="22"/>
                <w:lang w:val="en-US"/>
              </w:rPr>
              <w:t>Mecánico</w:t>
            </w:r>
            <w:proofErr w:type="spellEnd"/>
            <w:r w:rsidRPr="00596807">
              <w:rPr>
                <w:rFonts w:asciiTheme="minorHAnsi" w:eastAsia="Batang" w:hAnsiTheme="minorHAnsi"/>
                <w:sz w:val="22"/>
                <w:szCs w:val="22"/>
                <w:lang w:val="en-US"/>
              </w:rPr>
              <w:t xml:space="preserve"> </w:t>
            </w:r>
            <w:proofErr w:type="spellStart"/>
            <w:r w:rsidRPr="00596807">
              <w:rPr>
                <w:rFonts w:asciiTheme="minorHAnsi" w:eastAsia="Batang" w:hAnsiTheme="minorHAnsi"/>
                <w:sz w:val="22"/>
                <w:szCs w:val="22"/>
                <w:lang w:val="en-US"/>
              </w:rPr>
              <w:t>Electricistas</w:t>
            </w:r>
            <w:proofErr w:type="spellEnd"/>
            <w:r w:rsidRPr="00596807">
              <w:rPr>
                <w:rFonts w:asciiTheme="minorHAnsi" w:eastAsia="Batang" w:hAnsiTheme="minorHAnsi"/>
                <w:sz w:val="22"/>
                <w:szCs w:val="22"/>
                <w:lang w:val="en-US"/>
              </w:rPr>
              <w:t xml:space="preserve"> A.C., Mexico</w:t>
            </w:r>
          </w:p>
        </w:tc>
        <w:tc>
          <w:tcPr>
            <w:tcW w:w="1296" w:type="dxa"/>
            <w:tcBorders>
              <w:left w:val="single" w:sz="4" w:space="0" w:color="auto"/>
              <w:bottom w:val="single" w:sz="4" w:space="0" w:color="auto"/>
              <w:right w:val="single" w:sz="4" w:space="0" w:color="auto"/>
            </w:tcBorders>
            <w:shd w:val="clear" w:color="auto" w:fill="auto"/>
            <w:noWrap/>
            <w:vAlign w:val="bottom"/>
          </w:tcPr>
          <w:p w14:paraId="6E8929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bottom w:val="single" w:sz="4" w:space="0" w:color="auto"/>
              <w:right w:val="nil"/>
            </w:tcBorders>
            <w:noWrap/>
            <w:vAlign w:val="bottom"/>
          </w:tcPr>
          <w:p w14:paraId="1F1236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2 185,75</w:t>
            </w:r>
          </w:p>
        </w:tc>
        <w:tc>
          <w:tcPr>
            <w:tcW w:w="1333" w:type="dxa"/>
            <w:tcBorders>
              <w:left w:val="single" w:sz="4" w:space="0" w:color="auto"/>
              <w:bottom w:val="single" w:sz="4" w:space="0" w:color="auto"/>
              <w:right w:val="single" w:sz="4" w:space="0" w:color="auto"/>
            </w:tcBorders>
            <w:shd w:val="clear" w:color="auto" w:fill="auto"/>
            <w:noWrap/>
            <w:vAlign w:val="bottom"/>
          </w:tcPr>
          <w:p w14:paraId="18B2A7E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left w:val="nil"/>
              <w:bottom w:val="single" w:sz="4" w:space="0" w:color="auto"/>
              <w:right w:val="single" w:sz="4" w:space="0" w:color="auto"/>
            </w:tcBorders>
            <w:shd w:val="clear" w:color="auto" w:fill="auto"/>
            <w:noWrap/>
            <w:vAlign w:val="bottom"/>
          </w:tcPr>
          <w:p w14:paraId="18E08A6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2 185,75</w:t>
            </w:r>
          </w:p>
        </w:tc>
      </w:tr>
      <w:tr w:rsidR="00862C6F" w:rsidRPr="00236418" w14:paraId="6048E9C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E9D1FFB"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Pays-Bas</w:t>
            </w:r>
          </w:p>
        </w:tc>
        <w:tc>
          <w:tcPr>
            <w:tcW w:w="1296" w:type="dxa"/>
            <w:tcBorders>
              <w:top w:val="nil"/>
              <w:left w:val="single" w:sz="4" w:space="0" w:color="auto"/>
              <w:bottom w:val="nil"/>
              <w:right w:val="single" w:sz="4" w:space="0" w:color="auto"/>
            </w:tcBorders>
            <w:shd w:val="clear" w:color="auto" w:fill="auto"/>
            <w:noWrap/>
            <w:vAlign w:val="bottom"/>
            <w:hideMark/>
          </w:tcPr>
          <w:p w14:paraId="7CE0C1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55783C6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0B20E5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49DDE2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73EDA41B"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83C6EB2"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Smitcoms</w:t>
            </w:r>
            <w:proofErr w:type="spellEnd"/>
            <w:r w:rsidRPr="00596807">
              <w:rPr>
                <w:rFonts w:asciiTheme="minorHAnsi" w:eastAsia="Batang" w:hAnsiTheme="minorHAnsi"/>
                <w:sz w:val="22"/>
                <w:szCs w:val="22"/>
                <w:lang w:val="en-US"/>
              </w:rPr>
              <w:t xml:space="preserve"> N.V., Saint–Martin</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16F9DD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2004-2007</w:t>
            </w:r>
          </w:p>
        </w:tc>
        <w:tc>
          <w:tcPr>
            <w:tcW w:w="1611" w:type="dxa"/>
            <w:tcBorders>
              <w:top w:val="nil"/>
              <w:left w:val="nil"/>
              <w:bottom w:val="single" w:sz="4" w:space="0" w:color="auto"/>
              <w:right w:val="nil"/>
            </w:tcBorders>
            <w:shd w:val="clear" w:color="auto" w:fill="auto"/>
            <w:noWrap/>
            <w:vAlign w:val="bottom"/>
            <w:hideMark/>
          </w:tcPr>
          <w:p w14:paraId="620758F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577 859,25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4EED9C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0C9CBC3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577 859,25</w:t>
            </w:r>
          </w:p>
        </w:tc>
      </w:tr>
      <w:tr w:rsidR="00862C6F" w:rsidRPr="00236418" w14:paraId="1A0EBC7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EBD91FF"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 xml:space="preserve">Pakistan </w:t>
            </w:r>
          </w:p>
        </w:tc>
        <w:tc>
          <w:tcPr>
            <w:tcW w:w="1296" w:type="dxa"/>
            <w:tcBorders>
              <w:top w:val="nil"/>
              <w:left w:val="single" w:sz="4" w:space="0" w:color="auto"/>
              <w:bottom w:val="nil"/>
              <w:right w:val="single" w:sz="4" w:space="0" w:color="auto"/>
            </w:tcBorders>
            <w:shd w:val="clear" w:color="auto" w:fill="auto"/>
            <w:noWrap/>
            <w:vAlign w:val="bottom"/>
            <w:hideMark/>
          </w:tcPr>
          <w:p w14:paraId="4996DCF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3BA70C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2A0FD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452E3E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4BDBA2E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2619306"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CMPak</w:t>
            </w:r>
            <w:proofErr w:type="spellEnd"/>
            <w:r w:rsidRPr="00236418">
              <w:rPr>
                <w:rFonts w:asciiTheme="minorHAnsi" w:eastAsia="Batang" w:hAnsiTheme="minorHAnsi"/>
                <w:sz w:val="22"/>
                <w:szCs w:val="22"/>
              </w:rPr>
              <w:t xml:space="preserve"> Limited, Islamabad</w:t>
            </w:r>
          </w:p>
        </w:tc>
        <w:tc>
          <w:tcPr>
            <w:tcW w:w="1296" w:type="dxa"/>
            <w:tcBorders>
              <w:top w:val="nil"/>
              <w:left w:val="single" w:sz="4" w:space="0" w:color="auto"/>
              <w:bottom w:val="nil"/>
              <w:right w:val="single" w:sz="4" w:space="0" w:color="auto"/>
            </w:tcBorders>
            <w:shd w:val="clear" w:color="auto" w:fill="auto"/>
            <w:noWrap/>
            <w:vAlign w:val="bottom"/>
          </w:tcPr>
          <w:p w14:paraId="34522CF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w:t>
            </w:r>
          </w:p>
        </w:tc>
        <w:tc>
          <w:tcPr>
            <w:tcW w:w="1611" w:type="dxa"/>
            <w:noWrap/>
            <w:vAlign w:val="bottom"/>
          </w:tcPr>
          <w:p w14:paraId="4F92D24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2 603,25</w:t>
            </w:r>
          </w:p>
        </w:tc>
        <w:tc>
          <w:tcPr>
            <w:tcW w:w="1333" w:type="dxa"/>
            <w:tcBorders>
              <w:top w:val="nil"/>
              <w:left w:val="single" w:sz="4" w:space="0" w:color="auto"/>
              <w:bottom w:val="nil"/>
              <w:right w:val="single" w:sz="4" w:space="0" w:color="auto"/>
            </w:tcBorders>
            <w:shd w:val="clear" w:color="auto" w:fill="auto"/>
            <w:noWrap/>
            <w:vAlign w:val="bottom"/>
          </w:tcPr>
          <w:p w14:paraId="4E998E2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73EFA6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2 603,25</w:t>
            </w:r>
          </w:p>
        </w:tc>
      </w:tr>
      <w:tr w:rsidR="00862C6F" w:rsidRPr="00236418" w14:paraId="34FC083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4066664"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 xml:space="preserve">e </w:t>
            </w:r>
            <w:proofErr w:type="spellStart"/>
            <w:r w:rsidRPr="00236418">
              <w:rPr>
                <w:rFonts w:asciiTheme="minorHAnsi" w:eastAsia="Batang" w:hAnsiTheme="minorHAnsi"/>
                <w:sz w:val="22"/>
                <w:szCs w:val="22"/>
              </w:rPr>
              <w:t>Wordwide</w:t>
            </w:r>
            <w:proofErr w:type="spellEnd"/>
            <w:r w:rsidRPr="00236418">
              <w:rPr>
                <w:rFonts w:asciiTheme="minorHAnsi" w:eastAsia="Batang" w:hAnsiTheme="minorHAnsi"/>
                <w:sz w:val="22"/>
                <w:szCs w:val="22"/>
              </w:rPr>
              <w:t xml:space="preserve"> Group, Islamabad</w:t>
            </w:r>
          </w:p>
        </w:tc>
        <w:tc>
          <w:tcPr>
            <w:tcW w:w="1296" w:type="dxa"/>
            <w:tcBorders>
              <w:top w:val="nil"/>
              <w:left w:val="single" w:sz="4" w:space="0" w:color="auto"/>
              <w:bottom w:val="nil"/>
              <w:right w:val="single" w:sz="4" w:space="0" w:color="auto"/>
            </w:tcBorders>
            <w:shd w:val="clear" w:color="auto" w:fill="auto"/>
            <w:noWrap/>
            <w:vAlign w:val="bottom"/>
          </w:tcPr>
          <w:p w14:paraId="4492F3A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2011-2013</w:t>
            </w:r>
          </w:p>
        </w:tc>
        <w:tc>
          <w:tcPr>
            <w:tcW w:w="1611" w:type="dxa"/>
            <w:noWrap/>
            <w:vAlign w:val="bottom"/>
          </w:tcPr>
          <w:p w14:paraId="549B1C8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5 929,60</w:t>
            </w:r>
          </w:p>
        </w:tc>
        <w:tc>
          <w:tcPr>
            <w:tcW w:w="1333" w:type="dxa"/>
            <w:tcBorders>
              <w:top w:val="nil"/>
              <w:left w:val="single" w:sz="4" w:space="0" w:color="auto"/>
              <w:bottom w:val="nil"/>
              <w:right w:val="single" w:sz="4" w:space="0" w:color="auto"/>
            </w:tcBorders>
            <w:shd w:val="clear" w:color="auto" w:fill="auto"/>
            <w:noWrap/>
            <w:vAlign w:val="bottom"/>
          </w:tcPr>
          <w:p w14:paraId="5DA211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2D73226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5 929,60</w:t>
            </w:r>
          </w:p>
        </w:tc>
      </w:tr>
      <w:tr w:rsidR="00862C6F" w:rsidRPr="00236418" w14:paraId="548A697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3D2DE7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Paktel</w:t>
            </w:r>
            <w:proofErr w:type="spellEnd"/>
            <w:r w:rsidRPr="00236418">
              <w:rPr>
                <w:rFonts w:asciiTheme="minorHAnsi" w:eastAsia="Batang" w:hAnsiTheme="minorHAnsi"/>
                <w:sz w:val="22"/>
                <w:szCs w:val="22"/>
              </w:rPr>
              <w:t xml:space="preserve"> Limited, Islamabad</w:t>
            </w:r>
          </w:p>
        </w:tc>
        <w:tc>
          <w:tcPr>
            <w:tcW w:w="1296" w:type="dxa"/>
            <w:tcBorders>
              <w:top w:val="nil"/>
              <w:left w:val="single" w:sz="4" w:space="0" w:color="auto"/>
              <w:bottom w:val="nil"/>
              <w:right w:val="single" w:sz="4" w:space="0" w:color="auto"/>
            </w:tcBorders>
            <w:shd w:val="clear" w:color="auto" w:fill="auto"/>
            <w:noWrap/>
            <w:vAlign w:val="bottom"/>
            <w:hideMark/>
          </w:tcPr>
          <w:p w14:paraId="0BACA06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2007</w:t>
            </w:r>
          </w:p>
        </w:tc>
        <w:tc>
          <w:tcPr>
            <w:tcW w:w="1611" w:type="dxa"/>
            <w:noWrap/>
            <w:vAlign w:val="bottom"/>
            <w:hideMark/>
          </w:tcPr>
          <w:p w14:paraId="7892FD0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8 298,50</w:t>
            </w:r>
          </w:p>
        </w:tc>
        <w:tc>
          <w:tcPr>
            <w:tcW w:w="1333" w:type="dxa"/>
            <w:tcBorders>
              <w:top w:val="nil"/>
              <w:left w:val="single" w:sz="4" w:space="0" w:color="auto"/>
              <w:bottom w:val="nil"/>
              <w:right w:val="single" w:sz="4" w:space="0" w:color="auto"/>
            </w:tcBorders>
            <w:shd w:val="clear" w:color="auto" w:fill="auto"/>
            <w:noWrap/>
            <w:vAlign w:val="bottom"/>
            <w:hideMark/>
          </w:tcPr>
          <w:p w14:paraId="3A015B9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61249C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8 298,50</w:t>
            </w:r>
          </w:p>
        </w:tc>
      </w:tr>
      <w:tr w:rsidR="00862C6F" w:rsidRPr="00236418" w14:paraId="74B35D41"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CFDA305"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Sysnet</w:t>
            </w:r>
            <w:proofErr w:type="spellEnd"/>
            <w:r w:rsidRPr="00236418">
              <w:rPr>
                <w:rFonts w:asciiTheme="minorHAnsi" w:eastAsia="Batang" w:hAnsiTheme="minorHAnsi"/>
                <w:sz w:val="22"/>
                <w:szCs w:val="22"/>
              </w:rPr>
              <w:t xml:space="preserve"> Pakistan (</w:t>
            </w:r>
            <w:proofErr w:type="spellStart"/>
            <w:r w:rsidRPr="00236418">
              <w:rPr>
                <w:rFonts w:asciiTheme="minorHAnsi" w:eastAsia="Batang" w:hAnsiTheme="minorHAnsi"/>
                <w:sz w:val="22"/>
                <w:szCs w:val="22"/>
              </w:rPr>
              <w:t>Pvt</w:t>
            </w:r>
            <w:proofErr w:type="spellEnd"/>
            <w:r w:rsidRPr="00236418">
              <w:rPr>
                <w:rFonts w:asciiTheme="minorHAnsi" w:eastAsia="Batang" w:hAnsiTheme="minorHAnsi"/>
                <w:sz w:val="22"/>
                <w:szCs w:val="22"/>
              </w:rPr>
              <w:t xml:space="preserve">) Ltd., Karachi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963E3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2003-2006</w:t>
            </w:r>
          </w:p>
        </w:tc>
        <w:tc>
          <w:tcPr>
            <w:tcW w:w="1611" w:type="dxa"/>
            <w:tcBorders>
              <w:top w:val="nil"/>
              <w:left w:val="nil"/>
              <w:bottom w:val="single" w:sz="4" w:space="0" w:color="auto"/>
              <w:right w:val="nil"/>
            </w:tcBorders>
            <w:noWrap/>
            <w:vAlign w:val="bottom"/>
            <w:hideMark/>
          </w:tcPr>
          <w:p w14:paraId="5808CF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32 780,30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64FABFF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02A4509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32 780,30</w:t>
            </w:r>
          </w:p>
        </w:tc>
      </w:tr>
      <w:tr w:rsidR="00862C6F" w:rsidRPr="00236418" w14:paraId="6869E39B"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hideMark/>
          </w:tcPr>
          <w:p w14:paraId="200D889E"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 xml:space="preserve">Philippines </w:t>
            </w:r>
          </w:p>
        </w:tc>
        <w:tc>
          <w:tcPr>
            <w:tcW w:w="1296" w:type="dxa"/>
            <w:tcBorders>
              <w:top w:val="nil"/>
              <w:left w:val="single" w:sz="4" w:space="0" w:color="auto"/>
              <w:right w:val="single" w:sz="4" w:space="0" w:color="auto"/>
            </w:tcBorders>
            <w:shd w:val="clear" w:color="auto" w:fill="auto"/>
            <w:noWrap/>
            <w:vAlign w:val="bottom"/>
            <w:hideMark/>
          </w:tcPr>
          <w:p w14:paraId="423EE57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right w:val="nil"/>
            </w:tcBorders>
            <w:shd w:val="clear" w:color="auto" w:fill="auto"/>
            <w:noWrap/>
            <w:vAlign w:val="bottom"/>
            <w:hideMark/>
          </w:tcPr>
          <w:p w14:paraId="01F719A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right w:val="single" w:sz="4" w:space="0" w:color="auto"/>
            </w:tcBorders>
            <w:shd w:val="clear" w:color="auto" w:fill="auto"/>
            <w:noWrap/>
            <w:vAlign w:val="bottom"/>
            <w:hideMark/>
          </w:tcPr>
          <w:p w14:paraId="7F9FA6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right w:val="single" w:sz="4" w:space="0" w:color="auto"/>
            </w:tcBorders>
            <w:shd w:val="clear" w:color="auto" w:fill="auto"/>
            <w:noWrap/>
            <w:vAlign w:val="bottom"/>
            <w:hideMark/>
          </w:tcPr>
          <w:p w14:paraId="2AD5D57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19A92E81"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414D9ACF"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PhilCom</w:t>
            </w:r>
            <w:proofErr w:type="spellEnd"/>
            <w:r w:rsidRPr="00236418">
              <w:rPr>
                <w:rFonts w:asciiTheme="minorHAnsi" w:eastAsia="Batang" w:hAnsiTheme="minorHAnsi"/>
                <w:sz w:val="22"/>
                <w:szCs w:val="22"/>
              </w:rPr>
              <w:t>, Makati</w:t>
            </w:r>
          </w:p>
        </w:tc>
        <w:tc>
          <w:tcPr>
            <w:tcW w:w="1296" w:type="dxa"/>
            <w:tcBorders>
              <w:top w:val="nil"/>
              <w:left w:val="single" w:sz="4" w:space="0" w:color="auto"/>
              <w:right w:val="single" w:sz="4" w:space="0" w:color="auto"/>
            </w:tcBorders>
            <w:shd w:val="clear" w:color="auto" w:fill="auto"/>
            <w:noWrap/>
            <w:vAlign w:val="bottom"/>
            <w:hideMark/>
          </w:tcPr>
          <w:p w14:paraId="5938C7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2007-2009</w:t>
            </w:r>
          </w:p>
        </w:tc>
        <w:tc>
          <w:tcPr>
            <w:tcW w:w="1611" w:type="dxa"/>
            <w:noWrap/>
            <w:vAlign w:val="bottom"/>
            <w:hideMark/>
          </w:tcPr>
          <w:p w14:paraId="72484ED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7 509,50</w:t>
            </w:r>
          </w:p>
        </w:tc>
        <w:tc>
          <w:tcPr>
            <w:tcW w:w="1333" w:type="dxa"/>
            <w:tcBorders>
              <w:top w:val="nil"/>
              <w:left w:val="single" w:sz="4" w:space="0" w:color="auto"/>
              <w:right w:val="single" w:sz="4" w:space="0" w:color="auto"/>
            </w:tcBorders>
            <w:shd w:val="clear" w:color="auto" w:fill="auto"/>
            <w:noWrap/>
            <w:vAlign w:val="bottom"/>
            <w:hideMark/>
          </w:tcPr>
          <w:p w14:paraId="5B061DB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hideMark/>
          </w:tcPr>
          <w:p w14:paraId="14AF06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7 509,50</w:t>
            </w:r>
          </w:p>
        </w:tc>
      </w:tr>
      <w:tr w:rsidR="00862C6F" w:rsidRPr="00236418" w14:paraId="58B0B226"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A69C922"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Univ. of the Philippines, Quezon City</w:t>
            </w:r>
          </w:p>
        </w:tc>
        <w:tc>
          <w:tcPr>
            <w:tcW w:w="1296" w:type="dxa"/>
            <w:tcBorders>
              <w:left w:val="single" w:sz="4" w:space="0" w:color="auto"/>
              <w:bottom w:val="single" w:sz="4" w:space="0" w:color="auto"/>
              <w:right w:val="single" w:sz="4" w:space="0" w:color="auto"/>
            </w:tcBorders>
            <w:shd w:val="clear" w:color="auto" w:fill="auto"/>
            <w:noWrap/>
            <w:vAlign w:val="bottom"/>
          </w:tcPr>
          <w:p w14:paraId="1755CE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bottom w:val="single" w:sz="4" w:space="0" w:color="auto"/>
              <w:right w:val="nil"/>
            </w:tcBorders>
            <w:noWrap/>
            <w:vAlign w:val="bottom"/>
          </w:tcPr>
          <w:p w14:paraId="51E5CA7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2 185,75</w:t>
            </w:r>
          </w:p>
        </w:tc>
        <w:tc>
          <w:tcPr>
            <w:tcW w:w="1333" w:type="dxa"/>
            <w:tcBorders>
              <w:left w:val="single" w:sz="4" w:space="0" w:color="auto"/>
              <w:bottom w:val="single" w:sz="4" w:space="0" w:color="auto"/>
              <w:right w:val="single" w:sz="4" w:space="0" w:color="auto"/>
            </w:tcBorders>
            <w:shd w:val="clear" w:color="auto" w:fill="auto"/>
            <w:noWrap/>
            <w:vAlign w:val="bottom"/>
          </w:tcPr>
          <w:p w14:paraId="7794087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left w:val="nil"/>
              <w:bottom w:val="single" w:sz="4" w:space="0" w:color="auto"/>
              <w:right w:val="single" w:sz="4" w:space="0" w:color="auto"/>
            </w:tcBorders>
            <w:shd w:val="clear" w:color="auto" w:fill="auto"/>
            <w:noWrap/>
            <w:vAlign w:val="bottom"/>
          </w:tcPr>
          <w:p w14:paraId="0516D9D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2 185,75</w:t>
            </w:r>
          </w:p>
        </w:tc>
      </w:tr>
      <w:tr w:rsidR="00862C6F" w:rsidRPr="00236418" w14:paraId="7832D8C3"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0DAF44DC"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Qatar</w:t>
            </w:r>
          </w:p>
        </w:tc>
        <w:tc>
          <w:tcPr>
            <w:tcW w:w="1296" w:type="dxa"/>
            <w:tcBorders>
              <w:top w:val="nil"/>
              <w:left w:val="single" w:sz="4" w:space="0" w:color="auto"/>
              <w:bottom w:val="nil"/>
              <w:right w:val="single" w:sz="4" w:space="0" w:color="auto"/>
            </w:tcBorders>
            <w:shd w:val="clear" w:color="auto" w:fill="auto"/>
            <w:noWrap/>
            <w:vAlign w:val="bottom"/>
          </w:tcPr>
          <w:p w14:paraId="17F152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1FF174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0D04C8F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0B9F455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35DABE9B"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51B2B4B6" w14:textId="77777777" w:rsidR="00862C6F" w:rsidRPr="00596807" w:rsidRDefault="00862C6F" w:rsidP="00862C6F">
            <w:pPr>
              <w:tabs>
                <w:tab w:val="clear" w:pos="567"/>
                <w:tab w:val="clear" w:pos="1134"/>
                <w:tab w:val="clear" w:pos="1701"/>
                <w:tab w:val="clear" w:pos="2268"/>
                <w:tab w:val="clear" w:pos="2835"/>
                <w:tab w:val="left" w:pos="263"/>
              </w:tabs>
              <w:spacing w:beforeLines="20" w:before="48" w:afterLines="20" w:after="48"/>
              <w:ind w:left="263" w:hanging="263"/>
              <w:rPr>
                <w:bCs/>
                <w:sz w:val="22"/>
                <w:szCs w:val="22"/>
                <w:lang w:val="en-US"/>
              </w:rPr>
            </w:pPr>
            <w:r w:rsidRPr="00596807">
              <w:rPr>
                <w:bCs/>
                <w:sz w:val="22"/>
                <w:szCs w:val="22"/>
                <w:lang w:val="en-US"/>
              </w:rPr>
              <w:t>–</w:t>
            </w:r>
            <w:r w:rsidRPr="00596807">
              <w:rPr>
                <w:bCs/>
                <w:sz w:val="22"/>
                <w:szCs w:val="22"/>
                <w:lang w:val="en-US"/>
              </w:rPr>
              <w:tab/>
              <w:t>Qatar National Broadband Network, Doha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FCB9E5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2017</w:t>
            </w:r>
          </w:p>
        </w:tc>
        <w:tc>
          <w:tcPr>
            <w:tcW w:w="1611" w:type="dxa"/>
            <w:tcBorders>
              <w:top w:val="nil"/>
              <w:left w:val="nil"/>
              <w:bottom w:val="single" w:sz="4" w:space="0" w:color="auto"/>
              <w:right w:val="nil"/>
            </w:tcBorders>
            <w:shd w:val="clear" w:color="auto" w:fill="auto"/>
            <w:noWrap/>
            <w:vAlign w:val="bottom"/>
          </w:tcPr>
          <w:p w14:paraId="5185F22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37 070,35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AA7A2C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C1B7EC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37 070,35</w:t>
            </w:r>
          </w:p>
        </w:tc>
      </w:tr>
      <w:tr w:rsidR="00862C6F" w:rsidRPr="00236418" w14:paraId="28705B7D"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23CF09E4"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République du Rwanda</w:t>
            </w:r>
          </w:p>
        </w:tc>
        <w:tc>
          <w:tcPr>
            <w:tcW w:w="1296" w:type="dxa"/>
            <w:tcBorders>
              <w:top w:val="nil"/>
              <w:left w:val="single" w:sz="4" w:space="0" w:color="auto"/>
              <w:right w:val="single" w:sz="4" w:space="0" w:color="auto"/>
            </w:tcBorders>
            <w:shd w:val="clear" w:color="auto" w:fill="auto"/>
            <w:noWrap/>
            <w:vAlign w:val="bottom"/>
          </w:tcPr>
          <w:p w14:paraId="58BB318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611" w:type="dxa"/>
            <w:tcBorders>
              <w:top w:val="nil"/>
              <w:left w:val="nil"/>
              <w:right w:val="nil"/>
            </w:tcBorders>
            <w:shd w:val="clear" w:color="auto" w:fill="auto"/>
            <w:noWrap/>
            <w:vAlign w:val="bottom"/>
          </w:tcPr>
          <w:p w14:paraId="2068607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333" w:type="dxa"/>
            <w:tcBorders>
              <w:top w:val="nil"/>
              <w:left w:val="single" w:sz="4" w:space="0" w:color="auto"/>
              <w:right w:val="single" w:sz="4" w:space="0" w:color="auto"/>
            </w:tcBorders>
            <w:shd w:val="clear" w:color="auto" w:fill="auto"/>
            <w:noWrap/>
            <w:vAlign w:val="bottom"/>
          </w:tcPr>
          <w:p w14:paraId="5F48725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611" w:type="dxa"/>
            <w:tcBorders>
              <w:top w:val="nil"/>
              <w:left w:val="nil"/>
              <w:right w:val="single" w:sz="4" w:space="0" w:color="auto"/>
            </w:tcBorders>
            <w:shd w:val="clear" w:color="auto" w:fill="auto"/>
            <w:noWrap/>
            <w:vAlign w:val="bottom"/>
          </w:tcPr>
          <w:p w14:paraId="795762A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r>
      <w:tr w:rsidR="00862C6F" w:rsidRPr="00236418" w14:paraId="7CBA21F9"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79729483" w14:textId="77777777" w:rsidR="00862C6F" w:rsidRPr="00596807" w:rsidRDefault="00862C6F" w:rsidP="00862C6F">
            <w:pPr>
              <w:tabs>
                <w:tab w:val="clear" w:pos="567"/>
                <w:tab w:val="clear" w:pos="1134"/>
                <w:tab w:val="clear" w:pos="1701"/>
                <w:tab w:val="clear" w:pos="2268"/>
                <w:tab w:val="clear" w:pos="2835"/>
              </w:tabs>
              <w:spacing w:beforeLines="20" w:before="48" w:afterLines="20" w:after="48"/>
              <w:ind w:left="313" w:hanging="313"/>
              <w:rPr>
                <w:bCs/>
                <w:sz w:val="22"/>
                <w:szCs w:val="22"/>
                <w:lang w:val="en-US"/>
              </w:rPr>
            </w:pPr>
            <w:r w:rsidRPr="00596807">
              <w:rPr>
                <w:bCs/>
                <w:sz w:val="22"/>
                <w:szCs w:val="22"/>
                <w:lang w:val="en-US"/>
              </w:rPr>
              <w:t>–</w:t>
            </w:r>
            <w:r w:rsidRPr="00596807">
              <w:rPr>
                <w:bCs/>
                <w:sz w:val="22"/>
                <w:szCs w:val="22"/>
                <w:lang w:val="en-US"/>
              </w:rPr>
              <w:tab/>
              <w:t>Univ. of Rwanda, College and Tech., Kigali</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BB8581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w:t>
            </w:r>
          </w:p>
        </w:tc>
        <w:tc>
          <w:tcPr>
            <w:tcW w:w="1611" w:type="dxa"/>
            <w:tcBorders>
              <w:top w:val="nil"/>
              <w:left w:val="nil"/>
              <w:bottom w:val="single" w:sz="4" w:space="0" w:color="auto"/>
              <w:right w:val="nil"/>
            </w:tcBorders>
            <w:shd w:val="clear" w:color="auto" w:fill="auto"/>
            <w:noWrap/>
            <w:vAlign w:val="bottom"/>
          </w:tcPr>
          <w:p w14:paraId="2A17E61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2 046,60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71E2A64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F117B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2 046,60</w:t>
            </w:r>
          </w:p>
        </w:tc>
      </w:tr>
      <w:tr w:rsidR="00862C6F" w:rsidRPr="00236418" w14:paraId="435C8FC8"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BB651EF" w14:textId="77777777" w:rsidR="00862C6F" w:rsidRPr="00236418" w:rsidRDefault="00862C6F" w:rsidP="00862C6F">
            <w:pPr>
              <w:keepNext/>
              <w:keepLines/>
              <w:tabs>
                <w:tab w:val="clear" w:pos="567"/>
                <w:tab w:val="clear" w:pos="1134"/>
                <w:tab w:val="clear" w:pos="1701"/>
                <w:tab w:val="clear" w:pos="2268"/>
                <w:tab w:val="clear" w:pos="2835"/>
                <w:tab w:val="left" w:pos="267"/>
              </w:tabs>
              <w:spacing w:beforeLines="20" w:before="48" w:afterLines="20" w:after="48"/>
              <w:ind w:left="267" w:hanging="267"/>
              <w:rPr>
                <w:rFonts w:asciiTheme="minorHAnsi" w:hAnsiTheme="minorHAnsi"/>
                <w:b/>
                <w:sz w:val="22"/>
                <w:szCs w:val="22"/>
              </w:rPr>
            </w:pPr>
            <w:r w:rsidRPr="00236418">
              <w:rPr>
                <w:rFonts w:asciiTheme="minorHAnsi" w:hAnsiTheme="minorHAnsi"/>
                <w:b/>
                <w:sz w:val="22"/>
                <w:szCs w:val="22"/>
              </w:rPr>
              <w:lastRenderedPageBreak/>
              <w:t>B</w:t>
            </w:r>
            <w:r w:rsidRPr="00236418">
              <w:rPr>
                <w:rFonts w:asciiTheme="minorHAnsi" w:hAnsiTheme="minorHAnsi"/>
                <w:b/>
                <w:sz w:val="22"/>
                <w:szCs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6C71F6B1" w14:textId="77777777" w:rsidR="00862C6F" w:rsidRPr="00236418"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B11DF55" w14:textId="77777777" w:rsidR="00862C6F" w:rsidRPr="00236418"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27B1A39C" w14:textId="77777777" w:rsidR="00862C6F" w:rsidRPr="00236418"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4DE6885" w14:textId="77777777" w:rsidR="00862C6F" w:rsidRPr="00236418"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eastAsia="zh-CN"/>
              </w:rPr>
            </w:pPr>
            <w:r w:rsidRPr="00236418">
              <w:rPr>
                <w:rFonts w:asciiTheme="minorHAnsi" w:hAnsiTheme="minorHAnsi"/>
                <w:b/>
                <w:sz w:val="22"/>
                <w:szCs w:val="22"/>
                <w:lang w:eastAsia="zh-CN"/>
              </w:rPr>
              <w:t>Total</w:t>
            </w:r>
          </w:p>
        </w:tc>
      </w:tr>
      <w:tr w:rsidR="00862C6F" w:rsidRPr="00236418" w14:paraId="525DDB61"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5104C0D9"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Roumanie</w:t>
            </w:r>
          </w:p>
        </w:tc>
        <w:tc>
          <w:tcPr>
            <w:tcW w:w="1296" w:type="dxa"/>
            <w:tcBorders>
              <w:top w:val="single" w:sz="4" w:space="0" w:color="auto"/>
              <w:left w:val="single" w:sz="4" w:space="0" w:color="auto"/>
              <w:right w:val="single" w:sz="4" w:space="0" w:color="auto"/>
            </w:tcBorders>
            <w:shd w:val="clear" w:color="auto" w:fill="auto"/>
            <w:noWrap/>
            <w:vAlign w:val="bottom"/>
          </w:tcPr>
          <w:p w14:paraId="3E6732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11" w:type="dxa"/>
            <w:tcBorders>
              <w:top w:val="single" w:sz="4" w:space="0" w:color="auto"/>
              <w:left w:val="nil"/>
              <w:right w:val="nil"/>
            </w:tcBorders>
            <w:shd w:val="clear" w:color="auto" w:fill="auto"/>
            <w:noWrap/>
            <w:vAlign w:val="bottom"/>
          </w:tcPr>
          <w:p w14:paraId="1815BB5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333" w:type="dxa"/>
            <w:tcBorders>
              <w:top w:val="single" w:sz="4" w:space="0" w:color="auto"/>
              <w:left w:val="single" w:sz="4" w:space="0" w:color="auto"/>
              <w:right w:val="single" w:sz="4" w:space="0" w:color="auto"/>
            </w:tcBorders>
            <w:shd w:val="clear" w:color="auto" w:fill="auto"/>
            <w:noWrap/>
            <w:vAlign w:val="bottom"/>
          </w:tcPr>
          <w:p w14:paraId="14C1E28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611" w:type="dxa"/>
            <w:tcBorders>
              <w:top w:val="single" w:sz="4" w:space="0" w:color="auto"/>
              <w:left w:val="nil"/>
              <w:right w:val="single" w:sz="4" w:space="0" w:color="auto"/>
            </w:tcBorders>
            <w:shd w:val="clear" w:color="auto" w:fill="auto"/>
            <w:noWrap/>
            <w:vAlign w:val="bottom"/>
          </w:tcPr>
          <w:p w14:paraId="6D1B7B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r>
      <w:tr w:rsidR="00862C6F" w:rsidRPr="00236418" w14:paraId="38B94A71"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75B5F812" w14:textId="77777777" w:rsidR="00862C6F" w:rsidRPr="00236418" w:rsidRDefault="00862C6F" w:rsidP="00862C6F">
            <w:pPr>
              <w:keepNext/>
              <w:keepLines/>
              <w:tabs>
                <w:tab w:val="clear" w:pos="567"/>
                <w:tab w:val="clear" w:pos="1134"/>
                <w:tab w:val="clear" w:pos="1701"/>
                <w:tab w:val="clear" w:pos="2268"/>
                <w:tab w:val="clear" w:pos="2835"/>
                <w:tab w:val="left" w:pos="313"/>
              </w:tabs>
              <w:spacing w:beforeLines="20" w:before="48" w:afterLines="20" w:after="48"/>
              <w:ind w:left="313" w:hanging="313"/>
              <w:rPr>
                <w:b/>
                <w:sz w:val="22"/>
                <w:szCs w:val="22"/>
              </w:rPr>
            </w:pPr>
            <w:r w:rsidRPr="00236418">
              <w:rPr>
                <w:rFonts w:asciiTheme="minorHAnsi" w:hAnsiTheme="minorHAnsi"/>
                <w:sz w:val="22"/>
                <w:szCs w:val="22"/>
              </w:rPr>
              <w:t>–</w:t>
            </w:r>
            <w:r w:rsidRPr="00236418">
              <w:rPr>
                <w:rFonts w:asciiTheme="minorHAnsi" w:hAnsiTheme="minorHAnsi"/>
                <w:sz w:val="22"/>
                <w:szCs w:val="22"/>
              </w:rPr>
              <w:tab/>
            </w:r>
            <w:proofErr w:type="spellStart"/>
            <w:r w:rsidRPr="00236418">
              <w:rPr>
                <w:rFonts w:asciiTheme="minorHAnsi" w:hAnsiTheme="minorHAnsi"/>
                <w:sz w:val="22"/>
                <w:szCs w:val="22"/>
              </w:rPr>
              <w:t>Polytechnic</w:t>
            </w:r>
            <w:proofErr w:type="spellEnd"/>
            <w:r w:rsidRPr="00236418">
              <w:rPr>
                <w:rFonts w:asciiTheme="minorHAnsi" w:hAnsiTheme="minorHAnsi"/>
                <w:sz w:val="22"/>
                <w:szCs w:val="22"/>
              </w:rPr>
              <w:t xml:space="preserve"> </w:t>
            </w:r>
            <w:proofErr w:type="spellStart"/>
            <w:r w:rsidRPr="00236418">
              <w:rPr>
                <w:rFonts w:asciiTheme="minorHAnsi" w:hAnsiTheme="minorHAnsi"/>
                <w:sz w:val="22"/>
                <w:szCs w:val="22"/>
              </w:rPr>
              <w:t>School</w:t>
            </w:r>
            <w:proofErr w:type="spellEnd"/>
            <w:r w:rsidRPr="00236418">
              <w:rPr>
                <w:rFonts w:asciiTheme="minorHAnsi" w:hAnsiTheme="minorHAnsi"/>
                <w:sz w:val="22"/>
                <w:szCs w:val="22"/>
              </w:rPr>
              <w:t xml:space="preserve"> </w:t>
            </w:r>
            <w:proofErr w:type="spellStart"/>
            <w:r w:rsidRPr="00236418">
              <w:rPr>
                <w:rFonts w:asciiTheme="minorHAnsi" w:hAnsiTheme="minorHAnsi"/>
                <w:sz w:val="22"/>
                <w:szCs w:val="22"/>
              </w:rPr>
              <w:t>Bucharest</w:t>
            </w:r>
            <w:proofErr w:type="spellEnd"/>
            <w:r w:rsidRPr="00236418">
              <w:rPr>
                <w:rFonts w:asciiTheme="minorHAnsi" w:hAnsiTheme="minorHAnsi"/>
                <w:sz w:val="22"/>
                <w:szCs w:val="22"/>
              </w:rPr>
              <w:t>, Bucarest</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0FAB09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2009-2010</w:t>
            </w:r>
          </w:p>
        </w:tc>
        <w:tc>
          <w:tcPr>
            <w:tcW w:w="1611" w:type="dxa"/>
            <w:tcBorders>
              <w:top w:val="nil"/>
              <w:left w:val="nil"/>
              <w:bottom w:val="single" w:sz="4" w:space="0" w:color="auto"/>
              <w:right w:val="nil"/>
            </w:tcBorders>
            <w:shd w:val="clear" w:color="auto" w:fill="auto"/>
            <w:noWrap/>
            <w:vAlign w:val="bottom"/>
          </w:tcPr>
          <w:p w14:paraId="0C5579F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7 060,85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63565F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09951E5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7 060,85</w:t>
            </w:r>
          </w:p>
        </w:tc>
      </w:tr>
      <w:tr w:rsidR="00862C6F" w:rsidRPr="00236418" w14:paraId="29C0787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769A74B"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Fédération de Russie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6B43C4B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hideMark/>
          </w:tcPr>
          <w:p w14:paraId="21DE332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645CA86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51B50C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181AD8E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7DA414D" w14:textId="77777777" w:rsidR="00862C6F" w:rsidRPr="00236418" w:rsidRDefault="00862C6F" w:rsidP="00862C6F">
            <w:pPr>
              <w:keepNext/>
              <w:keepLines/>
              <w:tabs>
                <w:tab w:val="clear" w:pos="567"/>
                <w:tab w:val="left" w:pos="318"/>
              </w:tabs>
              <w:rPr>
                <w:sz w:val="22"/>
                <w:szCs w:val="22"/>
              </w:rPr>
            </w:pPr>
            <w:r w:rsidRPr="00236418">
              <w:rPr>
                <w:sz w:val="22"/>
                <w:szCs w:val="22"/>
              </w:rPr>
              <w:t>–</w:t>
            </w:r>
            <w:r w:rsidRPr="00236418">
              <w:rPr>
                <w:sz w:val="22"/>
                <w:szCs w:val="22"/>
              </w:rPr>
              <w:tab/>
              <w:t>IRPO ACISO, Moscou</w:t>
            </w:r>
          </w:p>
        </w:tc>
        <w:tc>
          <w:tcPr>
            <w:tcW w:w="1296" w:type="dxa"/>
            <w:tcBorders>
              <w:top w:val="nil"/>
              <w:left w:val="single" w:sz="4" w:space="0" w:color="auto"/>
              <w:bottom w:val="nil"/>
              <w:right w:val="single" w:sz="4" w:space="0" w:color="auto"/>
            </w:tcBorders>
            <w:shd w:val="clear" w:color="auto" w:fill="auto"/>
            <w:noWrap/>
            <w:vAlign w:val="bottom"/>
          </w:tcPr>
          <w:p w14:paraId="6B07F92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2013-2014</w:t>
            </w:r>
          </w:p>
        </w:tc>
        <w:tc>
          <w:tcPr>
            <w:tcW w:w="1611" w:type="dxa"/>
            <w:noWrap/>
            <w:vAlign w:val="bottom"/>
          </w:tcPr>
          <w:p w14:paraId="2BEECA6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5 236,35</w:t>
            </w:r>
          </w:p>
        </w:tc>
        <w:tc>
          <w:tcPr>
            <w:tcW w:w="1333" w:type="dxa"/>
            <w:tcBorders>
              <w:top w:val="nil"/>
              <w:left w:val="single" w:sz="4" w:space="0" w:color="auto"/>
              <w:bottom w:val="nil"/>
              <w:right w:val="single" w:sz="4" w:space="0" w:color="auto"/>
            </w:tcBorders>
            <w:shd w:val="clear" w:color="auto" w:fill="auto"/>
            <w:noWrap/>
            <w:vAlign w:val="bottom"/>
          </w:tcPr>
          <w:p w14:paraId="02D88F5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48FFCA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5 236,35</w:t>
            </w:r>
          </w:p>
        </w:tc>
      </w:tr>
      <w:tr w:rsidR="00862C6F" w:rsidRPr="00236418" w14:paraId="3B5DD5CD"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8FEE41D" w14:textId="77777777" w:rsidR="00862C6F" w:rsidRPr="00236418" w:rsidRDefault="00862C6F" w:rsidP="00862C6F">
            <w:pPr>
              <w:keepNext/>
              <w:keepLines/>
              <w:tabs>
                <w:tab w:val="clear" w:pos="567"/>
                <w:tab w:val="left" w:pos="318"/>
              </w:tabs>
              <w:rPr>
                <w:sz w:val="22"/>
                <w:szCs w:val="22"/>
              </w:rPr>
            </w:pPr>
            <w:r w:rsidRPr="00236418">
              <w:rPr>
                <w:sz w:val="22"/>
                <w:szCs w:val="22"/>
              </w:rPr>
              <w:t>–</w:t>
            </w:r>
            <w:r w:rsidRPr="00236418">
              <w:rPr>
                <w:sz w:val="22"/>
                <w:szCs w:val="22"/>
              </w:rPr>
              <w:tab/>
            </w:r>
            <w:proofErr w:type="spellStart"/>
            <w:r w:rsidRPr="00236418">
              <w:rPr>
                <w:sz w:val="22"/>
                <w:szCs w:val="22"/>
              </w:rPr>
              <w:t>Mobix</w:t>
            </w:r>
            <w:proofErr w:type="spellEnd"/>
            <w:r w:rsidRPr="00236418">
              <w:rPr>
                <w:sz w:val="22"/>
                <w:szCs w:val="22"/>
              </w:rPr>
              <w:t xml:space="preserve"> Chip LLC, Moscou</w:t>
            </w:r>
          </w:p>
        </w:tc>
        <w:tc>
          <w:tcPr>
            <w:tcW w:w="1296" w:type="dxa"/>
            <w:tcBorders>
              <w:top w:val="nil"/>
              <w:left w:val="single" w:sz="4" w:space="0" w:color="auto"/>
              <w:bottom w:val="nil"/>
              <w:right w:val="single" w:sz="4" w:space="0" w:color="auto"/>
            </w:tcBorders>
            <w:shd w:val="clear" w:color="auto" w:fill="auto"/>
            <w:noWrap/>
            <w:vAlign w:val="bottom"/>
          </w:tcPr>
          <w:p w14:paraId="458205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2013-2014</w:t>
            </w:r>
          </w:p>
        </w:tc>
        <w:tc>
          <w:tcPr>
            <w:tcW w:w="1611" w:type="dxa"/>
            <w:noWrap/>
            <w:vAlign w:val="bottom"/>
          </w:tcPr>
          <w:p w14:paraId="280A84B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14 781,65</w:t>
            </w:r>
          </w:p>
        </w:tc>
        <w:tc>
          <w:tcPr>
            <w:tcW w:w="1333" w:type="dxa"/>
            <w:tcBorders>
              <w:top w:val="nil"/>
              <w:left w:val="single" w:sz="4" w:space="0" w:color="auto"/>
              <w:bottom w:val="nil"/>
              <w:right w:val="single" w:sz="4" w:space="0" w:color="auto"/>
            </w:tcBorders>
            <w:shd w:val="clear" w:color="auto" w:fill="auto"/>
            <w:noWrap/>
            <w:vAlign w:val="bottom"/>
          </w:tcPr>
          <w:p w14:paraId="3693661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4FC1080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14 781,65</w:t>
            </w:r>
          </w:p>
        </w:tc>
      </w:tr>
      <w:tr w:rsidR="00862C6F" w:rsidRPr="00236418" w14:paraId="199C1F1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9DFEA79" w14:textId="77777777" w:rsidR="00862C6F" w:rsidRPr="00236418" w:rsidRDefault="00862C6F" w:rsidP="00862C6F">
            <w:pPr>
              <w:keepNext/>
              <w:keepLines/>
              <w:tabs>
                <w:tab w:val="clear" w:pos="567"/>
                <w:tab w:val="left" w:pos="318"/>
              </w:tabs>
              <w:ind w:left="318" w:hanging="318"/>
              <w:rPr>
                <w:sz w:val="22"/>
                <w:szCs w:val="22"/>
              </w:rPr>
            </w:pPr>
            <w:r w:rsidRPr="00236418">
              <w:rPr>
                <w:sz w:val="22"/>
                <w:szCs w:val="22"/>
              </w:rPr>
              <w:t>–</w:t>
            </w:r>
            <w:r w:rsidRPr="00236418">
              <w:rPr>
                <w:sz w:val="22"/>
                <w:szCs w:val="22"/>
              </w:rPr>
              <w:tab/>
              <w:t xml:space="preserve">National </w:t>
            </w:r>
            <w:proofErr w:type="spellStart"/>
            <w:r w:rsidRPr="00236418">
              <w:rPr>
                <w:sz w:val="22"/>
                <w:szCs w:val="22"/>
              </w:rPr>
              <w:t>Telemedicine</w:t>
            </w:r>
            <w:proofErr w:type="spellEnd"/>
            <w:r w:rsidRPr="00236418">
              <w:rPr>
                <w:sz w:val="22"/>
                <w:szCs w:val="22"/>
              </w:rPr>
              <w:t xml:space="preserve"> Agency, Moscou</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E32E4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w:t>
            </w:r>
          </w:p>
        </w:tc>
        <w:tc>
          <w:tcPr>
            <w:tcW w:w="1611" w:type="dxa"/>
            <w:tcBorders>
              <w:top w:val="nil"/>
              <w:left w:val="nil"/>
              <w:bottom w:val="single" w:sz="4" w:space="0" w:color="auto"/>
              <w:right w:val="nil"/>
            </w:tcBorders>
            <w:noWrap/>
            <w:vAlign w:val="bottom"/>
          </w:tcPr>
          <w:p w14:paraId="4187D79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4 650,80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366843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5EEBDD7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4 650,80</w:t>
            </w:r>
          </w:p>
        </w:tc>
      </w:tr>
      <w:tr w:rsidR="00862C6F" w:rsidRPr="00236418" w14:paraId="0A785C5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156238D6"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Arabie saoudite</w:t>
            </w:r>
          </w:p>
        </w:tc>
        <w:tc>
          <w:tcPr>
            <w:tcW w:w="1296" w:type="dxa"/>
            <w:tcBorders>
              <w:top w:val="nil"/>
              <w:left w:val="single" w:sz="4" w:space="0" w:color="auto"/>
              <w:bottom w:val="nil"/>
              <w:right w:val="single" w:sz="4" w:space="0" w:color="auto"/>
            </w:tcBorders>
            <w:shd w:val="clear" w:color="auto" w:fill="auto"/>
            <w:noWrap/>
            <w:vAlign w:val="bottom"/>
            <w:hideMark/>
          </w:tcPr>
          <w:p w14:paraId="742B1E0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352C5D9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20F62B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234ADF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A8263F2"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67C6906"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Electronia</w:t>
            </w:r>
            <w:proofErr w:type="spellEnd"/>
            <w:r w:rsidRPr="00236418">
              <w:rPr>
                <w:rFonts w:asciiTheme="minorHAnsi" w:eastAsia="Batang" w:hAnsiTheme="minorHAnsi"/>
                <w:sz w:val="22"/>
                <w:szCs w:val="22"/>
              </w:rPr>
              <w:t xml:space="preserve"> Ltd., </w:t>
            </w:r>
            <w:proofErr w:type="spellStart"/>
            <w:r w:rsidRPr="00236418">
              <w:rPr>
                <w:rFonts w:asciiTheme="minorHAnsi" w:eastAsia="Batang" w:hAnsiTheme="minorHAnsi"/>
                <w:sz w:val="22"/>
                <w:szCs w:val="22"/>
              </w:rPr>
              <w:t>Khobar</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2DD5F41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2008-2010</w:t>
            </w:r>
          </w:p>
        </w:tc>
        <w:tc>
          <w:tcPr>
            <w:tcW w:w="1611" w:type="dxa"/>
            <w:noWrap/>
            <w:vAlign w:val="bottom"/>
            <w:hideMark/>
          </w:tcPr>
          <w:p w14:paraId="0401887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6 988,25</w:t>
            </w:r>
          </w:p>
        </w:tc>
        <w:tc>
          <w:tcPr>
            <w:tcW w:w="1333" w:type="dxa"/>
            <w:tcBorders>
              <w:top w:val="nil"/>
              <w:left w:val="single" w:sz="4" w:space="0" w:color="auto"/>
              <w:bottom w:val="nil"/>
              <w:right w:val="single" w:sz="4" w:space="0" w:color="auto"/>
            </w:tcBorders>
            <w:shd w:val="clear" w:color="auto" w:fill="auto"/>
            <w:noWrap/>
            <w:vAlign w:val="bottom"/>
            <w:hideMark/>
          </w:tcPr>
          <w:p w14:paraId="49DE32D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6C5095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6 988,25</w:t>
            </w:r>
          </w:p>
        </w:tc>
      </w:tr>
      <w:tr w:rsidR="00862C6F" w:rsidRPr="00236418" w14:paraId="070ADB2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7412ED4"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Saudi</w:t>
            </w:r>
            <w:proofErr w:type="spellEnd"/>
            <w:r w:rsidRPr="00236418">
              <w:rPr>
                <w:rFonts w:asciiTheme="minorHAnsi" w:eastAsia="Batang" w:hAnsiTheme="minorHAnsi"/>
                <w:sz w:val="22"/>
                <w:szCs w:val="22"/>
              </w:rPr>
              <w:t xml:space="preserve"> Telecom, Riyad</w:t>
            </w:r>
          </w:p>
        </w:tc>
        <w:tc>
          <w:tcPr>
            <w:tcW w:w="1296" w:type="dxa"/>
            <w:tcBorders>
              <w:top w:val="nil"/>
              <w:left w:val="single" w:sz="4" w:space="0" w:color="auto"/>
              <w:bottom w:val="nil"/>
              <w:right w:val="single" w:sz="4" w:space="0" w:color="auto"/>
            </w:tcBorders>
            <w:shd w:val="clear" w:color="auto" w:fill="auto"/>
            <w:noWrap/>
            <w:vAlign w:val="bottom"/>
            <w:hideMark/>
          </w:tcPr>
          <w:p w14:paraId="0AAE54C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2012-2017</w:t>
            </w:r>
          </w:p>
        </w:tc>
        <w:tc>
          <w:tcPr>
            <w:tcW w:w="1611" w:type="dxa"/>
            <w:noWrap/>
            <w:vAlign w:val="bottom"/>
            <w:hideMark/>
          </w:tcPr>
          <w:p w14:paraId="5CF7475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10 640,20</w:t>
            </w:r>
          </w:p>
        </w:tc>
        <w:tc>
          <w:tcPr>
            <w:tcW w:w="1333" w:type="dxa"/>
            <w:tcBorders>
              <w:top w:val="nil"/>
              <w:left w:val="single" w:sz="4" w:space="0" w:color="auto"/>
              <w:bottom w:val="nil"/>
              <w:right w:val="single" w:sz="4" w:space="0" w:color="auto"/>
            </w:tcBorders>
            <w:shd w:val="clear" w:color="auto" w:fill="auto"/>
            <w:noWrap/>
            <w:vAlign w:val="bottom"/>
            <w:hideMark/>
          </w:tcPr>
          <w:p w14:paraId="157971E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6F14ABA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10 640,20</w:t>
            </w:r>
          </w:p>
        </w:tc>
      </w:tr>
      <w:tr w:rsidR="00862C6F" w:rsidRPr="00236418" w14:paraId="7F97905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68514FE"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Tuwaiq</w:t>
            </w:r>
            <w:proofErr w:type="spellEnd"/>
            <w:r w:rsidRPr="00236418">
              <w:rPr>
                <w:rFonts w:asciiTheme="minorHAnsi" w:eastAsia="Batang" w:hAnsiTheme="minorHAnsi"/>
                <w:sz w:val="22"/>
                <w:szCs w:val="22"/>
              </w:rPr>
              <w:t xml:space="preserve"> Communications </w:t>
            </w:r>
            <w:proofErr w:type="spellStart"/>
            <w:r w:rsidRPr="00236418">
              <w:rPr>
                <w:rFonts w:asciiTheme="minorHAnsi" w:eastAsia="Batang" w:hAnsiTheme="minorHAnsi"/>
                <w:sz w:val="22"/>
                <w:szCs w:val="22"/>
              </w:rPr>
              <w:t>Company</w:t>
            </w:r>
            <w:proofErr w:type="spellEnd"/>
            <w:r w:rsidRPr="00236418">
              <w:rPr>
                <w:rFonts w:asciiTheme="minorHAnsi" w:eastAsia="Batang" w:hAnsiTheme="minorHAnsi"/>
                <w:sz w:val="22"/>
                <w:szCs w:val="22"/>
              </w:rPr>
              <w:t>, Riyad</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A83413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2008-2009</w:t>
            </w:r>
          </w:p>
        </w:tc>
        <w:tc>
          <w:tcPr>
            <w:tcW w:w="1611" w:type="dxa"/>
            <w:tcBorders>
              <w:top w:val="nil"/>
              <w:left w:val="nil"/>
              <w:bottom w:val="single" w:sz="4" w:space="0" w:color="auto"/>
              <w:right w:val="nil"/>
            </w:tcBorders>
            <w:noWrap/>
            <w:vAlign w:val="bottom"/>
            <w:hideMark/>
          </w:tcPr>
          <w:p w14:paraId="1869DF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78 849,25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30A5A4D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5DB18DB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78 849,25</w:t>
            </w:r>
          </w:p>
        </w:tc>
      </w:tr>
      <w:tr w:rsidR="00862C6F" w:rsidRPr="00236418" w14:paraId="727F4908"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489E732"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Somalie</w:t>
            </w:r>
          </w:p>
        </w:tc>
        <w:tc>
          <w:tcPr>
            <w:tcW w:w="1296" w:type="dxa"/>
            <w:tcBorders>
              <w:top w:val="nil"/>
              <w:left w:val="single" w:sz="4" w:space="0" w:color="auto"/>
              <w:bottom w:val="nil"/>
              <w:right w:val="single" w:sz="4" w:space="0" w:color="auto"/>
            </w:tcBorders>
            <w:shd w:val="clear" w:color="auto" w:fill="auto"/>
            <w:noWrap/>
            <w:vAlign w:val="bottom"/>
            <w:hideMark/>
          </w:tcPr>
          <w:p w14:paraId="697757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22772A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50B596E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616B75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5D65B6CF"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821BE1B"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Telcom</w:t>
            </w:r>
            <w:proofErr w:type="spellEnd"/>
            <w:r w:rsidRPr="00236418">
              <w:rPr>
                <w:rFonts w:asciiTheme="minorHAnsi" w:eastAsia="Batang" w:hAnsiTheme="minorHAnsi"/>
                <w:sz w:val="22"/>
                <w:szCs w:val="22"/>
              </w:rPr>
              <w:t xml:space="preserve"> </w:t>
            </w:r>
            <w:proofErr w:type="spellStart"/>
            <w:r w:rsidRPr="00236418">
              <w:rPr>
                <w:rFonts w:asciiTheme="minorHAnsi" w:eastAsia="Batang" w:hAnsiTheme="minorHAnsi"/>
                <w:sz w:val="22"/>
                <w:szCs w:val="22"/>
              </w:rPr>
              <w:t>Somalia</w:t>
            </w:r>
            <w:proofErr w:type="spellEnd"/>
            <w:r w:rsidRPr="00236418">
              <w:rPr>
                <w:rFonts w:asciiTheme="minorHAnsi" w:eastAsia="Batang" w:hAnsiTheme="minorHAnsi"/>
                <w:sz w:val="22"/>
                <w:szCs w:val="22"/>
              </w:rPr>
              <w:t>, Mogadiscio</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186D19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2005-2007</w:t>
            </w:r>
          </w:p>
        </w:tc>
        <w:tc>
          <w:tcPr>
            <w:tcW w:w="1611" w:type="dxa"/>
            <w:tcBorders>
              <w:top w:val="nil"/>
              <w:left w:val="nil"/>
              <w:bottom w:val="single" w:sz="4" w:space="0" w:color="auto"/>
              <w:right w:val="nil"/>
            </w:tcBorders>
            <w:shd w:val="clear" w:color="auto" w:fill="auto"/>
            <w:noWrap/>
            <w:vAlign w:val="bottom"/>
            <w:hideMark/>
          </w:tcPr>
          <w:p w14:paraId="0C22BDF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17 794,60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BDF2E4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2BFE7F4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17 794,60</w:t>
            </w:r>
          </w:p>
        </w:tc>
      </w:tr>
      <w:tr w:rsidR="00862C6F" w:rsidRPr="00236418" w14:paraId="396B85CA"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223123F"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République sudafricaine</w:t>
            </w:r>
          </w:p>
        </w:tc>
        <w:tc>
          <w:tcPr>
            <w:tcW w:w="1296" w:type="dxa"/>
            <w:tcBorders>
              <w:top w:val="nil"/>
              <w:left w:val="single" w:sz="4" w:space="0" w:color="auto"/>
              <w:bottom w:val="nil"/>
              <w:right w:val="single" w:sz="4" w:space="0" w:color="auto"/>
            </w:tcBorders>
            <w:shd w:val="clear" w:color="auto" w:fill="auto"/>
            <w:noWrap/>
            <w:vAlign w:val="bottom"/>
            <w:hideMark/>
          </w:tcPr>
          <w:p w14:paraId="367FB5B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5C6AAA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326A62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7CC1FF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 </w:t>
            </w:r>
          </w:p>
        </w:tc>
      </w:tr>
      <w:tr w:rsidR="00862C6F" w:rsidRPr="00236418" w14:paraId="469F0544"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6CF860EF"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Cell C (Pty) Ltd., Benmore</w:t>
            </w:r>
          </w:p>
        </w:tc>
        <w:tc>
          <w:tcPr>
            <w:tcW w:w="1296" w:type="dxa"/>
            <w:tcBorders>
              <w:top w:val="nil"/>
              <w:left w:val="single" w:sz="4" w:space="0" w:color="auto"/>
              <w:right w:val="single" w:sz="4" w:space="0" w:color="auto"/>
            </w:tcBorders>
            <w:shd w:val="clear" w:color="auto" w:fill="auto"/>
            <w:noWrap/>
            <w:vAlign w:val="bottom"/>
            <w:hideMark/>
          </w:tcPr>
          <w:p w14:paraId="0FABA6C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2004-2007</w:t>
            </w:r>
          </w:p>
        </w:tc>
        <w:tc>
          <w:tcPr>
            <w:tcW w:w="1611" w:type="dxa"/>
            <w:noWrap/>
            <w:vAlign w:val="bottom"/>
            <w:hideMark/>
          </w:tcPr>
          <w:p w14:paraId="47295D1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552 409,40</w:t>
            </w:r>
          </w:p>
        </w:tc>
        <w:tc>
          <w:tcPr>
            <w:tcW w:w="1333" w:type="dxa"/>
            <w:tcBorders>
              <w:top w:val="nil"/>
              <w:left w:val="single" w:sz="4" w:space="0" w:color="auto"/>
              <w:right w:val="single" w:sz="4" w:space="0" w:color="auto"/>
            </w:tcBorders>
            <w:shd w:val="clear" w:color="auto" w:fill="auto"/>
            <w:noWrap/>
            <w:vAlign w:val="bottom"/>
            <w:hideMark/>
          </w:tcPr>
          <w:p w14:paraId="18E4CB1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hideMark/>
          </w:tcPr>
          <w:p w14:paraId="1C5010B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552 409,40</w:t>
            </w:r>
          </w:p>
        </w:tc>
      </w:tr>
      <w:tr w:rsidR="00862C6F" w:rsidRPr="00236418" w14:paraId="1BC3ECB6"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hideMark/>
          </w:tcPr>
          <w:p w14:paraId="5D99DD0A" w14:textId="77777777" w:rsidR="00862C6F" w:rsidRPr="00596807" w:rsidRDefault="00862C6F" w:rsidP="00862C6F">
            <w:pPr>
              <w:tabs>
                <w:tab w:val="clear" w:pos="567"/>
                <w:tab w:val="left" w:pos="313"/>
              </w:tabs>
              <w:rPr>
                <w:rFonts w:asciiTheme="minorHAnsi" w:hAnsiTheme="minorHAnsi"/>
                <w:sz w:val="22"/>
                <w:szCs w:val="22"/>
                <w:lang w:val="en-US"/>
              </w:rPr>
            </w:pPr>
            <w:r w:rsidRPr="00596807">
              <w:rPr>
                <w:rFonts w:asciiTheme="minorHAnsi" w:hAnsiTheme="minorHAnsi"/>
                <w:sz w:val="22"/>
                <w:szCs w:val="22"/>
                <w:lang w:val="en-US"/>
              </w:rPr>
              <w:t>–</w:t>
            </w:r>
            <w:r w:rsidRPr="00596807">
              <w:rPr>
                <w:rFonts w:asciiTheme="minorHAnsi" w:hAnsiTheme="minorHAnsi"/>
                <w:sz w:val="22"/>
                <w:szCs w:val="22"/>
                <w:lang w:val="en-US"/>
              </w:rPr>
              <w:tab/>
              <w:t xml:space="preserve">Vodacom S.A. (Pty) Ltd., </w:t>
            </w:r>
            <w:proofErr w:type="spellStart"/>
            <w:r w:rsidRPr="00596807">
              <w:rPr>
                <w:rFonts w:asciiTheme="minorHAnsi" w:hAnsiTheme="minorHAnsi"/>
                <w:sz w:val="22"/>
                <w:szCs w:val="22"/>
                <w:lang w:val="en-US"/>
              </w:rPr>
              <w:t>Midrand</w:t>
            </w:r>
            <w:proofErr w:type="spellEnd"/>
          </w:p>
        </w:tc>
        <w:tc>
          <w:tcPr>
            <w:tcW w:w="1296" w:type="dxa"/>
            <w:tcBorders>
              <w:top w:val="nil"/>
              <w:left w:val="single" w:sz="4" w:space="0" w:color="auto"/>
              <w:right w:val="single" w:sz="4" w:space="0" w:color="auto"/>
            </w:tcBorders>
            <w:shd w:val="clear" w:color="auto" w:fill="auto"/>
            <w:noWrap/>
            <w:vAlign w:val="bottom"/>
            <w:hideMark/>
          </w:tcPr>
          <w:p w14:paraId="72C1B2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2015-2017</w:t>
            </w:r>
          </w:p>
        </w:tc>
        <w:tc>
          <w:tcPr>
            <w:tcW w:w="1611" w:type="dxa"/>
            <w:noWrap/>
            <w:vAlign w:val="bottom"/>
            <w:hideMark/>
          </w:tcPr>
          <w:p w14:paraId="0BECD1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2 864,60</w:t>
            </w:r>
          </w:p>
        </w:tc>
        <w:tc>
          <w:tcPr>
            <w:tcW w:w="1333" w:type="dxa"/>
            <w:tcBorders>
              <w:top w:val="nil"/>
              <w:left w:val="single" w:sz="4" w:space="0" w:color="auto"/>
              <w:right w:val="single" w:sz="4" w:space="0" w:color="auto"/>
            </w:tcBorders>
            <w:shd w:val="clear" w:color="auto" w:fill="auto"/>
            <w:noWrap/>
            <w:vAlign w:val="bottom"/>
            <w:hideMark/>
          </w:tcPr>
          <w:p w14:paraId="173A61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hideMark/>
          </w:tcPr>
          <w:p w14:paraId="35B92B6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2 864,60</w:t>
            </w:r>
          </w:p>
        </w:tc>
      </w:tr>
      <w:tr w:rsidR="00862C6F" w:rsidRPr="00236418" w14:paraId="369F4F75"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465CBC1D" w14:textId="77777777" w:rsidR="00862C6F" w:rsidRPr="00236418" w:rsidRDefault="00862C6F" w:rsidP="00862C6F">
            <w:pPr>
              <w:tabs>
                <w:tab w:val="clear" w:pos="567"/>
                <w:tab w:val="left" w:pos="313"/>
              </w:tabs>
              <w:rPr>
                <w:rFonts w:asciiTheme="minorHAnsi" w:hAnsiTheme="minorHAnsi"/>
                <w:b/>
                <w:bCs/>
                <w:sz w:val="22"/>
                <w:szCs w:val="22"/>
              </w:rPr>
            </w:pPr>
            <w:r w:rsidRPr="00236418">
              <w:rPr>
                <w:rFonts w:asciiTheme="minorHAnsi" w:hAnsiTheme="minorHAnsi"/>
                <w:b/>
                <w:bCs/>
                <w:sz w:val="22"/>
                <w:szCs w:val="22"/>
              </w:rPr>
              <w:t>Soudan</w:t>
            </w:r>
          </w:p>
        </w:tc>
        <w:tc>
          <w:tcPr>
            <w:tcW w:w="1296" w:type="dxa"/>
            <w:tcBorders>
              <w:top w:val="nil"/>
              <w:left w:val="single" w:sz="4" w:space="0" w:color="auto"/>
              <w:right w:val="single" w:sz="4" w:space="0" w:color="auto"/>
            </w:tcBorders>
            <w:shd w:val="clear" w:color="auto" w:fill="auto"/>
            <w:noWrap/>
            <w:vAlign w:val="bottom"/>
          </w:tcPr>
          <w:p w14:paraId="6EA96EA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11" w:type="dxa"/>
            <w:noWrap/>
            <w:vAlign w:val="bottom"/>
          </w:tcPr>
          <w:p w14:paraId="750655B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333" w:type="dxa"/>
            <w:tcBorders>
              <w:top w:val="nil"/>
              <w:left w:val="single" w:sz="4" w:space="0" w:color="auto"/>
              <w:right w:val="single" w:sz="4" w:space="0" w:color="auto"/>
            </w:tcBorders>
            <w:shd w:val="clear" w:color="auto" w:fill="auto"/>
            <w:noWrap/>
            <w:vAlign w:val="bottom"/>
          </w:tcPr>
          <w:p w14:paraId="0F12C93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11" w:type="dxa"/>
            <w:tcBorders>
              <w:top w:val="nil"/>
              <w:left w:val="nil"/>
              <w:right w:val="single" w:sz="4" w:space="0" w:color="auto"/>
            </w:tcBorders>
            <w:shd w:val="clear" w:color="auto" w:fill="auto"/>
            <w:noWrap/>
            <w:vAlign w:val="bottom"/>
          </w:tcPr>
          <w:p w14:paraId="5EBDE8F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r>
      <w:tr w:rsidR="00862C6F" w:rsidRPr="00236418" w14:paraId="6F0DE9D8" w14:textId="77777777" w:rsidTr="00620F53">
        <w:trPr>
          <w:trHeight w:val="300"/>
          <w:jc w:val="center"/>
        </w:trPr>
        <w:tc>
          <w:tcPr>
            <w:tcW w:w="3778" w:type="dxa"/>
            <w:tcBorders>
              <w:left w:val="single" w:sz="4" w:space="0" w:color="auto"/>
              <w:right w:val="single" w:sz="4" w:space="0" w:color="auto"/>
            </w:tcBorders>
            <w:shd w:val="clear" w:color="auto" w:fill="auto"/>
            <w:vAlign w:val="bottom"/>
          </w:tcPr>
          <w:p w14:paraId="18B7FB6C"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Garden City College for Science &amp; Technology, Khartoum</w:t>
            </w:r>
          </w:p>
        </w:tc>
        <w:tc>
          <w:tcPr>
            <w:tcW w:w="1296" w:type="dxa"/>
            <w:tcBorders>
              <w:left w:val="single" w:sz="4" w:space="0" w:color="auto"/>
              <w:bottom w:val="nil"/>
              <w:right w:val="single" w:sz="4" w:space="0" w:color="auto"/>
            </w:tcBorders>
            <w:shd w:val="clear" w:color="auto" w:fill="auto"/>
            <w:noWrap/>
            <w:vAlign w:val="bottom"/>
          </w:tcPr>
          <w:p w14:paraId="65350F6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2013-2014</w:t>
            </w:r>
          </w:p>
        </w:tc>
        <w:tc>
          <w:tcPr>
            <w:tcW w:w="1611" w:type="dxa"/>
            <w:noWrap/>
            <w:vAlign w:val="bottom"/>
          </w:tcPr>
          <w:p w14:paraId="3F9C28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3 572,60</w:t>
            </w:r>
          </w:p>
        </w:tc>
        <w:tc>
          <w:tcPr>
            <w:tcW w:w="1333" w:type="dxa"/>
            <w:tcBorders>
              <w:left w:val="single" w:sz="4" w:space="0" w:color="auto"/>
              <w:bottom w:val="nil"/>
              <w:right w:val="single" w:sz="4" w:space="0" w:color="auto"/>
            </w:tcBorders>
            <w:shd w:val="clear" w:color="auto" w:fill="auto"/>
            <w:noWrap/>
            <w:vAlign w:val="bottom"/>
          </w:tcPr>
          <w:p w14:paraId="64D6002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left w:val="nil"/>
              <w:bottom w:val="nil"/>
              <w:right w:val="single" w:sz="4" w:space="0" w:color="auto"/>
            </w:tcBorders>
            <w:shd w:val="clear" w:color="auto" w:fill="auto"/>
            <w:noWrap/>
            <w:vAlign w:val="bottom"/>
          </w:tcPr>
          <w:p w14:paraId="00D10DE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3 572,60</w:t>
            </w:r>
          </w:p>
        </w:tc>
      </w:tr>
      <w:tr w:rsidR="00862C6F" w:rsidRPr="00236418" w14:paraId="232F7B72" w14:textId="77777777" w:rsidTr="00620F53">
        <w:trPr>
          <w:trHeight w:val="300"/>
          <w:jc w:val="center"/>
        </w:trPr>
        <w:tc>
          <w:tcPr>
            <w:tcW w:w="3778" w:type="dxa"/>
            <w:tcBorders>
              <w:left w:val="single" w:sz="4" w:space="0" w:color="auto"/>
              <w:bottom w:val="nil"/>
              <w:right w:val="single" w:sz="4" w:space="0" w:color="auto"/>
            </w:tcBorders>
            <w:shd w:val="clear" w:color="auto" w:fill="auto"/>
            <w:vAlign w:val="bottom"/>
          </w:tcPr>
          <w:p w14:paraId="03D0E867"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Open University of Sudan, Khartoum</w:t>
            </w:r>
          </w:p>
        </w:tc>
        <w:tc>
          <w:tcPr>
            <w:tcW w:w="1296" w:type="dxa"/>
            <w:tcBorders>
              <w:top w:val="nil"/>
              <w:left w:val="single" w:sz="4" w:space="0" w:color="auto"/>
              <w:bottom w:val="nil"/>
              <w:right w:val="single" w:sz="4" w:space="0" w:color="auto"/>
            </w:tcBorders>
            <w:shd w:val="clear" w:color="auto" w:fill="auto"/>
            <w:noWrap/>
            <w:vAlign w:val="bottom"/>
          </w:tcPr>
          <w:p w14:paraId="007069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2013-2014</w:t>
            </w:r>
          </w:p>
        </w:tc>
        <w:tc>
          <w:tcPr>
            <w:tcW w:w="1611" w:type="dxa"/>
            <w:noWrap/>
            <w:vAlign w:val="bottom"/>
          </w:tcPr>
          <w:p w14:paraId="739966A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3 572,60</w:t>
            </w:r>
          </w:p>
        </w:tc>
        <w:tc>
          <w:tcPr>
            <w:tcW w:w="1333" w:type="dxa"/>
            <w:tcBorders>
              <w:top w:val="nil"/>
              <w:left w:val="single" w:sz="4" w:space="0" w:color="auto"/>
              <w:bottom w:val="nil"/>
              <w:right w:val="single" w:sz="4" w:space="0" w:color="auto"/>
            </w:tcBorders>
            <w:shd w:val="clear" w:color="auto" w:fill="auto"/>
            <w:noWrap/>
            <w:vAlign w:val="bottom"/>
          </w:tcPr>
          <w:p w14:paraId="5F04C1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5474E2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3 572,60</w:t>
            </w:r>
          </w:p>
        </w:tc>
      </w:tr>
      <w:tr w:rsidR="00862C6F" w:rsidRPr="00236418" w14:paraId="3F75F73D"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6F9F8B5E"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 xml:space="preserve">Pulse </w:t>
            </w:r>
            <w:proofErr w:type="spellStart"/>
            <w:r w:rsidRPr="00236418">
              <w:rPr>
                <w:rFonts w:asciiTheme="minorHAnsi" w:eastAsia="Batang" w:hAnsiTheme="minorHAnsi"/>
                <w:sz w:val="22"/>
                <w:szCs w:val="22"/>
              </w:rPr>
              <w:t>Company</w:t>
            </w:r>
            <w:proofErr w:type="spellEnd"/>
            <w:r w:rsidRPr="00236418">
              <w:rPr>
                <w:rFonts w:asciiTheme="minorHAnsi" w:eastAsia="Batang" w:hAnsiTheme="minorHAnsi"/>
                <w:sz w:val="22"/>
                <w:szCs w:val="22"/>
              </w:rPr>
              <w:t xml:space="preserve"> Ltd., Khartoum</w:t>
            </w:r>
          </w:p>
        </w:tc>
        <w:tc>
          <w:tcPr>
            <w:tcW w:w="1296" w:type="dxa"/>
            <w:tcBorders>
              <w:top w:val="nil"/>
              <w:left w:val="single" w:sz="4" w:space="0" w:color="auto"/>
              <w:right w:val="single" w:sz="4" w:space="0" w:color="auto"/>
            </w:tcBorders>
            <w:shd w:val="clear" w:color="auto" w:fill="auto"/>
            <w:noWrap/>
            <w:vAlign w:val="bottom"/>
          </w:tcPr>
          <w:p w14:paraId="56B295E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w:t>
            </w:r>
          </w:p>
        </w:tc>
        <w:tc>
          <w:tcPr>
            <w:tcW w:w="1611" w:type="dxa"/>
            <w:noWrap/>
            <w:vAlign w:val="bottom"/>
          </w:tcPr>
          <w:p w14:paraId="1C2C8E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4 911,85</w:t>
            </w:r>
          </w:p>
        </w:tc>
        <w:tc>
          <w:tcPr>
            <w:tcW w:w="1333" w:type="dxa"/>
            <w:tcBorders>
              <w:top w:val="nil"/>
              <w:left w:val="single" w:sz="4" w:space="0" w:color="auto"/>
              <w:right w:val="single" w:sz="4" w:space="0" w:color="auto"/>
            </w:tcBorders>
            <w:shd w:val="clear" w:color="auto" w:fill="auto"/>
            <w:noWrap/>
            <w:vAlign w:val="bottom"/>
          </w:tcPr>
          <w:p w14:paraId="7467E78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tcPr>
          <w:p w14:paraId="51297B8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4 911,85</w:t>
            </w:r>
          </w:p>
        </w:tc>
      </w:tr>
      <w:tr w:rsidR="00862C6F" w:rsidRPr="00236418" w14:paraId="484AC2E6"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2B9AB448"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University</w:t>
            </w:r>
            <w:proofErr w:type="spellEnd"/>
            <w:r w:rsidRPr="00236418">
              <w:rPr>
                <w:rFonts w:asciiTheme="minorHAnsi" w:eastAsia="Batang" w:hAnsiTheme="minorHAnsi"/>
                <w:sz w:val="22"/>
                <w:szCs w:val="22"/>
              </w:rPr>
              <w:t xml:space="preserve"> of Khartoum, Khartoum</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902EED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2013-2014</w:t>
            </w:r>
          </w:p>
        </w:tc>
        <w:tc>
          <w:tcPr>
            <w:tcW w:w="1611" w:type="dxa"/>
            <w:tcBorders>
              <w:top w:val="nil"/>
              <w:left w:val="nil"/>
              <w:bottom w:val="single" w:sz="4" w:space="0" w:color="auto"/>
              <w:right w:val="nil"/>
            </w:tcBorders>
            <w:noWrap/>
            <w:vAlign w:val="bottom"/>
          </w:tcPr>
          <w:p w14:paraId="3090BEC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3 572,60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3BF31B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87F57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3 572,60</w:t>
            </w:r>
          </w:p>
        </w:tc>
      </w:tr>
      <w:tr w:rsidR="00862C6F" w:rsidRPr="00236418" w14:paraId="337AB0AD"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hideMark/>
          </w:tcPr>
          <w:p w14:paraId="7723CF96"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Suède</w:t>
            </w:r>
          </w:p>
        </w:tc>
        <w:tc>
          <w:tcPr>
            <w:tcW w:w="1296" w:type="dxa"/>
            <w:tcBorders>
              <w:top w:val="single" w:sz="4" w:space="0" w:color="auto"/>
              <w:left w:val="single" w:sz="4" w:space="0" w:color="auto"/>
              <w:right w:val="single" w:sz="4" w:space="0" w:color="auto"/>
            </w:tcBorders>
            <w:shd w:val="clear" w:color="auto" w:fill="auto"/>
            <w:noWrap/>
            <w:vAlign w:val="bottom"/>
            <w:hideMark/>
          </w:tcPr>
          <w:p w14:paraId="33DFAC1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right w:val="nil"/>
            </w:tcBorders>
            <w:shd w:val="clear" w:color="auto" w:fill="auto"/>
            <w:noWrap/>
            <w:vAlign w:val="bottom"/>
            <w:hideMark/>
          </w:tcPr>
          <w:p w14:paraId="26DAFA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right w:val="single" w:sz="4" w:space="0" w:color="auto"/>
            </w:tcBorders>
            <w:shd w:val="clear" w:color="auto" w:fill="auto"/>
            <w:noWrap/>
            <w:vAlign w:val="bottom"/>
            <w:hideMark/>
          </w:tcPr>
          <w:p w14:paraId="39BD67A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right w:val="single" w:sz="4" w:space="0" w:color="auto"/>
            </w:tcBorders>
            <w:shd w:val="clear" w:color="auto" w:fill="auto"/>
            <w:noWrap/>
            <w:vAlign w:val="bottom"/>
            <w:hideMark/>
          </w:tcPr>
          <w:p w14:paraId="323EEF9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6572CAAA"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04D8AC80"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GlobeTouch</w:t>
            </w:r>
            <w:proofErr w:type="spellEnd"/>
            <w:r w:rsidRPr="00236418">
              <w:rPr>
                <w:rFonts w:asciiTheme="minorHAnsi" w:eastAsia="Batang" w:hAnsiTheme="minorHAnsi"/>
                <w:sz w:val="22"/>
                <w:szCs w:val="22"/>
              </w:rPr>
              <w:t xml:space="preserve"> AB, Stockholm</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75E61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w:t>
            </w:r>
          </w:p>
        </w:tc>
        <w:tc>
          <w:tcPr>
            <w:tcW w:w="1611" w:type="dxa"/>
            <w:tcBorders>
              <w:top w:val="nil"/>
              <w:left w:val="nil"/>
              <w:bottom w:val="single" w:sz="4" w:space="0" w:color="auto"/>
              <w:right w:val="nil"/>
            </w:tcBorders>
            <w:shd w:val="clear" w:color="auto" w:fill="auto"/>
            <w:noWrap/>
            <w:vAlign w:val="bottom"/>
          </w:tcPr>
          <w:p w14:paraId="4AC3ABE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13 098,20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FA7B1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6F4FDA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13 098,20</w:t>
            </w:r>
          </w:p>
        </w:tc>
      </w:tr>
      <w:tr w:rsidR="00862C6F" w:rsidRPr="00236418" w14:paraId="25013DDC"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7FD5CA93" w14:textId="77777777" w:rsidR="00862C6F" w:rsidRPr="00236418" w:rsidRDefault="00862C6F" w:rsidP="00862C6F">
            <w:pPr>
              <w:tabs>
                <w:tab w:val="clear" w:pos="567"/>
                <w:tab w:val="clear" w:pos="1134"/>
                <w:tab w:val="clear" w:pos="1701"/>
                <w:tab w:val="clear" w:pos="2268"/>
                <w:tab w:val="clear" w:pos="2835"/>
              </w:tabs>
              <w:spacing w:before="60" w:after="60"/>
              <w:rPr>
                <w:rFonts w:asciiTheme="minorHAnsi" w:hAnsiTheme="minorHAnsi"/>
                <w:b/>
                <w:bCs/>
                <w:sz w:val="22"/>
              </w:rPr>
            </w:pPr>
            <w:r w:rsidRPr="00236418">
              <w:rPr>
                <w:b/>
                <w:bCs/>
                <w:sz w:val="22"/>
              </w:rPr>
              <w:t>Suisse</w:t>
            </w:r>
          </w:p>
        </w:tc>
        <w:tc>
          <w:tcPr>
            <w:tcW w:w="1296" w:type="dxa"/>
            <w:tcBorders>
              <w:top w:val="single" w:sz="4" w:space="0" w:color="auto"/>
              <w:left w:val="single" w:sz="4" w:space="0" w:color="auto"/>
              <w:right w:val="single" w:sz="4" w:space="0" w:color="auto"/>
            </w:tcBorders>
            <w:shd w:val="clear" w:color="auto" w:fill="auto"/>
            <w:noWrap/>
            <w:vAlign w:val="bottom"/>
          </w:tcPr>
          <w:p w14:paraId="47C95C0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 </w:t>
            </w:r>
          </w:p>
        </w:tc>
        <w:tc>
          <w:tcPr>
            <w:tcW w:w="1611" w:type="dxa"/>
            <w:tcBorders>
              <w:top w:val="single" w:sz="4" w:space="0" w:color="auto"/>
              <w:left w:val="nil"/>
              <w:right w:val="nil"/>
            </w:tcBorders>
            <w:shd w:val="clear" w:color="auto" w:fill="auto"/>
            <w:noWrap/>
            <w:vAlign w:val="bottom"/>
          </w:tcPr>
          <w:p w14:paraId="12DCE88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 </w:t>
            </w:r>
          </w:p>
        </w:tc>
        <w:tc>
          <w:tcPr>
            <w:tcW w:w="1333" w:type="dxa"/>
            <w:tcBorders>
              <w:top w:val="single" w:sz="4" w:space="0" w:color="auto"/>
              <w:left w:val="single" w:sz="4" w:space="0" w:color="auto"/>
              <w:right w:val="single" w:sz="4" w:space="0" w:color="auto"/>
            </w:tcBorders>
            <w:shd w:val="clear" w:color="auto" w:fill="auto"/>
            <w:noWrap/>
            <w:vAlign w:val="bottom"/>
          </w:tcPr>
          <w:p w14:paraId="3FD1C81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 </w:t>
            </w:r>
          </w:p>
        </w:tc>
        <w:tc>
          <w:tcPr>
            <w:tcW w:w="1611" w:type="dxa"/>
            <w:tcBorders>
              <w:top w:val="single" w:sz="4" w:space="0" w:color="auto"/>
              <w:left w:val="nil"/>
              <w:right w:val="single" w:sz="4" w:space="0" w:color="auto"/>
            </w:tcBorders>
            <w:shd w:val="clear" w:color="auto" w:fill="auto"/>
            <w:noWrap/>
            <w:vAlign w:val="bottom"/>
          </w:tcPr>
          <w:p w14:paraId="6DF682B5"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 </w:t>
            </w:r>
          </w:p>
        </w:tc>
      </w:tr>
      <w:tr w:rsidR="00862C6F" w:rsidRPr="00236418" w14:paraId="0EEF6741" w14:textId="77777777" w:rsidTr="00620F53">
        <w:trPr>
          <w:trHeight w:val="300"/>
          <w:jc w:val="center"/>
        </w:trPr>
        <w:tc>
          <w:tcPr>
            <w:tcW w:w="3778" w:type="dxa"/>
            <w:tcBorders>
              <w:left w:val="single" w:sz="4" w:space="0" w:color="auto"/>
              <w:right w:val="single" w:sz="4" w:space="0" w:color="auto"/>
            </w:tcBorders>
            <w:shd w:val="clear" w:color="auto" w:fill="auto"/>
            <w:vAlign w:val="bottom"/>
          </w:tcPr>
          <w:p w14:paraId="3BAEEE2C" w14:textId="77777777" w:rsidR="00862C6F" w:rsidRPr="00596807" w:rsidRDefault="00862C6F" w:rsidP="00862C6F">
            <w:pPr>
              <w:tabs>
                <w:tab w:val="clear" w:pos="567"/>
                <w:tab w:val="clear" w:pos="1134"/>
                <w:tab w:val="clear" w:pos="1701"/>
                <w:tab w:val="clear" w:pos="2268"/>
                <w:tab w:val="clear" w:pos="2835"/>
              </w:tabs>
              <w:spacing w:before="60" w:after="60"/>
              <w:ind w:left="313" w:hanging="313"/>
              <w:rPr>
                <w:rFonts w:asciiTheme="minorHAnsi" w:hAnsiTheme="minorHAnsi"/>
                <w:sz w:val="22"/>
                <w:lang w:val="en-US"/>
              </w:rPr>
            </w:pPr>
            <w:r w:rsidRPr="00596807">
              <w:rPr>
                <w:rFonts w:asciiTheme="minorHAnsi" w:hAnsiTheme="minorHAnsi"/>
                <w:sz w:val="22"/>
                <w:lang w:val="en-US"/>
              </w:rPr>
              <w:t>–</w:t>
            </w:r>
            <w:r w:rsidRPr="00596807">
              <w:rPr>
                <w:rFonts w:asciiTheme="minorHAnsi" w:hAnsiTheme="minorHAnsi"/>
                <w:sz w:val="22"/>
                <w:lang w:val="en-US"/>
              </w:rPr>
              <w:tab/>
              <w:t>ACN Advanced Comm. Networks S.A., Neuchâtel</w:t>
            </w:r>
          </w:p>
        </w:tc>
        <w:tc>
          <w:tcPr>
            <w:tcW w:w="1296" w:type="dxa"/>
            <w:tcBorders>
              <w:left w:val="single" w:sz="4" w:space="0" w:color="auto"/>
              <w:right w:val="single" w:sz="4" w:space="0" w:color="auto"/>
            </w:tcBorders>
            <w:shd w:val="clear" w:color="auto" w:fill="auto"/>
            <w:noWrap/>
            <w:vAlign w:val="bottom"/>
          </w:tcPr>
          <w:p w14:paraId="40F3F23D"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zh-CN"/>
              </w:rPr>
            </w:pPr>
            <w:r w:rsidRPr="00236418">
              <w:rPr>
                <w:sz w:val="22"/>
                <w:lang w:eastAsia="zh-CN"/>
              </w:rPr>
              <w:t>2016</w:t>
            </w:r>
          </w:p>
        </w:tc>
        <w:tc>
          <w:tcPr>
            <w:tcW w:w="1611" w:type="dxa"/>
            <w:noWrap/>
            <w:vAlign w:val="bottom"/>
          </w:tcPr>
          <w:p w14:paraId="69A0E95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rFonts w:cs="Calibri"/>
                <w:sz w:val="22"/>
                <w:szCs w:val="22"/>
                <w:lang w:eastAsia="en-GB"/>
              </w:rPr>
              <w:t>13 098,20</w:t>
            </w:r>
          </w:p>
        </w:tc>
        <w:tc>
          <w:tcPr>
            <w:tcW w:w="1333" w:type="dxa"/>
            <w:tcBorders>
              <w:left w:val="single" w:sz="4" w:space="0" w:color="auto"/>
              <w:right w:val="single" w:sz="4" w:space="0" w:color="auto"/>
            </w:tcBorders>
            <w:shd w:val="clear" w:color="auto" w:fill="auto"/>
            <w:noWrap/>
            <w:vAlign w:val="bottom"/>
          </w:tcPr>
          <w:p w14:paraId="5D24D75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sz w:val="22"/>
                <w:lang w:eastAsia="zh-CN"/>
              </w:rPr>
              <w:t>0,00</w:t>
            </w:r>
          </w:p>
        </w:tc>
        <w:tc>
          <w:tcPr>
            <w:tcW w:w="1611" w:type="dxa"/>
            <w:tcBorders>
              <w:left w:val="nil"/>
              <w:right w:val="single" w:sz="4" w:space="0" w:color="auto"/>
            </w:tcBorders>
            <w:shd w:val="clear" w:color="auto" w:fill="auto"/>
            <w:noWrap/>
            <w:vAlign w:val="bottom"/>
          </w:tcPr>
          <w:p w14:paraId="696626E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r w:rsidRPr="00236418">
              <w:rPr>
                <w:rFonts w:cs="Calibri"/>
                <w:sz w:val="22"/>
                <w:szCs w:val="22"/>
                <w:lang w:eastAsia="en-GB"/>
              </w:rPr>
              <w:t>13 098,20</w:t>
            </w:r>
          </w:p>
        </w:tc>
      </w:tr>
      <w:tr w:rsidR="00862C6F" w:rsidRPr="00236418" w14:paraId="48E3FD4F"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1158DB58"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lang w:val="en-US"/>
              </w:rPr>
              <w:t>–</w:t>
            </w:r>
            <w:r w:rsidRPr="00596807">
              <w:rPr>
                <w:rFonts w:asciiTheme="minorHAnsi" w:eastAsia="Batang" w:hAnsiTheme="minorHAnsi"/>
                <w:sz w:val="22"/>
                <w:lang w:val="en-US"/>
              </w:rPr>
              <w:tab/>
            </w:r>
            <w:proofErr w:type="spellStart"/>
            <w:r w:rsidRPr="00596807">
              <w:rPr>
                <w:rFonts w:asciiTheme="minorHAnsi" w:eastAsia="Batang" w:hAnsiTheme="minorHAnsi"/>
                <w:sz w:val="22"/>
                <w:lang w:val="en-US"/>
              </w:rPr>
              <w:t>Ascom</w:t>
            </w:r>
            <w:proofErr w:type="spellEnd"/>
            <w:r w:rsidRPr="00596807">
              <w:rPr>
                <w:rFonts w:asciiTheme="minorHAnsi" w:eastAsia="Batang" w:hAnsiTheme="minorHAnsi"/>
                <w:sz w:val="22"/>
                <w:lang w:val="en-US"/>
              </w:rPr>
              <w:t xml:space="preserve"> Network Testing AG, Solothurn</w:t>
            </w:r>
          </w:p>
        </w:tc>
        <w:tc>
          <w:tcPr>
            <w:tcW w:w="1296" w:type="dxa"/>
            <w:tcBorders>
              <w:left w:val="single" w:sz="4" w:space="0" w:color="auto"/>
              <w:bottom w:val="single" w:sz="4" w:space="0" w:color="auto"/>
              <w:right w:val="single" w:sz="4" w:space="0" w:color="auto"/>
            </w:tcBorders>
            <w:shd w:val="clear" w:color="auto" w:fill="auto"/>
            <w:noWrap/>
            <w:vAlign w:val="bottom"/>
          </w:tcPr>
          <w:p w14:paraId="18E3715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tcBorders>
              <w:top w:val="nil"/>
              <w:left w:val="nil"/>
              <w:bottom w:val="single" w:sz="4" w:space="0" w:color="auto"/>
              <w:right w:val="nil"/>
            </w:tcBorders>
            <w:noWrap/>
            <w:vAlign w:val="bottom"/>
          </w:tcPr>
          <w:p w14:paraId="687F330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11 657,35</w:t>
            </w:r>
          </w:p>
        </w:tc>
        <w:tc>
          <w:tcPr>
            <w:tcW w:w="1333" w:type="dxa"/>
            <w:tcBorders>
              <w:left w:val="single" w:sz="4" w:space="0" w:color="auto"/>
              <w:bottom w:val="single" w:sz="4" w:space="0" w:color="auto"/>
              <w:right w:val="single" w:sz="4" w:space="0" w:color="auto"/>
            </w:tcBorders>
            <w:shd w:val="clear" w:color="auto" w:fill="auto"/>
            <w:noWrap/>
            <w:vAlign w:val="bottom"/>
          </w:tcPr>
          <w:p w14:paraId="72D55E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left w:val="nil"/>
              <w:bottom w:val="single" w:sz="4" w:space="0" w:color="auto"/>
              <w:right w:val="single" w:sz="4" w:space="0" w:color="auto"/>
            </w:tcBorders>
            <w:shd w:val="clear" w:color="auto" w:fill="auto"/>
            <w:noWrap/>
            <w:vAlign w:val="bottom"/>
          </w:tcPr>
          <w:p w14:paraId="7E84D4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11 657,35</w:t>
            </w:r>
          </w:p>
        </w:tc>
      </w:tr>
      <w:tr w:rsidR="00862C6F" w:rsidRPr="00236418" w14:paraId="4EFEA774"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6D7994E4"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rPr>
            </w:pPr>
            <w:r w:rsidRPr="00236418">
              <w:rPr>
                <w:rFonts w:asciiTheme="minorHAnsi" w:eastAsia="Batang" w:hAnsiTheme="minorHAnsi"/>
                <w:b/>
                <w:sz w:val="22"/>
              </w:rPr>
              <w:t>République arabe syrienne</w:t>
            </w:r>
          </w:p>
        </w:tc>
        <w:tc>
          <w:tcPr>
            <w:tcW w:w="1296" w:type="dxa"/>
            <w:tcBorders>
              <w:top w:val="single" w:sz="4" w:space="0" w:color="auto"/>
              <w:left w:val="single" w:sz="4" w:space="0" w:color="auto"/>
              <w:right w:val="single" w:sz="4" w:space="0" w:color="auto"/>
            </w:tcBorders>
            <w:shd w:val="clear" w:color="auto" w:fill="auto"/>
            <w:noWrap/>
            <w:vAlign w:val="bottom"/>
          </w:tcPr>
          <w:p w14:paraId="6C51DCD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11" w:type="dxa"/>
            <w:tcBorders>
              <w:top w:val="single" w:sz="4" w:space="0" w:color="auto"/>
              <w:left w:val="nil"/>
              <w:bottom w:val="nil"/>
              <w:right w:val="nil"/>
            </w:tcBorders>
            <w:noWrap/>
            <w:vAlign w:val="bottom"/>
          </w:tcPr>
          <w:p w14:paraId="1B91570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333" w:type="dxa"/>
            <w:tcBorders>
              <w:top w:val="single" w:sz="4" w:space="0" w:color="auto"/>
              <w:left w:val="single" w:sz="4" w:space="0" w:color="auto"/>
              <w:right w:val="single" w:sz="4" w:space="0" w:color="auto"/>
            </w:tcBorders>
            <w:shd w:val="clear" w:color="auto" w:fill="auto"/>
            <w:noWrap/>
            <w:vAlign w:val="bottom"/>
          </w:tcPr>
          <w:p w14:paraId="31C39E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611" w:type="dxa"/>
            <w:tcBorders>
              <w:top w:val="single" w:sz="4" w:space="0" w:color="auto"/>
              <w:left w:val="nil"/>
              <w:right w:val="single" w:sz="4" w:space="0" w:color="auto"/>
            </w:tcBorders>
            <w:shd w:val="clear" w:color="auto" w:fill="auto"/>
            <w:noWrap/>
            <w:vAlign w:val="bottom"/>
          </w:tcPr>
          <w:p w14:paraId="38AFE55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r>
      <w:tr w:rsidR="00862C6F" w:rsidRPr="00236418" w14:paraId="1782566D"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1A6AED5A"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rPr>
            </w:pPr>
            <w:r w:rsidRPr="00236418">
              <w:rPr>
                <w:rFonts w:asciiTheme="minorHAnsi" w:eastAsia="Batang" w:hAnsiTheme="minorHAnsi"/>
                <w:sz w:val="22"/>
              </w:rPr>
              <w:t>–</w:t>
            </w:r>
            <w:r w:rsidRPr="00236418">
              <w:rPr>
                <w:rFonts w:asciiTheme="minorHAnsi" w:eastAsia="Batang" w:hAnsiTheme="minorHAnsi"/>
                <w:sz w:val="22"/>
              </w:rPr>
              <w:tab/>
              <w:t xml:space="preserve">Arab </w:t>
            </w:r>
            <w:proofErr w:type="spellStart"/>
            <w:r w:rsidRPr="00236418">
              <w:rPr>
                <w:rFonts w:asciiTheme="minorHAnsi" w:eastAsia="Batang" w:hAnsiTheme="minorHAnsi"/>
                <w:sz w:val="22"/>
              </w:rPr>
              <w:t>Regional</w:t>
            </w:r>
            <w:proofErr w:type="spellEnd"/>
            <w:r w:rsidRPr="00236418">
              <w:rPr>
                <w:rFonts w:asciiTheme="minorHAnsi" w:eastAsia="Batang" w:hAnsiTheme="minorHAnsi"/>
                <w:sz w:val="22"/>
              </w:rPr>
              <w:t xml:space="preserve"> </w:t>
            </w:r>
            <w:proofErr w:type="spellStart"/>
            <w:r w:rsidRPr="00236418">
              <w:rPr>
                <w:rFonts w:asciiTheme="minorHAnsi" w:eastAsia="Batang" w:hAnsiTheme="minorHAnsi"/>
                <w:sz w:val="22"/>
              </w:rPr>
              <w:t>Isps</w:t>
            </w:r>
            <w:proofErr w:type="spellEnd"/>
            <w:r w:rsidRPr="00236418">
              <w:rPr>
                <w:rFonts w:asciiTheme="minorHAnsi" w:eastAsia="Batang" w:hAnsiTheme="minorHAnsi"/>
                <w:sz w:val="22"/>
              </w:rPr>
              <w:t xml:space="preserve"> Association (ARISPA), Manama</w:t>
            </w:r>
          </w:p>
        </w:tc>
        <w:tc>
          <w:tcPr>
            <w:tcW w:w="1296" w:type="dxa"/>
            <w:tcBorders>
              <w:left w:val="single" w:sz="4" w:space="0" w:color="auto"/>
              <w:bottom w:val="single" w:sz="4" w:space="0" w:color="auto"/>
              <w:right w:val="single" w:sz="4" w:space="0" w:color="auto"/>
            </w:tcBorders>
            <w:shd w:val="clear" w:color="auto" w:fill="auto"/>
            <w:noWrap/>
            <w:vAlign w:val="bottom"/>
          </w:tcPr>
          <w:p w14:paraId="132051D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2009</w:t>
            </w:r>
          </w:p>
        </w:tc>
        <w:tc>
          <w:tcPr>
            <w:tcW w:w="1611" w:type="dxa"/>
            <w:tcBorders>
              <w:top w:val="nil"/>
              <w:left w:val="nil"/>
              <w:bottom w:val="single" w:sz="4" w:space="0" w:color="auto"/>
              <w:right w:val="nil"/>
            </w:tcBorders>
            <w:noWrap/>
            <w:vAlign w:val="bottom"/>
          </w:tcPr>
          <w:p w14:paraId="59F15F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6418">
              <w:rPr>
                <w:rFonts w:cs="Calibri"/>
                <w:sz w:val="22"/>
                <w:szCs w:val="22"/>
                <w:lang w:eastAsia="en-GB"/>
              </w:rPr>
              <w:t>7 385,60</w:t>
            </w:r>
          </w:p>
        </w:tc>
        <w:tc>
          <w:tcPr>
            <w:tcW w:w="1333" w:type="dxa"/>
            <w:tcBorders>
              <w:left w:val="single" w:sz="4" w:space="0" w:color="auto"/>
              <w:bottom w:val="single" w:sz="4" w:space="0" w:color="auto"/>
              <w:right w:val="single" w:sz="4" w:space="0" w:color="auto"/>
            </w:tcBorders>
            <w:shd w:val="clear" w:color="auto" w:fill="auto"/>
            <w:noWrap/>
            <w:vAlign w:val="bottom"/>
          </w:tcPr>
          <w:p w14:paraId="1BEF77B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left w:val="nil"/>
              <w:bottom w:val="single" w:sz="4" w:space="0" w:color="auto"/>
              <w:right w:val="single" w:sz="4" w:space="0" w:color="auto"/>
            </w:tcBorders>
            <w:shd w:val="clear" w:color="auto" w:fill="auto"/>
            <w:noWrap/>
            <w:vAlign w:val="bottom"/>
          </w:tcPr>
          <w:p w14:paraId="4CD160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6418">
              <w:rPr>
                <w:rFonts w:cs="Calibri"/>
                <w:sz w:val="22"/>
                <w:szCs w:val="22"/>
                <w:lang w:eastAsia="en-GB"/>
              </w:rPr>
              <w:t>7 385,60</w:t>
            </w:r>
          </w:p>
        </w:tc>
      </w:tr>
    </w:tbl>
    <w:p w14:paraId="7E3A53E2" w14:textId="77777777" w:rsidR="00862C6F" w:rsidRPr="00236418" w:rsidRDefault="00862C6F" w:rsidP="00862C6F">
      <w:r w:rsidRPr="00236418">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236418" w14:paraId="279FA663"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1EB0FF76" w14:textId="77777777" w:rsidR="00862C6F" w:rsidRPr="00236418" w:rsidRDefault="00862C6F" w:rsidP="00862C6F">
            <w:pPr>
              <w:tabs>
                <w:tab w:val="left" w:pos="297"/>
              </w:tabs>
              <w:ind w:left="297" w:hanging="297"/>
              <w:rPr>
                <w:rFonts w:asciiTheme="minorHAnsi" w:hAnsiTheme="minorHAnsi"/>
                <w:b/>
                <w:bCs/>
                <w:sz w:val="22"/>
                <w:szCs w:val="22"/>
              </w:rPr>
            </w:pPr>
            <w:r w:rsidRPr="00236418">
              <w:rPr>
                <w:rFonts w:asciiTheme="minorHAnsi" w:hAnsiTheme="minorHAnsi"/>
                <w:b/>
                <w:bCs/>
                <w:sz w:val="22"/>
                <w:szCs w:val="22"/>
              </w:rPr>
              <w:lastRenderedPageBreak/>
              <w:t>B</w:t>
            </w:r>
            <w:r w:rsidRPr="00236418">
              <w:rPr>
                <w:rFonts w:asciiTheme="minorHAnsi" w:hAnsiTheme="minorHAnsi"/>
                <w:b/>
                <w:bCs/>
                <w:sz w:val="22"/>
                <w:szCs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07451D2D"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eastAsia="zh-CN"/>
              </w:rPr>
            </w:pPr>
            <w:r w:rsidRPr="00236418">
              <w:rPr>
                <w:rFonts w:asciiTheme="minorHAnsi" w:hAnsiTheme="minorHAnsi"/>
                <w:b/>
                <w:bCs/>
                <w:sz w:val="22"/>
                <w:szCs w:val="22"/>
                <w:lang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017CE985"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eastAsia="zh-CN"/>
              </w:rPr>
            </w:pPr>
            <w:r w:rsidRPr="00236418">
              <w:rPr>
                <w:rFonts w:asciiTheme="minorHAnsi" w:hAnsiTheme="minorHAnsi"/>
                <w:b/>
                <w:bCs/>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30174033"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eastAsia="zh-CN"/>
              </w:rPr>
            </w:pPr>
            <w:r w:rsidRPr="00236418">
              <w:rPr>
                <w:rFonts w:asciiTheme="minorHAnsi" w:hAnsiTheme="minorHAnsi"/>
                <w:b/>
                <w:bCs/>
                <w:sz w:val="22"/>
                <w:szCs w:val="22"/>
                <w:lang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0706B6CE" w14:textId="77777777" w:rsidR="00862C6F" w:rsidRPr="00236418"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eastAsia="zh-CN"/>
              </w:rPr>
            </w:pPr>
            <w:r w:rsidRPr="00236418">
              <w:rPr>
                <w:rFonts w:asciiTheme="minorHAnsi" w:hAnsiTheme="minorHAnsi"/>
                <w:b/>
                <w:bCs/>
                <w:sz w:val="22"/>
                <w:szCs w:val="22"/>
                <w:lang w:eastAsia="zh-CN"/>
              </w:rPr>
              <w:t>Total</w:t>
            </w:r>
          </w:p>
        </w:tc>
      </w:tr>
      <w:tr w:rsidR="00862C6F" w:rsidRPr="00236418" w14:paraId="37E15677" w14:textId="77777777" w:rsidTr="00620F53">
        <w:trPr>
          <w:trHeight w:val="245"/>
          <w:jc w:val="center"/>
        </w:trPr>
        <w:tc>
          <w:tcPr>
            <w:tcW w:w="3778" w:type="dxa"/>
            <w:tcBorders>
              <w:top w:val="single" w:sz="4" w:space="0" w:color="auto"/>
              <w:left w:val="single" w:sz="4" w:space="0" w:color="auto"/>
              <w:right w:val="single" w:sz="4" w:space="0" w:color="auto"/>
            </w:tcBorders>
            <w:shd w:val="clear" w:color="auto" w:fill="auto"/>
            <w:vAlign w:val="bottom"/>
          </w:tcPr>
          <w:p w14:paraId="32BEDFDF"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République togolaise</w:t>
            </w:r>
          </w:p>
        </w:tc>
        <w:tc>
          <w:tcPr>
            <w:tcW w:w="1296" w:type="dxa"/>
            <w:tcBorders>
              <w:top w:val="single" w:sz="4" w:space="0" w:color="auto"/>
              <w:left w:val="single" w:sz="4" w:space="0" w:color="auto"/>
              <w:right w:val="single" w:sz="4" w:space="0" w:color="auto"/>
            </w:tcBorders>
            <w:shd w:val="clear" w:color="auto" w:fill="auto"/>
            <w:noWrap/>
            <w:vAlign w:val="bottom"/>
          </w:tcPr>
          <w:p w14:paraId="5F9F3D2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right w:val="nil"/>
            </w:tcBorders>
            <w:shd w:val="clear" w:color="auto" w:fill="auto"/>
            <w:noWrap/>
            <w:vAlign w:val="bottom"/>
          </w:tcPr>
          <w:p w14:paraId="7AFAAA4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right w:val="single" w:sz="4" w:space="0" w:color="auto"/>
            </w:tcBorders>
            <w:shd w:val="clear" w:color="auto" w:fill="auto"/>
            <w:noWrap/>
            <w:vAlign w:val="bottom"/>
          </w:tcPr>
          <w:p w14:paraId="7D63F7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right w:val="single" w:sz="4" w:space="0" w:color="auto"/>
            </w:tcBorders>
            <w:shd w:val="clear" w:color="auto" w:fill="auto"/>
            <w:noWrap/>
            <w:vAlign w:val="bottom"/>
          </w:tcPr>
          <w:p w14:paraId="7F1DDE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40F2A6E3" w14:textId="77777777" w:rsidTr="00620F53">
        <w:trPr>
          <w:trHeight w:val="245"/>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5ABEDF48"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Centre Régional de Maintenance des Télécommunications, Lomé</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788B50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2003-2007</w:t>
            </w:r>
          </w:p>
        </w:tc>
        <w:tc>
          <w:tcPr>
            <w:tcW w:w="1611" w:type="dxa"/>
            <w:tcBorders>
              <w:top w:val="nil"/>
              <w:left w:val="nil"/>
              <w:bottom w:val="single" w:sz="4" w:space="0" w:color="auto"/>
              <w:right w:val="nil"/>
            </w:tcBorders>
            <w:shd w:val="clear" w:color="auto" w:fill="auto"/>
            <w:noWrap/>
            <w:vAlign w:val="bottom"/>
          </w:tcPr>
          <w:p w14:paraId="0294DE2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250 778,45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241A47A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F3B4C8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250 778,45</w:t>
            </w:r>
          </w:p>
        </w:tc>
      </w:tr>
      <w:tr w:rsidR="00862C6F" w:rsidRPr="00236418" w14:paraId="138D1DC7" w14:textId="77777777" w:rsidTr="00620F53">
        <w:trPr>
          <w:trHeight w:val="245"/>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7F92AE2"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Tunisie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6CEEE0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hideMark/>
          </w:tcPr>
          <w:p w14:paraId="232610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0648156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166AA01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0D16DAD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7BC1956"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rPr>
            </w:pPr>
            <w:r w:rsidRPr="00236418">
              <w:rPr>
                <w:rFonts w:asciiTheme="minorHAnsi" w:eastAsia="Batang" w:hAnsiTheme="minorHAnsi" w:cs="Calibri"/>
                <w:color w:val="000000"/>
                <w:sz w:val="22"/>
                <w:szCs w:val="22"/>
              </w:rPr>
              <w:t>–</w:t>
            </w:r>
            <w:r w:rsidRPr="00236418">
              <w:rPr>
                <w:rFonts w:asciiTheme="minorHAnsi" w:eastAsia="Batang" w:hAnsiTheme="minorHAnsi"/>
                <w:sz w:val="22"/>
                <w:szCs w:val="22"/>
              </w:rPr>
              <w:tab/>
              <w:t>Agence Tunisienne d'Internet (ATI), Tunis</w:t>
            </w:r>
          </w:p>
        </w:tc>
        <w:tc>
          <w:tcPr>
            <w:tcW w:w="1296" w:type="dxa"/>
            <w:tcBorders>
              <w:top w:val="nil"/>
              <w:left w:val="single" w:sz="4" w:space="0" w:color="auto"/>
              <w:bottom w:val="nil"/>
              <w:right w:val="single" w:sz="4" w:space="0" w:color="auto"/>
            </w:tcBorders>
            <w:noWrap/>
            <w:vAlign w:val="bottom"/>
          </w:tcPr>
          <w:p w14:paraId="7624BB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2018</w:t>
            </w:r>
          </w:p>
        </w:tc>
        <w:tc>
          <w:tcPr>
            <w:tcW w:w="1611" w:type="dxa"/>
            <w:noWrap/>
            <w:vAlign w:val="bottom"/>
          </w:tcPr>
          <w:p w14:paraId="7A26E92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9 453,55</w:t>
            </w:r>
          </w:p>
        </w:tc>
        <w:tc>
          <w:tcPr>
            <w:tcW w:w="1333" w:type="dxa"/>
            <w:tcBorders>
              <w:top w:val="nil"/>
              <w:left w:val="single" w:sz="4" w:space="0" w:color="auto"/>
              <w:bottom w:val="nil"/>
              <w:right w:val="single" w:sz="4" w:space="0" w:color="auto"/>
            </w:tcBorders>
            <w:noWrap/>
            <w:vAlign w:val="bottom"/>
          </w:tcPr>
          <w:p w14:paraId="41CA9A3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1489FF6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9 453,55</w:t>
            </w:r>
          </w:p>
        </w:tc>
      </w:tr>
      <w:tr w:rsidR="00862C6F" w:rsidRPr="00236418" w14:paraId="44E830F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0D6698F"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cs="Calibri"/>
                <w:color w:val="000000"/>
                <w:sz w:val="22"/>
                <w:szCs w:val="22"/>
              </w:rPr>
              <w:t>–</w:t>
            </w:r>
            <w:r w:rsidRPr="00236418">
              <w:rPr>
                <w:rFonts w:asciiTheme="minorHAnsi" w:eastAsia="Batang" w:hAnsiTheme="minorHAnsi"/>
                <w:sz w:val="22"/>
                <w:szCs w:val="22"/>
              </w:rPr>
              <w:tab/>
              <w:t>École Nationale d'Ingénieurs de Tunis, Tunis</w:t>
            </w:r>
          </w:p>
        </w:tc>
        <w:tc>
          <w:tcPr>
            <w:tcW w:w="1296" w:type="dxa"/>
            <w:tcBorders>
              <w:top w:val="nil"/>
              <w:left w:val="single" w:sz="4" w:space="0" w:color="auto"/>
              <w:bottom w:val="nil"/>
              <w:right w:val="single" w:sz="4" w:space="0" w:color="auto"/>
            </w:tcBorders>
            <w:noWrap/>
            <w:vAlign w:val="bottom"/>
            <w:hideMark/>
          </w:tcPr>
          <w:p w14:paraId="7C9C6BA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2011-2012</w:t>
            </w:r>
          </w:p>
        </w:tc>
        <w:tc>
          <w:tcPr>
            <w:tcW w:w="1611" w:type="dxa"/>
            <w:noWrap/>
            <w:vAlign w:val="bottom"/>
            <w:hideMark/>
          </w:tcPr>
          <w:p w14:paraId="17DB34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11 831,09</w:t>
            </w:r>
          </w:p>
        </w:tc>
        <w:tc>
          <w:tcPr>
            <w:tcW w:w="1333" w:type="dxa"/>
            <w:tcBorders>
              <w:top w:val="nil"/>
              <w:left w:val="single" w:sz="4" w:space="0" w:color="auto"/>
              <w:bottom w:val="nil"/>
              <w:right w:val="single" w:sz="4" w:space="0" w:color="auto"/>
            </w:tcBorders>
            <w:noWrap/>
            <w:vAlign w:val="bottom"/>
            <w:hideMark/>
          </w:tcPr>
          <w:p w14:paraId="4F8CE53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6B41585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11 831,09</w:t>
            </w:r>
          </w:p>
        </w:tc>
      </w:tr>
      <w:tr w:rsidR="00862C6F" w:rsidRPr="00236418" w14:paraId="06C0994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AAB68B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rPr>
            </w:pPr>
            <w:r w:rsidRPr="00236418">
              <w:rPr>
                <w:rFonts w:asciiTheme="minorHAnsi" w:eastAsia="Batang" w:hAnsiTheme="minorHAnsi" w:cs="Calibri"/>
                <w:color w:val="000000"/>
                <w:sz w:val="22"/>
                <w:szCs w:val="22"/>
              </w:rPr>
              <w:t>–</w:t>
            </w:r>
            <w:r w:rsidRPr="00236418">
              <w:rPr>
                <w:rFonts w:asciiTheme="minorHAnsi" w:eastAsia="Batang" w:hAnsiTheme="minorHAnsi"/>
                <w:sz w:val="22"/>
                <w:szCs w:val="22"/>
              </w:rPr>
              <w:tab/>
              <w:t>École Supérieure des Communications de Tunis (</w:t>
            </w:r>
            <w:proofErr w:type="spellStart"/>
            <w:r w:rsidRPr="00236418">
              <w:rPr>
                <w:rFonts w:asciiTheme="minorHAnsi" w:eastAsia="Batang" w:hAnsiTheme="minorHAnsi"/>
                <w:sz w:val="22"/>
                <w:szCs w:val="22"/>
              </w:rPr>
              <w:t>Sup'Com</w:t>
            </w:r>
            <w:proofErr w:type="spellEnd"/>
            <w:r w:rsidRPr="00236418">
              <w:rPr>
                <w:rFonts w:asciiTheme="minorHAnsi" w:eastAsia="Batang" w:hAnsiTheme="minorHAnsi"/>
                <w:sz w:val="22"/>
                <w:szCs w:val="22"/>
              </w:rPr>
              <w:t>), Tunis</w:t>
            </w:r>
          </w:p>
        </w:tc>
        <w:tc>
          <w:tcPr>
            <w:tcW w:w="1296" w:type="dxa"/>
            <w:tcBorders>
              <w:top w:val="nil"/>
              <w:left w:val="single" w:sz="4" w:space="0" w:color="auto"/>
              <w:bottom w:val="nil"/>
              <w:right w:val="single" w:sz="4" w:space="0" w:color="auto"/>
            </w:tcBorders>
            <w:noWrap/>
            <w:vAlign w:val="bottom"/>
          </w:tcPr>
          <w:p w14:paraId="3CDC3CE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2017-2018</w:t>
            </w:r>
          </w:p>
        </w:tc>
        <w:tc>
          <w:tcPr>
            <w:tcW w:w="1611" w:type="dxa"/>
            <w:noWrap/>
            <w:vAlign w:val="bottom"/>
          </w:tcPr>
          <w:p w14:paraId="6818FAE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2 259,95</w:t>
            </w:r>
          </w:p>
        </w:tc>
        <w:tc>
          <w:tcPr>
            <w:tcW w:w="1333" w:type="dxa"/>
            <w:tcBorders>
              <w:top w:val="nil"/>
              <w:left w:val="single" w:sz="4" w:space="0" w:color="auto"/>
              <w:bottom w:val="nil"/>
              <w:right w:val="single" w:sz="4" w:space="0" w:color="auto"/>
            </w:tcBorders>
            <w:noWrap/>
            <w:vAlign w:val="bottom"/>
          </w:tcPr>
          <w:p w14:paraId="215F38D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5D14EC7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2 259,95</w:t>
            </w:r>
          </w:p>
        </w:tc>
      </w:tr>
      <w:tr w:rsidR="00862C6F" w:rsidRPr="00236418" w14:paraId="48F93C4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5C5F36B"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rPr>
            </w:pPr>
            <w:r w:rsidRPr="00236418">
              <w:rPr>
                <w:rFonts w:asciiTheme="minorHAnsi" w:eastAsia="Batang" w:hAnsiTheme="minorHAnsi" w:cs="Calibri"/>
                <w:color w:val="000000"/>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Orascom</w:t>
            </w:r>
            <w:proofErr w:type="spellEnd"/>
            <w:r w:rsidRPr="00236418">
              <w:rPr>
                <w:rFonts w:asciiTheme="minorHAnsi" w:eastAsia="Batang" w:hAnsiTheme="minorHAnsi"/>
                <w:sz w:val="22"/>
                <w:szCs w:val="22"/>
              </w:rPr>
              <w:t xml:space="preserve"> Telecom Tunisie, Tunis</w:t>
            </w:r>
          </w:p>
        </w:tc>
        <w:tc>
          <w:tcPr>
            <w:tcW w:w="1296" w:type="dxa"/>
            <w:tcBorders>
              <w:top w:val="nil"/>
              <w:left w:val="single" w:sz="4" w:space="0" w:color="auto"/>
              <w:bottom w:val="nil"/>
              <w:right w:val="single" w:sz="4" w:space="0" w:color="auto"/>
            </w:tcBorders>
            <w:noWrap/>
            <w:vAlign w:val="bottom"/>
          </w:tcPr>
          <w:p w14:paraId="36181E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2013</w:t>
            </w:r>
          </w:p>
        </w:tc>
        <w:tc>
          <w:tcPr>
            <w:tcW w:w="1611" w:type="dxa"/>
            <w:noWrap/>
            <w:vAlign w:val="bottom"/>
          </w:tcPr>
          <w:p w14:paraId="5658B0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5 850,10</w:t>
            </w:r>
          </w:p>
        </w:tc>
        <w:tc>
          <w:tcPr>
            <w:tcW w:w="1333" w:type="dxa"/>
            <w:tcBorders>
              <w:top w:val="nil"/>
              <w:left w:val="single" w:sz="4" w:space="0" w:color="auto"/>
              <w:bottom w:val="nil"/>
              <w:right w:val="single" w:sz="4" w:space="0" w:color="auto"/>
            </w:tcBorders>
            <w:noWrap/>
            <w:vAlign w:val="bottom"/>
          </w:tcPr>
          <w:p w14:paraId="2367091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42D38DF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5 850,10</w:t>
            </w:r>
          </w:p>
        </w:tc>
      </w:tr>
      <w:tr w:rsidR="00862C6F" w:rsidRPr="00236418" w14:paraId="09515A9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C8B4971"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rPr>
            </w:pPr>
            <w:r w:rsidRPr="00236418">
              <w:rPr>
                <w:rFonts w:asciiTheme="minorHAnsi" w:eastAsia="Batang" w:hAnsiTheme="minorHAnsi" w:cs="Calibri"/>
                <w:color w:val="000000"/>
                <w:sz w:val="22"/>
                <w:szCs w:val="22"/>
              </w:rPr>
              <w:t>–</w:t>
            </w:r>
            <w:r w:rsidRPr="00236418">
              <w:rPr>
                <w:rFonts w:asciiTheme="minorHAnsi" w:eastAsia="Batang" w:hAnsiTheme="minorHAnsi"/>
                <w:sz w:val="22"/>
                <w:szCs w:val="22"/>
              </w:rPr>
              <w:tab/>
              <w:t>Prisma, Tunis</w:t>
            </w:r>
          </w:p>
        </w:tc>
        <w:tc>
          <w:tcPr>
            <w:tcW w:w="1296" w:type="dxa"/>
            <w:tcBorders>
              <w:top w:val="nil"/>
              <w:left w:val="single" w:sz="4" w:space="0" w:color="auto"/>
              <w:bottom w:val="nil"/>
              <w:right w:val="single" w:sz="4" w:space="0" w:color="auto"/>
            </w:tcBorders>
            <w:noWrap/>
            <w:vAlign w:val="bottom"/>
          </w:tcPr>
          <w:p w14:paraId="268D240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2015-2018</w:t>
            </w:r>
          </w:p>
        </w:tc>
        <w:tc>
          <w:tcPr>
            <w:tcW w:w="1611" w:type="dxa"/>
            <w:noWrap/>
            <w:vAlign w:val="bottom"/>
          </w:tcPr>
          <w:p w14:paraId="0FAB1D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12 007,15</w:t>
            </w:r>
          </w:p>
        </w:tc>
        <w:tc>
          <w:tcPr>
            <w:tcW w:w="1333" w:type="dxa"/>
            <w:tcBorders>
              <w:top w:val="nil"/>
              <w:left w:val="single" w:sz="4" w:space="0" w:color="auto"/>
              <w:bottom w:val="nil"/>
              <w:right w:val="single" w:sz="4" w:space="0" w:color="auto"/>
            </w:tcBorders>
            <w:noWrap/>
            <w:vAlign w:val="bottom"/>
          </w:tcPr>
          <w:p w14:paraId="32A2D00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2B12BFB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12 007,15</w:t>
            </w:r>
          </w:p>
        </w:tc>
      </w:tr>
      <w:tr w:rsidR="00862C6F" w:rsidRPr="00236418" w14:paraId="6FC84EEB"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10C686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Telnet Technocentre, Tunis</w:t>
            </w:r>
          </w:p>
        </w:tc>
        <w:tc>
          <w:tcPr>
            <w:tcW w:w="1296" w:type="dxa"/>
            <w:tcBorders>
              <w:top w:val="nil"/>
              <w:left w:val="single" w:sz="4" w:space="0" w:color="auto"/>
              <w:bottom w:val="single" w:sz="4" w:space="0" w:color="auto"/>
              <w:right w:val="single" w:sz="4" w:space="0" w:color="auto"/>
            </w:tcBorders>
            <w:noWrap/>
            <w:vAlign w:val="bottom"/>
            <w:hideMark/>
          </w:tcPr>
          <w:p w14:paraId="240D4D2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2012-2017</w:t>
            </w:r>
          </w:p>
        </w:tc>
        <w:tc>
          <w:tcPr>
            <w:tcW w:w="1611" w:type="dxa"/>
            <w:tcBorders>
              <w:top w:val="nil"/>
              <w:left w:val="nil"/>
              <w:bottom w:val="single" w:sz="4" w:space="0" w:color="auto"/>
              <w:right w:val="nil"/>
            </w:tcBorders>
            <w:noWrap/>
            <w:vAlign w:val="bottom"/>
            <w:hideMark/>
          </w:tcPr>
          <w:p w14:paraId="2D56551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13 232,15</w:t>
            </w:r>
          </w:p>
        </w:tc>
        <w:tc>
          <w:tcPr>
            <w:tcW w:w="1333" w:type="dxa"/>
            <w:tcBorders>
              <w:top w:val="nil"/>
              <w:left w:val="single" w:sz="4" w:space="0" w:color="auto"/>
              <w:bottom w:val="single" w:sz="4" w:space="0" w:color="auto"/>
              <w:right w:val="single" w:sz="4" w:space="0" w:color="auto"/>
            </w:tcBorders>
            <w:noWrap/>
            <w:vAlign w:val="bottom"/>
            <w:hideMark/>
          </w:tcPr>
          <w:p w14:paraId="640B57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single" w:sz="4" w:space="0" w:color="auto"/>
              <w:right w:val="single" w:sz="4" w:space="0" w:color="auto"/>
            </w:tcBorders>
            <w:noWrap/>
            <w:vAlign w:val="bottom"/>
            <w:hideMark/>
          </w:tcPr>
          <w:p w14:paraId="22353F4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13 232,15</w:t>
            </w:r>
          </w:p>
        </w:tc>
      </w:tr>
      <w:tr w:rsidR="00862C6F" w:rsidRPr="00236418" w14:paraId="2A44B54C" w14:textId="77777777" w:rsidTr="00620F53">
        <w:trPr>
          <w:trHeight w:val="242"/>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728870F3" w14:textId="77777777" w:rsidR="00862C6F" w:rsidRPr="00236418" w:rsidRDefault="00862C6F" w:rsidP="00862C6F">
            <w:pPr>
              <w:rPr>
                <w:rFonts w:asciiTheme="minorHAnsi" w:hAnsiTheme="minorHAnsi"/>
                <w:b/>
                <w:bCs/>
                <w:sz w:val="22"/>
                <w:szCs w:val="22"/>
              </w:rPr>
            </w:pPr>
            <w:r w:rsidRPr="00236418">
              <w:rPr>
                <w:rFonts w:asciiTheme="minorHAnsi" w:hAnsiTheme="minorHAnsi"/>
                <w:b/>
                <w:bCs/>
                <w:sz w:val="22"/>
                <w:szCs w:val="22"/>
              </w:rPr>
              <w:t>Ukraine</w:t>
            </w:r>
          </w:p>
        </w:tc>
        <w:tc>
          <w:tcPr>
            <w:tcW w:w="1296" w:type="dxa"/>
            <w:tcBorders>
              <w:top w:val="nil"/>
              <w:left w:val="single" w:sz="4" w:space="0" w:color="auto"/>
              <w:bottom w:val="nil"/>
              <w:right w:val="single" w:sz="4" w:space="0" w:color="auto"/>
            </w:tcBorders>
            <w:shd w:val="clear" w:color="auto" w:fill="auto"/>
            <w:noWrap/>
            <w:vAlign w:val="bottom"/>
          </w:tcPr>
          <w:p w14:paraId="7762038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062F1A0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580573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643A43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7BEE5F24"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28EBFB14" w14:textId="77777777" w:rsidR="00862C6F" w:rsidRPr="00596807" w:rsidRDefault="00862C6F" w:rsidP="00862C6F">
            <w:pPr>
              <w:tabs>
                <w:tab w:val="clear" w:pos="567"/>
                <w:tab w:val="left" w:pos="318"/>
              </w:tabs>
              <w:ind w:left="318" w:hanging="318"/>
              <w:rPr>
                <w:rFonts w:asciiTheme="minorHAnsi" w:hAnsiTheme="minorHAnsi"/>
                <w:sz w:val="22"/>
                <w:szCs w:val="22"/>
                <w:lang w:val="en-US"/>
              </w:rPr>
            </w:pPr>
            <w:r w:rsidRPr="00596807">
              <w:rPr>
                <w:rFonts w:asciiTheme="minorHAnsi" w:hAnsiTheme="minorHAnsi" w:cs="Calibri"/>
                <w:color w:val="000000"/>
                <w:sz w:val="22"/>
                <w:szCs w:val="22"/>
                <w:lang w:val="en-US"/>
              </w:rPr>
              <w:t>–</w:t>
            </w:r>
            <w:r w:rsidRPr="00596807">
              <w:rPr>
                <w:rFonts w:asciiTheme="minorHAnsi" w:hAnsiTheme="minorHAnsi" w:cs="Calibri"/>
                <w:color w:val="000000"/>
                <w:sz w:val="22"/>
                <w:szCs w:val="22"/>
                <w:lang w:val="en-US"/>
              </w:rPr>
              <w:tab/>
            </w:r>
            <w:r w:rsidRPr="00596807">
              <w:rPr>
                <w:rFonts w:asciiTheme="minorHAnsi" w:hAnsiTheme="minorHAnsi"/>
                <w:sz w:val="22"/>
                <w:szCs w:val="22"/>
                <w:lang w:val="en-US"/>
              </w:rPr>
              <w:t>Ukrainian National Information Systems, Kiev</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00BF94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2014-2015</w:t>
            </w:r>
          </w:p>
        </w:tc>
        <w:tc>
          <w:tcPr>
            <w:tcW w:w="1611" w:type="dxa"/>
            <w:tcBorders>
              <w:top w:val="nil"/>
              <w:left w:val="nil"/>
              <w:bottom w:val="single" w:sz="4" w:space="0" w:color="auto"/>
              <w:right w:val="nil"/>
            </w:tcBorders>
            <w:shd w:val="clear" w:color="auto" w:fill="auto"/>
            <w:noWrap/>
            <w:vAlign w:val="bottom"/>
          </w:tcPr>
          <w:p w14:paraId="66669F1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21 503,19</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09F1F2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1F9819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21 503,19</w:t>
            </w:r>
          </w:p>
        </w:tc>
      </w:tr>
      <w:tr w:rsidR="00862C6F" w:rsidRPr="00236418" w14:paraId="416D02D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02C4D2A1" w14:textId="77777777" w:rsidR="00862C6F" w:rsidRPr="00236418" w:rsidRDefault="00862C6F" w:rsidP="00862C6F">
            <w:pPr>
              <w:rPr>
                <w:b/>
                <w:bCs/>
                <w:sz w:val="22"/>
                <w:szCs w:val="22"/>
              </w:rPr>
            </w:pPr>
            <w:r w:rsidRPr="00236418">
              <w:rPr>
                <w:b/>
                <w:bCs/>
                <w:sz w:val="22"/>
                <w:szCs w:val="22"/>
              </w:rPr>
              <w:t>Émirats arabes Unis</w:t>
            </w:r>
          </w:p>
        </w:tc>
        <w:tc>
          <w:tcPr>
            <w:tcW w:w="1296" w:type="dxa"/>
            <w:tcBorders>
              <w:top w:val="nil"/>
              <w:left w:val="single" w:sz="4" w:space="0" w:color="auto"/>
              <w:bottom w:val="nil"/>
              <w:right w:val="single" w:sz="4" w:space="0" w:color="auto"/>
            </w:tcBorders>
            <w:shd w:val="clear" w:color="auto" w:fill="auto"/>
            <w:noWrap/>
            <w:vAlign w:val="bottom"/>
          </w:tcPr>
          <w:p w14:paraId="53D1295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1A2C4A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303C653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1802E08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16667717"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0E13FEB4" w14:textId="77777777" w:rsidR="00862C6F" w:rsidRPr="00236418" w:rsidRDefault="00862C6F" w:rsidP="00862C6F">
            <w:pPr>
              <w:tabs>
                <w:tab w:val="clear" w:pos="567"/>
                <w:tab w:val="left" w:pos="318"/>
              </w:tabs>
              <w:ind w:left="318" w:hanging="318"/>
              <w:rPr>
                <w:sz w:val="22"/>
                <w:szCs w:val="22"/>
              </w:rPr>
            </w:pPr>
            <w:r w:rsidRPr="00236418">
              <w:rPr>
                <w:sz w:val="22"/>
                <w:szCs w:val="22"/>
              </w:rPr>
              <w:t>–</w:t>
            </w:r>
            <w:r w:rsidRPr="00236418">
              <w:rPr>
                <w:sz w:val="22"/>
                <w:szCs w:val="22"/>
              </w:rPr>
              <w:tab/>
            </w:r>
            <w:r w:rsidRPr="00236418">
              <w:rPr>
                <w:rFonts w:asciiTheme="minorHAnsi" w:hAnsiTheme="minorHAnsi"/>
                <w:sz w:val="22"/>
                <w:szCs w:val="22"/>
              </w:rPr>
              <w:t>Université américaine de Dubaï, Dubaï</w:t>
            </w:r>
          </w:p>
        </w:tc>
        <w:tc>
          <w:tcPr>
            <w:tcW w:w="1296" w:type="dxa"/>
            <w:tcBorders>
              <w:top w:val="nil"/>
              <w:left w:val="single" w:sz="4" w:space="0" w:color="auto"/>
              <w:bottom w:val="nil"/>
              <w:right w:val="single" w:sz="4" w:space="0" w:color="auto"/>
            </w:tcBorders>
            <w:shd w:val="clear" w:color="auto" w:fill="auto"/>
            <w:noWrap/>
            <w:vAlign w:val="bottom"/>
          </w:tcPr>
          <w:p w14:paraId="301F032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2014</w:t>
            </w:r>
          </w:p>
        </w:tc>
        <w:tc>
          <w:tcPr>
            <w:tcW w:w="1611" w:type="dxa"/>
            <w:noWrap/>
            <w:vAlign w:val="bottom"/>
          </w:tcPr>
          <w:p w14:paraId="30C7C44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2 759,45</w:t>
            </w:r>
          </w:p>
        </w:tc>
        <w:tc>
          <w:tcPr>
            <w:tcW w:w="1333" w:type="dxa"/>
            <w:tcBorders>
              <w:top w:val="nil"/>
              <w:left w:val="single" w:sz="4" w:space="0" w:color="auto"/>
              <w:bottom w:val="nil"/>
              <w:right w:val="single" w:sz="4" w:space="0" w:color="auto"/>
            </w:tcBorders>
            <w:shd w:val="clear" w:color="auto" w:fill="auto"/>
            <w:noWrap/>
            <w:vAlign w:val="bottom"/>
          </w:tcPr>
          <w:p w14:paraId="7AC0E5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552F65E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2 759,45</w:t>
            </w:r>
          </w:p>
        </w:tc>
      </w:tr>
      <w:tr w:rsidR="00862C6F" w:rsidRPr="00236418" w14:paraId="189AE45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73F36B18" w14:textId="77777777" w:rsidR="00862C6F" w:rsidRPr="00236418" w:rsidRDefault="00862C6F" w:rsidP="00862C6F">
            <w:pPr>
              <w:tabs>
                <w:tab w:val="clear" w:pos="567"/>
                <w:tab w:val="left" w:pos="318"/>
              </w:tabs>
              <w:rPr>
                <w:sz w:val="22"/>
                <w:szCs w:val="22"/>
              </w:rPr>
            </w:pPr>
            <w:r w:rsidRPr="00236418">
              <w:rPr>
                <w:sz w:val="22"/>
                <w:szCs w:val="22"/>
              </w:rPr>
              <w:t>–</w:t>
            </w:r>
            <w:r w:rsidRPr="00236418">
              <w:rPr>
                <w:sz w:val="22"/>
                <w:szCs w:val="22"/>
              </w:rPr>
              <w:tab/>
            </w:r>
            <w:proofErr w:type="spellStart"/>
            <w:r w:rsidRPr="00236418">
              <w:rPr>
                <w:sz w:val="22"/>
                <w:szCs w:val="22"/>
              </w:rPr>
              <w:t>Teralight</w:t>
            </w:r>
            <w:proofErr w:type="spellEnd"/>
            <w:r w:rsidRPr="00236418">
              <w:rPr>
                <w:sz w:val="22"/>
                <w:szCs w:val="22"/>
              </w:rPr>
              <w:t>, FZ LLC, Dubaï</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5C606B5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w:t>
            </w:r>
          </w:p>
        </w:tc>
        <w:tc>
          <w:tcPr>
            <w:tcW w:w="1611" w:type="dxa"/>
            <w:tcBorders>
              <w:top w:val="nil"/>
              <w:left w:val="nil"/>
              <w:bottom w:val="single" w:sz="4" w:space="0" w:color="auto"/>
              <w:right w:val="nil"/>
            </w:tcBorders>
            <w:noWrap/>
            <w:vAlign w:val="bottom"/>
          </w:tcPr>
          <w:p w14:paraId="7A0280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4 911,85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CFD536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D75BB3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4 911,85</w:t>
            </w:r>
          </w:p>
        </w:tc>
      </w:tr>
      <w:tr w:rsidR="00862C6F" w:rsidRPr="00236418" w14:paraId="28B8A5D1" w14:textId="77777777" w:rsidTr="00620F53">
        <w:trPr>
          <w:trHeight w:val="6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9360D5C"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Royaume-Uni de Grande-Bretagne et d'Irlande du Nord</w:t>
            </w:r>
          </w:p>
        </w:tc>
        <w:tc>
          <w:tcPr>
            <w:tcW w:w="1296" w:type="dxa"/>
            <w:tcBorders>
              <w:top w:val="nil"/>
              <w:left w:val="single" w:sz="4" w:space="0" w:color="auto"/>
              <w:bottom w:val="nil"/>
              <w:right w:val="single" w:sz="4" w:space="0" w:color="auto"/>
            </w:tcBorders>
            <w:shd w:val="clear" w:color="auto" w:fill="auto"/>
            <w:noWrap/>
            <w:vAlign w:val="bottom"/>
            <w:hideMark/>
          </w:tcPr>
          <w:p w14:paraId="79AB47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3AE8CB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FD6B4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3ADC19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157C046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EBE03F7"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KRE Corporate Recovery LLP (Ex, ICO Satellite Limited), Berks</w:t>
            </w:r>
          </w:p>
        </w:tc>
        <w:tc>
          <w:tcPr>
            <w:tcW w:w="1296" w:type="dxa"/>
            <w:tcBorders>
              <w:top w:val="nil"/>
              <w:left w:val="single" w:sz="4" w:space="0" w:color="auto"/>
              <w:bottom w:val="nil"/>
              <w:right w:val="single" w:sz="4" w:space="0" w:color="auto"/>
            </w:tcBorders>
            <w:shd w:val="clear" w:color="auto" w:fill="auto"/>
            <w:noWrap/>
            <w:vAlign w:val="bottom"/>
          </w:tcPr>
          <w:p w14:paraId="6AAAE7A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2012-2013</w:t>
            </w:r>
          </w:p>
        </w:tc>
        <w:tc>
          <w:tcPr>
            <w:tcW w:w="1611" w:type="dxa"/>
            <w:noWrap/>
            <w:vAlign w:val="bottom"/>
          </w:tcPr>
          <w:p w14:paraId="3986ECF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26 815,50</w:t>
            </w:r>
          </w:p>
        </w:tc>
        <w:tc>
          <w:tcPr>
            <w:tcW w:w="1333" w:type="dxa"/>
            <w:tcBorders>
              <w:top w:val="nil"/>
              <w:left w:val="single" w:sz="4" w:space="0" w:color="auto"/>
              <w:bottom w:val="nil"/>
              <w:right w:val="single" w:sz="4" w:space="0" w:color="auto"/>
            </w:tcBorders>
            <w:shd w:val="clear" w:color="auto" w:fill="auto"/>
            <w:noWrap/>
            <w:vAlign w:val="bottom"/>
          </w:tcPr>
          <w:p w14:paraId="083D385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tcPr>
          <w:p w14:paraId="2FA62F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26 815,50</w:t>
            </w:r>
          </w:p>
        </w:tc>
      </w:tr>
      <w:tr w:rsidR="00862C6F" w:rsidRPr="00236418" w14:paraId="211863AA"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1C2A44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 xml:space="preserve">Malden Electronics, </w:t>
            </w:r>
            <w:proofErr w:type="spellStart"/>
            <w:r w:rsidRPr="00236418">
              <w:rPr>
                <w:rFonts w:asciiTheme="minorHAnsi" w:eastAsia="Batang" w:hAnsiTheme="minorHAnsi"/>
                <w:sz w:val="22"/>
                <w:szCs w:val="22"/>
              </w:rPr>
              <w:t>Ewell</w:t>
            </w:r>
            <w:proofErr w:type="spellEnd"/>
          </w:p>
        </w:tc>
        <w:tc>
          <w:tcPr>
            <w:tcW w:w="1296" w:type="dxa"/>
            <w:tcBorders>
              <w:top w:val="nil"/>
              <w:left w:val="single" w:sz="4" w:space="0" w:color="auto"/>
              <w:right w:val="single" w:sz="4" w:space="0" w:color="auto"/>
            </w:tcBorders>
            <w:shd w:val="clear" w:color="auto" w:fill="auto"/>
            <w:noWrap/>
            <w:vAlign w:val="bottom"/>
            <w:hideMark/>
          </w:tcPr>
          <w:p w14:paraId="33246FF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w:t>
            </w:r>
          </w:p>
        </w:tc>
        <w:tc>
          <w:tcPr>
            <w:tcW w:w="1611" w:type="dxa"/>
            <w:noWrap/>
            <w:vAlign w:val="bottom"/>
            <w:hideMark/>
          </w:tcPr>
          <w:p w14:paraId="17E71C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13 098,20</w:t>
            </w:r>
          </w:p>
        </w:tc>
        <w:tc>
          <w:tcPr>
            <w:tcW w:w="1333" w:type="dxa"/>
            <w:tcBorders>
              <w:top w:val="nil"/>
              <w:left w:val="single" w:sz="4" w:space="0" w:color="auto"/>
              <w:right w:val="single" w:sz="4" w:space="0" w:color="auto"/>
            </w:tcBorders>
            <w:shd w:val="clear" w:color="auto" w:fill="auto"/>
            <w:noWrap/>
            <w:vAlign w:val="bottom"/>
            <w:hideMark/>
          </w:tcPr>
          <w:p w14:paraId="18415F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hideMark/>
          </w:tcPr>
          <w:p w14:paraId="1EE70E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13 098,20</w:t>
            </w:r>
          </w:p>
        </w:tc>
      </w:tr>
      <w:tr w:rsidR="00862C6F" w:rsidRPr="00236418" w14:paraId="5BA5263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3FB43FE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Tinklabs</w:t>
            </w:r>
            <w:proofErr w:type="spellEnd"/>
            <w:r w:rsidRPr="00236418">
              <w:rPr>
                <w:rFonts w:asciiTheme="minorHAnsi" w:eastAsia="Batang" w:hAnsiTheme="minorHAnsi"/>
                <w:sz w:val="22"/>
                <w:szCs w:val="22"/>
              </w:rPr>
              <w:t xml:space="preserve"> Limited, Londres</w:t>
            </w:r>
          </w:p>
        </w:tc>
        <w:tc>
          <w:tcPr>
            <w:tcW w:w="1296" w:type="dxa"/>
            <w:tcBorders>
              <w:top w:val="nil"/>
              <w:left w:val="single" w:sz="4" w:space="0" w:color="auto"/>
              <w:right w:val="single" w:sz="4" w:space="0" w:color="auto"/>
            </w:tcBorders>
            <w:shd w:val="clear" w:color="auto" w:fill="auto"/>
            <w:noWrap/>
            <w:vAlign w:val="bottom"/>
          </w:tcPr>
          <w:p w14:paraId="010393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2018</w:t>
            </w:r>
          </w:p>
        </w:tc>
        <w:tc>
          <w:tcPr>
            <w:tcW w:w="1611" w:type="dxa"/>
            <w:noWrap/>
            <w:vAlign w:val="bottom"/>
          </w:tcPr>
          <w:p w14:paraId="0147EDA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10 685,92</w:t>
            </w:r>
          </w:p>
        </w:tc>
        <w:tc>
          <w:tcPr>
            <w:tcW w:w="1333" w:type="dxa"/>
            <w:tcBorders>
              <w:top w:val="nil"/>
              <w:left w:val="single" w:sz="4" w:space="0" w:color="auto"/>
              <w:right w:val="single" w:sz="4" w:space="0" w:color="auto"/>
            </w:tcBorders>
            <w:shd w:val="clear" w:color="auto" w:fill="auto"/>
            <w:noWrap/>
            <w:vAlign w:val="bottom"/>
          </w:tcPr>
          <w:p w14:paraId="3F746B9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tcPr>
          <w:p w14:paraId="7050825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10 685,92</w:t>
            </w:r>
          </w:p>
        </w:tc>
      </w:tr>
      <w:tr w:rsidR="00862C6F" w:rsidRPr="00236418" w14:paraId="2B955A87"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9B7C0F4"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Times Publications Ltd. Londres</w:t>
            </w:r>
          </w:p>
        </w:tc>
        <w:tc>
          <w:tcPr>
            <w:tcW w:w="1296" w:type="dxa"/>
            <w:tcBorders>
              <w:left w:val="single" w:sz="4" w:space="0" w:color="auto"/>
              <w:bottom w:val="single" w:sz="4" w:space="0" w:color="auto"/>
              <w:right w:val="single" w:sz="4" w:space="0" w:color="auto"/>
            </w:tcBorders>
            <w:shd w:val="clear" w:color="auto" w:fill="auto"/>
            <w:noWrap/>
            <w:vAlign w:val="bottom"/>
            <w:hideMark/>
          </w:tcPr>
          <w:p w14:paraId="49723A9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1998-2002</w:t>
            </w:r>
          </w:p>
        </w:tc>
        <w:tc>
          <w:tcPr>
            <w:tcW w:w="1611" w:type="dxa"/>
            <w:tcBorders>
              <w:bottom w:val="single" w:sz="4" w:space="0" w:color="auto"/>
            </w:tcBorders>
            <w:noWrap/>
            <w:vAlign w:val="bottom"/>
            <w:hideMark/>
          </w:tcPr>
          <w:p w14:paraId="3E3E868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87 335,25</w:t>
            </w:r>
          </w:p>
        </w:tc>
        <w:tc>
          <w:tcPr>
            <w:tcW w:w="1333" w:type="dxa"/>
            <w:tcBorders>
              <w:left w:val="single" w:sz="4" w:space="0" w:color="auto"/>
              <w:bottom w:val="single" w:sz="4" w:space="0" w:color="auto"/>
              <w:right w:val="single" w:sz="4" w:space="0" w:color="auto"/>
            </w:tcBorders>
            <w:shd w:val="clear" w:color="auto" w:fill="auto"/>
            <w:noWrap/>
            <w:vAlign w:val="bottom"/>
            <w:hideMark/>
          </w:tcPr>
          <w:p w14:paraId="7FBCA4F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left w:val="nil"/>
              <w:bottom w:val="single" w:sz="4" w:space="0" w:color="auto"/>
              <w:right w:val="single" w:sz="4" w:space="0" w:color="auto"/>
            </w:tcBorders>
            <w:shd w:val="clear" w:color="auto" w:fill="auto"/>
            <w:noWrap/>
            <w:vAlign w:val="bottom"/>
            <w:hideMark/>
          </w:tcPr>
          <w:p w14:paraId="0310839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87 335,25</w:t>
            </w:r>
          </w:p>
        </w:tc>
      </w:tr>
    </w:tbl>
    <w:p w14:paraId="1BBEADA3" w14:textId="77777777" w:rsidR="00862C6F" w:rsidRPr="00236418" w:rsidRDefault="00862C6F" w:rsidP="00862C6F">
      <w:r w:rsidRPr="00236418">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236418" w14:paraId="1E13ACBF" w14:textId="77777777" w:rsidTr="00620F53">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8005B" w14:textId="77777777" w:rsidR="00862C6F" w:rsidRPr="00236418" w:rsidRDefault="00862C6F" w:rsidP="00862C6F">
            <w:pPr>
              <w:tabs>
                <w:tab w:val="clear" w:pos="567"/>
                <w:tab w:val="clear" w:pos="1134"/>
                <w:tab w:val="clear" w:pos="1701"/>
                <w:tab w:val="clear" w:pos="2268"/>
                <w:tab w:val="clear" w:pos="2835"/>
                <w:tab w:val="left" w:pos="277"/>
              </w:tabs>
              <w:spacing w:beforeLines="20" w:before="48" w:afterLines="20" w:after="48"/>
              <w:ind w:left="277" w:hanging="277"/>
              <w:rPr>
                <w:b/>
                <w:sz w:val="22"/>
                <w:szCs w:val="22"/>
              </w:rPr>
            </w:pPr>
            <w:r w:rsidRPr="00236418">
              <w:rPr>
                <w:b/>
                <w:sz w:val="22"/>
                <w:szCs w:val="22"/>
              </w:rPr>
              <w:lastRenderedPageBreak/>
              <w:t>B</w:t>
            </w:r>
            <w:r w:rsidRPr="00236418">
              <w:rPr>
                <w:b/>
                <w:sz w:val="22"/>
                <w:szCs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1CD2A177"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57891630"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412525F9"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492EA8EF" w14:textId="77777777" w:rsidR="00862C6F" w:rsidRPr="00236418" w:rsidRDefault="00862C6F" w:rsidP="00862C6F">
            <w:pPr>
              <w:tabs>
                <w:tab w:val="clear" w:pos="567"/>
                <w:tab w:val="clear" w:pos="1134"/>
                <w:tab w:val="clear" w:pos="1701"/>
                <w:tab w:val="clear" w:pos="2268"/>
                <w:tab w:val="clear" w:pos="2835"/>
              </w:tabs>
              <w:spacing w:before="60" w:after="60"/>
              <w:jc w:val="center"/>
              <w:rPr>
                <w:b/>
                <w:sz w:val="22"/>
                <w:szCs w:val="22"/>
                <w:lang w:eastAsia="zh-CN"/>
              </w:rPr>
            </w:pPr>
            <w:r w:rsidRPr="00236418">
              <w:rPr>
                <w:b/>
                <w:sz w:val="22"/>
                <w:szCs w:val="22"/>
                <w:lang w:eastAsia="zh-CN"/>
              </w:rPr>
              <w:t>Total</w:t>
            </w:r>
          </w:p>
        </w:tc>
      </w:tr>
      <w:tr w:rsidR="00862C6F" w:rsidRPr="00236418" w14:paraId="726CEF0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3D6DFA5"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États-Unis d'Amérique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154EA8F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xml:space="preserve"> </w:t>
            </w:r>
          </w:p>
        </w:tc>
        <w:tc>
          <w:tcPr>
            <w:tcW w:w="1611" w:type="dxa"/>
            <w:tcBorders>
              <w:top w:val="single" w:sz="4" w:space="0" w:color="auto"/>
              <w:left w:val="nil"/>
              <w:bottom w:val="nil"/>
              <w:right w:val="nil"/>
            </w:tcBorders>
            <w:shd w:val="clear" w:color="auto" w:fill="auto"/>
            <w:noWrap/>
            <w:vAlign w:val="bottom"/>
            <w:hideMark/>
          </w:tcPr>
          <w:p w14:paraId="05B5C90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xml:space="preserve">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29EEDB1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xml:space="preserve"> </w:t>
            </w:r>
          </w:p>
        </w:tc>
        <w:tc>
          <w:tcPr>
            <w:tcW w:w="1611" w:type="dxa"/>
            <w:tcBorders>
              <w:top w:val="single" w:sz="4" w:space="0" w:color="auto"/>
              <w:left w:val="nil"/>
              <w:bottom w:val="nil"/>
              <w:right w:val="single" w:sz="4" w:space="0" w:color="auto"/>
            </w:tcBorders>
            <w:shd w:val="clear" w:color="auto" w:fill="auto"/>
            <w:noWrap/>
            <w:vAlign w:val="bottom"/>
            <w:hideMark/>
          </w:tcPr>
          <w:p w14:paraId="4B57628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xml:space="preserve"> </w:t>
            </w:r>
          </w:p>
        </w:tc>
      </w:tr>
      <w:tr w:rsidR="00862C6F" w:rsidRPr="00236418" w14:paraId="35D7C7A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81B9D2A"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Actiontec</w:t>
            </w:r>
            <w:proofErr w:type="spellEnd"/>
            <w:r w:rsidRPr="00236418">
              <w:rPr>
                <w:rFonts w:asciiTheme="minorHAnsi" w:eastAsia="Batang" w:hAnsiTheme="minorHAnsi"/>
                <w:sz w:val="22"/>
                <w:szCs w:val="22"/>
              </w:rPr>
              <w:t xml:space="preserve"> Electronics, Inc., Sunnyvale</w:t>
            </w:r>
          </w:p>
        </w:tc>
        <w:tc>
          <w:tcPr>
            <w:tcW w:w="1296" w:type="dxa"/>
            <w:tcBorders>
              <w:top w:val="nil"/>
              <w:left w:val="single" w:sz="4" w:space="0" w:color="auto"/>
              <w:bottom w:val="nil"/>
              <w:right w:val="single" w:sz="4" w:space="0" w:color="auto"/>
            </w:tcBorders>
            <w:noWrap/>
            <w:vAlign w:val="bottom"/>
            <w:hideMark/>
          </w:tcPr>
          <w:p w14:paraId="36692D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2008</w:t>
            </w:r>
          </w:p>
        </w:tc>
        <w:tc>
          <w:tcPr>
            <w:tcW w:w="1611" w:type="dxa"/>
            <w:noWrap/>
            <w:vAlign w:val="bottom"/>
            <w:hideMark/>
          </w:tcPr>
          <w:p w14:paraId="7BF7C84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20 876,55</w:t>
            </w:r>
          </w:p>
        </w:tc>
        <w:tc>
          <w:tcPr>
            <w:tcW w:w="1333" w:type="dxa"/>
            <w:tcBorders>
              <w:top w:val="nil"/>
              <w:left w:val="single" w:sz="4" w:space="0" w:color="auto"/>
              <w:bottom w:val="nil"/>
              <w:right w:val="single" w:sz="4" w:space="0" w:color="auto"/>
            </w:tcBorders>
            <w:noWrap/>
            <w:vAlign w:val="bottom"/>
            <w:hideMark/>
          </w:tcPr>
          <w:p w14:paraId="6BCC3C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1545E7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20 876,55</w:t>
            </w:r>
          </w:p>
        </w:tc>
      </w:tr>
      <w:tr w:rsidR="00862C6F" w:rsidRPr="00236418" w14:paraId="0EAA02E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2122509" w14:textId="77777777" w:rsidR="00862C6F" w:rsidRPr="00236418" w:rsidRDefault="00862C6F" w:rsidP="00862C6F">
            <w:pPr>
              <w:tabs>
                <w:tab w:val="clear" w:pos="567"/>
                <w:tab w:val="left" w:pos="284"/>
                <w:tab w:val="left" w:pos="318"/>
              </w:tabs>
              <w:rPr>
                <w:sz w:val="22"/>
                <w:szCs w:val="22"/>
              </w:rPr>
            </w:pPr>
            <w:r w:rsidRPr="00236418">
              <w:rPr>
                <w:sz w:val="22"/>
                <w:szCs w:val="22"/>
              </w:rPr>
              <w:t>–</w:t>
            </w:r>
            <w:r w:rsidRPr="00236418">
              <w:rPr>
                <w:sz w:val="22"/>
                <w:szCs w:val="22"/>
              </w:rPr>
              <w:tab/>
            </w:r>
            <w:proofErr w:type="spellStart"/>
            <w:r w:rsidRPr="00236418">
              <w:rPr>
                <w:sz w:val="22"/>
                <w:szCs w:val="22"/>
              </w:rPr>
              <w:t>Animatele</w:t>
            </w:r>
            <w:proofErr w:type="spellEnd"/>
            <w:r w:rsidRPr="00236418">
              <w:rPr>
                <w:sz w:val="22"/>
                <w:szCs w:val="22"/>
              </w:rPr>
              <w:t xml:space="preserve"> Inc., New York</w:t>
            </w:r>
          </w:p>
        </w:tc>
        <w:tc>
          <w:tcPr>
            <w:tcW w:w="1296" w:type="dxa"/>
            <w:tcBorders>
              <w:top w:val="nil"/>
              <w:left w:val="single" w:sz="4" w:space="0" w:color="auto"/>
              <w:bottom w:val="nil"/>
              <w:right w:val="single" w:sz="4" w:space="0" w:color="auto"/>
            </w:tcBorders>
            <w:noWrap/>
            <w:vAlign w:val="bottom"/>
            <w:hideMark/>
          </w:tcPr>
          <w:p w14:paraId="7D2390E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2011</w:t>
            </w:r>
          </w:p>
        </w:tc>
        <w:tc>
          <w:tcPr>
            <w:tcW w:w="1611" w:type="dxa"/>
            <w:noWrap/>
            <w:vAlign w:val="bottom"/>
            <w:hideMark/>
          </w:tcPr>
          <w:p w14:paraId="587BB8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17 528,35</w:t>
            </w:r>
          </w:p>
        </w:tc>
        <w:tc>
          <w:tcPr>
            <w:tcW w:w="1333" w:type="dxa"/>
            <w:tcBorders>
              <w:top w:val="nil"/>
              <w:left w:val="single" w:sz="4" w:space="0" w:color="auto"/>
              <w:bottom w:val="nil"/>
              <w:right w:val="single" w:sz="4" w:space="0" w:color="auto"/>
            </w:tcBorders>
            <w:noWrap/>
            <w:vAlign w:val="bottom"/>
            <w:hideMark/>
          </w:tcPr>
          <w:p w14:paraId="1D732F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66DEDBF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17 528,35</w:t>
            </w:r>
          </w:p>
        </w:tc>
      </w:tr>
      <w:tr w:rsidR="00862C6F" w:rsidRPr="00236418" w14:paraId="7708F85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B3D2B49" w14:textId="77777777" w:rsidR="00862C6F" w:rsidRPr="00236418" w:rsidRDefault="00862C6F" w:rsidP="00862C6F">
            <w:pPr>
              <w:tabs>
                <w:tab w:val="clear" w:pos="567"/>
                <w:tab w:val="left" w:pos="284"/>
                <w:tab w:val="left" w:pos="318"/>
              </w:tabs>
              <w:rPr>
                <w:sz w:val="22"/>
                <w:szCs w:val="22"/>
              </w:rPr>
            </w:pPr>
            <w:r w:rsidRPr="00236418">
              <w:rPr>
                <w:sz w:val="22"/>
                <w:szCs w:val="22"/>
              </w:rPr>
              <w:t>–</w:t>
            </w:r>
            <w:r w:rsidRPr="00236418">
              <w:rPr>
                <w:sz w:val="22"/>
                <w:szCs w:val="22"/>
              </w:rPr>
              <w:tab/>
              <w:t>AOL, New York</w:t>
            </w:r>
          </w:p>
        </w:tc>
        <w:tc>
          <w:tcPr>
            <w:tcW w:w="1296" w:type="dxa"/>
            <w:tcBorders>
              <w:top w:val="nil"/>
              <w:left w:val="single" w:sz="4" w:space="0" w:color="auto"/>
              <w:bottom w:val="nil"/>
              <w:right w:val="single" w:sz="4" w:space="0" w:color="auto"/>
            </w:tcBorders>
            <w:noWrap/>
            <w:vAlign w:val="bottom"/>
          </w:tcPr>
          <w:p w14:paraId="64B256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2002-2003</w:t>
            </w:r>
          </w:p>
        </w:tc>
        <w:tc>
          <w:tcPr>
            <w:tcW w:w="1611" w:type="dxa"/>
            <w:noWrap/>
            <w:vAlign w:val="bottom"/>
          </w:tcPr>
          <w:p w14:paraId="28A0E1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213 415,60</w:t>
            </w:r>
          </w:p>
        </w:tc>
        <w:tc>
          <w:tcPr>
            <w:tcW w:w="1333" w:type="dxa"/>
            <w:tcBorders>
              <w:top w:val="nil"/>
              <w:left w:val="single" w:sz="4" w:space="0" w:color="auto"/>
              <w:bottom w:val="nil"/>
              <w:right w:val="single" w:sz="4" w:space="0" w:color="auto"/>
            </w:tcBorders>
            <w:noWrap/>
            <w:vAlign w:val="bottom"/>
          </w:tcPr>
          <w:p w14:paraId="3EEC4E1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0A7CF67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213 415,60</w:t>
            </w:r>
          </w:p>
        </w:tc>
      </w:tr>
      <w:tr w:rsidR="00862C6F" w:rsidRPr="00236418" w14:paraId="0CE85685"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E2C2721"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theme="minorHAnsi"/>
                <w:sz w:val="22"/>
                <w:szCs w:val="22"/>
                <w:lang w:val="en-US"/>
              </w:rPr>
            </w:pPr>
            <w:r w:rsidRPr="00596807">
              <w:rPr>
                <w:rFonts w:asciiTheme="minorHAnsi" w:eastAsia="Batang" w:hAnsiTheme="minorHAnsi" w:cstheme="minorHAnsi"/>
                <w:sz w:val="22"/>
                <w:szCs w:val="22"/>
                <w:lang w:val="en-US"/>
              </w:rPr>
              <w:t>–</w:t>
            </w:r>
            <w:r w:rsidRPr="00596807">
              <w:rPr>
                <w:rFonts w:asciiTheme="minorHAnsi" w:eastAsia="Batang" w:hAnsiTheme="minorHAnsi" w:cstheme="minorHAnsi"/>
                <w:sz w:val="22"/>
                <w:szCs w:val="22"/>
                <w:lang w:val="en-US"/>
              </w:rPr>
              <w:tab/>
              <w:t>Applied Micro Circuits Corporation, Andover</w:t>
            </w:r>
          </w:p>
        </w:tc>
        <w:tc>
          <w:tcPr>
            <w:tcW w:w="1296" w:type="dxa"/>
            <w:tcBorders>
              <w:top w:val="nil"/>
              <w:left w:val="single" w:sz="4" w:space="0" w:color="auto"/>
              <w:bottom w:val="nil"/>
              <w:right w:val="single" w:sz="4" w:space="0" w:color="auto"/>
            </w:tcBorders>
            <w:noWrap/>
            <w:vAlign w:val="bottom"/>
          </w:tcPr>
          <w:p w14:paraId="6EE5EAD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2017</w:t>
            </w:r>
          </w:p>
        </w:tc>
        <w:tc>
          <w:tcPr>
            <w:tcW w:w="1611" w:type="dxa"/>
            <w:noWrap/>
            <w:vAlign w:val="bottom"/>
          </w:tcPr>
          <w:p w14:paraId="056F09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37 070,35</w:t>
            </w:r>
          </w:p>
        </w:tc>
        <w:tc>
          <w:tcPr>
            <w:tcW w:w="1333" w:type="dxa"/>
            <w:tcBorders>
              <w:top w:val="nil"/>
              <w:left w:val="single" w:sz="4" w:space="0" w:color="auto"/>
              <w:bottom w:val="nil"/>
              <w:right w:val="single" w:sz="4" w:space="0" w:color="auto"/>
            </w:tcBorders>
            <w:noWrap/>
            <w:vAlign w:val="bottom"/>
          </w:tcPr>
          <w:p w14:paraId="0FC7AEF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7A904D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37 070,35</w:t>
            </w:r>
          </w:p>
        </w:tc>
      </w:tr>
      <w:tr w:rsidR="00862C6F" w:rsidRPr="00236418" w14:paraId="3529316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84BF6B8"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Calient</w:t>
            </w:r>
            <w:proofErr w:type="spellEnd"/>
            <w:r w:rsidRPr="00596807">
              <w:rPr>
                <w:rFonts w:asciiTheme="minorHAnsi" w:eastAsia="Batang" w:hAnsiTheme="minorHAnsi"/>
                <w:sz w:val="22"/>
                <w:szCs w:val="22"/>
                <w:lang w:val="en-US"/>
              </w:rPr>
              <w:t xml:space="preserve"> Networks Inc., San José</w:t>
            </w:r>
          </w:p>
        </w:tc>
        <w:tc>
          <w:tcPr>
            <w:tcW w:w="1296" w:type="dxa"/>
            <w:tcBorders>
              <w:top w:val="nil"/>
              <w:left w:val="single" w:sz="4" w:space="0" w:color="auto"/>
              <w:bottom w:val="nil"/>
              <w:right w:val="single" w:sz="4" w:space="0" w:color="auto"/>
            </w:tcBorders>
            <w:noWrap/>
            <w:vAlign w:val="bottom"/>
            <w:hideMark/>
          </w:tcPr>
          <w:p w14:paraId="2544D8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2003-2006</w:t>
            </w:r>
          </w:p>
        </w:tc>
        <w:tc>
          <w:tcPr>
            <w:tcW w:w="1611" w:type="dxa"/>
            <w:noWrap/>
            <w:vAlign w:val="bottom"/>
            <w:hideMark/>
          </w:tcPr>
          <w:p w14:paraId="5D3FB4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288 165,80</w:t>
            </w:r>
          </w:p>
        </w:tc>
        <w:tc>
          <w:tcPr>
            <w:tcW w:w="1333" w:type="dxa"/>
            <w:tcBorders>
              <w:top w:val="nil"/>
              <w:left w:val="single" w:sz="4" w:space="0" w:color="auto"/>
              <w:bottom w:val="nil"/>
              <w:right w:val="single" w:sz="4" w:space="0" w:color="auto"/>
            </w:tcBorders>
            <w:noWrap/>
            <w:vAlign w:val="bottom"/>
            <w:hideMark/>
          </w:tcPr>
          <w:p w14:paraId="7008109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00721F5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288 165,80</w:t>
            </w:r>
          </w:p>
        </w:tc>
      </w:tr>
      <w:tr w:rsidR="00862C6F" w:rsidRPr="00236418" w14:paraId="1177ADD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8586236"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Compuware</w:t>
            </w:r>
            <w:proofErr w:type="spellEnd"/>
            <w:r w:rsidRPr="00236418">
              <w:rPr>
                <w:rFonts w:asciiTheme="minorHAnsi" w:eastAsia="Batang" w:hAnsiTheme="minorHAnsi"/>
                <w:sz w:val="22"/>
                <w:szCs w:val="22"/>
              </w:rPr>
              <w:t xml:space="preserve"> Corporation, Detroit</w:t>
            </w:r>
          </w:p>
        </w:tc>
        <w:tc>
          <w:tcPr>
            <w:tcW w:w="1296" w:type="dxa"/>
            <w:tcBorders>
              <w:top w:val="nil"/>
              <w:left w:val="single" w:sz="4" w:space="0" w:color="auto"/>
              <w:bottom w:val="nil"/>
              <w:right w:val="single" w:sz="4" w:space="0" w:color="auto"/>
            </w:tcBorders>
            <w:noWrap/>
            <w:vAlign w:val="bottom"/>
            <w:hideMark/>
          </w:tcPr>
          <w:p w14:paraId="41BC55E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2009-2010</w:t>
            </w:r>
          </w:p>
        </w:tc>
        <w:tc>
          <w:tcPr>
            <w:tcW w:w="1611" w:type="dxa"/>
            <w:noWrap/>
            <w:vAlign w:val="bottom"/>
            <w:hideMark/>
          </w:tcPr>
          <w:p w14:paraId="713905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14 114,10</w:t>
            </w:r>
          </w:p>
        </w:tc>
        <w:tc>
          <w:tcPr>
            <w:tcW w:w="1333" w:type="dxa"/>
            <w:tcBorders>
              <w:top w:val="nil"/>
              <w:left w:val="single" w:sz="4" w:space="0" w:color="auto"/>
              <w:bottom w:val="nil"/>
              <w:right w:val="single" w:sz="4" w:space="0" w:color="auto"/>
            </w:tcBorders>
            <w:noWrap/>
            <w:vAlign w:val="bottom"/>
            <w:hideMark/>
          </w:tcPr>
          <w:p w14:paraId="3397E1D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64BF143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14 114,10</w:t>
            </w:r>
          </w:p>
        </w:tc>
      </w:tr>
      <w:tr w:rsidR="00862C6F" w:rsidRPr="00236418" w14:paraId="4B37F2C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755EB5A"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ConceroConnect</w:t>
            </w:r>
            <w:proofErr w:type="spellEnd"/>
            <w:r w:rsidRPr="00236418">
              <w:rPr>
                <w:rFonts w:asciiTheme="minorHAnsi" w:eastAsia="Batang" w:hAnsiTheme="minorHAnsi"/>
                <w:sz w:val="22"/>
                <w:szCs w:val="22"/>
              </w:rPr>
              <w:t>, L3C, Park City</w:t>
            </w:r>
          </w:p>
        </w:tc>
        <w:tc>
          <w:tcPr>
            <w:tcW w:w="1296" w:type="dxa"/>
            <w:tcBorders>
              <w:top w:val="nil"/>
              <w:left w:val="single" w:sz="4" w:space="0" w:color="auto"/>
              <w:bottom w:val="nil"/>
              <w:right w:val="single" w:sz="4" w:space="0" w:color="auto"/>
            </w:tcBorders>
            <w:noWrap/>
            <w:vAlign w:val="bottom"/>
          </w:tcPr>
          <w:p w14:paraId="76329D0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2015</w:t>
            </w:r>
          </w:p>
        </w:tc>
        <w:tc>
          <w:tcPr>
            <w:tcW w:w="1611" w:type="dxa"/>
            <w:noWrap/>
            <w:vAlign w:val="bottom"/>
          </w:tcPr>
          <w:p w14:paraId="0EBF24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10 413,10</w:t>
            </w:r>
          </w:p>
        </w:tc>
        <w:tc>
          <w:tcPr>
            <w:tcW w:w="1333" w:type="dxa"/>
            <w:tcBorders>
              <w:top w:val="nil"/>
              <w:left w:val="single" w:sz="4" w:space="0" w:color="auto"/>
              <w:bottom w:val="nil"/>
              <w:right w:val="single" w:sz="4" w:space="0" w:color="auto"/>
            </w:tcBorders>
            <w:noWrap/>
            <w:vAlign w:val="bottom"/>
          </w:tcPr>
          <w:p w14:paraId="55F0F84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18713CD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10 413,10</w:t>
            </w:r>
          </w:p>
        </w:tc>
      </w:tr>
      <w:tr w:rsidR="00862C6F" w:rsidRPr="00236418" w14:paraId="37DEFFD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C697AA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Conversay</w:t>
            </w:r>
            <w:proofErr w:type="spellEnd"/>
            <w:r w:rsidRPr="00236418">
              <w:rPr>
                <w:rFonts w:asciiTheme="minorHAnsi" w:eastAsia="Batang" w:hAnsiTheme="minorHAnsi"/>
                <w:sz w:val="22"/>
                <w:szCs w:val="22"/>
              </w:rPr>
              <w:t>, Redmond</w:t>
            </w:r>
          </w:p>
        </w:tc>
        <w:tc>
          <w:tcPr>
            <w:tcW w:w="1296" w:type="dxa"/>
            <w:tcBorders>
              <w:top w:val="nil"/>
              <w:left w:val="single" w:sz="4" w:space="0" w:color="auto"/>
              <w:bottom w:val="nil"/>
              <w:right w:val="single" w:sz="4" w:space="0" w:color="auto"/>
            </w:tcBorders>
            <w:noWrap/>
            <w:vAlign w:val="bottom"/>
            <w:hideMark/>
          </w:tcPr>
          <w:p w14:paraId="3592777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2007-2008</w:t>
            </w:r>
          </w:p>
        </w:tc>
        <w:tc>
          <w:tcPr>
            <w:tcW w:w="1611" w:type="dxa"/>
            <w:noWrap/>
            <w:vAlign w:val="bottom"/>
            <w:hideMark/>
          </w:tcPr>
          <w:p w14:paraId="4EFEB9B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84 132,45</w:t>
            </w:r>
          </w:p>
        </w:tc>
        <w:tc>
          <w:tcPr>
            <w:tcW w:w="1333" w:type="dxa"/>
            <w:tcBorders>
              <w:top w:val="nil"/>
              <w:left w:val="single" w:sz="4" w:space="0" w:color="auto"/>
              <w:bottom w:val="nil"/>
              <w:right w:val="single" w:sz="4" w:space="0" w:color="auto"/>
            </w:tcBorders>
            <w:noWrap/>
            <w:vAlign w:val="bottom"/>
            <w:hideMark/>
          </w:tcPr>
          <w:p w14:paraId="1D26BFD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729ACE0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84 132,45</w:t>
            </w:r>
          </w:p>
        </w:tc>
      </w:tr>
      <w:tr w:rsidR="00862C6F" w:rsidRPr="00236418" w14:paraId="75FC250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108D8F6"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Covad</w:t>
            </w:r>
            <w:proofErr w:type="spellEnd"/>
            <w:r w:rsidRPr="00596807">
              <w:rPr>
                <w:rFonts w:asciiTheme="minorHAnsi" w:eastAsia="Batang" w:hAnsiTheme="minorHAnsi"/>
                <w:sz w:val="22"/>
                <w:szCs w:val="22"/>
                <w:lang w:val="en-US"/>
              </w:rPr>
              <w:t xml:space="preserve"> Communications Company, San José</w:t>
            </w:r>
          </w:p>
        </w:tc>
        <w:tc>
          <w:tcPr>
            <w:tcW w:w="1296" w:type="dxa"/>
            <w:tcBorders>
              <w:top w:val="nil"/>
              <w:left w:val="single" w:sz="4" w:space="0" w:color="auto"/>
              <w:bottom w:val="nil"/>
              <w:right w:val="single" w:sz="4" w:space="0" w:color="auto"/>
            </w:tcBorders>
            <w:noWrap/>
            <w:vAlign w:val="bottom"/>
            <w:hideMark/>
          </w:tcPr>
          <w:p w14:paraId="4B77F5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2001-2002</w:t>
            </w:r>
          </w:p>
        </w:tc>
        <w:tc>
          <w:tcPr>
            <w:tcW w:w="1611" w:type="dxa"/>
            <w:noWrap/>
            <w:vAlign w:val="bottom"/>
            <w:hideMark/>
          </w:tcPr>
          <w:p w14:paraId="5409D9E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133 653,05</w:t>
            </w:r>
          </w:p>
        </w:tc>
        <w:tc>
          <w:tcPr>
            <w:tcW w:w="1333" w:type="dxa"/>
            <w:tcBorders>
              <w:top w:val="nil"/>
              <w:left w:val="single" w:sz="4" w:space="0" w:color="auto"/>
              <w:bottom w:val="nil"/>
              <w:right w:val="single" w:sz="4" w:space="0" w:color="auto"/>
            </w:tcBorders>
            <w:noWrap/>
            <w:vAlign w:val="bottom"/>
            <w:hideMark/>
          </w:tcPr>
          <w:p w14:paraId="18F90C7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25602F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133 653,05</w:t>
            </w:r>
          </w:p>
        </w:tc>
      </w:tr>
      <w:tr w:rsidR="00862C6F" w:rsidRPr="00236418" w14:paraId="0EF13AA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5247D6A"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 xml:space="preserve">Cypress Semiconductor Corp., </w:t>
            </w:r>
            <w:r w:rsidRPr="00596807">
              <w:rPr>
                <w:rFonts w:asciiTheme="minorHAnsi" w:eastAsia="Batang" w:hAnsiTheme="minorHAnsi"/>
                <w:sz w:val="22"/>
                <w:szCs w:val="22"/>
                <w:lang w:val="en-US"/>
              </w:rPr>
              <w:br/>
              <w:t>San José</w:t>
            </w:r>
          </w:p>
        </w:tc>
        <w:tc>
          <w:tcPr>
            <w:tcW w:w="1296" w:type="dxa"/>
            <w:tcBorders>
              <w:top w:val="nil"/>
              <w:left w:val="single" w:sz="4" w:space="0" w:color="auto"/>
              <w:bottom w:val="nil"/>
              <w:right w:val="single" w:sz="4" w:space="0" w:color="auto"/>
            </w:tcBorders>
            <w:noWrap/>
            <w:vAlign w:val="bottom"/>
            <w:hideMark/>
          </w:tcPr>
          <w:p w14:paraId="43EC34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2004-2005</w:t>
            </w:r>
          </w:p>
        </w:tc>
        <w:tc>
          <w:tcPr>
            <w:tcW w:w="1611" w:type="dxa"/>
            <w:noWrap/>
            <w:vAlign w:val="bottom"/>
            <w:hideMark/>
          </w:tcPr>
          <w:p w14:paraId="57ABFE9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40 054,95</w:t>
            </w:r>
          </w:p>
        </w:tc>
        <w:tc>
          <w:tcPr>
            <w:tcW w:w="1333" w:type="dxa"/>
            <w:tcBorders>
              <w:top w:val="nil"/>
              <w:left w:val="single" w:sz="4" w:space="0" w:color="auto"/>
              <w:bottom w:val="nil"/>
              <w:right w:val="single" w:sz="4" w:space="0" w:color="auto"/>
            </w:tcBorders>
            <w:noWrap/>
            <w:vAlign w:val="bottom"/>
            <w:hideMark/>
          </w:tcPr>
          <w:p w14:paraId="7C53F67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3C2267B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40 054,95</w:t>
            </w:r>
          </w:p>
        </w:tc>
      </w:tr>
      <w:tr w:rsidR="00862C6F" w:rsidRPr="00236418" w14:paraId="68B5049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7633550"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E-MAC Corporation, Arlington</w:t>
            </w:r>
          </w:p>
        </w:tc>
        <w:tc>
          <w:tcPr>
            <w:tcW w:w="1296" w:type="dxa"/>
            <w:tcBorders>
              <w:top w:val="nil"/>
              <w:left w:val="single" w:sz="4" w:space="0" w:color="auto"/>
              <w:bottom w:val="nil"/>
              <w:right w:val="single" w:sz="4" w:space="0" w:color="auto"/>
            </w:tcBorders>
            <w:noWrap/>
            <w:vAlign w:val="bottom"/>
          </w:tcPr>
          <w:p w14:paraId="14011D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2005-2007</w:t>
            </w:r>
          </w:p>
        </w:tc>
        <w:tc>
          <w:tcPr>
            <w:tcW w:w="1611" w:type="dxa"/>
            <w:noWrap/>
            <w:vAlign w:val="bottom"/>
          </w:tcPr>
          <w:p w14:paraId="09D3810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50 877,65</w:t>
            </w:r>
          </w:p>
        </w:tc>
        <w:tc>
          <w:tcPr>
            <w:tcW w:w="1333" w:type="dxa"/>
            <w:tcBorders>
              <w:top w:val="nil"/>
              <w:left w:val="single" w:sz="4" w:space="0" w:color="auto"/>
              <w:bottom w:val="nil"/>
              <w:right w:val="single" w:sz="4" w:space="0" w:color="auto"/>
            </w:tcBorders>
            <w:noWrap/>
            <w:vAlign w:val="bottom"/>
          </w:tcPr>
          <w:p w14:paraId="1209782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10535A1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50 877,65</w:t>
            </w:r>
          </w:p>
        </w:tc>
      </w:tr>
      <w:tr w:rsidR="00862C6F" w:rsidRPr="00236418" w14:paraId="41C8F7E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37E10F1"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Ellipsat</w:t>
            </w:r>
            <w:proofErr w:type="spellEnd"/>
            <w:r w:rsidRPr="00236418">
              <w:rPr>
                <w:rFonts w:asciiTheme="minorHAnsi" w:eastAsia="Batang" w:hAnsiTheme="minorHAnsi"/>
                <w:sz w:val="22"/>
                <w:szCs w:val="22"/>
              </w:rPr>
              <w:t xml:space="preserve"> Inc., Washington</w:t>
            </w:r>
          </w:p>
        </w:tc>
        <w:tc>
          <w:tcPr>
            <w:tcW w:w="1296" w:type="dxa"/>
            <w:tcBorders>
              <w:top w:val="nil"/>
              <w:left w:val="single" w:sz="4" w:space="0" w:color="auto"/>
              <w:bottom w:val="nil"/>
              <w:right w:val="single" w:sz="4" w:space="0" w:color="auto"/>
            </w:tcBorders>
            <w:noWrap/>
            <w:vAlign w:val="bottom"/>
          </w:tcPr>
          <w:p w14:paraId="165C993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2018</w:t>
            </w:r>
          </w:p>
        </w:tc>
        <w:tc>
          <w:tcPr>
            <w:tcW w:w="1611" w:type="dxa"/>
            <w:noWrap/>
            <w:vAlign w:val="bottom"/>
          </w:tcPr>
          <w:p w14:paraId="796F68A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9 082,35</w:t>
            </w:r>
          </w:p>
        </w:tc>
        <w:tc>
          <w:tcPr>
            <w:tcW w:w="1333" w:type="dxa"/>
            <w:tcBorders>
              <w:top w:val="nil"/>
              <w:left w:val="single" w:sz="4" w:space="0" w:color="auto"/>
              <w:bottom w:val="nil"/>
              <w:right w:val="single" w:sz="4" w:space="0" w:color="auto"/>
            </w:tcBorders>
            <w:noWrap/>
            <w:vAlign w:val="bottom"/>
          </w:tcPr>
          <w:p w14:paraId="420F21B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598E43B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9 082,35</w:t>
            </w:r>
          </w:p>
        </w:tc>
      </w:tr>
      <w:tr w:rsidR="00862C6F" w:rsidRPr="00236418" w14:paraId="70D67FFD"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5DB681B"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EnVerv</w:t>
            </w:r>
            <w:proofErr w:type="spellEnd"/>
            <w:r w:rsidRPr="00236418">
              <w:rPr>
                <w:rFonts w:asciiTheme="minorHAnsi" w:eastAsia="Batang" w:hAnsiTheme="minorHAnsi"/>
                <w:sz w:val="22"/>
                <w:szCs w:val="22"/>
              </w:rPr>
              <w:t xml:space="preserve"> Inc., </w:t>
            </w:r>
            <w:proofErr w:type="spellStart"/>
            <w:r w:rsidRPr="00236418">
              <w:rPr>
                <w:rFonts w:asciiTheme="minorHAnsi" w:eastAsia="Batang" w:hAnsiTheme="minorHAnsi"/>
                <w:sz w:val="22"/>
                <w:szCs w:val="22"/>
              </w:rPr>
              <w:t>Milpitas</w:t>
            </w:r>
            <w:proofErr w:type="spellEnd"/>
          </w:p>
        </w:tc>
        <w:tc>
          <w:tcPr>
            <w:tcW w:w="1296" w:type="dxa"/>
            <w:tcBorders>
              <w:top w:val="nil"/>
              <w:left w:val="single" w:sz="4" w:space="0" w:color="auto"/>
              <w:bottom w:val="nil"/>
              <w:right w:val="single" w:sz="4" w:space="0" w:color="auto"/>
            </w:tcBorders>
            <w:noWrap/>
            <w:vAlign w:val="bottom"/>
          </w:tcPr>
          <w:p w14:paraId="5D35B21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2015</w:t>
            </w:r>
          </w:p>
        </w:tc>
        <w:tc>
          <w:tcPr>
            <w:tcW w:w="1611" w:type="dxa"/>
            <w:noWrap/>
            <w:vAlign w:val="bottom"/>
          </w:tcPr>
          <w:p w14:paraId="6FFD235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13 884,10</w:t>
            </w:r>
          </w:p>
        </w:tc>
        <w:tc>
          <w:tcPr>
            <w:tcW w:w="1333" w:type="dxa"/>
            <w:tcBorders>
              <w:top w:val="nil"/>
              <w:left w:val="single" w:sz="4" w:space="0" w:color="auto"/>
              <w:bottom w:val="nil"/>
              <w:right w:val="single" w:sz="4" w:space="0" w:color="auto"/>
            </w:tcBorders>
            <w:noWrap/>
            <w:vAlign w:val="bottom"/>
          </w:tcPr>
          <w:p w14:paraId="5D41D9C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424BCBC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13 884,10</w:t>
            </w:r>
          </w:p>
        </w:tc>
      </w:tr>
      <w:tr w:rsidR="00862C6F" w:rsidRPr="00236418" w14:paraId="62CEC0D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FF90B29"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Ezenia</w:t>
            </w:r>
            <w:proofErr w:type="spellEnd"/>
            <w:r w:rsidRPr="00236418">
              <w:rPr>
                <w:rFonts w:asciiTheme="minorHAnsi" w:eastAsia="Batang" w:hAnsiTheme="minorHAnsi"/>
                <w:sz w:val="22"/>
                <w:szCs w:val="22"/>
              </w:rPr>
              <w:t xml:space="preserve"> Inc., Salem</w:t>
            </w:r>
          </w:p>
        </w:tc>
        <w:tc>
          <w:tcPr>
            <w:tcW w:w="1296" w:type="dxa"/>
            <w:tcBorders>
              <w:top w:val="nil"/>
              <w:left w:val="single" w:sz="4" w:space="0" w:color="auto"/>
              <w:right w:val="single" w:sz="4" w:space="0" w:color="auto"/>
            </w:tcBorders>
            <w:noWrap/>
            <w:vAlign w:val="bottom"/>
            <w:hideMark/>
          </w:tcPr>
          <w:p w14:paraId="402E26A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2016</w:t>
            </w:r>
          </w:p>
        </w:tc>
        <w:tc>
          <w:tcPr>
            <w:tcW w:w="1611" w:type="dxa"/>
            <w:tcBorders>
              <w:top w:val="nil"/>
              <w:left w:val="nil"/>
              <w:right w:val="nil"/>
            </w:tcBorders>
            <w:noWrap/>
            <w:vAlign w:val="bottom"/>
            <w:hideMark/>
          </w:tcPr>
          <w:p w14:paraId="458D606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39 294,55</w:t>
            </w:r>
          </w:p>
        </w:tc>
        <w:tc>
          <w:tcPr>
            <w:tcW w:w="1333" w:type="dxa"/>
            <w:tcBorders>
              <w:top w:val="nil"/>
              <w:left w:val="single" w:sz="4" w:space="0" w:color="auto"/>
              <w:right w:val="single" w:sz="4" w:space="0" w:color="auto"/>
            </w:tcBorders>
            <w:noWrap/>
            <w:vAlign w:val="bottom"/>
            <w:hideMark/>
          </w:tcPr>
          <w:p w14:paraId="5BB949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right w:val="single" w:sz="4" w:space="0" w:color="auto"/>
            </w:tcBorders>
            <w:noWrap/>
            <w:vAlign w:val="bottom"/>
            <w:hideMark/>
          </w:tcPr>
          <w:p w14:paraId="6E4B88D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39 294,55</w:t>
            </w:r>
          </w:p>
        </w:tc>
      </w:tr>
      <w:tr w:rsidR="00862C6F" w:rsidRPr="00236418" w14:paraId="3325F89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0C9767D"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Graphnet</w:t>
            </w:r>
            <w:proofErr w:type="spellEnd"/>
            <w:r w:rsidRPr="00236418">
              <w:rPr>
                <w:rFonts w:asciiTheme="minorHAnsi" w:eastAsia="Batang" w:hAnsiTheme="minorHAnsi"/>
                <w:sz w:val="22"/>
                <w:szCs w:val="22"/>
              </w:rPr>
              <w:t xml:space="preserve"> Inc., New York</w:t>
            </w:r>
          </w:p>
        </w:tc>
        <w:tc>
          <w:tcPr>
            <w:tcW w:w="1296" w:type="dxa"/>
            <w:tcBorders>
              <w:left w:val="single" w:sz="4" w:space="0" w:color="auto"/>
              <w:bottom w:val="nil"/>
              <w:right w:val="single" w:sz="4" w:space="0" w:color="auto"/>
            </w:tcBorders>
            <w:noWrap/>
            <w:vAlign w:val="bottom"/>
            <w:hideMark/>
          </w:tcPr>
          <w:p w14:paraId="3BD366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2008</w:t>
            </w:r>
          </w:p>
        </w:tc>
        <w:tc>
          <w:tcPr>
            <w:tcW w:w="1611" w:type="dxa"/>
            <w:noWrap/>
            <w:vAlign w:val="bottom"/>
            <w:hideMark/>
          </w:tcPr>
          <w:p w14:paraId="381365C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20 876,55</w:t>
            </w:r>
          </w:p>
        </w:tc>
        <w:tc>
          <w:tcPr>
            <w:tcW w:w="1333" w:type="dxa"/>
            <w:tcBorders>
              <w:left w:val="single" w:sz="4" w:space="0" w:color="auto"/>
              <w:bottom w:val="nil"/>
              <w:right w:val="single" w:sz="4" w:space="0" w:color="auto"/>
            </w:tcBorders>
            <w:noWrap/>
            <w:vAlign w:val="bottom"/>
            <w:hideMark/>
          </w:tcPr>
          <w:p w14:paraId="5B34629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left w:val="nil"/>
              <w:bottom w:val="nil"/>
              <w:right w:val="single" w:sz="4" w:space="0" w:color="auto"/>
            </w:tcBorders>
            <w:noWrap/>
            <w:vAlign w:val="bottom"/>
            <w:hideMark/>
          </w:tcPr>
          <w:p w14:paraId="03B789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20 876,55</w:t>
            </w:r>
          </w:p>
        </w:tc>
      </w:tr>
      <w:tr w:rsidR="00862C6F" w:rsidRPr="00236418" w14:paraId="5823F7F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2BE7C11"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Ikanos</w:t>
            </w:r>
            <w:proofErr w:type="spellEnd"/>
            <w:r w:rsidRPr="00596807">
              <w:rPr>
                <w:rFonts w:asciiTheme="minorHAnsi" w:eastAsia="Batang" w:hAnsiTheme="minorHAnsi"/>
                <w:sz w:val="22"/>
                <w:szCs w:val="22"/>
                <w:lang w:val="en-US"/>
              </w:rPr>
              <w:t xml:space="preserve"> Communications, Red Bank NJ</w:t>
            </w:r>
          </w:p>
        </w:tc>
        <w:tc>
          <w:tcPr>
            <w:tcW w:w="1296" w:type="dxa"/>
            <w:tcBorders>
              <w:top w:val="nil"/>
              <w:left w:val="single" w:sz="4" w:space="0" w:color="auto"/>
              <w:bottom w:val="nil"/>
              <w:right w:val="single" w:sz="4" w:space="0" w:color="auto"/>
            </w:tcBorders>
            <w:noWrap/>
            <w:vAlign w:val="bottom"/>
          </w:tcPr>
          <w:p w14:paraId="70AA6F6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2011</w:t>
            </w:r>
          </w:p>
        </w:tc>
        <w:tc>
          <w:tcPr>
            <w:tcW w:w="1611" w:type="dxa"/>
            <w:noWrap/>
            <w:vAlign w:val="bottom"/>
          </w:tcPr>
          <w:p w14:paraId="558039A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17 528,35</w:t>
            </w:r>
          </w:p>
        </w:tc>
        <w:tc>
          <w:tcPr>
            <w:tcW w:w="1333" w:type="dxa"/>
            <w:tcBorders>
              <w:top w:val="nil"/>
              <w:left w:val="single" w:sz="4" w:space="0" w:color="auto"/>
              <w:bottom w:val="nil"/>
              <w:right w:val="single" w:sz="4" w:space="0" w:color="auto"/>
            </w:tcBorders>
            <w:noWrap/>
            <w:vAlign w:val="bottom"/>
          </w:tcPr>
          <w:p w14:paraId="33308B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68747E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17 528,35</w:t>
            </w:r>
          </w:p>
        </w:tc>
      </w:tr>
      <w:tr w:rsidR="00862C6F" w:rsidRPr="00236418" w14:paraId="2AC9E544"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76EB9D2F"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ITXC Corporation, Princeton</w:t>
            </w:r>
          </w:p>
        </w:tc>
        <w:tc>
          <w:tcPr>
            <w:tcW w:w="1296" w:type="dxa"/>
            <w:tcBorders>
              <w:top w:val="nil"/>
              <w:left w:val="single" w:sz="4" w:space="0" w:color="auto"/>
              <w:bottom w:val="nil"/>
              <w:right w:val="single" w:sz="4" w:space="0" w:color="auto"/>
            </w:tcBorders>
            <w:noWrap/>
            <w:vAlign w:val="bottom"/>
          </w:tcPr>
          <w:p w14:paraId="47F9FC9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2004-2007</w:t>
            </w:r>
          </w:p>
        </w:tc>
        <w:tc>
          <w:tcPr>
            <w:tcW w:w="1611" w:type="dxa"/>
            <w:noWrap/>
            <w:vAlign w:val="bottom"/>
          </w:tcPr>
          <w:p w14:paraId="5C5C626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72 232,45</w:t>
            </w:r>
          </w:p>
        </w:tc>
        <w:tc>
          <w:tcPr>
            <w:tcW w:w="1333" w:type="dxa"/>
            <w:tcBorders>
              <w:top w:val="nil"/>
              <w:left w:val="single" w:sz="4" w:space="0" w:color="auto"/>
              <w:bottom w:val="nil"/>
              <w:right w:val="single" w:sz="4" w:space="0" w:color="auto"/>
            </w:tcBorders>
            <w:noWrap/>
            <w:vAlign w:val="bottom"/>
          </w:tcPr>
          <w:p w14:paraId="5F380E0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047F82C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72 232,45</w:t>
            </w:r>
          </w:p>
        </w:tc>
      </w:tr>
      <w:tr w:rsidR="00862C6F" w:rsidRPr="00236418" w14:paraId="4F16EF7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E6D1FAC"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Lightwaves</w:t>
            </w:r>
            <w:proofErr w:type="spellEnd"/>
            <w:r w:rsidRPr="00236418">
              <w:rPr>
                <w:rFonts w:asciiTheme="minorHAnsi" w:eastAsia="Batang" w:hAnsiTheme="minorHAnsi"/>
                <w:sz w:val="22"/>
                <w:szCs w:val="22"/>
              </w:rPr>
              <w:t xml:space="preserve"> Inc., Austin</w:t>
            </w:r>
          </w:p>
        </w:tc>
        <w:tc>
          <w:tcPr>
            <w:tcW w:w="1296" w:type="dxa"/>
            <w:tcBorders>
              <w:top w:val="nil"/>
              <w:left w:val="single" w:sz="4" w:space="0" w:color="auto"/>
              <w:bottom w:val="nil"/>
              <w:right w:val="single" w:sz="4" w:space="0" w:color="auto"/>
            </w:tcBorders>
            <w:noWrap/>
            <w:vAlign w:val="bottom"/>
            <w:hideMark/>
          </w:tcPr>
          <w:p w14:paraId="5B64C54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2009</w:t>
            </w:r>
          </w:p>
        </w:tc>
        <w:tc>
          <w:tcPr>
            <w:tcW w:w="1611" w:type="dxa"/>
            <w:noWrap/>
            <w:vAlign w:val="bottom"/>
            <w:hideMark/>
          </w:tcPr>
          <w:p w14:paraId="43F10CA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19 694,85</w:t>
            </w:r>
          </w:p>
        </w:tc>
        <w:tc>
          <w:tcPr>
            <w:tcW w:w="1333" w:type="dxa"/>
            <w:tcBorders>
              <w:top w:val="nil"/>
              <w:left w:val="single" w:sz="4" w:space="0" w:color="auto"/>
              <w:bottom w:val="nil"/>
              <w:right w:val="single" w:sz="4" w:space="0" w:color="auto"/>
            </w:tcBorders>
            <w:noWrap/>
            <w:vAlign w:val="bottom"/>
            <w:hideMark/>
          </w:tcPr>
          <w:p w14:paraId="118071E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079DE2E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19 694,85</w:t>
            </w:r>
          </w:p>
        </w:tc>
      </w:tr>
      <w:tr w:rsidR="00862C6F" w:rsidRPr="00236418" w14:paraId="03A5E57F"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DEE8F5D"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r>
            <w:proofErr w:type="spellStart"/>
            <w:r w:rsidRPr="00596807">
              <w:rPr>
                <w:rFonts w:asciiTheme="minorHAnsi" w:eastAsia="Batang" w:hAnsiTheme="minorHAnsi"/>
                <w:sz w:val="22"/>
                <w:szCs w:val="22"/>
                <w:lang w:val="en-US"/>
              </w:rPr>
              <w:t>Nextwave</w:t>
            </w:r>
            <w:proofErr w:type="spellEnd"/>
            <w:r w:rsidRPr="00596807">
              <w:rPr>
                <w:rFonts w:asciiTheme="minorHAnsi" w:eastAsia="Batang" w:hAnsiTheme="minorHAnsi"/>
                <w:sz w:val="22"/>
                <w:szCs w:val="22"/>
                <w:lang w:val="en-US"/>
              </w:rPr>
              <w:t xml:space="preserve"> Wireless Inc., San Diego</w:t>
            </w:r>
          </w:p>
        </w:tc>
        <w:tc>
          <w:tcPr>
            <w:tcW w:w="1296" w:type="dxa"/>
            <w:tcBorders>
              <w:top w:val="nil"/>
              <w:left w:val="single" w:sz="4" w:space="0" w:color="auto"/>
              <w:bottom w:val="nil"/>
              <w:right w:val="single" w:sz="4" w:space="0" w:color="auto"/>
            </w:tcBorders>
            <w:noWrap/>
            <w:vAlign w:val="bottom"/>
          </w:tcPr>
          <w:p w14:paraId="03FEAD6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2009</w:t>
            </w:r>
          </w:p>
        </w:tc>
        <w:tc>
          <w:tcPr>
            <w:tcW w:w="1611" w:type="dxa"/>
            <w:noWrap/>
            <w:vAlign w:val="bottom"/>
          </w:tcPr>
          <w:p w14:paraId="5C4F920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33 220,25</w:t>
            </w:r>
          </w:p>
        </w:tc>
        <w:tc>
          <w:tcPr>
            <w:tcW w:w="1333" w:type="dxa"/>
            <w:tcBorders>
              <w:top w:val="nil"/>
              <w:left w:val="single" w:sz="4" w:space="0" w:color="auto"/>
              <w:bottom w:val="nil"/>
              <w:right w:val="single" w:sz="4" w:space="0" w:color="auto"/>
            </w:tcBorders>
            <w:noWrap/>
            <w:vAlign w:val="bottom"/>
          </w:tcPr>
          <w:p w14:paraId="73A2CEB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47E0519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33 220,25</w:t>
            </w:r>
          </w:p>
        </w:tc>
      </w:tr>
      <w:tr w:rsidR="00862C6F" w:rsidRPr="00236418" w14:paraId="1187B45F"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E61E6FF"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Nortel Networks USA, Richardson</w:t>
            </w:r>
          </w:p>
        </w:tc>
        <w:tc>
          <w:tcPr>
            <w:tcW w:w="1296" w:type="dxa"/>
            <w:tcBorders>
              <w:top w:val="nil"/>
              <w:left w:val="single" w:sz="4" w:space="0" w:color="auto"/>
              <w:bottom w:val="nil"/>
              <w:right w:val="single" w:sz="4" w:space="0" w:color="auto"/>
            </w:tcBorders>
            <w:noWrap/>
            <w:vAlign w:val="bottom"/>
            <w:hideMark/>
          </w:tcPr>
          <w:p w14:paraId="5CE77E6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2009</w:t>
            </w:r>
          </w:p>
        </w:tc>
        <w:tc>
          <w:tcPr>
            <w:tcW w:w="1611" w:type="dxa"/>
            <w:noWrap/>
            <w:vAlign w:val="bottom"/>
            <w:hideMark/>
          </w:tcPr>
          <w:p w14:paraId="37E9375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29 812,50</w:t>
            </w:r>
          </w:p>
        </w:tc>
        <w:tc>
          <w:tcPr>
            <w:tcW w:w="1333" w:type="dxa"/>
            <w:tcBorders>
              <w:top w:val="nil"/>
              <w:left w:val="single" w:sz="4" w:space="0" w:color="auto"/>
              <w:bottom w:val="nil"/>
              <w:right w:val="single" w:sz="4" w:space="0" w:color="auto"/>
            </w:tcBorders>
            <w:noWrap/>
            <w:vAlign w:val="bottom"/>
            <w:hideMark/>
          </w:tcPr>
          <w:p w14:paraId="08FD03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6D7A8D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29 812,50</w:t>
            </w:r>
          </w:p>
        </w:tc>
      </w:tr>
      <w:tr w:rsidR="00862C6F" w:rsidRPr="00236418" w14:paraId="600E8D3A" w14:textId="77777777" w:rsidTr="00620F53">
        <w:trPr>
          <w:trHeight w:val="340"/>
          <w:jc w:val="center"/>
        </w:trPr>
        <w:tc>
          <w:tcPr>
            <w:tcW w:w="3778" w:type="dxa"/>
            <w:tcBorders>
              <w:top w:val="nil"/>
              <w:left w:val="single" w:sz="4" w:space="0" w:color="auto"/>
              <w:bottom w:val="nil"/>
              <w:right w:val="single" w:sz="4" w:space="0" w:color="auto"/>
            </w:tcBorders>
            <w:shd w:val="clear" w:color="auto" w:fill="auto"/>
            <w:vAlign w:val="bottom"/>
            <w:hideMark/>
          </w:tcPr>
          <w:p w14:paraId="1E1F681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nVent</w:t>
            </w:r>
            <w:proofErr w:type="spellEnd"/>
            <w:r w:rsidRPr="00236418">
              <w:rPr>
                <w:rFonts w:asciiTheme="minorHAnsi" w:eastAsia="Batang" w:hAnsiTheme="minorHAnsi"/>
                <w:sz w:val="22"/>
                <w:szCs w:val="22"/>
              </w:rPr>
              <w:t xml:space="preserve"> Electric, Solon OH</w:t>
            </w:r>
          </w:p>
        </w:tc>
        <w:tc>
          <w:tcPr>
            <w:tcW w:w="1296" w:type="dxa"/>
            <w:tcBorders>
              <w:top w:val="nil"/>
              <w:left w:val="single" w:sz="4" w:space="0" w:color="auto"/>
              <w:bottom w:val="nil"/>
              <w:right w:val="single" w:sz="4" w:space="0" w:color="auto"/>
            </w:tcBorders>
            <w:noWrap/>
            <w:vAlign w:val="bottom"/>
            <w:hideMark/>
          </w:tcPr>
          <w:p w14:paraId="35E83FE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2018</w:t>
            </w:r>
          </w:p>
        </w:tc>
        <w:tc>
          <w:tcPr>
            <w:tcW w:w="1611" w:type="dxa"/>
            <w:noWrap/>
            <w:vAlign w:val="bottom"/>
            <w:hideMark/>
          </w:tcPr>
          <w:p w14:paraId="29E922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11 657,35</w:t>
            </w:r>
          </w:p>
        </w:tc>
        <w:tc>
          <w:tcPr>
            <w:tcW w:w="1333" w:type="dxa"/>
            <w:tcBorders>
              <w:top w:val="nil"/>
              <w:left w:val="single" w:sz="4" w:space="0" w:color="auto"/>
              <w:bottom w:val="nil"/>
              <w:right w:val="single" w:sz="4" w:space="0" w:color="auto"/>
            </w:tcBorders>
            <w:noWrap/>
            <w:vAlign w:val="bottom"/>
            <w:hideMark/>
          </w:tcPr>
          <w:p w14:paraId="6FD27D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7934222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11 657,35</w:t>
            </w:r>
          </w:p>
        </w:tc>
      </w:tr>
      <w:tr w:rsidR="00862C6F" w:rsidRPr="00236418" w14:paraId="67571214"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294CD54B" w14:textId="77777777" w:rsidR="00862C6F" w:rsidRPr="00236418" w:rsidRDefault="00862C6F" w:rsidP="00862C6F">
            <w:pPr>
              <w:tabs>
                <w:tab w:val="clear" w:pos="567"/>
                <w:tab w:val="left" w:pos="284"/>
                <w:tab w:val="left" w:pos="318"/>
              </w:tabs>
              <w:ind w:left="284" w:hanging="284"/>
              <w:rPr>
                <w:rFonts w:asciiTheme="minorHAnsi" w:hAnsiTheme="minorHAnsi"/>
                <w:sz w:val="22"/>
                <w:szCs w:val="22"/>
              </w:rPr>
            </w:pPr>
            <w:r w:rsidRPr="00236418">
              <w:rPr>
                <w:rFonts w:asciiTheme="minorHAnsi" w:hAnsiTheme="minorHAnsi"/>
                <w:sz w:val="22"/>
                <w:szCs w:val="22"/>
              </w:rPr>
              <w:t>–</w:t>
            </w:r>
            <w:r w:rsidRPr="00236418">
              <w:rPr>
                <w:rFonts w:asciiTheme="minorHAnsi" w:hAnsiTheme="minorHAnsi"/>
                <w:sz w:val="22"/>
                <w:szCs w:val="22"/>
              </w:rPr>
              <w:tab/>
            </w:r>
            <w:proofErr w:type="spellStart"/>
            <w:r w:rsidRPr="00236418">
              <w:rPr>
                <w:rFonts w:asciiTheme="minorHAnsi" w:hAnsiTheme="minorHAnsi"/>
                <w:sz w:val="22"/>
                <w:szCs w:val="22"/>
              </w:rPr>
              <w:t>Ossia</w:t>
            </w:r>
            <w:proofErr w:type="spellEnd"/>
            <w:r w:rsidRPr="00236418">
              <w:rPr>
                <w:rFonts w:asciiTheme="minorHAnsi" w:hAnsiTheme="minorHAnsi"/>
                <w:sz w:val="22"/>
                <w:szCs w:val="22"/>
              </w:rPr>
              <w:t xml:space="preserve"> Inc., Bellevue WA</w:t>
            </w:r>
          </w:p>
        </w:tc>
        <w:tc>
          <w:tcPr>
            <w:tcW w:w="1296" w:type="dxa"/>
            <w:tcBorders>
              <w:top w:val="nil"/>
              <w:left w:val="single" w:sz="4" w:space="0" w:color="auto"/>
              <w:bottom w:val="nil"/>
              <w:right w:val="single" w:sz="4" w:space="0" w:color="auto"/>
            </w:tcBorders>
            <w:noWrap/>
            <w:vAlign w:val="bottom"/>
            <w:hideMark/>
          </w:tcPr>
          <w:p w14:paraId="039F755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2017-2018</w:t>
            </w:r>
          </w:p>
        </w:tc>
        <w:tc>
          <w:tcPr>
            <w:tcW w:w="1611" w:type="dxa"/>
            <w:noWrap/>
            <w:vAlign w:val="bottom"/>
            <w:hideMark/>
          </w:tcPr>
          <w:p w14:paraId="17645A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35 274,60</w:t>
            </w:r>
          </w:p>
        </w:tc>
        <w:tc>
          <w:tcPr>
            <w:tcW w:w="1333" w:type="dxa"/>
            <w:tcBorders>
              <w:top w:val="nil"/>
              <w:left w:val="single" w:sz="4" w:space="0" w:color="auto"/>
              <w:bottom w:val="nil"/>
              <w:right w:val="single" w:sz="4" w:space="0" w:color="auto"/>
            </w:tcBorders>
            <w:noWrap/>
            <w:vAlign w:val="bottom"/>
            <w:hideMark/>
          </w:tcPr>
          <w:p w14:paraId="7FEEC63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06362C8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35 274,60</w:t>
            </w:r>
          </w:p>
        </w:tc>
      </w:tr>
      <w:tr w:rsidR="00862C6F" w:rsidRPr="00236418" w14:paraId="0FC150CA"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125D7DB5" w14:textId="77777777" w:rsidR="00862C6F" w:rsidRPr="00236418" w:rsidRDefault="00862C6F" w:rsidP="00862C6F">
            <w:pPr>
              <w:tabs>
                <w:tab w:val="clear" w:pos="567"/>
                <w:tab w:val="left" w:pos="284"/>
                <w:tab w:val="left" w:pos="318"/>
              </w:tabs>
              <w:rPr>
                <w:rFonts w:asciiTheme="minorHAnsi" w:hAnsiTheme="minorHAnsi"/>
                <w:sz w:val="22"/>
                <w:szCs w:val="22"/>
              </w:rPr>
            </w:pPr>
            <w:r w:rsidRPr="00236418">
              <w:rPr>
                <w:rFonts w:asciiTheme="minorHAnsi" w:hAnsiTheme="minorHAnsi"/>
                <w:sz w:val="22"/>
                <w:szCs w:val="22"/>
              </w:rPr>
              <w:t>–</w:t>
            </w:r>
            <w:r w:rsidRPr="00236418">
              <w:rPr>
                <w:rFonts w:asciiTheme="minorHAnsi" w:hAnsiTheme="minorHAnsi"/>
                <w:sz w:val="22"/>
                <w:szCs w:val="22"/>
              </w:rPr>
              <w:tab/>
              <w:t xml:space="preserve">Range Networks, Inc., Santa </w:t>
            </w:r>
            <w:proofErr w:type="spellStart"/>
            <w:r w:rsidRPr="00236418">
              <w:rPr>
                <w:rFonts w:asciiTheme="minorHAnsi" w:hAnsiTheme="minorHAnsi"/>
                <w:sz w:val="22"/>
                <w:szCs w:val="22"/>
              </w:rPr>
              <w:t>clara</w:t>
            </w:r>
            <w:proofErr w:type="spellEnd"/>
          </w:p>
        </w:tc>
        <w:tc>
          <w:tcPr>
            <w:tcW w:w="1296" w:type="dxa"/>
            <w:tcBorders>
              <w:top w:val="nil"/>
              <w:left w:val="single" w:sz="4" w:space="0" w:color="auto"/>
              <w:bottom w:val="nil"/>
              <w:right w:val="single" w:sz="4" w:space="0" w:color="auto"/>
            </w:tcBorders>
            <w:noWrap/>
            <w:vAlign w:val="bottom"/>
          </w:tcPr>
          <w:p w14:paraId="27AC469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2013-2014</w:t>
            </w:r>
          </w:p>
        </w:tc>
        <w:tc>
          <w:tcPr>
            <w:tcW w:w="1611" w:type="dxa"/>
            <w:noWrap/>
            <w:vAlign w:val="bottom"/>
          </w:tcPr>
          <w:p w14:paraId="171C234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14 763,55</w:t>
            </w:r>
          </w:p>
        </w:tc>
        <w:tc>
          <w:tcPr>
            <w:tcW w:w="1333" w:type="dxa"/>
            <w:tcBorders>
              <w:top w:val="nil"/>
              <w:left w:val="single" w:sz="4" w:space="0" w:color="auto"/>
              <w:bottom w:val="nil"/>
              <w:right w:val="single" w:sz="4" w:space="0" w:color="auto"/>
            </w:tcBorders>
            <w:noWrap/>
            <w:vAlign w:val="bottom"/>
          </w:tcPr>
          <w:p w14:paraId="2D817B1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5B5CBC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14 763,55</w:t>
            </w:r>
          </w:p>
        </w:tc>
      </w:tr>
      <w:tr w:rsidR="00862C6F" w:rsidRPr="00236418" w14:paraId="3129FAE2" w14:textId="77777777" w:rsidTr="00620F53">
        <w:trPr>
          <w:trHeight w:val="300"/>
          <w:jc w:val="center"/>
        </w:trPr>
        <w:tc>
          <w:tcPr>
            <w:tcW w:w="3778" w:type="dxa"/>
            <w:tcBorders>
              <w:left w:val="single" w:sz="4" w:space="0" w:color="auto"/>
              <w:right w:val="single" w:sz="4" w:space="0" w:color="auto"/>
            </w:tcBorders>
            <w:shd w:val="clear" w:color="auto" w:fill="auto"/>
            <w:vAlign w:val="bottom"/>
          </w:tcPr>
          <w:p w14:paraId="06451CB8"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Razoom</w:t>
            </w:r>
            <w:proofErr w:type="spellEnd"/>
            <w:r w:rsidRPr="00236418">
              <w:rPr>
                <w:rFonts w:asciiTheme="minorHAnsi" w:eastAsia="Batang" w:hAnsiTheme="minorHAnsi"/>
                <w:sz w:val="22"/>
                <w:szCs w:val="22"/>
              </w:rPr>
              <w:t xml:space="preserve"> Inc., Palo Alto</w:t>
            </w:r>
          </w:p>
        </w:tc>
        <w:tc>
          <w:tcPr>
            <w:tcW w:w="1296" w:type="dxa"/>
            <w:tcBorders>
              <w:top w:val="nil"/>
              <w:left w:val="single" w:sz="4" w:space="0" w:color="auto"/>
              <w:bottom w:val="nil"/>
              <w:right w:val="single" w:sz="4" w:space="0" w:color="auto"/>
            </w:tcBorders>
            <w:noWrap/>
            <w:vAlign w:val="bottom"/>
          </w:tcPr>
          <w:p w14:paraId="246B6F5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2010</w:t>
            </w:r>
          </w:p>
        </w:tc>
        <w:tc>
          <w:tcPr>
            <w:tcW w:w="1611" w:type="dxa"/>
            <w:noWrap/>
            <w:vAlign w:val="bottom"/>
          </w:tcPr>
          <w:p w14:paraId="489A8A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18 580,05</w:t>
            </w:r>
          </w:p>
        </w:tc>
        <w:tc>
          <w:tcPr>
            <w:tcW w:w="1333" w:type="dxa"/>
            <w:tcBorders>
              <w:top w:val="nil"/>
              <w:left w:val="single" w:sz="4" w:space="0" w:color="auto"/>
              <w:bottom w:val="nil"/>
              <w:right w:val="single" w:sz="4" w:space="0" w:color="auto"/>
            </w:tcBorders>
            <w:noWrap/>
            <w:vAlign w:val="bottom"/>
          </w:tcPr>
          <w:p w14:paraId="6BC54DA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0B3FFF1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18 580,05</w:t>
            </w:r>
          </w:p>
        </w:tc>
      </w:tr>
      <w:tr w:rsidR="00862C6F" w:rsidRPr="00236418" w14:paraId="28E31C3A" w14:textId="77777777" w:rsidTr="00620F53">
        <w:trPr>
          <w:trHeight w:val="300"/>
          <w:jc w:val="center"/>
        </w:trPr>
        <w:tc>
          <w:tcPr>
            <w:tcW w:w="3778" w:type="dxa"/>
            <w:tcBorders>
              <w:left w:val="single" w:sz="4" w:space="0" w:color="auto"/>
              <w:bottom w:val="nil"/>
              <w:right w:val="single" w:sz="4" w:space="0" w:color="auto"/>
            </w:tcBorders>
            <w:shd w:val="clear" w:color="auto" w:fill="auto"/>
            <w:vAlign w:val="bottom"/>
            <w:hideMark/>
          </w:tcPr>
          <w:p w14:paraId="328A8EAA"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 xml:space="preserve">The Gores Technology Group LLC (Ex, </w:t>
            </w:r>
            <w:proofErr w:type="spellStart"/>
            <w:r w:rsidRPr="00596807">
              <w:rPr>
                <w:rFonts w:asciiTheme="minorHAnsi" w:eastAsia="Batang" w:hAnsiTheme="minorHAnsi"/>
                <w:sz w:val="22"/>
                <w:szCs w:val="22"/>
                <w:lang w:val="en-US"/>
              </w:rPr>
              <w:t>Forgent</w:t>
            </w:r>
            <w:proofErr w:type="spellEnd"/>
            <w:r w:rsidRPr="00596807">
              <w:rPr>
                <w:rFonts w:asciiTheme="minorHAnsi" w:eastAsia="Batang" w:hAnsiTheme="minorHAnsi"/>
                <w:sz w:val="22"/>
                <w:szCs w:val="22"/>
                <w:lang w:val="en-US"/>
              </w:rPr>
              <w:t xml:space="preserve"> Networks Inc.), Los Angeles</w:t>
            </w:r>
          </w:p>
        </w:tc>
        <w:tc>
          <w:tcPr>
            <w:tcW w:w="1296" w:type="dxa"/>
            <w:tcBorders>
              <w:top w:val="nil"/>
              <w:left w:val="single" w:sz="4" w:space="0" w:color="auto"/>
              <w:bottom w:val="nil"/>
              <w:right w:val="single" w:sz="4" w:space="0" w:color="auto"/>
            </w:tcBorders>
            <w:noWrap/>
            <w:vAlign w:val="bottom"/>
            <w:hideMark/>
          </w:tcPr>
          <w:p w14:paraId="088FCC1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1998-2006</w:t>
            </w:r>
          </w:p>
        </w:tc>
        <w:tc>
          <w:tcPr>
            <w:tcW w:w="1611" w:type="dxa"/>
            <w:noWrap/>
            <w:vAlign w:val="bottom"/>
            <w:hideMark/>
          </w:tcPr>
          <w:p w14:paraId="0F94D73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424 948,00</w:t>
            </w:r>
          </w:p>
        </w:tc>
        <w:tc>
          <w:tcPr>
            <w:tcW w:w="1333" w:type="dxa"/>
            <w:tcBorders>
              <w:top w:val="nil"/>
              <w:left w:val="single" w:sz="4" w:space="0" w:color="auto"/>
              <w:bottom w:val="nil"/>
              <w:right w:val="single" w:sz="4" w:space="0" w:color="auto"/>
            </w:tcBorders>
            <w:noWrap/>
            <w:vAlign w:val="bottom"/>
            <w:hideMark/>
          </w:tcPr>
          <w:p w14:paraId="5C10F21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1123E3B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424 948,00</w:t>
            </w:r>
          </w:p>
        </w:tc>
      </w:tr>
      <w:tr w:rsidR="00862C6F" w:rsidRPr="00236418" w14:paraId="3737592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BBE9A83"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The Village Group Inc., Waltham</w:t>
            </w:r>
          </w:p>
        </w:tc>
        <w:tc>
          <w:tcPr>
            <w:tcW w:w="1296" w:type="dxa"/>
            <w:tcBorders>
              <w:top w:val="nil"/>
              <w:left w:val="single" w:sz="4" w:space="0" w:color="auto"/>
              <w:bottom w:val="nil"/>
              <w:right w:val="single" w:sz="4" w:space="0" w:color="auto"/>
            </w:tcBorders>
            <w:noWrap/>
            <w:vAlign w:val="bottom"/>
            <w:hideMark/>
          </w:tcPr>
          <w:p w14:paraId="4A3A6B5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2007-2008</w:t>
            </w:r>
          </w:p>
        </w:tc>
        <w:tc>
          <w:tcPr>
            <w:tcW w:w="1611" w:type="dxa"/>
            <w:noWrap/>
            <w:vAlign w:val="bottom"/>
            <w:hideMark/>
          </w:tcPr>
          <w:p w14:paraId="3E346A4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15 694,45</w:t>
            </w:r>
          </w:p>
        </w:tc>
        <w:tc>
          <w:tcPr>
            <w:tcW w:w="1333" w:type="dxa"/>
            <w:tcBorders>
              <w:top w:val="nil"/>
              <w:left w:val="single" w:sz="4" w:space="0" w:color="auto"/>
              <w:bottom w:val="nil"/>
              <w:right w:val="single" w:sz="4" w:space="0" w:color="auto"/>
            </w:tcBorders>
            <w:noWrap/>
            <w:vAlign w:val="bottom"/>
            <w:hideMark/>
          </w:tcPr>
          <w:p w14:paraId="7BDD194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6C20891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15 694,45</w:t>
            </w:r>
          </w:p>
        </w:tc>
      </w:tr>
      <w:tr w:rsidR="00862C6F" w:rsidRPr="00236418" w14:paraId="4CD88794"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164BA89"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UTStarcom</w:t>
            </w:r>
            <w:proofErr w:type="spellEnd"/>
            <w:r w:rsidRPr="00236418">
              <w:rPr>
                <w:rFonts w:asciiTheme="minorHAnsi" w:eastAsia="Batang" w:hAnsiTheme="minorHAnsi"/>
                <w:sz w:val="22"/>
                <w:szCs w:val="22"/>
              </w:rPr>
              <w:t>, Inc., Fremont</w:t>
            </w:r>
          </w:p>
        </w:tc>
        <w:tc>
          <w:tcPr>
            <w:tcW w:w="1296" w:type="dxa"/>
            <w:tcBorders>
              <w:top w:val="nil"/>
              <w:left w:val="single" w:sz="4" w:space="0" w:color="auto"/>
              <w:right w:val="single" w:sz="4" w:space="0" w:color="auto"/>
            </w:tcBorders>
            <w:noWrap/>
            <w:vAlign w:val="bottom"/>
            <w:hideMark/>
          </w:tcPr>
          <w:p w14:paraId="7054F38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2004-2010</w:t>
            </w:r>
          </w:p>
        </w:tc>
        <w:tc>
          <w:tcPr>
            <w:tcW w:w="1611" w:type="dxa"/>
            <w:noWrap/>
            <w:vAlign w:val="bottom"/>
            <w:hideMark/>
          </w:tcPr>
          <w:p w14:paraId="060F997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62 724,95</w:t>
            </w:r>
          </w:p>
        </w:tc>
        <w:tc>
          <w:tcPr>
            <w:tcW w:w="1333" w:type="dxa"/>
            <w:tcBorders>
              <w:top w:val="nil"/>
              <w:left w:val="single" w:sz="4" w:space="0" w:color="auto"/>
              <w:right w:val="single" w:sz="4" w:space="0" w:color="auto"/>
            </w:tcBorders>
            <w:noWrap/>
            <w:vAlign w:val="bottom"/>
            <w:hideMark/>
          </w:tcPr>
          <w:p w14:paraId="1F7F948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right w:val="single" w:sz="4" w:space="0" w:color="auto"/>
            </w:tcBorders>
            <w:noWrap/>
            <w:vAlign w:val="bottom"/>
            <w:hideMark/>
          </w:tcPr>
          <w:p w14:paraId="7C726D5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62 724,95</w:t>
            </w:r>
          </w:p>
        </w:tc>
      </w:tr>
      <w:tr w:rsidR="00862C6F" w:rsidRPr="00236418" w14:paraId="74E81984"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9D619CD" w14:textId="77777777" w:rsidR="00862C6F" w:rsidRPr="00596807"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Visible Energy Inc., Palo Alto</w:t>
            </w:r>
          </w:p>
        </w:tc>
        <w:tc>
          <w:tcPr>
            <w:tcW w:w="1296" w:type="dxa"/>
            <w:tcBorders>
              <w:top w:val="nil"/>
              <w:left w:val="single" w:sz="4" w:space="0" w:color="auto"/>
              <w:bottom w:val="single" w:sz="4" w:space="0" w:color="auto"/>
              <w:right w:val="single" w:sz="4" w:space="0" w:color="auto"/>
            </w:tcBorders>
            <w:noWrap/>
            <w:vAlign w:val="bottom"/>
            <w:hideMark/>
          </w:tcPr>
          <w:p w14:paraId="15A8899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2010</w:t>
            </w:r>
          </w:p>
        </w:tc>
        <w:tc>
          <w:tcPr>
            <w:tcW w:w="1611" w:type="dxa"/>
            <w:tcBorders>
              <w:bottom w:val="single" w:sz="4" w:space="0" w:color="auto"/>
            </w:tcBorders>
            <w:noWrap/>
            <w:vAlign w:val="bottom"/>
            <w:hideMark/>
          </w:tcPr>
          <w:p w14:paraId="7DB24D1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17 031,15</w:t>
            </w:r>
          </w:p>
        </w:tc>
        <w:tc>
          <w:tcPr>
            <w:tcW w:w="1333" w:type="dxa"/>
            <w:tcBorders>
              <w:top w:val="nil"/>
              <w:left w:val="single" w:sz="4" w:space="0" w:color="auto"/>
              <w:bottom w:val="single" w:sz="4" w:space="0" w:color="auto"/>
              <w:right w:val="single" w:sz="4" w:space="0" w:color="auto"/>
            </w:tcBorders>
            <w:noWrap/>
            <w:vAlign w:val="bottom"/>
            <w:hideMark/>
          </w:tcPr>
          <w:p w14:paraId="3C43C41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single" w:sz="4" w:space="0" w:color="auto"/>
              <w:right w:val="single" w:sz="4" w:space="0" w:color="auto"/>
            </w:tcBorders>
            <w:noWrap/>
            <w:vAlign w:val="bottom"/>
            <w:hideMark/>
          </w:tcPr>
          <w:p w14:paraId="0EC69FA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17 031,15</w:t>
            </w:r>
          </w:p>
        </w:tc>
      </w:tr>
    </w:tbl>
    <w:p w14:paraId="0727D837" w14:textId="77777777" w:rsidR="00862C6F" w:rsidRPr="00236418" w:rsidRDefault="00862C6F" w:rsidP="00862C6F"/>
    <w:tbl>
      <w:tblPr>
        <w:tblW w:w="0" w:type="auto"/>
        <w:jc w:val="center"/>
        <w:tblLook w:val="04A0" w:firstRow="1" w:lastRow="0" w:firstColumn="1" w:lastColumn="0" w:noHBand="0" w:noVBand="1"/>
        <w:tblCaption w:val="MONTANTS DUS CONCERNANT LES CONTRIBUTIONS ET LES PUBLICATIONS"/>
      </w:tblPr>
      <w:tblGrid>
        <w:gridCol w:w="3677"/>
        <w:gridCol w:w="1296"/>
        <w:gridCol w:w="1611"/>
        <w:gridCol w:w="1434"/>
        <w:gridCol w:w="1611"/>
      </w:tblGrid>
      <w:tr w:rsidR="00862C6F" w:rsidRPr="00236418" w14:paraId="153CD9DE"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1E9E61D1" w14:textId="77777777" w:rsidR="00862C6F" w:rsidRPr="00236418" w:rsidRDefault="00862C6F" w:rsidP="00862C6F">
            <w:pPr>
              <w:tabs>
                <w:tab w:val="clear" w:pos="567"/>
                <w:tab w:val="clear" w:pos="1134"/>
                <w:tab w:val="clear" w:pos="1701"/>
                <w:tab w:val="clear" w:pos="2268"/>
                <w:tab w:val="clear" w:pos="2835"/>
              </w:tabs>
              <w:spacing w:after="120"/>
              <w:rPr>
                <w:rFonts w:asciiTheme="minorHAnsi" w:hAnsiTheme="minorHAnsi"/>
                <w:b/>
                <w:sz w:val="22"/>
              </w:rPr>
            </w:pPr>
            <w:r w:rsidRPr="00236418">
              <w:rPr>
                <w:b/>
                <w:sz w:val="22"/>
              </w:rPr>
              <w:lastRenderedPageBreak/>
              <w:t>B</w:t>
            </w:r>
            <w:r w:rsidRPr="00236418">
              <w:rPr>
                <w:b/>
                <w:sz w:val="22"/>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3D1B4C5E"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Année</w:t>
            </w:r>
          </w:p>
        </w:tc>
        <w:tc>
          <w:tcPr>
            <w:tcW w:w="1611" w:type="dxa"/>
            <w:tcBorders>
              <w:top w:val="single" w:sz="4" w:space="0" w:color="auto"/>
              <w:left w:val="nil"/>
              <w:bottom w:val="single" w:sz="4" w:space="0" w:color="auto"/>
              <w:right w:val="nil"/>
            </w:tcBorders>
            <w:shd w:val="clear" w:color="auto" w:fill="auto"/>
            <w:noWrap/>
          </w:tcPr>
          <w:p w14:paraId="5B4D89E3"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Contributions</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48AFBE34"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Publications</w:t>
            </w:r>
          </w:p>
        </w:tc>
        <w:tc>
          <w:tcPr>
            <w:tcW w:w="1611" w:type="dxa"/>
            <w:tcBorders>
              <w:top w:val="single" w:sz="4" w:space="0" w:color="auto"/>
              <w:left w:val="nil"/>
              <w:bottom w:val="single" w:sz="4" w:space="0" w:color="auto"/>
              <w:right w:val="single" w:sz="4" w:space="0" w:color="auto"/>
            </w:tcBorders>
            <w:shd w:val="clear" w:color="auto" w:fill="auto"/>
            <w:noWrap/>
          </w:tcPr>
          <w:p w14:paraId="1920AA95"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Total</w:t>
            </w:r>
          </w:p>
        </w:tc>
      </w:tr>
      <w:tr w:rsidR="00862C6F" w:rsidRPr="00236418" w14:paraId="38AE89E6"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5A7ED4EA"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Vocal Technologies Ltd., Amherst</w:t>
            </w:r>
          </w:p>
        </w:tc>
        <w:tc>
          <w:tcPr>
            <w:tcW w:w="1296" w:type="dxa"/>
            <w:tcBorders>
              <w:top w:val="nil"/>
              <w:left w:val="single" w:sz="4" w:space="0" w:color="auto"/>
              <w:bottom w:val="nil"/>
              <w:right w:val="single" w:sz="4" w:space="0" w:color="auto"/>
            </w:tcBorders>
            <w:noWrap/>
            <w:vAlign w:val="bottom"/>
            <w:hideMark/>
          </w:tcPr>
          <w:p w14:paraId="4EBB08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1998-2002</w:t>
            </w:r>
          </w:p>
        </w:tc>
        <w:tc>
          <w:tcPr>
            <w:tcW w:w="1611" w:type="dxa"/>
            <w:noWrap/>
            <w:vAlign w:val="bottom"/>
            <w:hideMark/>
          </w:tcPr>
          <w:p w14:paraId="784F3F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451 663,05</w:t>
            </w:r>
          </w:p>
        </w:tc>
        <w:tc>
          <w:tcPr>
            <w:tcW w:w="1434" w:type="dxa"/>
            <w:tcBorders>
              <w:top w:val="nil"/>
              <w:left w:val="single" w:sz="4" w:space="0" w:color="auto"/>
              <w:bottom w:val="nil"/>
              <w:right w:val="single" w:sz="4" w:space="0" w:color="auto"/>
            </w:tcBorders>
            <w:noWrap/>
            <w:vAlign w:val="bottom"/>
            <w:hideMark/>
          </w:tcPr>
          <w:p w14:paraId="1348D25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hideMark/>
          </w:tcPr>
          <w:p w14:paraId="6BB924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451 663,05</w:t>
            </w:r>
          </w:p>
        </w:tc>
      </w:tr>
      <w:tr w:rsidR="00862C6F" w:rsidRPr="00236418" w14:paraId="3B4567C9" w14:textId="77777777" w:rsidTr="00620F53">
        <w:trPr>
          <w:trHeight w:val="300"/>
          <w:jc w:val="center"/>
        </w:trPr>
        <w:tc>
          <w:tcPr>
            <w:tcW w:w="3677" w:type="dxa"/>
            <w:tcBorders>
              <w:top w:val="nil"/>
              <w:left w:val="single" w:sz="4" w:space="0" w:color="auto"/>
              <w:right w:val="single" w:sz="4" w:space="0" w:color="auto"/>
            </w:tcBorders>
            <w:shd w:val="clear" w:color="auto" w:fill="auto"/>
            <w:vAlign w:val="bottom"/>
          </w:tcPr>
          <w:p w14:paraId="1AED2096" w14:textId="77777777" w:rsidR="00862C6F" w:rsidRPr="00236418" w:rsidRDefault="00862C6F" w:rsidP="00862C6F">
            <w:pPr>
              <w:tabs>
                <w:tab w:val="clear" w:pos="567"/>
                <w:tab w:val="left" w:pos="313"/>
              </w:tabs>
              <w:rPr>
                <w:rFonts w:asciiTheme="minorHAnsi" w:hAnsiTheme="minorHAnsi"/>
                <w:sz w:val="22"/>
                <w:szCs w:val="22"/>
              </w:rPr>
            </w:pPr>
            <w:r w:rsidRPr="00236418">
              <w:rPr>
                <w:rFonts w:asciiTheme="minorHAnsi" w:hAnsiTheme="minorHAnsi"/>
                <w:sz w:val="22"/>
                <w:szCs w:val="22"/>
              </w:rPr>
              <w:t>–</w:t>
            </w:r>
            <w:r w:rsidRPr="00236418">
              <w:rPr>
                <w:rFonts w:asciiTheme="minorHAnsi" w:hAnsiTheme="minorHAnsi"/>
                <w:sz w:val="22"/>
                <w:szCs w:val="22"/>
              </w:rPr>
              <w:tab/>
              <w:t>WI-FI Alliance, Austin</w:t>
            </w:r>
          </w:p>
        </w:tc>
        <w:tc>
          <w:tcPr>
            <w:tcW w:w="1296" w:type="dxa"/>
            <w:tcBorders>
              <w:top w:val="nil"/>
              <w:left w:val="single" w:sz="4" w:space="0" w:color="auto"/>
              <w:bottom w:val="nil"/>
              <w:right w:val="single" w:sz="4" w:space="0" w:color="auto"/>
            </w:tcBorders>
            <w:noWrap/>
            <w:vAlign w:val="bottom"/>
          </w:tcPr>
          <w:p w14:paraId="1607E0C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2013</w:t>
            </w:r>
          </w:p>
        </w:tc>
        <w:tc>
          <w:tcPr>
            <w:tcW w:w="1611" w:type="dxa"/>
            <w:noWrap/>
            <w:vAlign w:val="bottom"/>
          </w:tcPr>
          <w:p w14:paraId="4746F44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44 151,35</w:t>
            </w:r>
          </w:p>
        </w:tc>
        <w:tc>
          <w:tcPr>
            <w:tcW w:w="1434" w:type="dxa"/>
            <w:tcBorders>
              <w:top w:val="nil"/>
              <w:left w:val="single" w:sz="4" w:space="0" w:color="auto"/>
              <w:bottom w:val="nil"/>
              <w:right w:val="single" w:sz="4" w:space="0" w:color="auto"/>
            </w:tcBorders>
            <w:noWrap/>
            <w:vAlign w:val="bottom"/>
          </w:tcPr>
          <w:p w14:paraId="08172F2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nil"/>
              <w:right w:val="single" w:sz="4" w:space="0" w:color="auto"/>
            </w:tcBorders>
            <w:noWrap/>
            <w:vAlign w:val="bottom"/>
          </w:tcPr>
          <w:p w14:paraId="7C78A45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44 151,35</w:t>
            </w:r>
          </w:p>
        </w:tc>
      </w:tr>
      <w:tr w:rsidR="00862C6F" w:rsidRPr="00236418" w14:paraId="569D025B"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tcPr>
          <w:p w14:paraId="70AB5D43" w14:textId="77777777" w:rsidR="00862C6F" w:rsidRPr="00236418" w:rsidRDefault="00862C6F" w:rsidP="00862C6F">
            <w:pPr>
              <w:tabs>
                <w:tab w:val="clear" w:pos="567"/>
                <w:tab w:val="left" w:pos="313"/>
              </w:tabs>
              <w:rPr>
                <w:rFonts w:asciiTheme="minorHAnsi" w:hAnsiTheme="minorHAnsi"/>
                <w:sz w:val="22"/>
                <w:szCs w:val="22"/>
              </w:rPr>
            </w:pPr>
            <w:r w:rsidRPr="00236418">
              <w:rPr>
                <w:rFonts w:asciiTheme="minorHAnsi" w:hAnsiTheme="minorHAnsi"/>
                <w:sz w:val="22"/>
                <w:szCs w:val="22"/>
              </w:rPr>
              <w:t>–</w:t>
            </w:r>
            <w:r w:rsidRPr="00236418">
              <w:rPr>
                <w:rFonts w:asciiTheme="minorHAnsi" w:hAnsiTheme="minorHAnsi"/>
                <w:sz w:val="22"/>
                <w:szCs w:val="22"/>
              </w:rPr>
              <w:tab/>
              <w:t>Xerox Ltd., Washington</w:t>
            </w:r>
          </w:p>
        </w:tc>
        <w:tc>
          <w:tcPr>
            <w:tcW w:w="1296" w:type="dxa"/>
            <w:tcBorders>
              <w:top w:val="nil"/>
              <w:left w:val="single" w:sz="4" w:space="0" w:color="auto"/>
              <w:bottom w:val="single" w:sz="4" w:space="0" w:color="auto"/>
              <w:right w:val="single" w:sz="4" w:space="0" w:color="auto"/>
            </w:tcBorders>
            <w:noWrap/>
            <w:vAlign w:val="bottom"/>
          </w:tcPr>
          <w:p w14:paraId="7925CBF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rFonts w:cs="Calibri"/>
                <w:sz w:val="22"/>
                <w:szCs w:val="22"/>
                <w:lang w:eastAsia="en-GB"/>
              </w:rPr>
              <w:t>2004-2007</w:t>
            </w:r>
          </w:p>
        </w:tc>
        <w:tc>
          <w:tcPr>
            <w:tcW w:w="1611" w:type="dxa"/>
            <w:tcBorders>
              <w:top w:val="nil"/>
              <w:left w:val="nil"/>
              <w:bottom w:val="single" w:sz="4" w:space="0" w:color="auto"/>
              <w:right w:val="nil"/>
            </w:tcBorders>
            <w:noWrap/>
            <w:vAlign w:val="bottom"/>
          </w:tcPr>
          <w:p w14:paraId="3A0EFA6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85 152,00</w:t>
            </w:r>
          </w:p>
        </w:tc>
        <w:tc>
          <w:tcPr>
            <w:tcW w:w="1434" w:type="dxa"/>
            <w:tcBorders>
              <w:top w:val="nil"/>
              <w:left w:val="single" w:sz="4" w:space="0" w:color="auto"/>
              <w:bottom w:val="single" w:sz="4" w:space="0" w:color="auto"/>
              <w:right w:val="single" w:sz="4" w:space="0" w:color="auto"/>
            </w:tcBorders>
            <w:noWrap/>
            <w:vAlign w:val="bottom"/>
          </w:tcPr>
          <w:p w14:paraId="6BA83CD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0,00</w:t>
            </w:r>
          </w:p>
        </w:tc>
        <w:tc>
          <w:tcPr>
            <w:tcW w:w="1611" w:type="dxa"/>
            <w:tcBorders>
              <w:top w:val="nil"/>
              <w:left w:val="nil"/>
              <w:bottom w:val="single" w:sz="4" w:space="0" w:color="auto"/>
              <w:right w:val="single" w:sz="4" w:space="0" w:color="auto"/>
            </w:tcBorders>
            <w:noWrap/>
            <w:vAlign w:val="bottom"/>
          </w:tcPr>
          <w:p w14:paraId="3034047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85 152,00</w:t>
            </w:r>
          </w:p>
        </w:tc>
      </w:tr>
      <w:tr w:rsidR="00862C6F" w:rsidRPr="00236418" w14:paraId="4B77E16F"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607039D1" w14:textId="77777777" w:rsidR="00862C6F" w:rsidRPr="00236418" w:rsidRDefault="00862C6F" w:rsidP="00862C6F">
            <w:pPr>
              <w:rPr>
                <w:b/>
                <w:bCs/>
                <w:sz w:val="22"/>
                <w:szCs w:val="22"/>
              </w:rPr>
            </w:pPr>
            <w:r w:rsidRPr="00236418">
              <w:rPr>
                <w:b/>
                <w:bCs/>
                <w:sz w:val="22"/>
                <w:szCs w:val="22"/>
              </w:rPr>
              <w:t>Ouzbékistan</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C67022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nil"/>
            </w:tcBorders>
            <w:shd w:val="clear" w:color="auto" w:fill="auto"/>
            <w:noWrap/>
            <w:vAlign w:val="bottom"/>
            <w:hideMark/>
          </w:tcPr>
          <w:p w14:paraId="26CB97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434" w:type="dxa"/>
            <w:tcBorders>
              <w:top w:val="single" w:sz="4" w:space="0" w:color="auto"/>
              <w:left w:val="single" w:sz="4" w:space="0" w:color="auto"/>
              <w:bottom w:val="nil"/>
              <w:right w:val="single" w:sz="4" w:space="0" w:color="auto"/>
            </w:tcBorders>
            <w:shd w:val="clear" w:color="auto" w:fill="auto"/>
            <w:noWrap/>
            <w:vAlign w:val="bottom"/>
            <w:hideMark/>
          </w:tcPr>
          <w:p w14:paraId="6B7435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644879D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2C30F826"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51104A79" w14:textId="77777777" w:rsidR="00862C6F" w:rsidRPr="00236418" w:rsidRDefault="00862C6F" w:rsidP="00862C6F">
            <w:pPr>
              <w:tabs>
                <w:tab w:val="clear" w:pos="567"/>
                <w:tab w:val="left" w:pos="318"/>
              </w:tabs>
              <w:ind w:left="318" w:hanging="318"/>
              <w:rPr>
                <w:sz w:val="22"/>
                <w:szCs w:val="22"/>
              </w:rPr>
            </w:pPr>
            <w:r w:rsidRPr="00236418">
              <w:rPr>
                <w:sz w:val="22"/>
                <w:szCs w:val="22"/>
              </w:rPr>
              <w:t>–</w:t>
            </w:r>
            <w:r w:rsidRPr="00236418">
              <w:rPr>
                <w:sz w:val="22"/>
                <w:szCs w:val="22"/>
              </w:rPr>
              <w:tab/>
            </w:r>
            <w:r w:rsidRPr="00236418">
              <w:rPr>
                <w:rFonts w:asciiTheme="minorHAnsi" w:hAnsiTheme="minorHAnsi"/>
                <w:sz w:val="22"/>
                <w:szCs w:val="22"/>
              </w:rPr>
              <w:t>Université des technologies de l'information de Tachkent,</w:t>
            </w:r>
            <w:r w:rsidRPr="00236418">
              <w:rPr>
                <w:sz w:val="22"/>
                <w:szCs w:val="22"/>
              </w:rPr>
              <w:t xml:space="preserve"> Tachkent</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905D4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2014</w:t>
            </w:r>
          </w:p>
        </w:tc>
        <w:tc>
          <w:tcPr>
            <w:tcW w:w="1611" w:type="dxa"/>
            <w:tcBorders>
              <w:top w:val="nil"/>
              <w:left w:val="nil"/>
              <w:bottom w:val="single" w:sz="4" w:space="0" w:color="auto"/>
              <w:right w:val="nil"/>
            </w:tcBorders>
            <w:shd w:val="clear" w:color="auto" w:fill="auto"/>
            <w:noWrap/>
            <w:vAlign w:val="bottom"/>
            <w:hideMark/>
          </w:tcPr>
          <w:p w14:paraId="6FA4FD9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2 759,45</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7A1884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7AF5364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2 759,45</w:t>
            </w:r>
          </w:p>
        </w:tc>
      </w:tr>
      <w:tr w:rsidR="00862C6F" w:rsidRPr="00236418" w14:paraId="111B4799"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tcPr>
          <w:p w14:paraId="6DAC8B11" w14:textId="77777777" w:rsidR="00862C6F" w:rsidRPr="00236418" w:rsidRDefault="00862C6F" w:rsidP="00862C6F">
            <w:pPr>
              <w:rPr>
                <w:b/>
                <w:bCs/>
                <w:sz w:val="22"/>
                <w:szCs w:val="22"/>
              </w:rPr>
            </w:pPr>
            <w:r w:rsidRPr="00236418">
              <w:rPr>
                <w:b/>
                <w:bCs/>
                <w:sz w:val="22"/>
                <w:szCs w:val="22"/>
              </w:rPr>
              <w:t>Zambie</w:t>
            </w:r>
          </w:p>
        </w:tc>
        <w:tc>
          <w:tcPr>
            <w:tcW w:w="1296" w:type="dxa"/>
            <w:tcBorders>
              <w:top w:val="nil"/>
              <w:left w:val="single" w:sz="4" w:space="0" w:color="auto"/>
              <w:bottom w:val="nil"/>
              <w:right w:val="single" w:sz="4" w:space="0" w:color="auto"/>
            </w:tcBorders>
            <w:shd w:val="clear" w:color="auto" w:fill="auto"/>
            <w:noWrap/>
            <w:vAlign w:val="bottom"/>
          </w:tcPr>
          <w:p w14:paraId="0F5FED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tcPr>
          <w:p w14:paraId="6E152E6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434" w:type="dxa"/>
            <w:tcBorders>
              <w:top w:val="nil"/>
              <w:left w:val="single" w:sz="4" w:space="0" w:color="auto"/>
              <w:bottom w:val="nil"/>
              <w:right w:val="single" w:sz="4" w:space="0" w:color="auto"/>
            </w:tcBorders>
            <w:shd w:val="clear" w:color="auto" w:fill="auto"/>
            <w:noWrap/>
            <w:vAlign w:val="bottom"/>
          </w:tcPr>
          <w:p w14:paraId="3DA353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tcPr>
          <w:p w14:paraId="3DB62E4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48082C02"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tcPr>
          <w:p w14:paraId="5E966337" w14:textId="77777777" w:rsidR="00862C6F" w:rsidRPr="00236418" w:rsidRDefault="00862C6F" w:rsidP="00862C6F">
            <w:pPr>
              <w:tabs>
                <w:tab w:val="clear" w:pos="567"/>
                <w:tab w:val="left" w:pos="318"/>
              </w:tabs>
              <w:rPr>
                <w:sz w:val="22"/>
                <w:szCs w:val="22"/>
              </w:rPr>
            </w:pPr>
            <w:r w:rsidRPr="00236418">
              <w:rPr>
                <w:sz w:val="22"/>
                <w:szCs w:val="22"/>
              </w:rPr>
              <w:t>–</w:t>
            </w:r>
            <w:r w:rsidRPr="00236418">
              <w:rPr>
                <w:sz w:val="22"/>
                <w:szCs w:val="22"/>
              </w:rPr>
              <w:tab/>
              <w:t xml:space="preserve">Airtel </w:t>
            </w:r>
            <w:proofErr w:type="spellStart"/>
            <w:r w:rsidRPr="00236418">
              <w:rPr>
                <w:sz w:val="22"/>
                <w:szCs w:val="22"/>
              </w:rPr>
              <w:t>Zambia</w:t>
            </w:r>
            <w:proofErr w:type="spellEnd"/>
            <w:r w:rsidRPr="00236418">
              <w:rPr>
                <w:sz w:val="22"/>
                <w:szCs w:val="22"/>
              </w:rPr>
              <w:t>, Lusaka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A691C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2014</w:t>
            </w:r>
          </w:p>
        </w:tc>
        <w:tc>
          <w:tcPr>
            <w:tcW w:w="1611" w:type="dxa"/>
            <w:tcBorders>
              <w:top w:val="nil"/>
              <w:left w:val="nil"/>
              <w:bottom w:val="single" w:sz="4" w:space="0" w:color="auto"/>
              <w:right w:val="nil"/>
            </w:tcBorders>
            <w:shd w:val="clear" w:color="auto" w:fill="auto"/>
            <w:noWrap/>
            <w:vAlign w:val="bottom"/>
          </w:tcPr>
          <w:p w14:paraId="3D72A88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89 690,85</w:t>
            </w:r>
          </w:p>
        </w:tc>
        <w:tc>
          <w:tcPr>
            <w:tcW w:w="1434" w:type="dxa"/>
            <w:tcBorders>
              <w:top w:val="nil"/>
              <w:left w:val="single" w:sz="4" w:space="0" w:color="auto"/>
              <w:bottom w:val="single" w:sz="4" w:space="0" w:color="auto"/>
              <w:right w:val="single" w:sz="4" w:space="0" w:color="auto"/>
            </w:tcBorders>
            <w:shd w:val="clear" w:color="auto" w:fill="auto"/>
            <w:noWrap/>
            <w:vAlign w:val="bottom"/>
          </w:tcPr>
          <w:p w14:paraId="72B917F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41D94A6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89 690,85</w:t>
            </w:r>
          </w:p>
        </w:tc>
      </w:tr>
      <w:tr w:rsidR="00862C6F" w:rsidRPr="00236418" w14:paraId="3B2ABEF1"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7C8D135A"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Zimbabwe</w:t>
            </w:r>
          </w:p>
        </w:tc>
        <w:tc>
          <w:tcPr>
            <w:tcW w:w="1296" w:type="dxa"/>
            <w:tcBorders>
              <w:top w:val="nil"/>
              <w:left w:val="single" w:sz="4" w:space="0" w:color="auto"/>
              <w:bottom w:val="nil"/>
              <w:right w:val="single" w:sz="4" w:space="0" w:color="auto"/>
            </w:tcBorders>
            <w:shd w:val="clear" w:color="auto" w:fill="auto"/>
            <w:noWrap/>
            <w:vAlign w:val="bottom"/>
            <w:hideMark/>
          </w:tcPr>
          <w:p w14:paraId="4B2C609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bottom w:val="nil"/>
              <w:right w:val="nil"/>
            </w:tcBorders>
            <w:shd w:val="clear" w:color="auto" w:fill="auto"/>
            <w:noWrap/>
            <w:vAlign w:val="bottom"/>
            <w:hideMark/>
          </w:tcPr>
          <w:p w14:paraId="0082C5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434" w:type="dxa"/>
            <w:tcBorders>
              <w:top w:val="nil"/>
              <w:left w:val="single" w:sz="4" w:space="0" w:color="auto"/>
              <w:bottom w:val="nil"/>
              <w:right w:val="single" w:sz="4" w:space="0" w:color="auto"/>
            </w:tcBorders>
            <w:shd w:val="clear" w:color="auto" w:fill="auto"/>
            <w:noWrap/>
            <w:vAlign w:val="bottom"/>
            <w:hideMark/>
          </w:tcPr>
          <w:p w14:paraId="33F2772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bottom w:val="nil"/>
              <w:right w:val="single" w:sz="4" w:space="0" w:color="auto"/>
            </w:tcBorders>
            <w:shd w:val="clear" w:color="auto" w:fill="auto"/>
            <w:noWrap/>
            <w:vAlign w:val="bottom"/>
            <w:hideMark/>
          </w:tcPr>
          <w:p w14:paraId="77D180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71732C44" w14:textId="77777777" w:rsidTr="00620F53">
        <w:trPr>
          <w:trHeight w:val="300"/>
          <w:jc w:val="center"/>
        </w:trPr>
        <w:tc>
          <w:tcPr>
            <w:tcW w:w="3677" w:type="dxa"/>
            <w:tcBorders>
              <w:top w:val="nil"/>
              <w:left w:val="single" w:sz="4" w:space="0" w:color="auto"/>
              <w:bottom w:val="nil"/>
              <w:right w:val="single" w:sz="4" w:space="0" w:color="auto"/>
            </w:tcBorders>
            <w:shd w:val="clear" w:color="auto" w:fill="auto"/>
            <w:vAlign w:val="bottom"/>
            <w:hideMark/>
          </w:tcPr>
          <w:p w14:paraId="71EBEC9A" w14:textId="77777777" w:rsidR="00862C6F" w:rsidRPr="00236418"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NetOne</w:t>
            </w:r>
            <w:proofErr w:type="spellEnd"/>
            <w:r w:rsidRPr="00236418">
              <w:rPr>
                <w:rFonts w:asciiTheme="minorHAnsi" w:eastAsia="Batang" w:hAnsiTheme="minorHAnsi"/>
                <w:sz w:val="22"/>
                <w:szCs w:val="22"/>
              </w:rPr>
              <w:t xml:space="preserve"> Cellular Ltd., Harare</w:t>
            </w:r>
          </w:p>
        </w:tc>
        <w:tc>
          <w:tcPr>
            <w:tcW w:w="1296" w:type="dxa"/>
            <w:tcBorders>
              <w:top w:val="nil"/>
              <w:left w:val="single" w:sz="4" w:space="0" w:color="auto"/>
              <w:bottom w:val="nil"/>
              <w:right w:val="single" w:sz="4" w:space="0" w:color="auto"/>
            </w:tcBorders>
            <w:shd w:val="clear" w:color="auto" w:fill="auto"/>
            <w:noWrap/>
            <w:vAlign w:val="bottom"/>
            <w:hideMark/>
          </w:tcPr>
          <w:p w14:paraId="02E0D3F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2003-2006</w:t>
            </w:r>
          </w:p>
        </w:tc>
        <w:tc>
          <w:tcPr>
            <w:tcW w:w="1611" w:type="dxa"/>
            <w:noWrap/>
            <w:vAlign w:val="bottom"/>
            <w:hideMark/>
          </w:tcPr>
          <w:p w14:paraId="0630AD0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334 694,88</w:t>
            </w:r>
          </w:p>
        </w:tc>
        <w:tc>
          <w:tcPr>
            <w:tcW w:w="1434" w:type="dxa"/>
            <w:tcBorders>
              <w:top w:val="nil"/>
              <w:left w:val="single" w:sz="4" w:space="0" w:color="auto"/>
              <w:bottom w:val="nil"/>
              <w:right w:val="single" w:sz="4" w:space="0" w:color="auto"/>
            </w:tcBorders>
            <w:shd w:val="clear" w:color="auto" w:fill="auto"/>
            <w:noWrap/>
            <w:vAlign w:val="bottom"/>
            <w:hideMark/>
          </w:tcPr>
          <w:p w14:paraId="146AE0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nil"/>
              <w:right w:val="single" w:sz="4" w:space="0" w:color="auto"/>
            </w:tcBorders>
            <w:shd w:val="clear" w:color="auto" w:fill="auto"/>
            <w:noWrap/>
            <w:vAlign w:val="bottom"/>
            <w:hideMark/>
          </w:tcPr>
          <w:p w14:paraId="6341E17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334 694,88</w:t>
            </w:r>
          </w:p>
        </w:tc>
      </w:tr>
      <w:tr w:rsidR="00862C6F" w:rsidRPr="00236418" w14:paraId="7D88F107" w14:textId="77777777" w:rsidTr="00620F53">
        <w:trPr>
          <w:trHeight w:val="300"/>
          <w:jc w:val="center"/>
        </w:trPr>
        <w:tc>
          <w:tcPr>
            <w:tcW w:w="3677" w:type="dxa"/>
            <w:tcBorders>
              <w:top w:val="nil"/>
              <w:left w:val="single" w:sz="4" w:space="0" w:color="auto"/>
              <w:right w:val="single" w:sz="4" w:space="0" w:color="auto"/>
            </w:tcBorders>
            <w:shd w:val="clear" w:color="auto" w:fill="auto"/>
            <w:vAlign w:val="bottom"/>
          </w:tcPr>
          <w:p w14:paraId="6A761E4B"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TelOne</w:t>
            </w:r>
            <w:proofErr w:type="spellEnd"/>
            <w:r w:rsidRPr="00236418">
              <w:rPr>
                <w:rFonts w:asciiTheme="minorHAnsi" w:eastAsia="Batang" w:hAnsiTheme="minorHAnsi"/>
                <w:sz w:val="22"/>
                <w:szCs w:val="22"/>
              </w:rPr>
              <w:t xml:space="preserve"> (</w:t>
            </w:r>
            <w:proofErr w:type="spellStart"/>
            <w:r w:rsidRPr="00236418">
              <w:rPr>
                <w:rFonts w:asciiTheme="minorHAnsi" w:eastAsia="Batang" w:hAnsiTheme="minorHAnsi"/>
                <w:sz w:val="22"/>
                <w:szCs w:val="22"/>
              </w:rPr>
              <w:t>Pvt</w:t>
            </w:r>
            <w:proofErr w:type="spellEnd"/>
            <w:r w:rsidRPr="00236418">
              <w:rPr>
                <w:rFonts w:asciiTheme="minorHAnsi" w:eastAsia="Batang" w:hAnsiTheme="minorHAnsi"/>
                <w:sz w:val="22"/>
                <w:szCs w:val="22"/>
              </w:rPr>
              <w:t>) Limited, Harare</w:t>
            </w:r>
          </w:p>
        </w:tc>
        <w:tc>
          <w:tcPr>
            <w:tcW w:w="1296" w:type="dxa"/>
            <w:tcBorders>
              <w:top w:val="nil"/>
              <w:left w:val="single" w:sz="4" w:space="0" w:color="auto"/>
              <w:right w:val="single" w:sz="4" w:space="0" w:color="auto"/>
            </w:tcBorders>
            <w:shd w:val="clear" w:color="auto" w:fill="auto"/>
            <w:noWrap/>
            <w:vAlign w:val="bottom"/>
          </w:tcPr>
          <w:p w14:paraId="50750B2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2016-2018</w:t>
            </w:r>
          </w:p>
        </w:tc>
        <w:tc>
          <w:tcPr>
            <w:tcW w:w="1611" w:type="dxa"/>
            <w:noWrap/>
            <w:vAlign w:val="bottom"/>
          </w:tcPr>
          <w:p w14:paraId="353A6E5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75 823,45</w:t>
            </w:r>
          </w:p>
        </w:tc>
        <w:tc>
          <w:tcPr>
            <w:tcW w:w="1434" w:type="dxa"/>
            <w:tcBorders>
              <w:top w:val="nil"/>
              <w:left w:val="single" w:sz="4" w:space="0" w:color="auto"/>
              <w:right w:val="single" w:sz="4" w:space="0" w:color="auto"/>
            </w:tcBorders>
            <w:shd w:val="clear" w:color="auto" w:fill="auto"/>
            <w:noWrap/>
            <w:vAlign w:val="bottom"/>
          </w:tcPr>
          <w:p w14:paraId="1DA8449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right w:val="single" w:sz="4" w:space="0" w:color="auto"/>
            </w:tcBorders>
            <w:shd w:val="clear" w:color="auto" w:fill="auto"/>
            <w:noWrap/>
            <w:vAlign w:val="bottom"/>
          </w:tcPr>
          <w:p w14:paraId="5B5C432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75 823,45</w:t>
            </w:r>
          </w:p>
        </w:tc>
      </w:tr>
      <w:tr w:rsidR="00862C6F" w:rsidRPr="00236418" w14:paraId="1B6EDA89"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09938CC9"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University</w:t>
            </w:r>
            <w:proofErr w:type="spellEnd"/>
            <w:r w:rsidRPr="00236418">
              <w:rPr>
                <w:rFonts w:asciiTheme="minorHAnsi" w:eastAsia="Batang" w:hAnsiTheme="minorHAnsi"/>
                <w:sz w:val="22"/>
                <w:szCs w:val="22"/>
              </w:rPr>
              <w:t xml:space="preserve"> of Zimbabwe, Harare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C8CBC9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2008-2009</w:t>
            </w:r>
          </w:p>
        </w:tc>
        <w:tc>
          <w:tcPr>
            <w:tcW w:w="1611" w:type="dxa"/>
            <w:tcBorders>
              <w:top w:val="nil"/>
              <w:left w:val="nil"/>
              <w:bottom w:val="single" w:sz="4" w:space="0" w:color="auto"/>
              <w:right w:val="nil"/>
            </w:tcBorders>
            <w:noWrap/>
            <w:vAlign w:val="bottom"/>
            <w:hideMark/>
          </w:tcPr>
          <w:p w14:paraId="3E2B777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23 782,90</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494152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5FFD81F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rFonts w:cs="Calibri"/>
                <w:sz w:val="22"/>
                <w:szCs w:val="22"/>
                <w:lang w:eastAsia="en-GB"/>
              </w:rPr>
              <w:t>23 782,90</w:t>
            </w:r>
          </w:p>
        </w:tc>
      </w:tr>
      <w:tr w:rsidR="00862C6F" w:rsidRPr="00236418" w14:paraId="375D6675"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06C28766" w14:textId="77777777" w:rsidR="00862C6F" w:rsidRPr="00236418"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rPr>
            </w:pPr>
            <w:r w:rsidRPr="00236418">
              <w:rPr>
                <w:b/>
                <w:sz w:val="22"/>
                <w:szCs w:val="22"/>
              </w:rPr>
              <w:t>Résolution 99 (Rév. Dubaï, 2018)</w:t>
            </w:r>
          </w:p>
        </w:tc>
        <w:tc>
          <w:tcPr>
            <w:tcW w:w="1296" w:type="dxa"/>
            <w:tcBorders>
              <w:top w:val="nil"/>
              <w:left w:val="single" w:sz="4" w:space="0" w:color="auto"/>
              <w:bottom w:val="nil"/>
              <w:right w:val="single" w:sz="4" w:space="0" w:color="auto"/>
            </w:tcBorders>
            <w:shd w:val="clear" w:color="auto" w:fill="auto"/>
            <w:noWrap/>
            <w:vAlign w:val="bottom"/>
          </w:tcPr>
          <w:p w14:paraId="6FD10E6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 </w:t>
            </w:r>
          </w:p>
        </w:tc>
        <w:tc>
          <w:tcPr>
            <w:tcW w:w="1611" w:type="dxa"/>
            <w:tcBorders>
              <w:top w:val="nil"/>
              <w:left w:val="nil"/>
              <w:right w:val="nil"/>
            </w:tcBorders>
            <w:shd w:val="clear" w:color="auto" w:fill="auto"/>
            <w:noWrap/>
            <w:vAlign w:val="bottom"/>
          </w:tcPr>
          <w:p w14:paraId="4223322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434" w:type="dxa"/>
            <w:tcBorders>
              <w:top w:val="nil"/>
              <w:left w:val="single" w:sz="4" w:space="0" w:color="auto"/>
              <w:right w:val="single" w:sz="4" w:space="0" w:color="auto"/>
            </w:tcBorders>
            <w:shd w:val="clear" w:color="auto" w:fill="auto"/>
            <w:noWrap/>
            <w:vAlign w:val="bottom"/>
          </w:tcPr>
          <w:p w14:paraId="5B48ECB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c>
          <w:tcPr>
            <w:tcW w:w="1611" w:type="dxa"/>
            <w:tcBorders>
              <w:top w:val="nil"/>
              <w:left w:val="nil"/>
              <w:right w:val="single" w:sz="4" w:space="0" w:color="auto"/>
            </w:tcBorders>
            <w:shd w:val="clear" w:color="auto" w:fill="auto"/>
            <w:noWrap/>
            <w:vAlign w:val="bottom"/>
          </w:tcPr>
          <w:p w14:paraId="17AF33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236418">
              <w:rPr>
                <w:sz w:val="22"/>
                <w:szCs w:val="22"/>
                <w:lang w:eastAsia="zh-CN"/>
              </w:rPr>
              <w:t> </w:t>
            </w:r>
          </w:p>
        </w:tc>
      </w:tr>
      <w:tr w:rsidR="00862C6F" w:rsidRPr="00236418" w14:paraId="780015B5"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153079B6" w14:textId="77777777" w:rsidR="00862C6F" w:rsidRPr="00596807"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596807">
              <w:rPr>
                <w:rFonts w:asciiTheme="minorHAnsi" w:eastAsia="Batang" w:hAnsiTheme="minorHAnsi"/>
                <w:sz w:val="22"/>
                <w:szCs w:val="22"/>
                <w:lang w:val="en-US"/>
              </w:rPr>
              <w:t>–</w:t>
            </w:r>
            <w:r w:rsidRPr="00596807">
              <w:rPr>
                <w:rFonts w:asciiTheme="minorHAnsi" w:eastAsia="Batang" w:hAnsiTheme="minorHAnsi"/>
                <w:sz w:val="22"/>
                <w:szCs w:val="22"/>
                <w:lang w:val="en-US"/>
              </w:rPr>
              <w:tab/>
              <w:t xml:space="preserve">BCI </w:t>
            </w:r>
            <w:proofErr w:type="spellStart"/>
            <w:r w:rsidRPr="00596807">
              <w:rPr>
                <w:rFonts w:asciiTheme="minorHAnsi" w:eastAsia="Batang" w:hAnsiTheme="minorHAnsi"/>
                <w:sz w:val="22"/>
                <w:szCs w:val="22"/>
                <w:lang w:val="en-US"/>
              </w:rPr>
              <w:t>Communicat</w:t>
            </w:r>
            <w:proofErr w:type="spellEnd"/>
            <w:r w:rsidRPr="00596807">
              <w:rPr>
                <w:rFonts w:asciiTheme="minorHAnsi" w:eastAsia="Batang" w:hAnsiTheme="minorHAnsi"/>
                <w:sz w:val="22"/>
                <w:szCs w:val="22"/>
                <w:lang w:val="en-US"/>
              </w:rPr>
              <w:t>, &amp; Advanced Tech. Ramallah</w:t>
            </w:r>
          </w:p>
        </w:tc>
        <w:tc>
          <w:tcPr>
            <w:tcW w:w="1296" w:type="dxa"/>
            <w:tcBorders>
              <w:top w:val="nil"/>
              <w:left w:val="single" w:sz="4" w:space="0" w:color="auto"/>
              <w:bottom w:val="nil"/>
              <w:right w:val="single" w:sz="4" w:space="0" w:color="auto"/>
            </w:tcBorders>
            <w:shd w:val="clear" w:color="auto" w:fill="auto"/>
            <w:noWrap/>
            <w:vAlign w:val="bottom"/>
            <w:hideMark/>
          </w:tcPr>
          <w:p w14:paraId="7FBA017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236418">
              <w:rPr>
                <w:sz w:val="22"/>
                <w:szCs w:val="22"/>
                <w:lang w:eastAsia="zh-CN"/>
              </w:rPr>
              <w:t>2007-2008</w:t>
            </w:r>
          </w:p>
        </w:tc>
        <w:tc>
          <w:tcPr>
            <w:tcW w:w="1611" w:type="dxa"/>
            <w:tcBorders>
              <w:top w:val="nil"/>
              <w:left w:val="nil"/>
              <w:bottom w:val="single" w:sz="4" w:space="0" w:color="auto"/>
              <w:right w:val="nil"/>
            </w:tcBorders>
            <w:shd w:val="clear" w:color="auto" w:fill="auto"/>
            <w:noWrap/>
            <w:vAlign w:val="bottom"/>
            <w:hideMark/>
          </w:tcPr>
          <w:p w14:paraId="1DD76E4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9 828,50</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CAF56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1DA2576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236418">
              <w:rPr>
                <w:sz w:val="22"/>
                <w:szCs w:val="22"/>
                <w:lang w:eastAsia="zh-CN"/>
              </w:rPr>
              <w:t>9 828,50</w:t>
            </w:r>
          </w:p>
        </w:tc>
      </w:tr>
      <w:tr w:rsidR="00862C6F" w:rsidRPr="00236418" w14:paraId="75FBDCC2" w14:textId="77777777" w:rsidTr="00620F53">
        <w:trPr>
          <w:trHeight w:val="300"/>
          <w:jc w:val="center"/>
        </w:trPr>
        <w:tc>
          <w:tcPr>
            <w:tcW w:w="49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4DB44B" w14:textId="77777777" w:rsidR="00862C6F" w:rsidRPr="00236418" w:rsidRDefault="00862C6F" w:rsidP="00862C6F">
            <w:pPr>
              <w:tabs>
                <w:tab w:val="clear" w:pos="567"/>
                <w:tab w:val="clear" w:pos="1134"/>
                <w:tab w:val="clear" w:pos="1701"/>
                <w:tab w:val="clear" w:pos="2268"/>
                <w:tab w:val="clear" w:pos="2835"/>
              </w:tabs>
              <w:spacing w:before="60" w:after="60"/>
              <w:rPr>
                <w:sz w:val="22"/>
                <w:szCs w:val="22"/>
                <w:lang w:eastAsia="zh-CN"/>
              </w:rPr>
            </w:pPr>
          </w:p>
        </w:tc>
        <w:tc>
          <w:tcPr>
            <w:tcW w:w="1611" w:type="dxa"/>
            <w:tcBorders>
              <w:top w:val="single" w:sz="4" w:space="0" w:color="auto"/>
              <w:left w:val="nil"/>
              <w:bottom w:val="single" w:sz="4" w:space="0" w:color="auto"/>
              <w:right w:val="nil"/>
            </w:tcBorders>
            <w:shd w:val="clear" w:color="auto" w:fill="auto"/>
            <w:noWrap/>
            <w:vAlign w:val="bottom"/>
            <w:hideMark/>
          </w:tcPr>
          <w:p w14:paraId="5E0A7EA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eastAsia="zh-CN"/>
              </w:rPr>
            </w:pPr>
            <w:r w:rsidRPr="00236418">
              <w:rPr>
                <w:b/>
                <w:sz w:val="22"/>
                <w:szCs w:val="22"/>
                <w:lang w:eastAsia="zh-CN"/>
              </w:rPr>
              <w:t>11 173 901,78</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C67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eastAsia="zh-CN"/>
              </w:rPr>
            </w:pPr>
            <w:r w:rsidRPr="00236418">
              <w:rPr>
                <w:b/>
                <w:sz w:val="22"/>
                <w:szCs w:val="22"/>
                <w:lang w:eastAsia="zh-CN"/>
              </w:rPr>
              <w:t>0,00</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598C49E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eastAsia="zh-CN"/>
              </w:rPr>
            </w:pPr>
            <w:r w:rsidRPr="00236418">
              <w:rPr>
                <w:b/>
                <w:sz w:val="22"/>
                <w:szCs w:val="22"/>
                <w:lang w:eastAsia="zh-CN"/>
              </w:rPr>
              <w:t>11 173 901,78</w:t>
            </w:r>
          </w:p>
        </w:tc>
      </w:tr>
      <w:tr w:rsidR="00862C6F" w:rsidRPr="00236418" w14:paraId="6F2A6042" w14:textId="77777777" w:rsidTr="00620F53">
        <w:trPr>
          <w:trHeight w:val="300"/>
          <w:jc w:val="center"/>
        </w:trPr>
        <w:tc>
          <w:tcPr>
            <w:tcW w:w="3677" w:type="dxa"/>
            <w:tcBorders>
              <w:top w:val="single" w:sz="4" w:space="0" w:color="auto"/>
              <w:bottom w:val="single" w:sz="4" w:space="0" w:color="auto"/>
              <w:right w:val="single" w:sz="4" w:space="0" w:color="auto"/>
            </w:tcBorders>
            <w:shd w:val="clear" w:color="auto" w:fill="auto"/>
            <w:vAlign w:val="bottom"/>
            <w:hideMark/>
          </w:tcPr>
          <w:p w14:paraId="5A51075F"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color w:val="000000"/>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71949BF4" w14:textId="77777777" w:rsidR="00862C6F" w:rsidRPr="00236418" w:rsidRDefault="00862C6F" w:rsidP="00862C6F">
            <w:pPr>
              <w:tabs>
                <w:tab w:val="clear" w:pos="567"/>
                <w:tab w:val="clear" w:pos="1134"/>
                <w:tab w:val="clear" w:pos="1701"/>
                <w:tab w:val="clear" w:pos="2268"/>
                <w:tab w:val="clear" w:pos="2835"/>
              </w:tabs>
              <w:spacing w:before="60" w:after="60"/>
              <w:jc w:val="center"/>
              <w:rPr>
                <w:color w:val="000000"/>
                <w:sz w:val="22"/>
                <w:szCs w:val="22"/>
              </w:rPr>
            </w:pPr>
          </w:p>
        </w:tc>
        <w:tc>
          <w:tcPr>
            <w:tcW w:w="1611" w:type="dxa"/>
            <w:tcBorders>
              <w:top w:val="single" w:sz="4" w:space="0" w:color="auto"/>
              <w:left w:val="single" w:sz="4" w:space="0" w:color="auto"/>
              <w:bottom w:val="single" w:sz="4" w:space="0" w:color="auto"/>
            </w:tcBorders>
            <w:shd w:val="clear" w:color="auto" w:fill="auto"/>
            <w:noWrap/>
            <w:hideMark/>
          </w:tcPr>
          <w:p w14:paraId="6D2FD4AD" w14:textId="77777777" w:rsidR="00862C6F" w:rsidRPr="00236418" w:rsidRDefault="00862C6F" w:rsidP="00862C6F">
            <w:pPr>
              <w:tabs>
                <w:tab w:val="clear" w:pos="567"/>
                <w:tab w:val="clear" w:pos="1134"/>
                <w:tab w:val="clear" w:pos="1701"/>
                <w:tab w:val="clear" w:pos="2268"/>
                <w:tab w:val="clear" w:pos="2835"/>
              </w:tabs>
              <w:spacing w:before="60" w:after="60"/>
              <w:jc w:val="right"/>
              <w:rPr>
                <w:color w:val="000000"/>
                <w:sz w:val="22"/>
                <w:szCs w:val="22"/>
              </w:rPr>
            </w:pPr>
          </w:p>
        </w:tc>
        <w:tc>
          <w:tcPr>
            <w:tcW w:w="1434" w:type="dxa"/>
            <w:tcBorders>
              <w:top w:val="single" w:sz="4" w:space="0" w:color="auto"/>
              <w:left w:val="nil"/>
              <w:bottom w:val="single" w:sz="4" w:space="0" w:color="auto"/>
            </w:tcBorders>
            <w:shd w:val="clear" w:color="auto" w:fill="auto"/>
            <w:noWrap/>
            <w:hideMark/>
          </w:tcPr>
          <w:p w14:paraId="5EFEE68F" w14:textId="77777777" w:rsidR="00862C6F" w:rsidRPr="00236418" w:rsidRDefault="00862C6F" w:rsidP="00862C6F">
            <w:pPr>
              <w:tabs>
                <w:tab w:val="clear" w:pos="567"/>
                <w:tab w:val="clear" w:pos="1134"/>
                <w:tab w:val="clear" w:pos="1701"/>
                <w:tab w:val="clear" w:pos="2268"/>
                <w:tab w:val="clear" w:pos="2835"/>
              </w:tabs>
              <w:spacing w:before="60" w:after="60"/>
              <w:jc w:val="right"/>
              <w:rPr>
                <w:color w:val="000000"/>
                <w:sz w:val="22"/>
                <w:szCs w:val="22"/>
              </w:rPr>
            </w:pPr>
          </w:p>
        </w:tc>
        <w:tc>
          <w:tcPr>
            <w:tcW w:w="1611" w:type="dxa"/>
            <w:tcBorders>
              <w:top w:val="single" w:sz="4" w:space="0" w:color="auto"/>
              <w:left w:val="nil"/>
              <w:bottom w:val="single" w:sz="4" w:space="0" w:color="auto"/>
            </w:tcBorders>
            <w:shd w:val="clear" w:color="auto" w:fill="auto"/>
            <w:noWrap/>
            <w:hideMark/>
          </w:tcPr>
          <w:p w14:paraId="73DFE392" w14:textId="77777777" w:rsidR="00862C6F" w:rsidRPr="00236418" w:rsidRDefault="00862C6F" w:rsidP="00862C6F">
            <w:pPr>
              <w:tabs>
                <w:tab w:val="clear" w:pos="567"/>
                <w:tab w:val="clear" w:pos="1134"/>
                <w:tab w:val="clear" w:pos="1701"/>
                <w:tab w:val="clear" w:pos="2268"/>
                <w:tab w:val="clear" w:pos="2835"/>
              </w:tabs>
              <w:spacing w:before="60" w:after="60"/>
              <w:jc w:val="right"/>
              <w:rPr>
                <w:color w:val="000000"/>
                <w:sz w:val="22"/>
                <w:szCs w:val="22"/>
              </w:rPr>
            </w:pPr>
          </w:p>
        </w:tc>
      </w:tr>
      <w:tr w:rsidR="00862C6F" w:rsidRPr="00236418" w14:paraId="37FA93E1"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BA682" w14:textId="77777777" w:rsidR="00862C6F" w:rsidRPr="00236418" w:rsidRDefault="00862C6F" w:rsidP="00862C6F">
            <w:pPr>
              <w:tabs>
                <w:tab w:val="clear" w:pos="567"/>
                <w:tab w:val="clear" w:pos="1134"/>
                <w:tab w:val="clear" w:pos="1701"/>
                <w:tab w:val="clear" w:pos="2268"/>
                <w:tab w:val="clear" w:pos="2835"/>
                <w:tab w:val="left" w:pos="476"/>
              </w:tabs>
              <w:spacing w:after="120"/>
              <w:rPr>
                <w:b/>
                <w:sz w:val="22"/>
              </w:rPr>
            </w:pPr>
            <w:r w:rsidRPr="00236418">
              <w:rPr>
                <w:b/>
                <w:sz w:val="22"/>
              </w:rPr>
              <w:t>C</w:t>
            </w:r>
            <w:r w:rsidRPr="00236418">
              <w:rPr>
                <w:b/>
                <w:sz w:val="22"/>
              </w:rPr>
              <w:tab/>
              <w:t>Autres débiteurs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04EF9DAD"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77809E28"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Contributions</w:t>
            </w:r>
          </w:p>
        </w:tc>
        <w:tc>
          <w:tcPr>
            <w:tcW w:w="1434" w:type="dxa"/>
            <w:tcBorders>
              <w:top w:val="single" w:sz="4" w:space="0" w:color="auto"/>
              <w:left w:val="single" w:sz="4" w:space="0" w:color="auto"/>
              <w:bottom w:val="single" w:sz="4" w:space="0" w:color="auto"/>
              <w:right w:val="single" w:sz="4" w:space="0" w:color="auto"/>
            </w:tcBorders>
            <w:shd w:val="clear" w:color="auto" w:fill="auto"/>
            <w:noWrap/>
            <w:hideMark/>
          </w:tcPr>
          <w:p w14:paraId="1C405A19"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BCD2468"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Total</w:t>
            </w:r>
          </w:p>
        </w:tc>
      </w:tr>
      <w:tr w:rsidR="00862C6F" w:rsidRPr="00236418" w14:paraId="186CF44B"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2308005F"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t>C &amp; C Marine Combine, Bombai</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050309FE"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2017</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0A301B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0,00</w:t>
            </w:r>
          </w:p>
        </w:tc>
        <w:tc>
          <w:tcPr>
            <w:tcW w:w="1434" w:type="dxa"/>
            <w:tcBorders>
              <w:top w:val="nil"/>
              <w:left w:val="single" w:sz="4" w:space="0" w:color="auto"/>
              <w:bottom w:val="single" w:sz="4" w:space="0" w:color="auto"/>
              <w:right w:val="single" w:sz="4" w:space="0" w:color="auto"/>
            </w:tcBorders>
            <w:noWrap/>
            <w:vAlign w:val="bottom"/>
          </w:tcPr>
          <w:p w14:paraId="68854B9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cs="Calibri"/>
                <w:sz w:val="22"/>
                <w:szCs w:val="22"/>
                <w:lang w:eastAsia="en-GB"/>
              </w:rPr>
              <w:t>48 766,00</w:t>
            </w:r>
          </w:p>
        </w:tc>
        <w:tc>
          <w:tcPr>
            <w:tcW w:w="1611" w:type="dxa"/>
            <w:tcBorders>
              <w:top w:val="single" w:sz="4" w:space="0" w:color="auto"/>
              <w:left w:val="nil"/>
              <w:bottom w:val="single" w:sz="4" w:space="0" w:color="auto"/>
              <w:right w:val="single" w:sz="4" w:space="0" w:color="auto"/>
            </w:tcBorders>
            <w:noWrap/>
            <w:vAlign w:val="bottom"/>
          </w:tcPr>
          <w:p w14:paraId="5CB149E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cs="Calibri"/>
                <w:sz w:val="22"/>
                <w:szCs w:val="22"/>
                <w:lang w:eastAsia="en-GB"/>
              </w:rPr>
              <w:t>48 766,00</w:t>
            </w:r>
          </w:p>
        </w:tc>
      </w:tr>
      <w:tr w:rsidR="00862C6F" w:rsidRPr="00236418" w14:paraId="307C457B"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26E49EC4"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rPr>
            </w:pPr>
            <w:r w:rsidRPr="00236418">
              <w:rPr>
                <w:rFonts w:asciiTheme="minorHAnsi" w:eastAsia="Batang" w:hAnsiTheme="minorHAnsi"/>
                <w:sz w:val="22"/>
                <w:szCs w:val="22"/>
              </w:rPr>
              <w:t>–</w:t>
            </w:r>
            <w:r w:rsidRPr="00236418">
              <w:rPr>
                <w:rFonts w:asciiTheme="minorHAnsi" w:eastAsia="Batang" w:hAnsiTheme="minorHAnsi"/>
                <w:sz w:val="22"/>
                <w:szCs w:val="22"/>
              </w:rPr>
              <w:tab/>
            </w:r>
            <w:proofErr w:type="spellStart"/>
            <w:r w:rsidRPr="00236418">
              <w:rPr>
                <w:rFonts w:asciiTheme="minorHAnsi" w:eastAsia="Batang" w:hAnsiTheme="minorHAnsi"/>
                <w:sz w:val="22"/>
                <w:szCs w:val="22"/>
              </w:rPr>
              <w:t>RascomStar</w:t>
            </w:r>
            <w:proofErr w:type="spellEnd"/>
            <w:r w:rsidRPr="00236418">
              <w:rPr>
                <w:rFonts w:asciiTheme="minorHAnsi" w:eastAsia="Batang" w:hAnsiTheme="minorHAnsi"/>
                <w:sz w:val="22"/>
                <w:szCs w:val="22"/>
              </w:rPr>
              <w:t xml:space="preserve"> − QAF, Port Louis</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2BAB7D8D"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2017</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CFC547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0,00</w:t>
            </w:r>
          </w:p>
        </w:tc>
        <w:tc>
          <w:tcPr>
            <w:tcW w:w="1434" w:type="dxa"/>
            <w:tcBorders>
              <w:top w:val="nil"/>
              <w:left w:val="single" w:sz="4" w:space="0" w:color="auto"/>
              <w:bottom w:val="single" w:sz="4" w:space="0" w:color="auto"/>
              <w:right w:val="single" w:sz="4" w:space="0" w:color="auto"/>
            </w:tcBorders>
            <w:noWrap/>
            <w:vAlign w:val="bottom"/>
          </w:tcPr>
          <w:p w14:paraId="2741A66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cs="Calibri"/>
                <w:sz w:val="22"/>
                <w:szCs w:val="22"/>
                <w:lang w:eastAsia="en-GB"/>
              </w:rPr>
              <w:t>3 530,00</w:t>
            </w:r>
          </w:p>
        </w:tc>
        <w:tc>
          <w:tcPr>
            <w:tcW w:w="1611" w:type="dxa"/>
            <w:tcBorders>
              <w:top w:val="single" w:sz="4" w:space="0" w:color="auto"/>
              <w:left w:val="nil"/>
              <w:bottom w:val="single" w:sz="4" w:space="0" w:color="auto"/>
              <w:right w:val="single" w:sz="4" w:space="0" w:color="auto"/>
            </w:tcBorders>
            <w:noWrap/>
            <w:vAlign w:val="bottom"/>
          </w:tcPr>
          <w:p w14:paraId="1C98E455"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cs="Calibri"/>
                <w:sz w:val="22"/>
                <w:szCs w:val="22"/>
                <w:lang w:eastAsia="en-GB"/>
              </w:rPr>
              <w:t>3 530,00</w:t>
            </w:r>
          </w:p>
        </w:tc>
      </w:tr>
      <w:tr w:rsidR="00862C6F" w:rsidRPr="00236418" w14:paraId="5171FCD9" w14:textId="77777777" w:rsidTr="00620F53">
        <w:trPr>
          <w:trHeight w:val="300"/>
          <w:jc w:val="center"/>
        </w:trPr>
        <w:tc>
          <w:tcPr>
            <w:tcW w:w="4973" w:type="dxa"/>
            <w:gridSpan w:val="2"/>
            <w:tcBorders>
              <w:top w:val="single" w:sz="4" w:space="0" w:color="auto"/>
              <w:left w:val="single" w:sz="4" w:space="0" w:color="auto"/>
              <w:bottom w:val="single" w:sz="4" w:space="0" w:color="auto"/>
              <w:right w:val="single" w:sz="4" w:space="0" w:color="auto"/>
            </w:tcBorders>
            <w:shd w:val="clear" w:color="auto" w:fill="auto"/>
          </w:tcPr>
          <w:p w14:paraId="2A8246CB" w14:textId="77777777" w:rsidR="00862C6F" w:rsidRPr="00236418" w:rsidRDefault="00862C6F" w:rsidP="00862C6F">
            <w:pPr>
              <w:rPr>
                <w:b/>
                <w:bCs/>
                <w:sz w:val="22"/>
                <w:szCs w:val="22"/>
              </w:rPr>
            </w:pP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2E29BA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2A7B5C6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cs="Calibri"/>
                <w:sz w:val="22"/>
                <w:szCs w:val="22"/>
                <w:lang w:eastAsia="en-GB"/>
              </w:rPr>
              <w:t>52 296,00</w:t>
            </w:r>
          </w:p>
        </w:tc>
        <w:tc>
          <w:tcPr>
            <w:tcW w:w="1611" w:type="dxa"/>
            <w:tcBorders>
              <w:top w:val="nil"/>
              <w:left w:val="single" w:sz="4" w:space="0" w:color="auto"/>
              <w:bottom w:val="single" w:sz="4" w:space="0" w:color="auto"/>
              <w:right w:val="single" w:sz="4" w:space="0" w:color="auto"/>
            </w:tcBorders>
            <w:noWrap/>
            <w:vAlign w:val="bottom"/>
          </w:tcPr>
          <w:p w14:paraId="5995588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cs="Calibri"/>
                <w:sz w:val="22"/>
                <w:szCs w:val="22"/>
                <w:lang w:eastAsia="en-GB"/>
              </w:rPr>
              <w:t>52 296,00</w:t>
            </w:r>
          </w:p>
        </w:tc>
      </w:tr>
      <w:tr w:rsidR="00862C6F" w:rsidRPr="00236418" w14:paraId="30822922" w14:textId="77777777" w:rsidTr="00620F53">
        <w:trPr>
          <w:trHeight w:val="300"/>
          <w:jc w:val="center"/>
        </w:trPr>
        <w:tc>
          <w:tcPr>
            <w:tcW w:w="3677" w:type="dxa"/>
            <w:tcBorders>
              <w:top w:val="single" w:sz="4" w:space="0" w:color="auto"/>
              <w:bottom w:val="single" w:sz="4" w:space="0" w:color="auto"/>
            </w:tcBorders>
            <w:shd w:val="clear" w:color="auto" w:fill="auto"/>
            <w:vAlign w:val="bottom"/>
          </w:tcPr>
          <w:p w14:paraId="1CFDE774"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color w:val="000000"/>
                <w:sz w:val="22"/>
                <w:szCs w:val="22"/>
              </w:rPr>
            </w:pPr>
          </w:p>
        </w:tc>
        <w:tc>
          <w:tcPr>
            <w:tcW w:w="1296" w:type="dxa"/>
            <w:tcBorders>
              <w:top w:val="single" w:sz="4" w:space="0" w:color="auto"/>
              <w:left w:val="nil"/>
              <w:bottom w:val="single" w:sz="4" w:space="0" w:color="auto"/>
            </w:tcBorders>
            <w:shd w:val="clear" w:color="auto" w:fill="auto"/>
            <w:noWrap/>
          </w:tcPr>
          <w:p w14:paraId="53A4FFB7"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center"/>
              <w:rPr>
                <w:color w:val="000000"/>
                <w:sz w:val="22"/>
                <w:szCs w:val="22"/>
              </w:rPr>
            </w:pPr>
          </w:p>
        </w:tc>
        <w:tc>
          <w:tcPr>
            <w:tcW w:w="1611" w:type="dxa"/>
            <w:tcBorders>
              <w:top w:val="single" w:sz="4" w:space="0" w:color="auto"/>
              <w:left w:val="nil"/>
              <w:bottom w:val="single" w:sz="4" w:space="0" w:color="auto"/>
            </w:tcBorders>
            <w:shd w:val="clear" w:color="auto" w:fill="auto"/>
            <w:noWrap/>
          </w:tcPr>
          <w:p w14:paraId="7BF3009E"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rPr>
            </w:pPr>
          </w:p>
        </w:tc>
        <w:tc>
          <w:tcPr>
            <w:tcW w:w="1434" w:type="dxa"/>
            <w:tcBorders>
              <w:top w:val="single" w:sz="4" w:space="0" w:color="auto"/>
              <w:left w:val="nil"/>
              <w:bottom w:val="single" w:sz="4" w:space="0" w:color="auto"/>
            </w:tcBorders>
            <w:shd w:val="clear" w:color="auto" w:fill="auto"/>
            <w:noWrap/>
          </w:tcPr>
          <w:p w14:paraId="346BB83E"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rPr>
            </w:pPr>
          </w:p>
        </w:tc>
        <w:tc>
          <w:tcPr>
            <w:tcW w:w="1611" w:type="dxa"/>
            <w:tcBorders>
              <w:top w:val="single" w:sz="4" w:space="0" w:color="auto"/>
              <w:left w:val="nil"/>
              <w:bottom w:val="single" w:sz="4" w:space="0" w:color="auto"/>
            </w:tcBorders>
            <w:shd w:val="clear" w:color="auto" w:fill="auto"/>
            <w:noWrap/>
          </w:tcPr>
          <w:p w14:paraId="2387EC54"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rPr>
            </w:pPr>
          </w:p>
        </w:tc>
      </w:tr>
      <w:tr w:rsidR="00862C6F" w:rsidRPr="00236418" w14:paraId="0F5E067E"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0D64B" w14:textId="77777777" w:rsidR="00862C6F" w:rsidRPr="00236418" w:rsidRDefault="00862C6F" w:rsidP="00862C6F">
            <w:pPr>
              <w:tabs>
                <w:tab w:val="clear" w:pos="567"/>
                <w:tab w:val="clear" w:pos="1134"/>
                <w:tab w:val="clear" w:pos="1701"/>
                <w:tab w:val="clear" w:pos="2268"/>
                <w:tab w:val="clear" w:pos="2835"/>
                <w:tab w:val="left" w:pos="454"/>
              </w:tabs>
              <w:spacing w:after="120"/>
              <w:rPr>
                <w:b/>
                <w:sz w:val="22"/>
              </w:rPr>
            </w:pPr>
            <w:proofErr w:type="spellStart"/>
            <w:r w:rsidRPr="00236418">
              <w:rPr>
                <w:b/>
                <w:sz w:val="22"/>
              </w:rPr>
              <w:t>D</w:t>
            </w:r>
            <w:r w:rsidRPr="00236418">
              <w:rPr>
                <w:b/>
                <w:sz w:val="22"/>
              </w:rPr>
              <w:tab/>
              <w:t>Autres</w:t>
            </w:r>
            <w:proofErr w:type="spellEnd"/>
            <w:r w:rsidRPr="00236418">
              <w:rPr>
                <w:b/>
                <w:sz w:val="22"/>
              </w:rPr>
              <w:t xml:space="preserve"> débiteurs divers*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5FD9C606"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408EB8A9"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rFonts w:cs="Calibri"/>
                <w:bCs/>
                <w:sz w:val="22"/>
                <w:szCs w:val="22"/>
                <w:lang w:eastAsia="en-GB"/>
              </w:rPr>
              <w:t>42 374,26</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E4EF520"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rFonts w:cs="Calibri"/>
                <w:bCs/>
                <w:sz w:val="22"/>
                <w:szCs w:val="22"/>
                <w:lang w:eastAsia="en-GB"/>
              </w:rPr>
              <w:t>154,00</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761E9C45"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rFonts w:cs="Calibri"/>
                <w:bCs/>
                <w:sz w:val="22"/>
                <w:szCs w:val="22"/>
                <w:lang w:eastAsia="en-GB"/>
              </w:rPr>
              <w:t>42 528,26</w:t>
            </w:r>
          </w:p>
        </w:tc>
      </w:tr>
      <w:tr w:rsidR="00862C6F" w:rsidRPr="00236418" w14:paraId="7ACB366F" w14:textId="77777777" w:rsidTr="00620F53">
        <w:trPr>
          <w:trHeight w:val="33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252BDA54"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color w:val="000000"/>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1E639818" w14:textId="77777777" w:rsidR="00862C6F" w:rsidRPr="00236418" w:rsidRDefault="00862C6F" w:rsidP="00862C6F">
            <w:pPr>
              <w:spacing w:after="120"/>
              <w:jc w:val="center"/>
              <w:rPr>
                <w:sz w:val="22"/>
                <w:szCs w:val="22"/>
              </w:rPr>
            </w:pPr>
          </w:p>
        </w:tc>
        <w:tc>
          <w:tcPr>
            <w:tcW w:w="1611" w:type="dxa"/>
            <w:tcBorders>
              <w:top w:val="nil"/>
              <w:left w:val="nil"/>
              <w:bottom w:val="single" w:sz="4" w:space="0" w:color="auto"/>
              <w:right w:val="nil"/>
            </w:tcBorders>
            <w:noWrap/>
            <w:vAlign w:val="bottom"/>
          </w:tcPr>
          <w:p w14:paraId="6DCE8072" w14:textId="77777777" w:rsidR="00862C6F" w:rsidRPr="00236418" w:rsidRDefault="00862C6F" w:rsidP="00862C6F">
            <w:pPr>
              <w:tabs>
                <w:tab w:val="clear" w:pos="567"/>
                <w:tab w:val="clear" w:pos="1134"/>
                <w:tab w:val="clear" w:pos="1701"/>
                <w:tab w:val="clear" w:pos="2268"/>
                <w:tab w:val="clear" w:pos="2835"/>
              </w:tabs>
              <w:spacing w:after="120"/>
              <w:jc w:val="right"/>
              <w:rPr>
                <w:bCs/>
                <w:sz w:val="22"/>
              </w:rPr>
            </w:pPr>
          </w:p>
        </w:tc>
        <w:tc>
          <w:tcPr>
            <w:tcW w:w="1434" w:type="dxa"/>
            <w:tcBorders>
              <w:top w:val="nil"/>
              <w:left w:val="single" w:sz="4" w:space="0" w:color="auto"/>
              <w:bottom w:val="single" w:sz="4" w:space="0" w:color="auto"/>
              <w:right w:val="single" w:sz="4" w:space="0" w:color="auto"/>
            </w:tcBorders>
            <w:noWrap/>
            <w:vAlign w:val="bottom"/>
          </w:tcPr>
          <w:p w14:paraId="26228A4E" w14:textId="77777777" w:rsidR="00862C6F" w:rsidRPr="00236418" w:rsidRDefault="00862C6F" w:rsidP="00862C6F">
            <w:pPr>
              <w:tabs>
                <w:tab w:val="clear" w:pos="567"/>
                <w:tab w:val="clear" w:pos="1134"/>
                <w:tab w:val="clear" w:pos="1701"/>
                <w:tab w:val="clear" w:pos="2268"/>
                <w:tab w:val="clear" w:pos="2835"/>
              </w:tabs>
              <w:spacing w:after="120"/>
              <w:jc w:val="right"/>
              <w:rPr>
                <w:bCs/>
                <w:sz w:val="22"/>
              </w:rPr>
            </w:pPr>
          </w:p>
        </w:tc>
        <w:tc>
          <w:tcPr>
            <w:tcW w:w="1611" w:type="dxa"/>
            <w:tcBorders>
              <w:top w:val="single" w:sz="4" w:space="0" w:color="auto"/>
              <w:left w:val="nil"/>
              <w:bottom w:val="single" w:sz="4" w:space="0" w:color="auto"/>
              <w:right w:val="single" w:sz="4" w:space="0" w:color="auto"/>
            </w:tcBorders>
            <w:noWrap/>
            <w:vAlign w:val="bottom"/>
          </w:tcPr>
          <w:p w14:paraId="1620939A" w14:textId="77777777" w:rsidR="00862C6F" w:rsidRPr="00236418" w:rsidRDefault="00862C6F" w:rsidP="00862C6F">
            <w:pPr>
              <w:tabs>
                <w:tab w:val="clear" w:pos="567"/>
                <w:tab w:val="clear" w:pos="1134"/>
                <w:tab w:val="clear" w:pos="1701"/>
                <w:tab w:val="clear" w:pos="2268"/>
                <w:tab w:val="clear" w:pos="2835"/>
              </w:tabs>
              <w:spacing w:after="120"/>
              <w:jc w:val="right"/>
              <w:rPr>
                <w:bCs/>
                <w:sz w:val="22"/>
              </w:rPr>
            </w:pPr>
          </w:p>
        </w:tc>
      </w:tr>
      <w:tr w:rsidR="00862C6F" w:rsidRPr="00236418" w14:paraId="65CB78D6" w14:textId="77777777" w:rsidTr="00620F53">
        <w:trPr>
          <w:trHeight w:val="330"/>
          <w:jc w:val="center"/>
        </w:trPr>
        <w:tc>
          <w:tcPr>
            <w:tcW w:w="3677" w:type="dxa"/>
            <w:tcBorders>
              <w:top w:val="single" w:sz="4" w:space="0" w:color="auto"/>
              <w:bottom w:val="single" w:sz="4" w:space="0" w:color="auto"/>
            </w:tcBorders>
            <w:shd w:val="clear" w:color="auto" w:fill="auto"/>
            <w:vAlign w:val="bottom"/>
          </w:tcPr>
          <w:p w14:paraId="60F44911"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Cs/>
                <w:color w:val="000000"/>
                <w:sz w:val="22"/>
                <w:szCs w:val="22"/>
              </w:rPr>
            </w:pPr>
          </w:p>
        </w:tc>
        <w:tc>
          <w:tcPr>
            <w:tcW w:w="1296" w:type="dxa"/>
            <w:tcBorders>
              <w:top w:val="single" w:sz="4" w:space="0" w:color="auto"/>
              <w:left w:val="nil"/>
              <w:bottom w:val="single" w:sz="4" w:space="0" w:color="auto"/>
            </w:tcBorders>
            <w:shd w:val="clear" w:color="auto" w:fill="auto"/>
            <w:noWrap/>
          </w:tcPr>
          <w:p w14:paraId="16A3FE0D" w14:textId="77777777" w:rsidR="00862C6F" w:rsidRPr="00236418" w:rsidRDefault="00862C6F" w:rsidP="00862C6F">
            <w:pPr>
              <w:jc w:val="center"/>
              <w:rPr>
                <w:b/>
                <w:bCs/>
                <w:sz w:val="22"/>
                <w:szCs w:val="22"/>
              </w:rPr>
            </w:pPr>
          </w:p>
        </w:tc>
        <w:tc>
          <w:tcPr>
            <w:tcW w:w="1611" w:type="dxa"/>
            <w:tcBorders>
              <w:top w:val="single" w:sz="4" w:space="0" w:color="auto"/>
              <w:left w:val="nil"/>
              <w:bottom w:val="single" w:sz="4" w:space="0" w:color="auto"/>
            </w:tcBorders>
            <w:shd w:val="clear" w:color="auto" w:fill="auto"/>
            <w:noWrap/>
          </w:tcPr>
          <w:p w14:paraId="2C55E94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p>
        </w:tc>
        <w:tc>
          <w:tcPr>
            <w:tcW w:w="1434" w:type="dxa"/>
            <w:tcBorders>
              <w:top w:val="single" w:sz="4" w:space="0" w:color="auto"/>
              <w:left w:val="nil"/>
              <w:bottom w:val="single" w:sz="4" w:space="0" w:color="auto"/>
            </w:tcBorders>
            <w:shd w:val="clear" w:color="auto" w:fill="auto"/>
            <w:noWrap/>
          </w:tcPr>
          <w:p w14:paraId="76E3173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p>
        </w:tc>
        <w:tc>
          <w:tcPr>
            <w:tcW w:w="1611" w:type="dxa"/>
            <w:tcBorders>
              <w:top w:val="single" w:sz="4" w:space="0" w:color="auto"/>
              <w:left w:val="nil"/>
              <w:bottom w:val="single" w:sz="4" w:space="0" w:color="auto"/>
            </w:tcBorders>
            <w:shd w:val="clear" w:color="auto" w:fill="auto"/>
            <w:noWrap/>
          </w:tcPr>
          <w:p w14:paraId="00FF862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lang w:eastAsia="zh-CN"/>
              </w:rPr>
            </w:pPr>
          </w:p>
        </w:tc>
      </w:tr>
      <w:tr w:rsidR="00862C6F" w:rsidRPr="00236418" w14:paraId="759002CD" w14:textId="77777777" w:rsidTr="00620F53">
        <w:trPr>
          <w:trHeight w:val="33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49E799B0"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b/>
                <w:color w:val="000000"/>
                <w:sz w:val="22"/>
                <w:szCs w:val="22"/>
              </w:rPr>
            </w:pPr>
            <w:r w:rsidRPr="00236418">
              <w:rPr>
                <w:b/>
                <w:color w:val="000000"/>
                <w:sz w:val="22"/>
                <w:szCs w:val="22"/>
              </w:rPr>
              <w:t>Total au 31.12.2019</w:t>
            </w:r>
          </w:p>
        </w:tc>
        <w:tc>
          <w:tcPr>
            <w:tcW w:w="1296" w:type="dxa"/>
            <w:tcBorders>
              <w:top w:val="nil"/>
              <w:left w:val="single" w:sz="4" w:space="0" w:color="auto"/>
              <w:bottom w:val="single" w:sz="4" w:space="0" w:color="auto"/>
              <w:right w:val="single" w:sz="4" w:space="0" w:color="auto"/>
            </w:tcBorders>
            <w:shd w:val="clear" w:color="auto" w:fill="auto"/>
            <w:noWrap/>
            <w:hideMark/>
          </w:tcPr>
          <w:p w14:paraId="54FFC21D" w14:textId="77777777" w:rsidR="00862C6F" w:rsidRPr="00236418" w:rsidRDefault="00862C6F" w:rsidP="00862C6F">
            <w:pPr>
              <w:jc w:val="center"/>
              <w:rPr>
                <w:b/>
                <w:bCs/>
                <w:sz w:val="22"/>
                <w:szCs w:val="22"/>
              </w:rPr>
            </w:pPr>
          </w:p>
        </w:tc>
        <w:tc>
          <w:tcPr>
            <w:tcW w:w="1611" w:type="dxa"/>
            <w:tcBorders>
              <w:top w:val="nil"/>
              <w:left w:val="nil"/>
              <w:bottom w:val="single" w:sz="4" w:space="0" w:color="auto"/>
              <w:right w:val="nil"/>
            </w:tcBorders>
            <w:noWrap/>
            <w:vAlign w:val="bottom"/>
          </w:tcPr>
          <w:p w14:paraId="72C6AFD1"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2"/>
                <w:lang w:eastAsia="zh-CN"/>
              </w:rPr>
            </w:pPr>
            <w:r w:rsidRPr="00236418">
              <w:rPr>
                <w:rFonts w:cs="Calibri"/>
                <w:b/>
                <w:bCs/>
                <w:sz w:val="22"/>
                <w:szCs w:val="22"/>
                <w:lang w:eastAsia="en-GB"/>
              </w:rPr>
              <w:t>20 158 337,73</w:t>
            </w:r>
          </w:p>
        </w:tc>
        <w:tc>
          <w:tcPr>
            <w:tcW w:w="1434" w:type="dxa"/>
            <w:tcBorders>
              <w:top w:val="nil"/>
              <w:left w:val="single" w:sz="4" w:space="0" w:color="auto"/>
              <w:bottom w:val="single" w:sz="4" w:space="0" w:color="auto"/>
              <w:right w:val="single" w:sz="4" w:space="0" w:color="auto"/>
            </w:tcBorders>
            <w:noWrap/>
            <w:vAlign w:val="bottom"/>
          </w:tcPr>
          <w:p w14:paraId="4B53EA99"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2"/>
                <w:lang w:eastAsia="zh-CN"/>
              </w:rPr>
            </w:pPr>
            <w:r w:rsidRPr="00236418">
              <w:rPr>
                <w:rFonts w:cs="Calibri"/>
                <w:b/>
                <w:bCs/>
                <w:sz w:val="22"/>
                <w:szCs w:val="22"/>
                <w:lang w:eastAsia="en-GB"/>
              </w:rPr>
              <w:t>93 731,20</w:t>
            </w:r>
          </w:p>
        </w:tc>
        <w:tc>
          <w:tcPr>
            <w:tcW w:w="1611" w:type="dxa"/>
            <w:tcBorders>
              <w:top w:val="single" w:sz="4" w:space="0" w:color="auto"/>
              <w:left w:val="nil"/>
              <w:bottom w:val="single" w:sz="4" w:space="0" w:color="auto"/>
              <w:right w:val="single" w:sz="4" w:space="0" w:color="auto"/>
            </w:tcBorders>
            <w:noWrap/>
            <w:vAlign w:val="bottom"/>
          </w:tcPr>
          <w:p w14:paraId="6D5BCB38"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2"/>
                <w:lang w:eastAsia="zh-CN"/>
              </w:rPr>
            </w:pPr>
            <w:r w:rsidRPr="00236418">
              <w:rPr>
                <w:rFonts w:cs="Calibri"/>
                <w:b/>
                <w:bCs/>
                <w:sz w:val="22"/>
                <w:szCs w:val="22"/>
                <w:lang w:eastAsia="en-GB"/>
              </w:rPr>
              <w:t>20 252 068,93</w:t>
            </w:r>
          </w:p>
        </w:tc>
      </w:tr>
      <w:tr w:rsidR="00862C6F" w:rsidRPr="00236418" w14:paraId="48859A9A" w14:textId="77777777" w:rsidTr="00620F53">
        <w:trPr>
          <w:trHeight w:val="135"/>
          <w:jc w:val="center"/>
        </w:trPr>
        <w:tc>
          <w:tcPr>
            <w:tcW w:w="3677" w:type="dxa"/>
            <w:tcBorders>
              <w:top w:val="single" w:sz="4" w:space="0" w:color="auto"/>
              <w:left w:val="single" w:sz="4" w:space="0" w:color="auto"/>
              <w:bottom w:val="nil"/>
            </w:tcBorders>
            <w:shd w:val="clear" w:color="auto" w:fill="auto"/>
            <w:noWrap/>
            <w:vAlign w:val="bottom"/>
            <w:hideMark/>
          </w:tcPr>
          <w:p w14:paraId="30C85C33"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rPr>
                <w:color w:val="000000"/>
                <w:sz w:val="22"/>
                <w:szCs w:val="22"/>
              </w:rPr>
            </w:pPr>
          </w:p>
        </w:tc>
        <w:tc>
          <w:tcPr>
            <w:tcW w:w="1296" w:type="dxa"/>
            <w:tcBorders>
              <w:top w:val="single" w:sz="4" w:space="0" w:color="auto"/>
              <w:bottom w:val="nil"/>
            </w:tcBorders>
            <w:shd w:val="clear" w:color="auto" w:fill="auto"/>
            <w:noWrap/>
            <w:hideMark/>
          </w:tcPr>
          <w:p w14:paraId="1185CF65"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center"/>
              <w:rPr>
                <w:color w:val="000000"/>
                <w:sz w:val="22"/>
                <w:szCs w:val="22"/>
              </w:rPr>
            </w:pPr>
          </w:p>
        </w:tc>
        <w:tc>
          <w:tcPr>
            <w:tcW w:w="1611" w:type="dxa"/>
            <w:tcBorders>
              <w:top w:val="single" w:sz="4" w:space="0" w:color="auto"/>
              <w:bottom w:val="nil"/>
            </w:tcBorders>
            <w:shd w:val="clear" w:color="auto" w:fill="auto"/>
            <w:noWrap/>
            <w:hideMark/>
          </w:tcPr>
          <w:p w14:paraId="55721860"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rPr>
            </w:pPr>
          </w:p>
        </w:tc>
        <w:tc>
          <w:tcPr>
            <w:tcW w:w="1434" w:type="dxa"/>
            <w:tcBorders>
              <w:top w:val="single" w:sz="4" w:space="0" w:color="auto"/>
              <w:bottom w:val="nil"/>
            </w:tcBorders>
            <w:shd w:val="clear" w:color="auto" w:fill="auto"/>
            <w:noWrap/>
            <w:hideMark/>
          </w:tcPr>
          <w:p w14:paraId="151E0E0B"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rPr>
            </w:pPr>
          </w:p>
        </w:tc>
        <w:tc>
          <w:tcPr>
            <w:tcW w:w="1611" w:type="dxa"/>
            <w:tcBorders>
              <w:top w:val="single" w:sz="4" w:space="0" w:color="auto"/>
              <w:bottom w:val="nil"/>
              <w:right w:val="single" w:sz="4" w:space="0" w:color="auto"/>
            </w:tcBorders>
            <w:shd w:val="clear" w:color="auto" w:fill="auto"/>
            <w:noWrap/>
            <w:hideMark/>
          </w:tcPr>
          <w:p w14:paraId="3D0D7671" w14:textId="77777777" w:rsidR="00862C6F" w:rsidRPr="00236418"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rPr>
            </w:pPr>
          </w:p>
        </w:tc>
      </w:tr>
      <w:tr w:rsidR="00862C6F" w:rsidRPr="00236418" w14:paraId="45FB13D2" w14:textId="77777777" w:rsidTr="00620F53">
        <w:trPr>
          <w:trHeight w:val="300"/>
          <w:jc w:val="center"/>
        </w:trPr>
        <w:tc>
          <w:tcPr>
            <w:tcW w:w="9629" w:type="dxa"/>
            <w:gridSpan w:val="5"/>
            <w:tcBorders>
              <w:top w:val="nil"/>
              <w:left w:val="single" w:sz="4" w:space="0" w:color="auto"/>
              <w:bottom w:val="single" w:sz="4" w:space="0" w:color="auto"/>
              <w:right w:val="single" w:sz="4" w:space="0" w:color="auto"/>
            </w:tcBorders>
            <w:shd w:val="clear" w:color="auto" w:fill="auto"/>
            <w:noWrap/>
            <w:hideMark/>
          </w:tcPr>
          <w:p w14:paraId="4888DFB6"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ind w:left="284" w:hanging="284"/>
              <w:rPr>
                <w:rFonts w:asciiTheme="minorHAnsi" w:eastAsia="Batang" w:hAnsiTheme="minorHAnsi"/>
                <w:color w:val="000000"/>
                <w:sz w:val="22"/>
                <w:szCs w:val="22"/>
              </w:rPr>
            </w:pPr>
            <w:r w:rsidRPr="00236418">
              <w:rPr>
                <w:rFonts w:asciiTheme="minorHAnsi" w:eastAsia="Batang" w:hAnsiTheme="minorHAnsi"/>
                <w:color w:val="000000"/>
                <w:sz w:val="22"/>
                <w:szCs w:val="22"/>
              </w:rPr>
              <w:t>*</w:t>
            </w:r>
            <w:r w:rsidRPr="00236418">
              <w:rPr>
                <w:rFonts w:asciiTheme="minorHAnsi" w:eastAsia="Batang" w:hAnsiTheme="minorHAnsi"/>
                <w:color w:val="000000"/>
                <w:sz w:val="22"/>
                <w:szCs w:val="22"/>
              </w:rPr>
              <w:tab/>
              <w:t>Inclut les débiteurs ayant des montants dus inférieurs à 5 000 CHF pour les États Membres et 2 000 CHF pour les membres de Secteur, autres entités ou organisations et autres débiteurs.</w:t>
            </w:r>
          </w:p>
        </w:tc>
      </w:tr>
    </w:tbl>
    <w:p w14:paraId="4C343CCD" w14:textId="77777777" w:rsidR="00862C6F" w:rsidRPr="00236418" w:rsidRDefault="00862C6F" w:rsidP="00862C6F">
      <w:pPr>
        <w:jc w:val="center"/>
        <w:rPr>
          <w:b/>
          <w:bCs/>
          <w:sz w:val="20"/>
        </w:rPr>
      </w:pPr>
    </w:p>
    <w:p w14:paraId="0B0D5254" w14:textId="77777777" w:rsidR="00862C6F" w:rsidRPr="00236418" w:rsidRDefault="00862C6F" w:rsidP="00862C6F">
      <w:pPr>
        <w:jc w:val="center"/>
        <w:rPr>
          <w:b/>
          <w:bCs/>
          <w:sz w:val="20"/>
        </w:rPr>
        <w:sectPr w:rsidR="00862C6F" w:rsidRPr="00236418" w:rsidSect="00620F53">
          <w:pgSz w:w="11907" w:h="16840" w:code="9"/>
          <w:pgMar w:top="1418" w:right="1134" w:bottom="1418" w:left="1134" w:header="720" w:footer="720" w:gutter="0"/>
          <w:cols w:space="708"/>
          <w:docGrid w:linePitch="360"/>
        </w:sectPr>
      </w:pPr>
    </w:p>
    <w:p w14:paraId="191C096E" w14:textId="77777777" w:rsidR="00862C6F" w:rsidRPr="00236418" w:rsidRDefault="00862C6F" w:rsidP="00862C6F">
      <w:pPr>
        <w:spacing w:after="120"/>
        <w:jc w:val="center"/>
        <w:rPr>
          <w:b/>
          <w:sz w:val="28"/>
        </w:rPr>
      </w:pPr>
      <w:r w:rsidRPr="00236418">
        <w:rPr>
          <w:b/>
          <w:sz w:val="28"/>
        </w:rPr>
        <w:lastRenderedPageBreak/>
        <w:t>Montants dus concernant les comptes spéciaux d'arriérés (accords d'amortissement)</w:t>
      </w:r>
    </w:p>
    <w:tbl>
      <w:tblPr>
        <w:tblW w:w="14048" w:type="dxa"/>
        <w:jc w:val="center"/>
        <w:tblLook w:val="04A0" w:firstRow="1" w:lastRow="0" w:firstColumn="1" w:lastColumn="0" w:noHBand="0" w:noVBand="1"/>
        <w:tblCaption w:val="MONTANTS DUS CONCERNANT LES COMPTES SPÉCIAUX D'ARRIÉRÉS (ACCORDS D'AMORTISSEMENT)"/>
      </w:tblPr>
      <w:tblGrid>
        <w:gridCol w:w="3256"/>
        <w:gridCol w:w="1701"/>
        <w:gridCol w:w="1495"/>
        <w:gridCol w:w="1637"/>
        <w:gridCol w:w="1476"/>
        <w:gridCol w:w="1506"/>
        <w:gridCol w:w="1417"/>
        <w:gridCol w:w="1560"/>
      </w:tblGrid>
      <w:tr w:rsidR="00862C6F" w:rsidRPr="00236418" w14:paraId="7BB9F576" w14:textId="77777777" w:rsidTr="00620F53">
        <w:trPr>
          <w:trHeight w:val="98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14:paraId="63A27B2E"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États Membres –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B5C72B8"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Résolutions PP</w:t>
            </w:r>
          </w:p>
        </w:tc>
        <w:tc>
          <w:tcPr>
            <w:tcW w:w="1495" w:type="dxa"/>
            <w:tcBorders>
              <w:top w:val="single" w:sz="4" w:space="0" w:color="auto"/>
              <w:left w:val="single" w:sz="4" w:space="0" w:color="auto"/>
              <w:bottom w:val="single" w:sz="4" w:space="0" w:color="auto"/>
              <w:right w:val="single" w:sz="4" w:space="0" w:color="auto"/>
            </w:tcBorders>
            <w:shd w:val="clear" w:color="auto" w:fill="auto"/>
            <w:noWrap/>
            <w:hideMark/>
          </w:tcPr>
          <w:p w14:paraId="54A9E2F8"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Transfert dans des comptes d'arriérés spéciaux</w:t>
            </w:r>
          </w:p>
        </w:tc>
        <w:tc>
          <w:tcPr>
            <w:tcW w:w="1637" w:type="dxa"/>
            <w:tcBorders>
              <w:top w:val="single" w:sz="4" w:space="0" w:color="auto"/>
              <w:left w:val="single" w:sz="4" w:space="0" w:color="auto"/>
              <w:bottom w:val="single" w:sz="4" w:space="0" w:color="auto"/>
              <w:right w:val="single" w:sz="4" w:space="0" w:color="auto"/>
            </w:tcBorders>
            <w:shd w:val="clear" w:color="auto" w:fill="auto"/>
            <w:noWrap/>
            <w:hideMark/>
          </w:tcPr>
          <w:p w14:paraId="1475341D"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Solde au</w:t>
            </w:r>
            <w:r w:rsidRPr="00236418">
              <w:rPr>
                <w:b/>
                <w:sz w:val="20"/>
              </w:rPr>
              <w:br/>
              <w:t>31.12.2018</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6F5D0537"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Mouvements</w:t>
            </w:r>
            <w:r w:rsidRPr="00236418">
              <w:rPr>
                <w:b/>
                <w:sz w:val="20"/>
              </w:rPr>
              <w:br/>
              <w:t>2019</w:t>
            </w:r>
          </w:p>
        </w:tc>
        <w:tc>
          <w:tcPr>
            <w:tcW w:w="1506" w:type="dxa"/>
            <w:tcBorders>
              <w:top w:val="single" w:sz="4" w:space="0" w:color="auto"/>
              <w:left w:val="single" w:sz="4" w:space="0" w:color="auto"/>
              <w:bottom w:val="single" w:sz="4" w:space="0" w:color="auto"/>
              <w:right w:val="single" w:sz="4" w:space="0" w:color="auto"/>
            </w:tcBorders>
            <w:shd w:val="clear" w:color="auto" w:fill="auto"/>
            <w:noWrap/>
            <w:hideMark/>
          </w:tcPr>
          <w:p w14:paraId="5E9DF029"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Intérêts</w:t>
            </w:r>
            <w:r w:rsidRPr="00236418">
              <w:rPr>
                <w:b/>
                <w:sz w:val="20"/>
              </w:rPr>
              <w:br/>
              <w:t>2019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C13455C"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Paiements</w:t>
            </w:r>
            <w:r w:rsidRPr="00236418">
              <w:rPr>
                <w:b/>
                <w:sz w:val="20"/>
              </w:rPr>
              <w:br/>
              <w:t>2019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A58CCEA" w14:textId="77777777" w:rsidR="00862C6F" w:rsidRPr="00236418" w:rsidRDefault="00862C6F" w:rsidP="00862C6F">
            <w:pPr>
              <w:tabs>
                <w:tab w:val="clear" w:pos="567"/>
                <w:tab w:val="clear" w:pos="1134"/>
                <w:tab w:val="clear" w:pos="1701"/>
                <w:tab w:val="clear" w:pos="2268"/>
                <w:tab w:val="clear" w:pos="2835"/>
              </w:tabs>
              <w:spacing w:before="0" w:after="120"/>
              <w:jc w:val="center"/>
              <w:rPr>
                <w:b/>
                <w:sz w:val="20"/>
              </w:rPr>
            </w:pPr>
            <w:r w:rsidRPr="00236418">
              <w:rPr>
                <w:b/>
                <w:sz w:val="20"/>
              </w:rPr>
              <w:t>Solde au</w:t>
            </w:r>
            <w:r w:rsidRPr="00236418">
              <w:rPr>
                <w:b/>
                <w:sz w:val="20"/>
              </w:rPr>
              <w:br/>
              <w:t>31.12.2019</w:t>
            </w:r>
          </w:p>
        </w:tc>
      </w:tr>
      <w:tr w:rsidR="00862C6F" w:rsidRPr="00236418" w14:paraId="6205902F" w14:textId="77777777" w:rsidTr="00620F53">
        <w:trPr>
          <w:trHeight w:val="259"/>
          <w:jc w:val="center"/>
        </w:trPr>
        <w:tc>
          <w:tcPr>
            <w:tcW w:w="3256" w:type="dxa"/>
            <w:tcBorders>
              <w:top w:val="single" w:sz="4" w:space="0" w:color="auto"/>
              <w:left w:val="single" w:sz="4" w:space="0" w:color="auto"/>
              <w:bottom w:val="nil"/>
              <w:right w:val="single" w:sz="4" w:space="0" w:color="auto"/>
            </w:tcBorders>
            <w:shd w:val="clear" w:color="auto" w:fill="auto"/>
            <w:noWrap/>
            <w:vAlign w:val="bottom"/>
            <w:hideMark/>
          </w:tcPr>
          <w:p w14:paraId="280AA282" w14:textId="77777777" w:rsidR="00862C6F" w:rsidRPr="00236418" w:rsidRDefault="00862C6F" w:rsidP="00862C6F">
            <w:pPr>
              <w:tabs>
                <w:tab w:val="clear" w:pos="567"/>
                <w:tab w:val="clear" w:pos="1134"/>
                <w:tab w:val="clear" w:pos="1701"/>
                <w:tab w:val="clear" w:pos="2268"/>
                <w:tab w:val="clear" w:pos="2835"/>
              </w:tabs>
              <w:spacing w:before="0" w:after="20"/>
              <w:rPr>
                <w:b/>
                <w:sz w:val="20"/>
              </w:rPr>
            </w:pPr>
            <w:r w:rsidRPr="00236418">
              <w:rPr>
                <w:b/>
                <w:sz w:val="20"/>
              </w:rPr>
              <w:t xml:space="preserve">États </w:t>
            </w:r>
            <w:r w:rsidRPr="00236418">
              <w:rPr>
                <w:b/>
                <w:bCs/>
                <w:sz w:val="20"/>
              </w:rPr>
              <w:t>Membres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3B092BC5" w14:textId="77777777" w:rsidR="00862C6F" w:rsidRPr="00236418" w:rsidRDefault="00862C6F" w:rsidP="00862C6F">
            <w:pPr>
              <w:tabs>
                <w:tab w:val="clear" w:pos="567"/>
                <w:tab w:val="clear" w:pos="1134"/>
                <w:tab w:val="clear" w:pos="1701"/>
                <w:tab w:val="clear" w:pos="2268"/>
                <w:tab w:val="clear" w:pos="2835"/>
              </w:tabs>
              <w:spacing w:before="0" w:afterLines="20" w:after="48"/>
              <w:rPr>
                <w:sz w:val="20"/>
              </w:rPr>
            </w:pPr>
          </w:p>
        </w:tc>
        <w:tc>
          <w:tcPr>
            <w:tcW w:w="1495" w:type="dxa"/>
            <w:tcBorders>
              <w:top w:val="single" w:sz="4" w:space="0" w:color="auto"/>
              <w:left w:val="single" w:sz="4" w:space="0" w:color="auto"/>
              <w:bottom w:val="nil"/>
              <w:right w:val="single" w:sz="4" w:space="0" w:color="auto"/>
            </w:tcBorders>
            <w:shd w:val="clear" w:color="auto" w:fill="auto"/>
            <w:noWrap/>
            <w:vAlign w:val="bottom"/>
            <w:hideMark/>
          </w:tcPr>
          <w:p w14:paraId="69E0F689" w14:textId="77777777" w:rsidR="00862C6F" w:rsidRPr="00236418" w:rsidRDefault="00862C6F" w:rsidP="00862C6F">
            <w:pPr>
              <w:tabs>
                <w:tab w:val="clear" w:pos="567"/>
                <w:tab w:val="clear" w:pos="1134"/>
                <w:tab w:val="clear" w:pos="1701"/>
                <w:tab w:val="clear" w:pos="2268"/>
                <w:tab w:val="clear" w:pos="2835"/>
              </w:tabs>
              <w:spacing w:before="0" w:afterLines="20" w:after="48"/>
              <w:jc w:val="right"/>
              <w:rPr>
                <w:color w:val="00B050"/>
                <w:sz w:val="20"/>
              </w:rPr>
            </w:pP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14:paraId="765EDB08" w14:textId="77777777" w:rsidR="00862C6F" w:rsidRPr="00236418" w:rsidRDefault="00862C6F" w:rsidP="00862C6F">
            <w:pPr>
              <w:tabs>
                <w:tab w:val="clear" w:pos="567"/>
                <w:tab w:val="clear" w:pos="1134"/>
                <w:tab w:val="clear" w:pos="1701"/>
                <w:tab w:val="clear" w:pos="2268"/>
                <w:tab w:val="clear" w:pos="2835"/>
              </w:tabs>
              <w:spacing w:before="0" w:afterLines="20" w:after="48"/>
              <w:jc w:val="right"/>
              <w:rPr>
                <w:sz w:val="20"/>
              </w:rPr>
            </w:pPr>
          </w:p>
        </w:tc>
        <w:tc>
          <w:tcPr>
            <w:tcW w:w="1476" w:type="dxa"/>
            <w:tcBorders>
              <w:top w:val="single" w:sz="4" w:space="0" w:color="auto"/>
              <w:left w:val="single" w:sz="4" w:space="0" w:color="auto"/>
              <w:bottom w:val="nil"/>
              <w:right w:val="single" w:sz="4" w:space="0" w:color="auto"/>
            </w:tcBorders>
            <w:shd w:val="clear" w:color="auto" w:fill="auto"/>
            <w:noWrap/>
            <w:vAlign w:val="bottom"/>
            <w:hideMark/>
          </w:tcPr>
          <w:p w14:paraId="3005A603" w14:textId="77777777" w:rsidR="00862C6F" w:rsidRPr="00236418" w:rsidRDefault="00862C6F" w:rsidP="00862C6F">
            <w:pPr>
              <w:tabs>
                <w:tab w:val="clear" w:pos="567"/>
                <w:tab w:val="clear" w:pos="1134"/>
                <w:tab w:val="clear" w:pos="1701"/>
                <w:tab w:val="clear" w:pos="2268"/>
                <w:tab w:val="clear" w:pos="2835"/>
              </w:tabs>
              <w:spacing w:before="0" w:afterLines="20" w:after="48"/>
              <w:jc w:val="right"/>
              <w:rPr>
                <w:sz w:val="20"/>
              </w:rPr>
            </w:pPr>
          </w:p>
        </w:tc>
        <w:tc>
          <w:tcPr>
            <w:tcW w:w="1506" w:type="dxa"/>
            <w:tcBorders>
              <w:top w:val="single" w:sz="4" w:space="0" w:color="auto"/>
              <w:left w:val="single" w:sz="4" w:space="0" w:color="auto"/>
              <w:bottom w:val="nil"/>
              <w:right w:val="single" w:sz="4" w:space="0" w:color="auto"/>
            </w:tcBorders>
            <w:shd w:val="clear" w:color="auto" w:fill="auto"/>
            <w:noWrap/>
            <w:vAlign w:val="bottom"/>
            <w:hideMark/>
          </w:tcPr>
          <w:p w14:paraId="63BE8E57" w14:textId="77777777" w:rsidR="00862C6F" w:rsidRPr="00236418" w:rsidRDefault="00862C6F" w:rsidP="00862C6F">
            <w:pPr>
              <w:tabs>
                <w:tab w:val="clear" w:pos="567"/>
                <w:tab w:val="clear" w:pos="1134"/>
                <w:tab w:val="clear" w:pos="1701"/>
                <w:tab w:val="clear" w:pos="2268"/>
                <w:tab w:val="clear" w:pos="2835"/>
              </w:tabs>
              <w:spacing w:before="0" w:afterLines="20" w:after="48"/>
              <w:jc w:val="right"/>
              <w:rPr>
                <w:sz w:val="20"/>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206783DD" w14:textId="77777777" w:rsidR="00862C6F" w:rsidRPr="00236418" w:rsidRDefault="00862C6F" w:rsidP="00862C6F">
            <w:pPr>
              <w:tabs>
                <w:tab w:val="clear" w:pos="567"/>
                <w:tab w:val="clear" w:pos="1134"/>
                <w:tab w:val="clear" w:pos="1701"/>
                <w:tab w:val="clear" w:pos="2268"/>
                <w:tab w:val="clear" w:pos="2835"/>
              </w:tabs>
              <w:spacing w:before="0" w:afterLines="20" w:after="48"/>
              <w:jc w:val="right"/>
              <w:rPr>
                <w:sz w:val="20"/>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E3A6A1C" w14:textId="77777777" w:rsidR="00862C6F" w:rsidRPr="00236418" w:rsidRDefault="00862C6F" w:rsidP="00862C6F">
            <w:pPr>
              <w:tabs>
                <w:tab w:val="clear" w:pos="567"/>
                <w:tab w:val="clear" w:pos="1134"/>
                <w:tab w:val="clear" w:pos="1701"/>
                <w:tab w:val="clear" w:pos="2268"/>
                <w:tab w:val="clear" w:pos="2835"/>
              </w:tabs>
              <w:spacing w:before="0" w:afterLines="20" w:after="48"/>
              <w:jc w:val="right"/>
              <w:rPr>
                <w:sz w:val="20"/>
              </w:rPr>
            </w:pPr>
          </w:p>
        </w:tc>
      </w:tr>
      <w:tr w:rsidR="00862C6F" w:rsidRPr="00236418" w14:paraId="2E6D9DEE"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0A793704" w14:textId="77777777" w:rsidR="00862C6F" w:rsidRPr="00236418" w:rsidRDefault="00862C6F" w:rsidP="00862C6F">
            <w:pPr>
              <w:tabs>
                <w:tab w:val="clear" w:pos="567"/>
                <w:tab w:val="clear" w:pos="1134"/>
                <w:tab w:val="clear" w:pos="1701"/>
                <w:tab w:val="clear" w:pos="2268"/>
                <w:tab w:val="clear" w:pos="2835"/>
              </w:tabs>
              <w:spacing w:before="0" w:after="20"/>
              <w:rPr>
                <w:sz w:val="20"/>
              </w:rPr>
            </w:pPr>
            <w:r w:rsidRPr="00236418">
              <w:rPr>
                <w:sz w:val="20"/>
              </w:rPr>
              <w:t>Soudan</w:t>
            </w:r>
          </w:p>
        </w:tc>
        <w:tc>
          <w:tcPr>
            <w:tcW w:w="1701" w:type="dxa"/>
            <w:tcBorders>
              <w:top w:val="nil"/>
              <w:left w:val="single" w:sz="4" w:space="0" w:color="auto"/>
              <w:bottom w:val="nil"/>
              <w:right w:val="single" w:sz="4" w:space="0" w:color="auto"/>
            </w:tcBorders>
            <w:shd w:val="clear" w:color="auto" w:fill="auto"/>
            <w:noWrap/>
            <w:vAlign w:val="bottom"/>
            <w:hideMark/>
          </w:tcPr>
          <w:p w14:paraId="6740430E"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38 – PP 1989</w:t>
            </w:r>
          </w:p>
        </w:tc>
        <w:tc>
          <w:tcPr>
            <w:tcW w:w="1495" w:type="dxa"/>
            <w:noWrap/>
            <w:vAlign w:val="bottom"/>
          </w:tcPr>
          <w:p w14:paraId="27596F8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567 047,95</w:t>
            </w:r>
          </w:p>
        </w:tc>
        <w:tc>
          <w:tcPr>
            <w:tcW w:w="1637" w:type="dxa"/>
            <w:tcBorders>
              <w:top w:val="nil"/>
              <w:left w:val="single" w:sz="4" w:space="0" w:color="auto"/>
              <w:bottom w:val="nil"/>
              <w:right w:val="single" w:sz="4" w:space="0" w:color="auto"/>
            </w:tcBorders>
            <w:noWrap/>
            <w:vAlign w:val="bottom"/>
          </w:tcPr>
          <w:p w14:paraId="2D18D9D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51 849,92</w:t>
            </w:r>
          </w:p>
        </w:tc>
        <w:tc>
          <w:tcPr>
            <w:tcW w:w="1476" w:type="dxa"/>
            <w:noWrap/>
            <w:vAlign w:val="bottom"/>
          </w:tcPr>
          <w:p w14:paraId="2D6A361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5EA91B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187E576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–45 821,47</w:t>
            </w:r>
          </w:p>
        </w:tc>
        <w:tc>
          <w:tcPr>
            <w:tcW w:w="1560" w:type="dxa"/>
            <w:tcBorders>
              <w:top w:val="nil"/>
              <w:left w:val="single" w:sz="4" w:space="0" w:color="auto"/>
              <w:bottom w:val="nil"/>
              <w:right w:val="single" w:sz="4" w:space="0" w:color="auto"/>
            </w:tcBorders>
            <w:noWrap/>
            <w:vAlign w:val="bottom"/>
          </w:tcPr>
          <w:p w14:paraId="41ECA4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6 028,45</w:t>
            </w:r>
          </w:p>
        </w:tc>
      </w:tr>
      <w:tr w:rsidR="00862C6F" w:rsidRPr="00236418" w14:paraId="5151FD11"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3E50783F" w14:textId="77777777" w:rsidR="00862C6F" w:rsidRPr="00236418" w:rsidRDefault="00862C6F" w:rsidP="00862C6F">
            <w:pPr>
              <w:tabs>
                <w:tab w:val="clear" w:pos="567"/>
                <w:tab w:val="clear" w:pos="1134"/>
                <w:tab w:val="clear" w:pos="1701"/>
                <w:tab w:val="clear" w:pos="2268"/>
                <w:tab w:val="clear" w:pos="2835"/>
              </w:tabs>
              <w:spacing w:before="0" w:after="20"/>
              <w:rPr>
                <w:sz w:val="20"/>
              </w:rPr>
            </w:pPr>
            <w:r w:rsidRPr="00236418">
              <w:rPr>
                <w:sz w:val="20"/>
              </w:rPr>
              <w:t>Bénin</w:t>
            </w:r>
          </w:p>
        </w:tc>
        <w:tc>
          <w:tcPr>
            <w:tcW w:w="1701" w:type="dxa"/>
            <w:tcBorders>
              <w:top w:val="nil"/>
              <w:left w:val="single" w:sz="4" w:space="0" w:color="auto"/>
              <w:bottom w:val="nil"/>
              <w:right w:val="single" w:sz="4" w:space="0" w:color="auto"/>
            </w:tcBorders>
            <w:shd w:val="clear" w:color="auto" w:fill="auto"/>
            <w:noWrap/>
            <w:vAlign w:val="bottom"/>
            <w:hideMark/>
          </w:tcPr>
          <w:p w14:paraId="3021D8FD"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2011</w:t>
            </w:r>
          </w:p>
        </w:tc>
        <w:tc>
          <w:tcPr>
            <w:tcW w:w="1495" w:type="dxa"/>
            <w:noWrap/>
            <w:vAlign w:val="bottom"/>
          </w:tcPr>
          <w:p w14:paraId="1D8E1C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462 317,50</w:t>
            </w:r>
          </w:p>
        </w:tc>
        <w:tc>
          <w:tcPr>
            <w:tcW w:w="1637" w:type="dxa"/>
            <w:tcBorders>
              <w:top w:val="nil"/>
              <w:left w:val="single" w:sz="4" w:space="0" w:color="auto"/>
              <w:bottom w:val="nil"/>
              <w:right w:val="single" w:sz="4" w:space="0" w:color="auto"/>
            </w:tcBorders>
            <w:noWrap/>
            <w:vAlign w:val="bottom"/>
          </w:tcPr>
          <w:p w14:paraId="6FD71D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71 279,38</w:t>
            </w:r>
          </w:p>
        </w:tc>
        <w:tc>
          <w:tcPr>
            <w:tcW w:w="1476" w:type="dxa"/>
            <w:noWrap/>
            <w:vAlign w:val="bottom"/>
          </w:tcPr>
          <w:p w14:paraId="2A853EE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54C9E0B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–27 830,70</w:t>
            </w:r>
          </w:p>
        </w:tc>
        <w:tc>
          <w:tcPr>
            <w:tcW w:w="1417" w:type="dxa"/>
            <w:noWrap/>
            <w:vAlign w:val="bottom"/>
          </w:tcPr>
          <w:p w14:paraId="5FBF39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–43 448,68</w:t>
            </w:r>
          </w:p>
        </w:tc>
        <w:tc>
          <w:tcPr>
            <w:tcW w:w="1560" w:type="dxa"/>
            <w:tcBorders>
              <w:top w:val="nil"/>
              <w:left w:val="single" w:sz="4" w:space="0" w:color="auto"/>
              <w:bottom w:val="nil"/>
              <w:right w:val="single" w:sz="4" w:space="0" w:color="auto"/>
            </w:tcBorders>
            <w:noWrap/>
            <w:vAlign w:val="bottom"/>
          </w:tcPr>
          <w:p w14:paraId="45FE8C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0682D7BC"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5166486C" w14:textId="77777777" w:rsidR="00862C6F" w:rsidRPr="00236418" w:rsidRDefault="00862C6F" w:rsidP="00862C6F">
            <w:pPr>
              <w:tabs>
                <w:tab w:val="clear" w:pos="567"/>
                <w:tab w:val="clear" w:pos="1134"/>
                <w:tab w:val="clear" w:pos="1701"/>
                <w:tab w:val="clear" w:pos="2268"/>
                <w:tab w:val="clear" w:pos="2835"/>
              </w:tabs>
              <w:spacing w:before="0" w:after="20"/>
              <w:rPr>
                <w:sz w:val="20"/>
              </w:rPr>
            </w:pPr>
            <w:r w:rsidRPr="00236418">
              <w:rPr>
                <w:sz w:val="20"/>
              </w:rPr>
              <w:t>Tadjikistan</w:t>
            </w:r>
          </w:p>
        </w:tc>
        <w:tc>
          <w:tcPr>
            <w:tcW w:w="1701" w:type="dxa"/>
            <w:tcBorders>
              <w:top w:val="nil"/>
              <w:left w:val="single" w:sz="4" w:space="0" w:color="auto"/>
              <w:bottom w:val="nil"/>
              <w:right w:val="single" w:sz="4" w:space="0" w:color="auto"/>
            </w:tcBorders>
            <w:shd w:val="clear" w:color="auto" w:fill="auto"/>
            <w:noWrap/>
            <w:vAlign w:val="bottom"/>
            <w:hideMark/>
          </w:tcPr>
          <w:p w14:paraId="5BF52981"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2011</w:t>
            </w:r>
          </w:p>
        </w:tc>
        <w:tc>
          <w:tcPr>
            <w:tcW w:w="1495" w:type="dxa"/>
            <w:noWrap/>
            <w:vAlign w:val="bottom"/>
          </w:tcPr>
          <w:p w14:paraId="674624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745 617,40</w:t>
            </w:r>
          </w:p>
        </w:tc>
        <w:tc>
          <w:tcPr>
            <w:tcW w:w="1637" w:type="dxa"/>
            <w:tcBorders>
              <w:top w:val="nil"/>
              <w:left w:val="single" w:sz="4" w:space="0" w:color="auto"/>
              <w:bottom w:val="nil"/>
              <w:right w:val="single" w:sz="4" w:space="0" w:color="auto"/>
            </w:tcBorders>
            <w:noWrap/>
            <w:vAlign w:val="bottom"/>
          </w:tcPr>
          <w:p w14:paraId="08F854D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535 201,81</w:t>
            </w:r>
          </w:p>
        </w:tc>
        <w:tc>
          <w:tcPr>
            <w:tcW w:w="1476" w:type="dxa"/>
            <w:noWrap/>
            <w:vAlign w:val="bottom"/>
          </w:tcPr>
          <w:p w14:paraId="39DB647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30AB0BF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2CF5F20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–23 379,51</w:t>
            </w:r>
          </w:p>
        </w:tc>
        <w:tc>
          <w:tcPr>
            <w:tcW w:w="1560" w:type="dxa"/>
            <w:tcBorders>
              <w:top w:val="nil"/>
              <w:left w:val="single" w:sz="4" w:space="0" w:color="auto"/>
              <w:bottom w:val="nil"/>
              <w:right w:val="single" w:sz="4" w:space="0" w:color="auto"/>
            </w:tcBorders>
            <w:noWrap/>
            <w:vAlign w:val="bottom"/>
          </w:tcPr>
          <w:p w14:paraId="725373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511 822,30</w:t>
            </w:r>
          </w:p>
        </w:tc>
      </w:tr>
      <w:tr w:rsidR="00862C6F" w:rsidRPr="00236418" w14:paraId="1138843A"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649AFFDE" w14:textId="77777777" w:rsidR="00862C6F" w:rsidRPr="00236418" w:rsidRDefault="00862C6F" w:rsidP="00862C6F">
            <w:pPr>
              <w:tabs>
                <w:tab w:val="clear" w:pos="567"/>
                <w:tab w:val="clear" w:pos="1134"/>
                <w:tab w:val="clear" w:pos="1701"/>
                <w:tab w:val="clear" w:pos="2268"/>
                <w:tab w:val="clear" w:pos="2835"/>
              </w:tabs>
              <w:spacing w:before="0" w:after="20"/>
              <w:rPr>
                <w:sz w:val="20"/>
              </w:rPr>
            </w:pPr>
            <w:r w:rsidRPr="00236418">
              <w:rPr>
                <w:sz w:val="20"/>
              </w:rPr>
              <w:t>Comores</w:t>
            </w:r>
          </w:p>
        </w:tc>
        <w:tc>
          <w:tcPr>
            <w:tcW w:w="1701" w:type="dxa"/>
            <w:tcBorders>
              <w:top w:val="nil"/>
              <w:left w:val="single" w:sz="4" w:space="0" w:color="auto"/>
              <w:bottom w:val="nil"/>
              <w:right w:val="single" w:sz="4" w:space="0" w:color="auto"/>
            </w:tcBorders>
            <w:shd w:val="clear" w:color="auto" w:fill="auto"/>
            <w:noWrap/>
            <w:vAlign w:val="bottom"/>
            <w:hideMark/>
          </w:tcPr>
          <w:p w14:paraId="2956C6CF"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2012</w:t>
            </w:r>
          </w:p>
        </w:tc>
        <w:tc>
          <w:tcPr>
            <w:tcW w:w="1495" w:type="dxa"/>
            <w:noWrap/>
            <w:vAlign w:val="bottom"/>
          </w:tcPr>
          <w:p w14:paraId="0115C0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376 005,93</w:t>
            </w:r>
          </w:p>
        </w:tc>
        <w:tc>
          <w:tcPr>
            <w:tcW w:w="1637" w:type="dxa"/>
            <w:tcBorders>
              <w:top w:val="nil"/>
              <w:left w:val="single" w:sz="4" w:space="0" w:color="auto"/>
              <w:bottom w:val="nil"/>
              <w:right w:val="single" w:sz="4" w:space="0" w:color="auto"/>
            </w:tcBorders>
            <w:noWrap/>
            <w:vAlign w:val="bottom"/>
          </w:tcPr>
          <w:p w14:paraId="3A961F4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210 094,66</w:t>
            </w:r>
          </w:p>
        </w:tc>
        <w:tc>
          <w:tcPr>
            <w:tcW w:w="1476" w:type="dxa"/>
            <w:noWrap/>
            <w:vAlign w:val="bottom"/>
          </w:tcPr>
          <w:p w14:paraId="2C39E97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–210 094,66</w:t>
            </w:r>
          </w:p>
        </w:tc>
        <w:tc>
          <w:tcPr>
            <w:tcW w:w="1506" w:type="dxa"/>
            <w:tcBorders>
              <w:top w:val="nil"/>
              <w:left w:val="single" w:sz="4" w:space="0" w:color="auto"/>
              <w:bottom w:val="nil"/>
              <w:right w:val="single" w:sz="4" w:space="0" w:color="auto"/>
            </w:tcBorders>
            <w:noWrap/>
            <w:vAlign w:val="bottom"/>
          </w:tcPr>
          <w:p w14:paraId="44BD576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2ECF3C4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5F4911B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7234E2E1"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40355F24" w14:textId="77777777" w:rsidR="00862C6F" w:rsidRPr="00236418" w:rsidRDefault="00862C6F" w:rsidP="00862C6F">
            <w:pPr>
              <w:tabs>
                <w:tab w:val="clear" w:pos="567"/>
                <w:tab w:val="clear" w:pos="1134"/>
                <w:tab w:val="clear" w:pos="1701"/>
                <w:tab w:val="clear" w:pos="2268"/>
                <w:tab w:val="clear" w:pos="2835"/>
              </w:tabs>
              <w:spacing w:before="0" w:after="20"/>
              <w:rPr>
                <w:sz w:val="20"/>
              </w:rPr>
            </w:pPr>
            <w:r w:rsidRPr="00236418">
              <w:rPr>
                <w:sz w:val="20"/>
              </w:rPr>
              <w:t>République centrafricaine</w:t>
            </w:r>
          </w:p>
        </w:tc>
        <w:tc>
          <w:tcPr>
            <w:tcW w:w="1701" w:type="dxa"/>
            <w:tcBorders>
              <w:top w:val="nil"/>
              <w:left w:val="single" w:sz="4" w:space="0" w:color="auto"/>
              <w:bottom w:val="nil"/>
              <w:right w:val="single" w:sz="4" w:space="0" w:color="auto"/>
            </w:tcBorders>
            <w:shd w:val="clear" w:color="auto" w:fill="auto"/>
            <w:noWrap/>
            <w:vAlign w:val="bottom"/>
          </w:tcPr>
          <w:p w14:paraId="5A8FB926"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2014</w:t>
            </w:r>
          </w:p>
        </w:tc>
        <w:tc>
          <w:tcPr>
            <w:tcW w:w="1495" w:type="dxa"/>
            <w:noWrap/>
            <w:vAlign w:val="bottom"/>
          </w:tcPr>
          <w:p w14:paraId="56BED52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159 474,68</w:t>
            </w:r>
          </w:p>
        </w:tc>
        <w:tc>
          <w:tcPr>
            <w:tcW w:w="1637" w:type="dxa"/>
            <w:tcBorders>
              <w:top w:val="nil"/>
              <w:left w:val="single" w:sz="4" w:space="0" w:color="auto"/>
              <w:bottom w:val="nil"/>
              <w:right w:val="single" w:sz="4" w:space="0" w:color="auto"/>
            </w:tcBorders>
            <w:noWrap/>
            <w:vAlign w:val="bottom"/>
          </w:tcPr>
          <w:p w14:paraId="7204E8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118 206,03</w:t>
            </w:r>
          </w:p>
        </w:tc>
        <w:tc>
          <w:tcPr>
            <w:tcW w:w="1476" w:type="dxa"/>
            <w:noWrap/>
            <w:vAlign w:val="bottom"/>
          </w:tcPr>
          <w:p w14:paraId="414BF5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1A14BE7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28DB5B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–8 253,73</w:t>
            </w:r>
          </w:p>
        </w:tc>
        <w:tc>
          <w:tcPr>
            <w:tcW w:w="1560" w:type="dxa"/>
            <w:tcBorders>
              <w:top w:val="nil"/>
              <w:left w:val="single" w:sz="4" w:space="0" w:color="auto"/>
              <w:bottom w:val="nil"/>
              <w:right w:val="single" w:sz="4" w:space="0" w:color="auto"/>
            </w:tcBorders>
            <w:noWrap/>
            <w:vAlign w:val="bottom"/>
          </w:tcPr>
          <w:p w14:paraId="024D80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109 952,30</w:t>
            </w:r>
          </w:p>
        </w:tc>
      </w:tr>
      <w:tr w:rsidR="00862C6F" w:rsidRPr="00236418" w14:paraId="53BFDBBA" w14:textId="77777777" w:rsidTr="00620F53">
        <w:trPr>
          <w:trHeight w:val="259"/>
          <w:jc w:val="center"/>
        </w:trPr>
        <w:tc>
          <w:tcPr>
            <w:tcW w:w="3256" w:type="dxa"/>
            <w:tcBorders>
              <w:top w:val="nil"/>
              <w:left w:val="single" w:sz="4" w:space="0" w:color="auto"/>
              <w:right w:val="single" w:sz="4" w:space="0" w:color="auto"/>
            </w:tcBorders>
            <w:shd w:val="clear" w:color="auto" w:fill="auto"/>
            <w:noWrap/>
            <w:vAlign w:val="bottom"/>
          </w:tcPr>
          <w:p w14:paraId="71F0D23D" w14:textId="77777777" w:rsidR="00862C6F" w:rsidRPr="00236418" w:rsidRDefault="00862C6F" w:rsidP="00862C6F">
            <w:pPr>
              <w:spacing w:before="0"/>
              <w:rPr>
                <w:sz w:val="20"/>
              </w:rPr>
            </w:pPr>
            <w:r w:rsidRPr="00236418">
              <w:rPr>
                <w:sz w:val="20"/>
              </w:rPr>
              <w:t xml:space="preserve">Fédération de Saint-Kitts-et-Nevis </w:t>
            </w:r>
          </w:p>
        </w:tc>
        <w:tc>
          <w:tcPr>
            <w:tcW w:w="1701" w:type="dxa"/>
            <w:tcBorders>
              <w:top w:val="nil"/>
              <w:left w:val="single" w:sz="4" w:space="0" w:color="auto"/>
              <w:right w:val="single" w:sz="4" w:space="0" w:color="auto"/>
            </w:tcBorders>
            <w:shd w:val="clear" w:color="auto" w:fill="auto"/>
            <w:noWrap/>
            <w:vAlign w:val="bottom"/>
          </w:tcPr>
          <w:p w14:paraId="3EBE72B5"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2017</w:t>
            </w:r>
          </w:p>
        </w:tc>
        <w:tc>
          <w:tcPr>
            <w:tcW w:w="1495" w:type="dxa"/>
            <w:noWrap/>
            <w:vAlign w:val="bottom"/>
          </w:tcPr>
          <w:p w14:paraId="2B43700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251 777,75</w:t>
            </w:r>
          </w:p>
        </w:tc>
        <w:tc>
          <w:tcPr>
            <w:tcW w:w="1637" w:type="dxa"/>
            <w:tcBorders>
              <w:top w:val="nil"/>
              <w:left w:val="single" w:sz="4" w:space="0" w:color="auto"/>
              <w:bottom w:val="nil"/>
              <w:right w:val="single" w:sz="4" w:space="0" w:color="auto"/>
            </w:tcBorders>
            <w:noWrap/>
            <w:vAlign w:val="bottom"/>
          </w:tcPr>
          <w:p w14:paraId="552DBA6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72 902,74</w:t>
            </w:r>
          </w:p>
        </w:tc>
        <w:tc>
          <w:tcPr>
            <w:tcW w:w="1476" w:type="dxa"/>
            <w:noWrap/>
            <w:vAlign w:val="bottom"/>
          </w:tcPr>
          <w:p w14:paraId="5655A11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2E10EF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–72 902,74</w:t>
            </w:r>
          </w:p>
        </w:tc>
        <w:tc>
          <w:tcPr>
            <w:tcW w:w="1417" w:type="dxa"/>
            <w:noWrap/>
            <w:vAlign w:val="bottom"/>
          </w:tcPr>
          <w:p w14:paraId="5AB66D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23822B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7A690764" w14:textId="77777777" w:rsidTr="00620F53">
        <w:trPr>
          <w:trHeight w:val="259"/>
          <w:jc w:val="center"/>
        </w:trPr>
        <w:tc>
          <w:tcPr>
            <w:tcW w:w="3256" w:type="dxa"/>
            <w:tcBorders>
              <w:left w:val="single" w:sz="4" w:space="0" w:color="auto"/>
              <w:right w:val="single" w:sz="4" w:space="0" w:color="auto"/>
            </w:tcBorders>
            <w:shd w:val="clear" w:color="auto" w:fill="auto"/>
            <w:noWrap/>
            <w:vAlign w:val="bottom"/>
          </w:tcPr>
          <w:p w14:paraId="025D621D" w14:textId="77777777" w:rsidR="00862C6F" w:rsidRPr="00236418" w:rsidRDefault="00862C6F" w:rsidP="00862C6F">
            <w:pPr>
              <w:spacing w:before="0"/>
              <w:rPr>
                <w:sz w:val="20"/>
              </w:rPr>
            </w:pPr>
            <w:r w:rsidRPr="00236418">
              <w:rPr>
                <w:sz w:val="20"/>
              </w:rPr>
              <w:t>Somalie</w:t>
            </w:r>
          </w:p>
        </w:tc>
        <w:tc>
          <w:tcPr>
            <w:tcW w:w="1701" w:type="dxa"/>
            <w:tcBorders>
              <w:left w:val="single" w:sz="4" w:space="0" w:color="auto"/>
              <w:right w:val="single" w:sz="4" w:space="0" w:color="auto"/>
            </w:tcBorders>
            <w:shd w:val="clear" w:color="auto" w:fill="auto"/>
            <w:noWrap/>
            <w:vAlign w:val="bottom"/>
          </w:tcPr>
          <w:p w14:paraId="5389A975"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2017</w:t>
            </w:r>
          </w:p>
        </w:tc>
        <w:tc>
          <w:tcPr>
            <w:tcW w:w="1495" w:type="dxa"/>
            <w:noWrap/>
            <w:vAlign w:val="bottom"/>
          </w:tcPr>
          <w:p w14:paraId="6336CC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2 281 017,16</w:t>
            </w:r>
          </w:p>
        </w:tc>
        <w:tc>
          <w:tcPr>
            <w:tcW w:w="1637" w:type="dxa"/>
            <w:tcBorders>
              <w:top w:val="nil"/>
              <w:left w:val="single" w:sz="4" w:space="0" w:color="auto"/>
              <w:bottom w:val="nil"/>
              <w:right w:val="single" w:sz="4" w:space="0" w:color="auto"/>
            </w:tcBorders>
            <w:noWrap/>
            <w:vAlign w:val="bottom"/>
          </w:tcPr>
          <w:p w14:paraId="485C3A3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2 155 847,54</w:t>
            </w:r>
          </w:p>
        </w:tc>
        <w:tc>
          <w:tcPr>
            <w:tcW w:w="1476" w:type="dxa"/>
            <w:noWrap/>
            <w:vAlign w:val="bottom"/>
          </w:tcPr>
          <w:p w14:paraId="1531B3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2EB7BB8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59A30D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–62 584,81</w:t>
            </w:r>
          </w:p>
        </w:tc>
        <w:tc>
          <w:tcPr>
            <w:tcW w:w="1560" w:type="dxa"/>
            <w:tcBorders>
              <w:top w:val="nil"/>
              <w:left w:val="single" w:sz="4" w:space="0" w:color="auto"/>
              <w:bottom w:val="nil"/>
              <w:right w:val="single" w:sz="4" w:space="0" w:color="auto"/>
            </w:tcBorders>
            <w:noWrap/>
            <w:vAlign w:val="bottom"/>
          </w:tcPr>
          <w:p w14:paraId="5F527BE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2 093 262,73</w:t>
            </w:r>
          </w:p>
        </w:tc>
      </w:tr>
      <w:tr w:rsidR="00862C6F" w:rsidRPr="00236418" w14:paraId="3F4430E7"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2A4D6E6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236418">
              <w:rPr>
                <w:sz w:val="20"/>
                <w:lang w:eastAsia="zh-CN"/>
              </w:rPr>
              <w:t>Congo (</w:t>
            </w:r>
            <w:proofErr w:type="spellStart"/>
            <w:r w:rsidRPr="00236418">
              <w:rPr>
                <w:sz w:val="20"/>
                <w:lang w:eastAsia="zh-CN"/>
              </w:rPr>
              <w:t>Rép</w:t>
            </w:r>
            <w:proofErr w:type="spellEnd"/>
            <w:r w:rsidRPr="00236418">
              <w:rPr>
                <w:sz w:val="20"/>
                <w:lang w:eastAsia="zh-CN"/>
              </w:rPr>
              <w:t>. du)</w:t>
            </w:r>
          </w:p>
        </w:tc>
        <w:tc>
          <w:tcPr>
            <w:tcW w:w="1701" w:type="dxa"/>
            <w:tcBorders>
              <w:left w:val="single" w:sz="4" w:space="0" w:color="auto"/>
              <w:right w:val="single" w:sz="4" w:space="0" w:color="auto"/>
            </w:tcBorders>
            <w:shd w:val="clear" w:color="auto" w:fill="auto"/>
            <w:noWrap/>
            <w:vAlign w:val="bottom"/>
          </w:tcPr>
          <w:p w14:paraId="77924966"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2018</w:t>
            </w:r>
          </w:p>
        </w:tc>
        <w:tc>
          <w:tcPr>
            <w:tcW w:w="1495" w:type="dxa"/>
            <w:noWrap/>
            <w:vAlign w:val="bottom"/>
          </w:tcPr>
          <w:p w14:paraId="4216CD4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1 730 027,81</w:t>
            </w:r>
          </w:p>
        </w:tc>
        <w:tc>
          <w:tcPr>
            <w:tcW w:w="1637" w:type="dxa"/>
            <w:tcBorders>
              <w:top w:val="nil"/>
              <w:left w:val="single" w:sz="4" w:space="0" w:color="auto"/>
              <w:bottom w:val="nil"/>
              <w:right w:val="single" w:sz="4" w:space="0" w:color="auto"/>
            </w:tcBorders>
            <w:noWrap/>
            <w:vAlign w:val="bottom"/>
          </w:tcPr>
          <w:p w14:paraId="7FCE2D7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1 645 764,39</w:t>
            </w:r>
          </w:p>
        </w:tc>
        <w:tc>
          <w:tcPr>
            <w:tcW w:w="1476" w:type="dxa"/>
            <w:noWrap/>
            <w:vAlign w:val="bottom"/>
          </w:tcPr>
          <w:p w14:paraId="23B397D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3BD5942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0BA2B0E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–84 263,42</w:t>
            </w:r>
          </w:p>
        </w:tc>
        <w:tc>
          <w:tcPr>
            <w:tcW w:w="1560" w:type="dxa"/>
            <w:tcBorders>
              <w:top w:val="nil"/>
              <w:left w:val="single" w:sz="4" w:space="0" w:color="auto"/>
              <w:bottom w:val="nil"/>
              <w:right w:val="single" w:sz="4" w:space="0" w:color="auto"/>
            </w:tcBorders>
            <w:noWrap/>
            <w:vAlign w:val="bottom"/>
          </w:tcPr>
          <w:p w14:paraId="7B6A7CD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1 561 500,97</w:t>
            </w:r>
          </w:p>
        </w:tc>
      </w:tr>
      <w:tr w:rsidR="00862C6F" w:rsidRPr="00236418" w14:paraId="1547B81F"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3614DDD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236418">
              <w:rPr>
                <w:sz w:val="20"/>
                <w:lang w:eastAsia="zh-CN"/>
              </w:rPr>
              <w:t>Gabon</w:t>
            </w:r>
          </w:p>
        </w:tc>
        <w:tc>
          <w:tcPr>
            <w:tcW w:w="1701" w:type="dxa"/>
            <w:tcBorders>
              <w:left w:val="single" w:sz="4" w:space="0" w:color="auto"/>
              <w:right w:val="single" w:sz="4" w:space="0" w:color="auto"/>
            </w:tcBorders>
            <w:shd w:val="clear" w:color="auto" w:fill="auto"/>
            <w:noWrap/>
            <w:vAlign w:val="bottom"/>
          </w:tcPr>
          <w:p w14:paraId="59906038"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2018</w:t>
            </w:r>
          </w:p>
        </w:tc>
        <w:tc>
          <w:tcPr>
            <w:tcW w:w="1495" w:type="dxa"/>
            <w:noWrap/>
            <w:vAlign w:val="bottom"/>
          </w:tcPr>
          <w:p w14:paraId="12C824A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343 052,55</w:t>
            </w:r>
          </w:p>
        </w:tc>
        <w:tc>
          <w:tcPr>
            <w:tcW w:w="1637" w:type="dxa"/>
            <w:tcBorders>
              <w:top w:val="nil"/>
              <w:left w:val="single" w:sz="4" w:space="0" w:color="auto"/>
              <w:bottom w:val="nil"/>
              <w:right w:val="single" w:sz="4" w:space="0" w:color="auto"/>
            </w:tcBorders>
            <w:noWrap/>
            <w:vAlign w:val="bottom"/>
          </w:tcPr>
          <w:p w14:paraId="2331F7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267 633,89</w:t>
            </w:r>
          </w:p>
        </w:tc>
        <w:tc>
          <w:tcPr>
            <w:tcW w:w="1476" w:type="dxa"/>
            <w:noWrap/>
            <w:vAlign w:val="bottom"/>
          </w:tcPr>
          <w:p w14:paraId="4EF5855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nil"/>
              <w:right w:val="single" w:sz="4" w:space="0" w:color="auto"/>
            </w:tcBorders>
            <w:noWrap/>
            <w:vAlign w:val="bottom"/>
          </w:tcPr>
          <w:p w14:paraId="3C0A7BF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794235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7C16E47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267 633,89</w:t>
            </w:r>
          </w:p>
        </w:tc>
      </w:tr>
      <w:tr w:rsidR="00862C6F" w:rsidRPr="00236418" w14:paraId="7BF02E11"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7B6F3FB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236418">
              <w:rPr>
                <w:sz w:val="20"/>
                <w:lang w:eastAsia="zh-CN"/>
              </w:rPr>
              <w:t>Gambie</w:t>
            </w:r>
          </w:p>
        </w:tc>
        <w:tc>
          <w:tcPr>
            <w:tcW w:w="1701" w:type="dxa"/>
            <w:tcBorders>
              <w:left w:val="single" w:sz="4" w:space="0" w:color="auto"/>
              <w:right w:val="single" w:sz="4" w:space="0" w:color="auto"/>
            </w:tcBorders>
            <w:shd w:val="clear" w:color="auto" w:fill="auto"/>
            <w:noWrap/>
            <w:vAlign w:val="bottom"/>
          </w:tcPr>
          <w:p w14:paraId="75EC7A77"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2018</w:t>
            </w:r>
          </w:p>
        </w:tc>
        <w:tc>
          <w:tcPr>
            <w:tcW w:w="1495" w:type="dxa"/>
            <w:noWrap/>
            <w:vAlign w:val="bottom"/>
          </w:tcPr>
          <w:p w14:paraId="0C23148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332 385,98</w:t>
            </w:r>
          </w:p>
        </w:tc>
        <w:tc>
          <w:tcPr>
            <w:tcW w:w="1637" w:type="dxa"/>
            <w:tcBorders>
              <w:top w:val="nil"/>
              <w:left w:val="single" w:sz="4" w:space="0" w:color="auto"/>
              <w:bottom w:val="nil"/>
              <w:right w:val="single" w:sz="4" w:space="0" w:color="auto"/>
            </w:tcBorders>
            <w:noWrap/>
            <w:vAlign w:val="bottom"/>
          </w:tcPr>
          <w:p w14:paraId="38D83FA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252 885,98</w:t>
            </w:r>
          </w:p>
        </w:tc>
        <w:tc>
          <w:tcPr>
            <w:tcW w:w="1476" w:type="dxa"/>
            <w:noWrap/>
            <w:vAlign w:val="bottom"/>
          </w:tcPr>
          <w:p w14:paraId="5B0F19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–252 885,98</w:t>
            </w:r>
          </w:p>
        </w:tc>
        <w:tc>
          <w:tcPr>
            <w:tcW w:w="1506" w:type="dxa"/>
            <w:tcBorders>
              <w:top w:val="nil"/>
              <w:left w:val="single" w:sz="4" w:space="0" w:color="auto"/>
              <w:bottom w:val="nil"/>
              <w:right w:val="single" w:sz="4" w:space="0" w:color="auto"/>
            </w:tcBorders>
            <w:noWrap/>
            <w:vAlign w:val="bottom"/>
          </w:tcPr>
          <w:p w14:paraId="6D502F8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383D788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2945F5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4A1FF8E8"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482432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236418">
              <w:rPr>
                <w:sz w:val="20"/>
                <w:lang w:eastAsia="zh-CN"/>
              </w:rPr>
              <w:t>Guinée-Bissau</w:t>
            </w:r>
          </w:p>
        </w:tc>
        <w:tc>
          <w:tcPr>
            <w:tcW w:w="1701" w:type="dxa"/>
            <w:tcBorders>
              <w:left w:val="single" w:sz="4" w:space="0" w:color="auto"/>
              <w:right w:val="single" w:sz="4" w:space="0" w:color="auto"/>
            </w:tcBorders>
            <w:shd w:val="clear" w:color="auto" w:fill="auto"/>
            <w:noWrap/>
            <w:vAlign w:val="bottom"/>
          </w:tcPr>
          <w:p w14:paraId="2FA0B12E"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2018</w:t>
            </w:r>
          </w:p>
        </w:tc>
        <w:tc>
          <w:tcPr>
            <w:tcW w:w="1495" w:type="dxa"/>
            <w:noWrap/>
            <w:vAlign w:val="bottom"/>
          </w:tcPr>
          <w:p w14:paraId="42B9FBB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4 430 568,52</w:t>
            </w:r>
          </w:p>
        </w:tc>
        <w:tc>
          <w:tcPr>
            <w:tcW w:w="1637" w:type="dxa"/>
            <w:tcBorders>
              <w:top w:val="nil"/>
              <w:left w:val="single" w:sz="4" w:space="0" w:color="auto"/>
              <w:bottom w:val="nil"/>
              <w:right w:val="single" w:sz="4" w:space="0" w:color="auto"/>
            </w:tcBorders>
            <w:noWrap/>
            <w:vAlign w:val="bottom"/>
          </w:tcPr>
          <w:p w14:paraId="73FB6D2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4 351 343,35</w:t>
            </w:r>
          </w:p>
        </w:tc>
        <w:tc>
          <w:tcPr>
            <w:tcW w:w="1476" w:type="dxa"/>
            <w:noWrap/>
            <w:vAlign w:val="bottom"/>
          </w:tcPr>
          <w:p w14:paraId="0F9870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–4 351 343,35</w:t>
            </w:r>
          </w:p>
        </w:tc>
        <w:tc>
          <w:tcPr>
            <w:tcW w:w="1506" w:type="dxa"/>
            <w:tcBorders>
              <w:top w:val="nil"/>
              <w:left w:val="single" w:sz="4" w:space="0" w:color="auto"/>
              <w:bottom w:val="nil"/>
              <w:right w:val="single" w:sz="4" w:space="0" w:color="auto"/>
            </w:tcBorders>
            <w:noWrap/>
            <w:vAlign w:val="bottom"/>
          </w:tcPr>
          <w:p w14:paraId="662682B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6E71B4B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1B2DE11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52855457"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479CAAC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236418">
              <w:rPr>
                <w:sz w:val="20"/>
                <w:lang w:eastAsia="zh-CN"/>
              </w:rPr>
              <w:t>Libéria</w:t>
            </w:r>
          </w:p>
        </w:tc>
        <w:tc>
          <w:tcPr>
            <w:tcW w:w="1701" w:type="dxa"/>
            <w:tcBorders>
              <w:left w:val="single" w:sz="4" w:space="0" w:color="auto"/>
              <w:right w:val="single" w:sz="4" w:space="0" w:color="auto"/>
            </w:tcBorders>
            <w:shd w:val="clear" w:color="auto" w:fill="auto"/>
            <w:noWrap/>
            <w:vAlign w:val="bottom"/>
          </w:tcPr>
          <w:p w14:paraId="60518876"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2018</w:t>
            </w:r>
          </w:p>
        </w:tc>
        <w:tc>
          <w:tcPr>
            <w:tcW w:w="1495" w:type="dxa"/>
            <w:noWrap/>
            <w:vAlign w:val="bottom"/>
          </w:tcPr>
          <w:p w14:paraId="32ECF8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4 885 078,20</w:t>
            </w:r>
          </w:p>
        </w:tc>
        <w:tc>
          <w:tcPr>
            <w:tcW w:w="1637" w:type="dxa"/>
            <w:tcBorders>
              <w:top w:val="nil"/>
              <w:left w:val="single" w:sz="4" w:space="0" w:color="auto"/>
              <w:bottom w:val="nil"/>
              <w:right w:val="single" w:sz="4" w:space="0" w:color="auto"/>
            </w:tcBorders>
            <w:noWrap/>
            <w:vAlign w:val="bottom"/>
          </w:tcPr>
          <w:p w14:paraId="480EB3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4 769 016,24</w:t>
            </w:r>
          </w:p>
        </w:tc>
        <w:tc>
          <w:tcPr>
            <w:tcW w:w="1476" w:type="dxa"/>
            <w:noWrap/>
            <w:vAlign w:val="bottom"/>
          </w:tcPr>
          <w:p w14:paraId="770C6E4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–4 769 016,24</w:t>
            </w:r>
          </w:p>
        </w:tc>
        <w:tc>
          <w:tcPr>
            <w:tcW w:w="1506" w:type="dxa"/>
            <w:tcBorders>
              <w:top w:val="nil"/>
              <w:left w:val="single" w:sz="4" w:space="0" w:color="auto"/>
              <w:bottom w:val="nil"/>
              <w:right w:val="single" w:sz="4" w:space="0" w:color="auto"/>
            </w:tcBorders>
            <w:noWrap/>
            <w:vAlign w:val="bottom"/>
          </w:tcPr>
          <w:p w14:paraId="32EFDCD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36F7AA0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56428F6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0E3499FD"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60015E3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236418">
              <w:rPr>
                <w:sz w:val="20"/>
                <w:lang w:eastAsia="zh-CN"/>
              </w:rPr>
              <w:t>Sierra Leone</w:t>
            </w:r>
          </w:p>
        </w:tc>
        <w:tc>
          <w:tcPr>
            <w:tcW w:w="1701" w:type="dxa"/>
            <w:tcBorders>
              <w:left w:val="single" w:sz="4" w:space="0" w:color="auto"/>
              <w:bottom w:val="single" w:sz="4" w:space="0" w:color="auto"/>
              <w:right w:val="single" w:sz="4" w:space="0" w:color="auto"/>
            </w:tcBorders>
            <w:shd w:val="clear" w:color="auto" w:fill="auto"/>
            <w:noWrap/>
            <w:vAlign w:val="bottom"/>
          </w:tcPr>
          <w:p w14:paraId="2F88C1FF"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2018</w:t>
            </w:r>
          </w:p>
        </w:tc>
        <w:tc>
          <w:tcPr>
            <w:tcW w:w="1495" w:type="dxa"/>
            <w:noWrap/>
            <w:vAlign w:val="bottom"/>
          </w:tcPr>
          <w:p w14:paraId="2C870ED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2 827 393,64</w:t>
            </w:r>
          </w:p>
        </w:tc>
        <w:tc>
          <w:tcPr>
            <w:tcW w:w="1637" w:type="dxa"/>
            <w:tcBorders>
              <w:top w:val="nil"/>
              <w:left w:val="single" w:sz="4" w:space="0" w:color="auto"/>
              <w:bottom w:val="nil"/>
              <w:right w:val="single" w:sz="4" w:space="0" w:color="auto"/>
            </w:tcBorders>
            <w:noWrap/>
            <w:vAlign w:val="bottom"/>
          </w:tcPr>
          <w:p w14:paraId="5450C7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2 690 902,73</w:t>
            </w:r>
          </w:p>
        </w:tc>
        <w:tc>
          <w:tcPr>
            <w:tcW w:w="1476" w:type="dxa"/>
            <w:noWrap/>
            <w:vAlign w:val="bottom"/>
          </w:tcPr>
          <w:p w14:paraId="3A1126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–2 690 902,73</w:t>
            </w:r>
          </w:p>
        </w:tc>
        <w:tc>
          <w:tcPr>
            <w:tcW w:w="1506" w:type="dxa"/>
            <w:tcBorders>
              <w:top w:val="nil"/>
              <w:left w:val="single" w:sz="4" w:space="0" w:color="auto"/>
              <w:bottom w:val="nil"/>
              <w:right w:val="single" w:sz="4" w:space="0" w:color="auto"/>
            </w:tcBorders>
            <w:noWrap/>
            <w:vAlign w:val="bottom"/>
          </w:tcPr>
          <w:p w14:paraId="3EFA4C0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417" w:type="dxa"/>
            <w:noWrap/>
            <w:vAlign w:val="bottom"/>
          </w:tcPr>
          <w:p w14:paraId="23446F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60" w:type="dxa"/>
            <w:tcBorders>
              <w:top w:val="nil"/>
              <w:left w:val="single" w:sz="4" w:space="0" w:color="auto"/>
              <w:bottom w:val="nil"/>
              <w:right w:val="single" w:sz="4" w:space="0" w:color="auto"/>
            </w:tcBorders>
            <w:noWrap/>
            <w:vAlign w:val="bottom"/>
          </w:tcPr>
          <w:p w14:paraId="1371C2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7C7A4808" w14:textId="77777777" w:rsidTr="00620F53">
        <w:trPr>
          <w:trHeight w:val="74"/>
          <w:jc w:val="center"/>
        </w:trPr>
        <w:tc>
          <w:tcPr>
            <w:tcW w:w="3256" w:type="dxa"/>
            <w:tcBorders>
              <w:top w:val="single" w:sz="4" w:space="0" w:color="auto"/>
              <w:left w:val="single" w:sz="4" w:space="0" w:color="auto"/>
              <w:bottom w:val="nil"/>
              <w:right w:val="single" w:sz="4" w:space="0" w:color="auto"/>
            </w:tcBorders>
            <w:shd w:val="clear" w:color="auto" w:fill="auto"/>
            <w:noWrap/>
            <w:vAlign w:val="bottom"/>
          </w:tcPr>
          <w:p w14:paraId="130448DE" w14:textId="77777777" w:rsidR="00862C6F" w:rsidRPr="00236418" w:rsidRDefault="00862C6F" w:rsidP="00862C6F">
            <w:pPr>
              <w:spacing w:before="0"/>
              <w:rPr>
                <w:sz w:val="14"/>
                <w:szCs w:val="14"/>
              </w:rPr>
            </w:pPr>
          </w:p>
        </w:tc>
        <w:tc>
          <w:tcPr>
            <w:tcW w:w="1701" w:type="dxa"/>
            <w:tcBorders>
              <w:top w:val="single" w:sz="4" w:space="0" w:color="auto"/>
              <w:left w:val="single" w:sz="4" w:space="0" w:color="auto"/>
              <w:bottom w:val="nil"/>
              <w:right w:val="single" w:sz="4" w:space="0" w:color="auto"/>
            </w:tcBorders>
            <w:shd w:val="clear" w:color="auto" w:fill="auto"/>
            <w:noWrap/>
            <w:vAlign w:val="bottom"/>
          </w:tcPr>
          <w:p w14:paraId="266C2AD7" w14:textId="77777777" w:rsidR="00862C6F" w:rsidRPr="00236418" w:rsidRDefault="00862C6F" w:rsidP="00862C6F">
            <w:pPr>
              <w:spacing w:before="0"/>
              <w:rPr>
                <w:rFonts w:ascii="Times New Roman" w:hAnsi="Times New Roman"/>
                <w:sz w:val="18"/>
                <w:szCs w:val="18"/>
              </w:rPr>
            </w:pPr>
          </w:p>
        </w:tc>
        <w:tc>
          <w:tcPr>
            <w:tcW w:w="1495" w:type="dxa"/>
            <w:tcBorders>
              <w:top w:val="single" w:sz="4" w:space="0" w:color="auto"/>
              <w:left w:val="single" w:sz="4" w:space="0" w:color="auto"/>
              <w:bottom w:val="nil"/>
              <w:right w:val="single" w:sz="4" w:space="0" w:color="auto"/>
            </w:tcBorders>
            <w:shd w:val="clear" w:color="auto" w:fill="auto"/>
            <w:noWrap/>
            <w:vAlign w:val="bottom"/>
          </w:tcPr>
          <w:p w14:paraId="1EB44ACE" w14:textId="77777777" w:rsidR="00862C6F" w:rsidRPr="00236418" w:rsidRDefault="00862C6F" w:rsidP="00862C6F">
            <w:pPr>
              <w:spacing w:before="0"/>
              <w:rPr>
                <w:rFonts w:ascii="Times New Roman" w:hAnsi="Times New Roman"/>
                <w:sz w:val="18"/>
                <w:szCs w:val="18"/>
              </w:rPr>
            </w:pPr>
          </w:p>
        </w:tc>
        <w:tc>
          <w:tcPr>
            <w:tcW w:w="1637" w:type="dxa"/>
            <w:tcBorders>
              <w:top w:val="single" w:sz="4" w:space="0" w:color="auto"/>
              <w:left w:val="single" w:sz="4" w:space="0" w:color="auto"/>
              <w:bottom w:val="nil"/>
              <w:right w:val="single" w:sz="4" w:space="0" w:color="auto"/>
            </w:tcBorders>
            <w:shd w:val="clear" w:color="auto" w:fill="auto"/>
            <w:noWrap/>
            <w:vAlign w:val="bottom"/>
          </w:tcPr>
          <w:p w14:paraId="05A68C5E" w14:textId="77777777" w:rsidR="00862C6F" w:rsidRPr="00236418" w:rsidRDefault="00862C6F" w:rsidP="00862C6F">
            <w:pPr>
              <w:spacing w:before="0"/>
              <w:rPr>
                <w:rFonts w:ascii="Times New Roman" w:hAnsi="Times New Roman"/>
                <w:sz w:val="18"/>
                <w:szCs w:val="18"/>
              </w:rPr>
            </w:pPr>
          </w:p>
        </w:tc>
        <w:tc>
          <w:tcPr>
            <w:tcW w:w="1476" w:type="dxa"/>
            <w:tcBorders>
              <w:top w:val="single" w:sz="4" w:space="0" w:color="auto"/>
              <w:left w:val="single" w:sz="4" w:space="0" w:color="auto"/>
              <w:bottom w:val="nil"/>
              <w:right w:val="single" w:sz="4" w:space="0" w:color="auto"/>
            </w:tcBorders>
            <w:shd w:val="clear" w:color="auto" w:fill="auto"/>
            <w:noWrap/>
            <w:vAlign w:val="bottom"/>
          </w:tcPr>
          <w:p w14:paraId="6163A938" w14:textId="77777777" w:rsidR="00862C6F" w:rsidRPr="00236418" w:rsidRDefault="00862C6F" w:rsidP="00862C6F">
            <w:pPr>
              <w:spacing w:before="0"/>
              <w:rPr>
                <w:rFonts w:ascii="Times New Roman" w:hAnsi="Times New Roman"/>
                <w:sz w:val="18"/>
                <w:szCs w:val="18"/>
              </w:rPr>
            </w:pPr>
          </w:p>
        </w:tc>
        <w:tc>
          <w:tcPr>
            <w:tcW w:w="1506" w:type="dxa"/>
            <w:tcBorders>
              <w:top w:val="single" w:sz="4" w:space="0" w:color="auto"/>
              <w:left w:val="single" w:sz="4" w:space="0" w:color="auto"/>
              <w:bottom w:val="nil"/>
              <w:right w:val="single" w:sz="4" w:space="0" w:color="auto"/>
            </w:tcBorders>
            <w:shd w:val="clear" w:color="auto" w:fill="auto"/>
            <w:noWrap/>
            <w:vAlign w:val="bottom"/>
          </w:tcPr>
          <w:p w14:paraId="475FB697" w14:textId="77777777" w:rsidR="00862C6F" w:rsidRPr="00236418" w:rsidRDefault="00862C6F" w:rsidP="00862C6F">
            <w:pPr>
              <w:spacing w:before="0"/>
              <w:rPr>
                <w:rFonts w:ascii="Times New Roman" w:hAnsi="Times New Roman"/>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14:paraId="3DEC9240" w14:textId="77777777" w:rsidR="00862C6F" w:rsidRPr="00236418" w:rsidRDefault="00862C6F" w:rsidP="00862C6F">
            <w:pPr>
              <w:spacing w:before="0"/>
              <w:rPr>
                <w:rFonts w:ascii="Times New Roman" w:hAnsi="Times New Roman"/>
                <w:sz w:val="18"/>
                <w:szCs w:val="18"/>
              </w:rPr>
            </w:pPr>
          </w:p>
        </w:tc>
        <w:tc>
          <w:tcPr>
            <w:tcW w:w="1560" w:type="dxa"/>
            <w:tcBorders>
              <w:top w:val="single" w:sz="4" w:space="0" w:color="auto"/>
              <w:left w:val="single" w:sz="4" w:space="0" w:color="auto"/>
              <w:bottom w:val="nil"/>
              <w:right w:val="single" w:sz="4" w:space="0" w:color="auto"/>
            </w:tcBorders>
            <w:shd w:val="clear" w:color="auto" w:fill="auto"/>
            <w:noWrap/>
            <w:vAlign w:val="bottom"/>
          </w:tcPr>
          <w:p w14:paraId="37B38175" w14:textId="77777777" w:rsidR="00862C6F" w:rsidRPr="00236418" w:rsidRDefault="00862C6F" w:rsidP="00862C6F">
            <w:pPr>
              <w:spacing w:before="0"/>
              <w:rPr>
                <w:rFonts w:ascii="Times New Roman" w:hAnsi="Times New Roman"/>
                <w:sz w:val="18"/>
                <w:szCs w:val="18"/>
              </w:rPr>
            </w:pPr>
          </w:p>
        </w:tc>
      </w:tr>
      <w:tr w:rsidR="00862C6F" w:rsidRPr="00236418" w14:paraId="2F0043CB"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7A2A55A3" w14:textId="77777777" w:rsidR="00862C6F" w:rsidRPr="00236418" w:rsidRDefault="00862C6F" w:rsidP="00862C6F">
            <w:pPr>
              <w:tabs>
                <w:tab w:val="clear" w:pos="567"/>
                <w:tab w:val="clear" w:pos="1134"/>
                <w:tab w:val="clear" w:pos="1701"/>
                <w:tab w:val="clear" w:pos="2268"/>
                <w:tab w:val="clear" w:pos="2835"/>
              </w:tabs>
              <w:spacing w:before="0" w:after="20"/>
              <w:rPr>
                <w:b/>
                <w:sz w:val="20"/>
              </w:rPr>
            </w:pPr>
            <w:r w:rsidRPr="00236418">
              <w:rPr>
                <w:b/>
                <w:sz w:val="20"/>
              </w:rPr>
              <w:t>Membres de Secteur/Entreprises</w:t>
            </w:r>
          </w:p>
        </w:tc>
        <w:tc>
          <w:tcPr>
            <w:tcW w:w="1701" w:type="dxa"/>
            <w:tcBorders>
              <w:top w:val="nil"/>
              <w:left w:val="single" w:sz="4" w:space="0" w:color="auto"/>
              <w:bottom w:val="nil"/>
              <w:right w:val="single" w:sz="4" w:space="0" w:color="auto"/>
            </w:tcBorders>
            <w:shd w:val="clear" w:color="auto" w:fill="auto"/>
            <w:noWrap/>
            <w:vAlign w:val="bottom"/>
            <w:hideMark/>
          </w:tcPr>
          <w:p w14:paraId="45243C6F" w14:textId="77777777" w:rsidR="00862C6F" w:rsidRPr="00236418" w:rsidRDefault="00862C6F" w:rsidP="00862C6F">
            <w:pPr>
              <w:spacing w:before="0"/>
              <w:jc w:val="center"/>
              <w:rPr>
                <w:b/>
                <w:bCs/>
                <w:sz w:val="18"/>
                <w:szCs w:val="18"/>
              </w:rPr>
            </w:pPr>
          </w:p>
        </w:tc>
        <w:tc>
          <w:tcPr>
            <w:tcW w:w="1495" w:type="dxa"/>
            <w:tcBorders>
              <w:top w:val="nil"/>
              <w:left w:val="single" w:sz="4" w:space="0" w:color="auto"/>
              <w:right w:val="single" w:sz="4" w:space="0" w:color="auto"/>
            </w:tcBorders>
            <w:shd w:val="clear" w:color="auto" w:fill="auto"/>
            <w:noWrap/>
            <w:vAlign w:val="bottom"/>
            <w:hideMark/>
          </w:tcPr>
          <w:p w14:paraId="1A2F4FA9" w14:textId="77777777" w:rsidR="00862C6F" w:rsidRPr="00236418" w:rsidRDefault="00862C6F" w:rsidP="00862C6F">
            <w:pPr>
              <w:spacing w:before="0"/>
              <w:rPr>
                <w:rFonts w:ascii="Times New Roman" w:hAnsi="Times New Roman"/>
                <w:sz w:val="18"/>
                <w:szCs w:val="18"/>
              </w:rPr>
            </w:pPr>
          </w:p>
        </w:tc>
        <w:tc>
          <w:tcPr>
            <w:tcW w:w="1637" w:type="dxa"/>
            <w:tcBorders>
              <w:top w:val="nil"/>
              <w:left w:val="single" w:sz="4" w:space="0" w:color="auto"/>
              <w:right w:val="single" w:sz="4" w:space="0" w:color="auto"/>
            </w:tcBorders>
            <w:shd w:val="clear" w:color="auto" w:fill="auto"/>
            <w:noWrap/>
            <w:vAlign w:val="bottom"/>
            <w:hideMark/>
          </w:tcPr>
          <w:p w14:paraId="240FB800" w14:textId="77777777" w:rsidR="00862C6F" w:rsidRPr="00236418" w:rsidRDefault="00862C6F" w:rsidP="00862C6F">
            <w:pPr>
              <w:spacing w:before="0"/>
              <w:rPr>
                <w:rFonts w:ascii="Times New Roman" w:hAnsi="Times New Roman"/>
                <w:sz w:val="18"/>
                <w:szCs w:val="18"/>
              </w:rPr>
            </w:pPr>
          </w:p>
        </w:tc>
        <w:tc>
          <w:tcPr>
            <w:tcW w:w="1476" w:type="dxa"/>
            <w:tcBorders>
              <w:top w:val="nil"/>
              <w:left w:val="single" w:sz="4" w:space="0" w:color="auto"/>
              <w:right w:val="single" w:sz="4" w:space="0" w:color="auto"/>
            </w:tcBorders>
            <w:shd w:val="clear" w:color="auto" w:fill="auto"/>
            <w:noWrap/>
            <w:vAlign w:val="bottom"/>
            <w:hideMark/>
          </w:tcPr>
          <w:p w14:paraId="0A1294EC" w14:textId="77777777" w:rsidR="00862C6F" w:rsidRPr="00236418" w:rsidRDefault="00862C6F" w:rsidP="00862C6F">
            <w:pPr>
              <w:spacing w:before="0"/>
              <w:rPr>
                <w:rFonts w:ascii="Times New Roman" w:hAnsi="Times New Roman"/>
                <w:sz w:val="18"/>
                <w:szCs w:val="18"/>
              </w:rPr>
            </w:pPr>
          </w:p>
        </w:tc>
        <w:tc>
          <w:tcPr>
            <w:tcW w:w="1506" w:type="dxa"/>
            <w:tcBorders>
              <w:top w:val="nil"/>
              <w:left w:val="single" w:sz="4" w:space="0" w:color="auto"/>
              <w:right w:val="single" w:sz="4" w:space="0" w:color="auto"/>
            </w:tcBorders>
            <w:shd w:val="clear" w:color="auto" w:fill="auto"/>
            <w:noWrap/>
            <w:vAlign w:val="bottom"/>
            <w:hideMark/>
          </w:tcPr>
          <w:p w14:paraId="05E7C8B3" w14:textId="77777777" w:rsidR="00862C6F" w:rsidRPr="00236418" w:rsidRDefault="00862C6F" w:rsidP="00862C6F">
            <w:pPr>
              <w:spacing w:before="0"/>
              <w:rPr>
                <w:rFonts w:ascii="Times New Roman" w:hAnsi="Times New Roman"/>
                <w:sz w:val="18"/>
                <w:szCs w:val="18"/>
              </w:rPr>
            </w:pPr>
          </w:p>
        </w:tc>
        <w:tc>
          <w:tcPr>
            <w:tcW w:w="1417" w:type="dxa"/>
            <w:tcBorders>
              <w:top w:val="nil"/>
              <w:left w:val="single" w:sz="4" w:space="0" w:color="auto"/>
              <w:right w:val="single" w:sz="4" w:space="0" w:color="auto"/>
            </w:tcBorders>
            <w:shd w:val="clear" w:color="auto" w:fill="auto"/>
            <w:noWrap/>
            <w:vAlign w:val="bottom"/>
            <w:hideMark/>
          </w:tcPr>
          <w:p w14:paraId="280B3FE3" w14:textId="77777777" w:rsidR="00862C6F" w:rsidRPr="00236418" w:rsidRDefault="00862C6F" w:rsidP="00862C6F">
            <w:pPr>
              <w:spacing w:before="0"/>
              <w:rPr>
                <w:rFonts w:ascii="Times New Roman" w:hAnsi="Times New Roman"/>
                <w:sz w:val="18"/>
                <w:szCs w:val="18"/>
              </w:rPr>
            </w:pPr>
          </w:p>
        </w:tc>
        <w:tc>
          <w:tcPr>
            <w:tcW w:w="1560" w:type="dxa"/>
            <w:tcBorders>
              <w:top w:val="nil"/>
              <w:left w:val="single" w:sz="4" w:space="0" w:color="auto"/>
              <w:right w:val="single" w:sz="4" w:space="0" w:color="auto"/>
            </w:tcBorders>
            <w:shd w:val="clear" w:color="auto" w:fill="auto"/>
            <w:noWrap/>
            <w:vAlign w:val="bottom"/>
            <w:hideMark/>
          </w:tcPr>
          <w:p w14:paraId="529EBE88" w14:textId="77777777" w:rsidR="00862C6F" w:rsidRPr="00236418" w:rsidRDefault="00862C6F" w:rsidP="00862C6F">
            <w:pPr>
              <w:spacing w:before="0"/>
              <w:rPr>
                <w:rFonts w:ascii="Times New Roman" w:hAnsi="Times New Roman"/>
                <w:sz w:val="18"/>
                <w:szCs w:val="18"/>
              </w:rPr>
            </w:pPr>
          </w:p>
        </w:tc>
      </w:tr>
      <w:tr w:rsidR="00862C6F" w:rsidRPr="00236418" w14:paraId="5FEE467D" w14:textId="77777777" w:rsidTr="00620F53">
        <w:trPr>
          <w:trHeight w:val="259"/>
          <w:jc w:val="center"/>
        </w:trPr>
        <w:tc>
          <w:tcPr>
            <w:tcW w:w="3256" w:type="dxa"/>
            <w:tcBorders>
              <w:top w:val="nil"/>
              <w:left w:val="single" w:sz="4" w:space="0" w:color="auto"/>
              <w:right w:val="single" w:sz="4" w:space="0" w:color="auto"/>
            </w:tcBorders>
            <w:shd w:val="clear" w:color="auto" w:fill="auto"/>
            <w:vAlign w:val="bottom"/>
          </w:tcPr>
          <w:p w14:paraId="38359B2A" w14:textId="77777777" w:rsidR="00862C6F" w:rsidRPr="00236418" w:rsidRDefault="00862C6F" w:rsidP="00862C6F">
            <w:pPr>
              <w:spacing w:before="0"/>
              <w:rPr>
                <w:sz w:val="20"/>
              </w:rPr>
            </w:pPr>
            <w:proofErr w:type="spellStart"/>
            <w:r w:rsidRPr="00236418">
              <w:rPr>
                <w:sz w:val="20"/>
              </w:rPr>
              <w:t>Systel</w:t>
            </w:r>
            <w:proofErr w:type="spellEnd"/>
            <w:r w:rsidRPr="00236418">
              <w:rPr>
                <w:sz w:val="20"/>
              </w:rPr>
              <w:t>, Égypte</w:t>
            </w:r>
          </w:p>
        </w:tc>
        <w:tc>
          <w:tcPr>
            <w:tcW w:w="1701" w:type="dxa"/>
            <w:tcBorders>
              <w:top w:val="nil"/>
              <w:left w:val="single" w:sz="4" w:space="0" w:color="auto"/>
              <w:right w:val="single" w:sz="4" w:space="0" w:color="auto"/>
            </w:tcBorders>
            <w:shd w:val="clear" w:color="auto" w:fill="auto"/>
            <w:noWrap/>
            <w:vAlign w:val="bottom"/>
          </w:tcPr>
          <w:p w14:paraId="7B8E5A9E" w14:textId="77777777" w:rsidR="00862C6F" w:rsidRPr="00236418" w:rsidRDefault="00862C6F" w:rsidP="00862C6F">
            <w:pPr>
              <w:spacing w:before="0"/>
              <w:rPr>
                <w:sz w:val="20"/>
              </w:rPr>
            </w:pPr>
            <w:proofErr w:type="spellStart"/>
            <w:r w:rsidRPr="00236418">
              <w:rPr>
                <w:sz w:val="20"/>
              </w:rPr>
              <w:t>Rés</w:t>
            </w:r>
            <w:proofErr w:type="spellEnd"/>
            <w:r w:rsidRPr="00236418">
              <w:rPr>
                <w:sz w:val="20"/>
              </w:rPr>
              <w:t>. 41 – 2016</w:t>
            </w:r>
          </w:p>
        </w:tc>
        <w:tc>
          <w:tcPr>
            <w:tcW w:w="1495" w:type="dxa"/>
            <w:tcBorders>
              <w:bottom w:val="single" w:sz="4" w:space="0" w:color="auto"/>
            </w:tcBorders>
            <w:noWrap/>
            <w:vAlign w:val="bottom"/>
          </w:tcPr>
          <w:p w14:paraId="1F3760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47 918,25</w:t>
            </w:r>
          </w:p>
        </w:tc>
        <w:tc>
          <w:tcPr>
            <w:tcW w:w="1637" w:type="dxa"/>
            <w:tcBorders>
              <w:top w:val="nil"/>
              <w:left w:val="single" w:sz="4" w:space="0" w:color="auto"/>
              <w:bottom w:val="single" w:sz="4" w:space="0" w:color="auto"/>
              <w:right w:val="single" w:sz="4" w:space="0" w:color="auto"/>
            </w:tcBorders>
            <w:noWrap/>
            <w:vAlign w:val="bottom"/>
          </w:tcPr>
          <w:p w14:paraId="2A8686D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36 204,20</w:t>
            </w:r>
          </w:p>
        </w:tc>
        <w:tc>
          <w:tcPr>
            <w:tcW w:w="1476" w:type="dxa"/>
            <w:tcBorders>
              <w:bottom w:val="single" w:sz="4" w:space="0" w:color="auto"/>
            </w:tcBorders>
            <w:noWrap/>
            <w:vAlign w:val="bottom"/>
          </w:tcPr>
          <w:p w14:paraId="05EF42E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06" w:type="dxa"/>
            <w:tcBorders>
              <w:top w:val="nil"/>
              <w:left w:val="single" w:sz="4" w:space="0" w:color="auto"/>
              <w:bottom w:val="single" w:sz="4" w:space="0" w:color="auto"/>
              <w:right w:val="single" w:sz="4" w:space="0" w:color="auto"/>
            </w:tcBorders>
            <w:noWrap/>
            <w:vAlign w:val="bottom"/>
          </w:tcPr>
          <w:p w14:paraId="46E5F06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–36 204,20</w:t>
            </w:r>
          </w:p>
        </w:tc>
        <w:tc>
          <w:tcPr>
            <w:tcW w:w="1417" w:type="dxa"/>
            <w:tcBorders>
              <w:bottom w:val="single" w:sz="4" w:space="0" w:color="auto"/>
            </w:tcBorders>
            <w:noWrap/>
            <w:vAlign w:val="bottom"/>
          </w:tcPr>
          <w:p w14:paraId="7E4590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560" w:type="dxa"/>
            <w:tcBorders>
              <w:top w:val="nil"/>
              <w:left w:val="single" w:sz="4" w:space="0" w:color="auto"/>
              <w:bottom w:val="single" w:sz="4" w:space="0" w:color="auto"/>
              <w:right w:val="single" w:sz="4" w:space="0" w:color="auto"/>
            </w:tcBorders>
            <w:noWrap/>
            <w:vAlign w:val="bottom"/>
          </w:tcPr>
          <w:p w14:paraId="4DC028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r>
      <w:tr w:rsidR="00862C6F" w:rsidRPr="00236418" w14:paraId="10876731" w14:textId="77777777" w:rsidTr="00620F53">
        <w:trPr>
          <w:trHeight w:val="259"/>
          <w:jc w:val="center"/>
        </w:trPr>
        <w:tc>
          <w:tcPr>
            <w:tcW w:w="3256" w:type="dxa"/>
            <w:tcBorders>
              <w:top w:val="single" w:sz="4" w:space="0" w:color="auto"/>
              <w:left w:val="single" w:sz="4" w:space="0" w:color="auto"/>
              <w:bottom w:val="single" w:sz="4" w:space="0" w:color="auto"/>
              <w:right w:val="nil"/>
            </w:tcBorders>
            <w:shd w:val="clear" w:color="auto" w:fill="auto"/>
            <w:noWrap/>
            <w:vAlign w:val="bottom"/>
            <w:hideMark/>
          </w:tcPr>
          <w:p w14:paraId="53130D10" w14:textId="77777777" w:rsidR="00862C6F" w:rsidRPr="00236418" w:rsidRDefault="00862C6F" w:rsidP="00862C6F">
            <w:pPr>
              <w:tabs>
                <w:tab w:val="clear" w:pos="567"/>
                <w:tab w:val="clear" w:pos="1134"/>
                <w:tab w:val="clear" w:pos="1701"/>
                <w:tab w:val="clear" w:pos="2268"/>
                <w:tab w:val="clear" w:pos="2835"/>
              </w:tabs>
              <w:spacing w:before="0" w:after="20"/>
              <w:rPr>
                <w:b/>
                <w:color w:val="000000"/>
                <w:sz w:val="20"/>
              </w:rPr>
            </w:pPr>
            <w:r w:rsidRPr="00236418">
              <w:rPr>
                <w:b/>
                <w:color w:val="000000"/>
                <w:sz w:val="20"/>
              </w:rPr>
              <w:t>Total au 31 décembre 2019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E90EFC" w14:textId="77777777" w:rsidR="00862C6F" w:rsidRPr="00236418" w:rsidRDefault="00862C6F" w:rsidP="00862C6F">
            <w:pPr>
              <w:spacing w:before="0"/>
              <w:rPr>
                <w:b/>
                <w:bCs/>
                <w:color w:val="000000"/>
                <w:sz w:val="20"/>
              </w:rPr>
            </w:pPr>
          </w:p>
        </w:tc>
        <w:tc>
          <w:tcPr>
            <w:tcW w:w="1495" w:type="dxa"/>
            <w:tcBorders>
              <w:top w:val="single" w:sz="4" w:space="0" w:color="auto"/>
              <w:left w:val="nil"/>
              <w:bottom w:val="single" w:sz="4" w:space="0" w:color="auto"/>
              <w:right w:val="nil"/>
            </w:tcBorders>
            <w:noWrap/>
            <w:vAlign w:val="bottom"/>
          </w:tcPr>
          <w:p w14:paraId="33F089C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236418">
              <w:rPr>
                <w:rFonts w:cs="Calibri"/>
                <w:b/>
                <w:bCs/>
                <w:sz w:val="20"/>
                <w:lang w:eastAsia="en-GB"/>
              </w:rPr>
              <w:t>19 439 683,32</w:t>
            </w:r>
          </w:p>
        </w:tc>
        <w:tc>
          <w:tcPr>
            <w:tcW w:w="1637" w:type="dxa"/>
            <w:tcBorders>
              <w:top w:val="single" w:sz="4" w:space="0" w:color="auto"/>
              <w:left w:val="single" w:sz="4" w:space="0" w:color="auto"/>
              <w:bottom w:val="single" w:sz="4" w:space="0" w:color="auto"/>
              <w:right w:val="single" w:sz="4" w:space="0" w:color="auto"/>
            </w:tcBorders>
            <w:noWrap/>
            <w:vAlign w:val="bottom"/>
          </w:tcPr>
          <w:p w14:paraId="2DE3566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17 229 132,86</w:t>
            </w:r>
          </w:p>
        </w:tc>
        <w:tc>
          <w:tcPr>
            <w:tcW w:w="1476" w:type="dxa"/>
            <w:tcBorders>
              <w:top w:val="single" w:sz="4" w:space="0" w:color="auto"/>
              <w:left w:val="nil"/>
              <w:bottom w:val="single" w:sz="4" w:space="0" w:color="auto"/>
              <w:right w:val="nil"/>
            </w:tcBorders>
            <w:noWrap/>
            <w:vAlign w:val="bottom"/>
          </w:tcPr>
          <w:p w14:paraId="0576EB4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–12 274 242,96</w:t>
            </w:r>
          </w:p>
        </w:tc>
        <w:tc>
          <w:tcPr>
            <w:tcW w:w="1506" w:type="dxa"/>
            <w:tcBorders>
              <w:top w:val="single" w:sz="4" w:space="0" w:color="auto"/>
              <w:left w:val="single" w:sz="4" w:space="0" w:color="auto"/>
              <w:bottom w:val="single" w:sz="4" w:space="0" w:color="auto"/>
              <w:right w:val="single" w:sz="4" w:space="0" w:color="auto"/>
            </w:tcBorders>
            <w:noWrap/>
            <w:vAlign w:val="bottom"/>
          </w:tcPr>
          <w:p w14:paraId="3E2D34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–136 937,64</w:t>
            </w:r>
          </w:p>
        </w:tc>
        <w:tc>
          <w:tcPr>
            <w:tcW w:w="1417" w:type="dxa"/>
            <w:tcBorders>
              <w:top w:val="single" w:sz="4" w:space="0" w:color="auto"/>
              <w:left w:val="nil"/>
              <w:bottom w:val="single" w:sz="4" w:space="0" w:color="auto"/>
              <w:right w:val="nil"/>
            </w:tcBorders>
            <w:noWrap/>
            <w:vAlign w:val="bottom"/>
          </w:tcPr>
          <w:p w14:paraId="6730AD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–267 751,62</w:t>
            </w:r>
          </w:p>
        </w:tc>
        <w:tc>
          <w:tcPr>
            <w:tcW w:w="1560" w:type="dxa"/>
            <w:tcBorders>
              <w:top w:val="single" w:sz="4" w:space="0" w:color="auto"/>
              <w:left w:val="single" w:sz="4" w:space="0" w:color="auto"/>
              <w:bottom w:val="single" w:sz="4" w:space="0" w:color="auto"/>
              <w:right w:val="single" w:sz="4" w:space="0" w:color="auto"/>
            </w:tcBorders>
            <w:noWrap/>
            <w:vAlign w:val="bottom"/>
          </w:tcPr>
          <w:p w14:paraId="5185AE9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4 550 200,64</w:t>
            </w:r>
          </w:p>
        </w:tc>
      </w:tr>
    </w:tbl>
    <w:p w14:paraId="358E8D3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8"/>
        </w:rPr>
      </w:pPr>
      <w:bookmarkStart w:id="2988" w:name="RANGE!A41:P68"/>
      <w:bookmarkEnd w:id="2988"/>
      <w:r w:rsidRPr="00236418">
        <w:rPr>
          <w:sz w:val="28"/>
        </w:rPr>
        <w:br w:type="page"/>
      </w:r>
    </w:p>
    <w:p w14:paraId="38CBEBE4" w14:textId="77777777" w:rsidR="00862C6F" w:rsidRPr="00236418" w:rsidRDefault="00862C6F" w:rsidP="00862C6F">
      <w:pPr>
        <w:spacing w:after="120"/>
        <w:jc w:val="center"/>
        <w:rPr>
          <w:b/>
          <w:sz w:val="28"/>
        </w:rPr>
      </w:pPr>
      <w:r w:rsidRPr="00236418">
        <w:rPr>
          <w:b/>
          <w:sz w:val="28"/>
        </w:rPr>
        <w:lastRenderedPageBreak/>
        <w:t xml:space="preserve">Montants dus concernant les comptes spéciaux d'arriérés supprimés </w:t>
      </w:r>
      <w:r w:rsidRPr="00236418">
        <w:rPr>
          <w:b/>
          <w:sz w:val="28"/>
        </w:rPr>
        <w:br/>
        <w:t>(accords d'amortissement supprimés pour non-paiement)</w:t>
      </w:r>
    </w:p>
    <w:tbl>
      <w:tblPr>
        <w:tblW w:w="13914" w:type="dxa"/>
        <w:tblInd w:w="93" w:type="dxa"/>
        <w:tblLayout w:type="fixed"/>
        <w:tblLook w:val="04A0" w:firstRow="1" w:lastRow="0" w:firstColumn="1" w:lastColumn="0" w:noHBand="0" w:noVBand="1"/>
        <w:tblCaption w:val="MONTANTS DUS CONCERNANT LES COMPTES SPÉCIAUX D'ARRIÉRÉS SUPPRIMÉS (ACCORDS D'AMORTISSEMENT SUPPRIMÉS POUR NON-PAIEMENT)"/>
      </w:tblPr>
      <w:tblGrid>
        <w:gridCol w:w="3163"/>
        <w:gridCol w:w="1701"/>
        <w:gridCol w:w="1594"/>
        <w:gridCol w:w="1613"/>
        <w:gridCol w:w="1612"/>
        <w:gridCol w:w="1324"/>
        <w:gridCol w:w="1395"/>
        <w:gridCol w:w="1512"/>
      </w:tblGrid>
      <w:tr w:rsidR="00862C6F" w:rsidRPr="00236418" w14:paraId="3781D31D" w14:textId="77777777" w:rsidTr="00620F53">
        <w:trPr>
          <w:trHeight w:val="255"/>
        </w:trPr>
        <w:tc>
          <w:tcPr>
            <w:tcW w:w="3163" w:type="dxa"/>
            <w:tcBorders>
              <w:top w:val="single" w:sz="4" w:space="0" w:color="auto"/>
              <w:left w:val="single" w:sz="4" w:space="0" w:color="auto"/>
              <w:bottom w:val="single" w:sz="4" w:space="0" w:color="auto"/>
              <w:right w:val="single" w:sz="4" w:space="0" w:color="auto"/>
            </w:tcBorders>
            <w:shd w:val="clear" w:color="auto" w:fill="auto"/>
            <w:noWrap/>
            <w:hideMark/>
          </w:tcPr>
          <w:p w14:paraId="0225682B"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color w:val="000000"/>
                <w:sz w:val="20"/>
              </w:rPr>
            </w:pPr>
            <w:r w:rsidRPr="00236418">
              <w:rPr>
                <w:rFonts w:cs="Calibri"/>
                <w:b/>
                <w:color w:val="000000"/>
                <w:sz w:val="20"/>
              </w:rPr>
              <w:t>États Membres –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019E108"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color w:val="000000"/>
                <w:sz w:val="20"/>
              </w:rPr>
            </w:pPr>
            <w:r w:rsidRPr="00236418">
              <w:rPr>
                <w:rFonts w:cs="Calibri"/>
                <w:b/>
                <w:color w:val="000000"/>
                <w:sz w:val="20"/>
              </w:rPr>
              <w:t xml:space="preserve">Résolutions </w:t>
            </w:r>
            <w:r w:rsidRPr="00236418">
              <w:rPr>
                <w:rFonts w:cs="Calibri"/>
                <w:b/>
                <w:color w:val="000000"/>
                <w:sz w:val="20"/>
              </w:rPr>
              <w:br/>
              <w:t>de la PP</w:t>
            </w:r>
          </w:p>
        </w:tc>
        <w:tc>
          <w:tcPr>
            <w:tcW w:w="1594" w:type="dxa"/>
            <w:tcBorders>
              <w:top w:val="single" w:sz="4" w:space="0" w:color="auto"/>
              <w:left w:val="single" w:sz="4" w:space="0" w:color="auto"/>
              <w:bottom w:val="single" w:sz="4" w:space="0" w:color="auto"/>
              <w:right w:val="single" w:sz="4" w:space="0" w:color="auto"/>
            </w:tcBorders>
            <w:shd w:val="clear" w:color="auto" w:fill="auto"/>
            <w:noWrap/>
            <w:hideMark/>
          </w:tcPr>
          <w:p w14:paraId="2BDADE94"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sz w:val="20"/>
              </w:rPr>
            </w:pPr>
            <w:r w:rsidRPr="00236418">
              <w:rPr>
                <w:rFonts w:cs="Calibri"/>
                <w:b/>
                <w:sz w:val="20"/>
              </w:rPr>
              <w:t>Transfert dans des comptes d'arriérés spéciaux supprimés</w:t>
            </w:r>
          </w:p>
        </w:tc>
        <w:tc>
          <w:tcPr>
            <w:tcW w:w="1613" w:type="dxa"/>
            <w:tcBorders>
              <w:top w:val="single" w:sz="4" w:space="0" w:color="auto"/>
              <w:left w:val="single" w:sz="4" w:space="0" w:color="auto"/>
              <w:bottom w:val="single" w:sz="4" w:space="0" w:color="auto"/>
              <w:right w:val="single" w:sz="4" w:space="0" w:color="auto"/>
            </w:tcBorders>
            <w:shd w:val="clear" w:color="auto" w:fill="auto"/>
            <w:noWrap/>
            <w:hideMark/>
          </w:tcPr>
          <w:p w14:paraId="0699A91D"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color w:val="000000"/>
                <w:sz w:val="20"/>
              </w:rPr>
            </w:pPr>
            <w:r w:rsidRPr="00236418">
              <w:rPr>
                <w:rFonts w:cs="Calibri"/>
                <w:b/>
                <w:color w:val="000000"/>
                <w:sz w:val="20"/>
              </w:rPr>
              <w:t>Solde au</w:t>
            </w:r>
            <w:r w:rsidRPr="00236418">
              <w:rPr>
                <w:rFonts w:cs="Calibri"/>
                <w:b/>
                <w:color w:val="000000"/>
                <w:sz w:val="20"/>
              </w:rPr>
              <w:br/>
              <w:t>31.12.2018</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4FF96CBD"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sz w:val="20"/>
              </w:rPr>
            </w:pPr>
            <w:r w:rsidRPr="00236418">
              <w:rPr>
                <w:rFonts w:cs="Calibri"/>
                <w:b/>
                <w:sz w:val="20"/>
              </w:rPr>
              <w:t>Mouvements</w:t>
            </w:r>
            <w:r w:rsidRPr="00236418">
              <w:rPr>
                <w:rFonts w:cs="Calibri"/>
                <w:b/>
                <w:sz w:val="20"/>
              </w:rPr>
              <w:br/>
              <w:t>2019</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2ECD7922"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sz w:val="20"/>
              </w:rPr>
            </w:pPr>
            <w:r w:rsidRPr="00236418">
              <w:rPr>
                <w:rFonts w:cs="Calibri"/>
                <w:b/>
                <w:sz w:val="20"/>
              </w:rPr>
              <w:t>Intérêts</w:t>
            </w:r>
            <w:r w:rsidRPr="00236418">
              <w:rPr>
                <w:rFonts w:cs="Calibri"/>
                <w:b/>
                <w:sz w:val="20"/>
              </w:rPr>
              <w:br/>
              <w:t>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hideMark/>
          </w:tcPr>
          <w:p w14:paraId="1BACEB77"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sz w:val="20"/>
              </w:rPr>
            </w:pPr>
            <w:r w:rsidRPr="00236418">
              <w:rPr>
                <w:rFonts w:cs="Calibri"/>
                <w:b/>
                <w:sz w:val="20"/>
              </w:rPr>
              <w:t>Paiements</w:t>
            </w:r>
            <w:r w:rsidRPr="00236418">
              <w:rPr>
                <w:rFonts w:cs="Calibri"/>
                <w:b/>
                <w:sz w:val="20"/>
              </w:rPr>
              <w:br/>
              <w:t>2019</w:t>
            </w:r>
          </w:p>
        </w:tc>
        <w:tc>
          <w:tcPr>
            <w:tcW w:w="1512" w:type="dxa"/>
            <w:tcBorders>
              <w:top w:val="single" w:sz="4" w:space="0" w:color="auto"/>
              <w:left w:val="single" w:sz="4" w:space="0" w:color="auto"/>
              <w:bottom w:val="single" w:sz="4" w:space="0" w:color="auto"/>
              <w:right w:val="single" w:sz="4" w:space="0" w:color="auto"/>
            </w:tcBorders>
            <w:shd w:val="clear" w:color="auto" w:fill="auto"/>
            <w:noWrap/>
            <w:hideMark/>
          </w:tcPr>
          <w:p w14:paraId="53D1ED1A" w14:textId="77777777" w:rsidR="00862C6F" w:rsidRPr="00236418" w:rsidRDefault="00862C6F" w:rsidP="00862C6F">
            <w:pPr>
              <w:tabs>
                <w:tab w:val="clear" w:pos="567"/>
                <w:tab w:val="clear" w:pos="1134"/>
                <w:tab w:val="clear" w:pos="1701"/>
                <w:tab w:val="clear" w:pos="2268"/>
                <w:tab w:val="clear" w:pos="2835"/>
              </w:tabs>
              <w:spacing w:before="0"/>
              <w:jc w:val="center"/>
              <w:rPr>
                <w:rFonts w:cs="Calibri"/>
                <w:b/>
                <w:sz w:val="20"/>
              </w:rPr>
            </w:pPr>
            <w:r w:rsidRPr="00236418">
              <w:rPr>
                <w:rFonts w:cs="Calibri"/>
                <w:b/>
                <w:sz w:val="20"/>
              </w:rPr>
              <w:t>Solde au</w:t>
            </w:r>
            <w:r w:rsidRPr="00236418">
              <w:rPr>
                <w:rFonts w:cs="Calibri"/>
                <w:b/>
                <w:sz w:val="20"/>
              </w:rPr>
              <w:br/>
            </w:r>
            <w:r w:rsidRPr="00236418">
              <w:rPr>
                <w:rFonts w:cs="Calibri"/>
                <w:b/>
                <w:color w:val="000000"/>
                <w:sz w:val="20"/>
              </w:rPr>
              <w:t>31.12.2019</w:t>
            </w:r>
          </w:p>
        </w:tc>
      </w:tr>
      <w:tr w:rsidR="00862C6F" w:rsidRPr="00236418" w14:paraId="7CE17BB7" w14:textId="77777777" w:rsidTr="00620F53">
        <w:trPr>
          <w:trHeight w:val="255"/>
        </w:trPr>
        <w:tc>
          <w:tcPr>
            <w:tcW w:w="3163" w:type="dxa"/>
            <w:tcBorders>
              <w:top w:val="single" w:sz="4" w:space="0" w:color="auto"/>
              <w:left w:val="single" w:sz="4" w:space="0" w:color="auto"/>
              <w:bottom w:val="nil"/>
              <w:right w:val="single" w:sz="4" w:space="0" w:color="auto"/>
            </w:tcBorders>
            <w:shd w:val="clear" w:color="auto" w:fill="auto"/>
            <w:noWrap/>
            <w:vAlign w:val="bottom"/>
          </w:tcPr>
          <w:p w14:paraId="0A8CE31E"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rPr>
            </w:pPr>
          </w:p>
        </w:tc>
        <w:tc>
          <w:tcPr>
            <w:tcW w:w="1701" w:type="dxa"/>
            <w:tcBorders>
              <w:top w:val="single" w:sz="4" w:space="0" w:color="auto"/>
              <w:left w:val="single" w:sz="4" w:space="0" w:color="auto"/>
              <w:bottom w:val="nil"/>
              <w:right w:val="single" w:sz="4" w:space="0" w:color="auto"/>
            </w:tcBorders>
            <w:shd w:val="clear" w:color="auto" w:fill="auto"/>
            <w:noWrap/>
            <w:vAlign w:val="bottom"/>
          </w:tcPr>
          <w:p w14:paraId="59F1B8BC" w14:textId="77777777" w:rsidR="00862C6F" w:rsidRPr="00236418" w:rsidRDefault="00862C6F" w:rsidP="00862C6F">
            <w:pPr>
              <w:tabs>
                <w:tab w:val="clear" w:pos="567"/>
                <w:tab w:val="clear" w:pos="1134"/>
                <w:tab w:val="clear" w:pos="1701"/>
                <w:tab w:val="clear" w:pos="2268"/>
                <w:tab w:val="clear" w:pos="2835"/>
              </w:tabs>
              <w:spacing w:before="20" w:after="20"/>
              <w:rPr>
                <w:sz w:val="20"/>
              </w:rPr>
            </w:pPr>
          </w:p>
        </w:tc>
        <w:tc>
          <w:tcPr>
            <w:tcW w:w="1594" w:type="dxa"/>
            <w:tcBorders>
              <w:top w:val="single" w:sz="4" w:space="0" w:color="auto"/>
              <w:left w:val="single" w:sz="4" w:space="0" w:color="auto"/>
              <w:bottom w:val="nil"/>
              <w:right w:val="single" w:sz="4" w:space="0" w:color="auto"/>
            </w:tcBorders>
            <w:shd w:val="clear" w:color="auto" w:fill="auto"/>
            <w:noWrap/>
            <w:vAlign w:val="bottom"/>
          </w:tcPr>
          <w:p w14:paraId="2948DF09"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613" w:type="dxa"/>
            <w:tcBorders>
              <w:top w:val="single" w:sz="4" w:space="0" w:color="auto"/>
              <w:left w:val="single" w:sz="4" w:space="0" w:color="auto"/>
              <w:bottom w:val="nil"/>
              <w:right w:val="single" w:sz="4" w:space="0" w:color="auto"/>
            </w:tcBorders>
            <w:shd w:val="clear" w:color="auto" w:fill="auto"/>
            <w:noWrap/>
            <w:vAlign w:val="bottom"/>
          </w:tcPr>
          <w:p w14:paraId="6BA134D5"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612" w:type="dxa"/>
            <w:tcBorders>
              <w:top w:val="single" w:sz="4" w:space="0" w:color="auto"/>
              <w:left w:val="single" w:sz="4" w:space="0" w:color="auto"/>
              <w:bottom w:val="nil"/>
              <w:right w:val="single" w:sz="4" w:space="0" w:color="auto"/>
            </w:tcBorders>
            <w:shd w:val="clear" w:color="auto" w:fill="auto"/>
            <w:noWrap/>
            <w:vAlign w:val="bottom"/>
          </w:tcPr>
          <w:p w14:paraId="2274C40B"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324" w:type="dxa"/>
            <w:tcBorders>
              <w:top w:val="single" w:sz="4" w:space="0" w:color="auto"/>
              <w:left w:val="single" w:sz="4" w:space="0" w:color="auto"/>
              <w:bottom w:val="nil"/>
              <w:right w:val="single" w:sz="4" w:space="0" w:color="auto"/>
            </w:tcBorders>
            <w:shd w:val="clear" w:color="auto" w:fill="auto"/>
            <w:noWrap/>
            <w:vAlign w:val="bottom"/>
          </w:tcPr>
          <w:p w14:paraId="7491ACCA"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395" w:type="dxa"/>
            <w:tcBorders>
              <w:top w:val="single" w:sz="4" w:space="0" w:color="auto"/>
              <w:left w:val="single" w:sz="4" w:space="0" w:color="auto"/>
              <w:bottom w:val="nil"/>
              <w:right w:val="single" w:sz="4" w:space="0" w:color="auto"/>
            </w:tcBorders>
            <w:shd w:val="clear" w:color="auto" w:fill="auto"/>
            <w:noWrap/>
            <w:vAlign w:val="bottom"/>
          </w:tcPr>
          <w:p w14:paraId="139EB693"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512" w:type="dxa"/>
            <w:tcBorders>
              <w:top w:val="single" w:sz="4" w:space="0" w:color="auto"/>
              <w:left w:val="single" w:sz="4" w:space="0" w:color="auto"/>
              <w:bottom w:val="nil"/>
              <w:right w:val="single" w:sz="4" w:space="0" w:color="auto"/>
            </w:tcBorders>
            <w:shd w:val="clear" w:color="auto" w:fill="auto"/>
            <w:noWrap/>
            <w:vAlign w:val="bottom"/>
          </w:tcPr>
          <w:p w14:paraId="4ACEDC2D"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r>
      <w:tr w:rsidR="00862C6F" w:rsidRPr="00236418" w14:paraId="0633DBAD"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715425B8" w14:textId="77777777" w:rsidR="00862C6F" w:rsidRPr="00236418" w:rsidRDefault="00862C6F" w:rsidP="00862C6F">
            <w:pPr>
              <w:tabs>
                <w:tab w:val="clear" w:pos="567"/>
                <w:tab w:val="clear" w:pos="1134"/>
                <w:tab w:val="clear" w:pos="1701"/>
                <w:tab w:val="clear" w:pos="2268"/>
                <w:tab w:val="clear" w:pos="2835"/>
              </w:tabs>
              <w:spacing w:before="20" w:after="20"/>
              <w:rPr>
                <w:b/>
                <w:sz w:val="20"/>
              </w:rPr>
            </w:pPr>
            <w:r w:rsidRPr="00236418">
              <w:rPr>
                <w:b/>
                <w:sz w:val="20"/>
              </w:rPr>
              <w:t>États Membres</w:t>
            </w:r>
          </w:p>
        </w:tc>
        <w:tc>
          <w:tcPr>
            <w:tcW w:w="1701" w:type="dxa"/>
            <w:tcBorders>
              <w:top w:val="nil"/>
              <w:left w:val="single" w:sz="4" w:space="0" w:color="auto"/>
              <w:bottom w:val="nil"/>
              <w:right w:val="single" w:sz="4" w:space="0" w:color="auto"/>
            </w:tcBorders>
            <w:shd w:val="clear" w:color="auto" w:fill="auto"/>
            <w:noWrap/>
            <w:vAlign w:val="bottom"/>
            <w:hideMark/>
          </w:tcPr>
          <w:p w14:paraId="443808FE" w14:textId="77777777" w:rsidR="00862C6F" w:rsidRPr="00236418" w:rsidRDefault="00862C6F" w:rsidP="00862C6F">
            <w:pPr>
              <w:tabs>
                <w:tab w:val="clear" w:pos="567"/>
                <w:tab w:val="clear" w:pos="1134"/>
                <w:tab w:val="clear" w:pos="1701"/>
                <w:tab w:val="clear" w:pos="2268"/>
                <w:tab w:val="clear" w:pos="2835"/>
              </w:tabs>
              <w:spacing w:before="20" w:after="20"/>
              <w:rPr>
                <w:sz w:val="20"/>
              </w:rPr>
            </w:pPr>
          </w:p>
        </w:tc>
        <w:tc>
          <w:tcPr>
            <w:tcW w:w="1594" w:type="dxa"/>
            <w:tcBorders>
              <w:top w:val="nil"/>
              <w:left w:val="single" w:sz="4" w:space="0" w:color="auto"/>
              <w:bottom w:val="nil"/>
              <w:right w:val="single" w:sz="4" w:space="0" w:color="auto"/>
            </w:tcBorders>
            <w:shd w:val="clear" w:color="auto" w:fill="auto"/>
            <w:noWrap/>
            <w:vAlign w:val="bottom"/>
            <w:hideMark/>
          </w:tcPr>
          <w:p w14:paraId="34BDC992"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613" w:type="dxa"/>
            <w:tcBorders>
              <w:top w:val="nil"/>
              <w:left w:val="single" w:sz="4" w:space="0" w:color="auto"/>
              <w:bottom w:val="nil"/>
              <w:right w:val="single" w:sz="4" w:space="0" w:color="auto"/>
            </w:tcBorders>
            <w:shd w:val="clear" w:color="auto" w:fill="auto"/>
            <w:noWrap/>
            <w:vAlign w:val="bottom"/>
            <w:hideMark/>
          </w:tcPr>
          <w:p w14:paraId="6FEAC2F3"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612" w:type="dxa"/>
            <w:tcBorders>
              <w:top w:val="nil"/>
              <w:left w:val="single" w:sz="4" w:space="0" w:color="auto"/>
              <w:bottom w:val="nil"/>
              <w:right w:val="single" w:sz="4" w:space="0" w:color="auto"/>
            </w:tcBorders>
            <w:shd w:val="clear" w:color="auto" w:fill="auto"/>
            <w:noWrap/>
            <w:vAlign w:val="bottom"/>
            <w:hideMark/>
          </w:tcPr>
          <w:p w14:paraId="1C45C71C"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324" w:type="dxa"/>
            <w:tcBorders>
              <w:top w:val="nil"/>
              <w:left w:val="single" w:sz="4" w:space="0" w:color="auto"/>
              <w:bottom w:val="nil"/>
              <w:right w:val="single" w:sz="4" w:space="0" w:color="auto"/>
            </w:tcBorders>
            <w:shd w:val="clear" w:color="auto" w:fill="auto"/>
            <w:noWrap/>
            <w:vAlign w:val="bottom"/>
            <w:hideMark/>
          </w:tcPr>
          <w:p w14:paraId="3BF44720"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395" w:type="dxa"/>
            <w:tcBorders>
              <w:top w:val="nil"/>
              <w:left w:val="single" w:sz="4" w:space="0" w:color="auto"/>
              <w:bottom w:val="nil"/>
              <w:right w:val="single" w:sz="4" w:space="0" w:color="auto"/>
            </w:tcBorders>
            <w:shd w:val="clear" w:color="auto" w:fill="auto"/>
            <w:noWrap/>
            <w:vAlign w:val="bottom"/>
            <w:hideMark/>
          </w:tcPr>
          <w:p w14:paraId="25597B2E"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512" w:type="dxa"/>
            <w:tcBorders>
              <w:top w:val="nil"/>
              <w:left w:val="single" w:sz="4" w:space="0" w:color="auto"/>
              <w:bottom w:val="nil"/>
              <w:right w:val="single" w:sz="4" w:space="0" w:color="auto"/>
            </w:tcBorders>
            <w:shd w:val="clear" w:color="auto" w:fill="auto"/>
            <w:noWrap/>
            <w:vAlign w:val="bottom"/>
            <w:hideMark/>
          </w:tcPr>
          <w:p w14:paraId="74D76468"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r>
      <w:tr w:rsidR="00862C6F" w:rsidRPr="00236418" w14:paraId="71880195"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0E7F32EC"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rPr>
            </w:pPr>
          </w:p>
        </w:tc>
        <w:tc>
          <w:tcPr>
            <w:tcW w:w="1701" w:type="dxa"/>
            <w:tcBorders>
              <w:top w:val="nil"/>
              <w:left w:val="single" w:sz="4" w:space="0" w:color="auto"/>
              <w:bottom w:val="nil"/>
              <w:right w:val="single" w:sz="4" w:space="0" w:color="auto"/>
            </w:tcBorders>
            <w:shd w:val="clear" w:color="auto" w:fill="auto"/>
            <w:noWrap/>
            <w:vAlign w:val="bottom"/>
          </w:tcPr>
          <w:p w14:paraId="40D14E9E" w14:textId="77777777" w:rsidR="00862C6F" w:rsidRPr="00236418" w:rsidRDefault="00862C6F" w:rsidP="00862C6F">
            <w:pPr>
              <w:tabs>
                <w:tab w:val="clear" w:pos="567"/>
                <w:tab w:val="clear" w:pos="1134"/>
                <w:tab w:val="clear" w:pos="1701"/>
                <w:tab w:val="clear" w:pos="2268"/>
                <w:tab w:val="clear" w:pos="2835"/>
              </w:tabs>
              <w:spacing w:before="20" w:after="20"/>
              <w:rPr>
                <w:sz w:val="20"/>
              </w:rPr>
            </w:pPr>
          </w:p>
        </w:tc>
        <w:tc>
          <w:tcPr>
            <w:tcW w:w="1594" w:type="dxa"/>
            <w:tcBorders>
              <w:top w:val="nil"/>
              <w:left w:val="single" w:sz="4" w:space="0" w:color="auto"/>
              <w:bottom w:val="nil"/>
              <w:right w:val="single" w:sz="4" w:space="0" w:color="auto"/>
            </w:tcBorders>
            <w:shd w:val="clear" w:color="auto" w:fill="auto"/>
            <w:noWrap/>
            <w:vAlign w:val="bottom"/>
          </w:tcPr>
          <w:p w14:paraId="38C1D6CB"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613" w:type="dxa"/>
            <w:tcBorders>
              <w:top w:val="nil"/>
              <w:left w:val="single" w:sz="4" w:space="0" w:color="auto"/>
              <w:bottom w:val="nil"/>
              <w:right w:val="single" w:sz="4" w:space="0" w:color="auto"/>
            </w:tcBorders>
            <w:shd w:val="clear" w:color="auto" w:fill="auto"/>
            <w:noWrap/>
            <w:vAlign w:val="bottom"/>
          </w:tcPr>
          <w:p w14:paraId="7F5A09F3"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612" w:type="dxa"/>
            <w:tcBorders>
              <w:top w:val="nil"/>
              <w:left w:val="single" w:sz="4" w:space="0" w:color="auto"/>
              <w:bottom w:val="nil"/>
              <w:right w:val="single" w:sz="4" w:space="0" w:color="auto"/>
            </w:tcBorders>
            <w:shd w:val="clear" w:color="auto" w:fill="auto"/>
            <w:noWrap/>
            <w:vAlign w:val="bottom"/>
          </w:tcPr>
          <w:p w14:paraId="3C3CB82C"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324" w:type="dxa"/>
            <w:tcBorders>
              <w:top w:val="nil"/>
              <w:left w:val="single" w:sz="4" w:space="0" w:color="auto"/>
              <w:bottom w:val="nil"/>
              <w:right w:val="single" w:sz="4" w:space="0" w:color="auto"/>
            </w:tcBorders>
            <w:shd w:val="clear" w:color="auto" w:fill="auto"/>
            <w:noWrap/>
            <w:vAlign w:val="bottom"/>
          </w:tcPr>
          <w:p w14:paraId="0072446F"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395" w:type="dxa"/>
            <w:tcBorders>
              <w:top w:val="nil"/>
              <w:left w:val="single" w:sz="4" w:space="0" w:color="auto"/>
              <w:bottom w:val="nil"/>
              <w:right w:val="single" w:sz="4" w:space="0" w:color="auto"/>
            </w:tcBorders>
            <w:shd w:val="clear" w:color="auto" w:fill="auto"/>
            <w:noWrap/>
            <w:vAlign w:val="bottom"/>
          </w:tcPr>
          <w:p w14:paraId="3AB7FEA3"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c>
          <w:tcPr>
            <w:tcW w:w="1512" w:type="dxa"/>
            <w:tcBorders>
              <w:top w:val="nil"/>
              <w:left w:val="single" w:sz="4" w:space="0" w:color="auto"/>
              <w:bottom w:val="nil"/>
              <w:right w:val="single" w:sz="4" w:space="0" w:color="auto"/>
            </w:tcBorders>
            <w:shd w:val="clear" w:color="auto" w:fill="auto"/>
            <w:noWrap/>
            <w:vAlign w:val="bottom"/>
          </w:tcPr>
          <w:p w14:paraId="3FB0826A" w14:textId="77777777" w:rsidR="00862C6F" w:rsidRPr="00236418" w:rsidRDefault="00862C6F" w:rsidP="00862C6F">
            <w:pPr>
              <w:tabs>
                <w:tab w:val="clear" w:pos="567"/>
                <w:tab w:val="clear" w:pos="1134"/>
                <w:tab w:val="clear" w:pos="1701"/>
                <w:tab w:val="clear" w:pos="2268"/>
                <w:tab w:val="clear" w:pos="2835"/>
              </w:tabs>
              <w:spacing w:before="20" w:after="20"/>
              <w:jc w:val="right"/>
              <w:rPr>
                <w:sz w:val="20"/>
              </w:rPr>
            </w:pPr>
          </w:p>
        </w:tc>
      </w:tr>
      <w:tr w:rsidR="00862C6F" w:rsidRPr="00236418" w14:paraId="0785ABA4"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09B1B29C"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bCs/>
                <w:sz w:val="20"/>
              </w:rPr>
              <w:t>Nicaragua</w:t>
            </w:r>
          </w:p>
        </w:tc>
        <w:tc>
          <w:tcPr>
            <w:tcW w:w="1701" w:type="dxa"/>
            <w:tcBorders>
              <w:top w:val="nil"/>
              <w:left w:val="single" w:sz="4" w:space="0" w:color="auto"/>
              <w:bottom w:val="nil"/>
              <w:right w:val="single" w:sz="4" w:space="0" w:color="auto"/>
            </w:tcBorders>
            <w:shd w:val="clear" w:color="auto" w:fill="auto"/>
            <w:noWrap/>
            <w:vAlign w:val="bottom"/>
            <w:hideMark/>
          </w:tcPr>
          <w:p w14:paraId="011DB95B" w14:textId="77777777" w:rsidR="00862C6F" w:rsidRPr="00236418" w:rsidRDefault="00862C6F" w:rsidP="00862C6F">
            <w:pPr>
              <w:rPr>
                <w:sz w:val="20"/>
              </w:rPr>
            </w:pPr>
            <w:proofErr w:type="spellStart"/>
            <w:r w:rsidRPr="00236418">
              <w:rPr>
                <w:sz w:val="20"/>
              </w:rPr>
              <w:t>Rés</w:t>
            </w:r>
            <w:proofErr w:type="spellEnd"/>
            <w:r w:rsidRPr="00236418">
              <w:rPr>
                <w:sz w:val="20"/>
              </w:rPr>
              <w:t>. 41 – 2016</w:t>
            </w:r>
          </w:p>
        </w:tc>
        <w:tc>
          <w:tcPr>
            <w:tcW w:w="1594" w:type="dxa"/>
            <w:noWrap/>
            <w:vAlign w:val="bottom"/>
          </w:tcPr>
          <w:p w14:paraId="6C5C91C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1 462 488,98</w:t>
            </w:r>
          </w:p>
        </w:tc>
        <w:tc>
          <w:tcPr>
            <w:tcW w:w="1613" w:type="dxa"/>
            <w:tcBorders>
              <w:top w:val="nil"/>
              <w:left w:val="single" w:sz="4" w:space="0" w:color="auto"/>
              <w:bottom w:val="nil"/>
              <w:right w:val="single" w:sz="4" w:space="0" w:color="auto"/>
            </w:tcBorders>
            <w:noWrap/>
            <w:vAlign w:val="bottom"/>
          </w:tcPr>
          <w:p w14:paraId="36506DB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1 741 573,93</w:t>
            </w:r>
          </w:p>
        </w:tc>
        <w:tc>
          <w:tcPr>
            <w:tcW w:w="1612" w:type="dxa"/>
            <w:noWrap/>
            <w:vAlign w:val="bottom"/>
          </w:tcPr>
          <w:p w14:paraId="468DA0F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42658A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104 494,45</w:t>
            </w:r>
          </w:p>
        </w:tc>
        <w:tc>
          <w:tcPr>
            <w:tcW w:w="1395" w:type="dxa"/>
            <w:tcBorders>
              <w:top w:val="nil"/>
              <w:left w:val="nil"/>
              <w:bottom w:val="nil"/>
              <w:right w:val="single" w:sz="4" w:space="0" w:color="auto"/>
            </w:tcBorders>
            <w:noWrap/>
            <w:vAlign w:val="bottom"/>
          </w:tcPr>
          <w:p w14:paraId="4C6E493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3DFBFF8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1 846 068,38</w:t>
            </w:r>
          </w:p>
        </w:tc>
      </w:tr>
      <w:tr w:rsidR="00862C6F" w:rsidRPr="00236418" w14:paraId="048AD823"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2E1679C3"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bCs/>
                <w:sz w:val="20"/>
              </w:rPr>
              <w:t>Guinée équatoriale</w:t>
            </w:r>
          </w:p>
        </w:tc>
        <w:tc>
          <w:tcPr>
            <w:tcW w:w="1701" w:type="dxa"/>
            <w:tcBorders>
              <w:top w:val="nil"/>
              <w:left w:val="single" w:sz="4" w:space="0" w:color="auto"/>
              <w:bottom w:val="nil"/>
              <w:right w:val="single" w:sz="4" w:space="0" w:color="auto"/>
            </w:tcBorders>
            <w:shd w:val="clear" w:color="auto" w:fill="auto"/>
            <w:noWrap/>
            <w:vAlign w:val="bottom"/>
          </w:tcPr>
          <w:p w14:paraId="2F49F6BF" w14:textId="77777777" w:rsidR="00862C6F" w:rsidRPr="00236418" w:rsidRDefault="00862C6F" w:rsidP="00862C6F">
            <w:pPr>
              <w:rPr>
                <w:sz w:val="20"/>
              </w:rPr>
            </w:pPr>
            <w:proofErr w:type="spellStart"/>
            <w:r w:rsidRPr="00236418">
              <w:rPr>
                <w:sz w:val="20"/>
              </w:rPr>
              <w:t>Rés</w:t>
            </w:r>
            <w:proofErr w:type="spellEnd"/>
            <w:r w:rsidRPr="00236418">
              <w:rPr>
                <w:sz w:val="20"/>
              </w:rPr>
              <w:t>. 41 – 2018</w:t>
            </w:r>
          </w:p>
        </w:tc>
        <w:tc>
          <w:tcPr>
            <w:tcW w:w="1594" w:type="dxa"/>
            <w:noWrap/>
            <w:vAlign w:val="bottom"/>
          </w:tcPr>
          <w:p w14:paraId="438BCD1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118 043,75</w:t>
            </w:r>
          </w:p>
        </w:tc>
        <w:tc>
          <w:tcPr>
            <w:tcW w:w="1613" w:type="dxa"/>
            <w:tcBorders>
              <w:top w:val="nil"/>
              <w:left w:val="single" w:sz="4" w:space="0" w:color="auto"/>
              <w:bottom w:val="nil"/>
              <w:right w:val="single" w:sz="4" w:space="0" w:color="auto"/>
            </w:tcBorders>
            <w:noWrap/>
            <w:vAlign w:val="bottom"/>
          </w:tcPr>
          <w:p w14:paraId="65488F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118 043,75</w:t>
            </w:r>
          </w:p>
        </w:tc>
        <w:tc>
          <w:tcPr>
            <w:tcW w:w="1612" w:type="dxa"/>
            <w:noWrap/>
            <w:vAlign w:val="bottom"/>
          </w:tcPr>
          <w:p w14:paraId="2BAA84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479D745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7 082,65</w:t>
            </w:r>
          </w:p>
        </w:tc>
        <w:tc>
          <w:tcPr>
            <w:tcW w:w="1395" w:type="dxa"/>
            <w:tcBorders>
              <w:top w:val="nil"/>
              <w:left w:val="nil"/>
              <w:bottom w:val="nil"/>
              <w:right w:val="single" w:sz="4" w:space="0" w:color="auto"/>
            </w:tcBorders>
            <w:noWrap/>
            <w:vAlign w:val="bottom"/>
          </w:tcPr>
          <w:p w14:paraId="7E85C8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6D5F855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125 126,40</w:t>
            </w:r>
          </w:p>
        </w:tc>
      </w:tr>
      <w:tr w:rsidR="00862C6F" w:rsidRPr="00236418" w14:paraId="7DC83686"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5D926A7D"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sz w:val="20"/>
              </w:rPr>
              <w:t>Comores</w:t>
            </w:r>
          </w:p>
        </w:tc>
        <w:tc>
          <w:tcPr>
            <w:tcW w:w="1701" w:type="dxa"/>
            <w:tcBorders>
              <w:top w:val="nil"/>
              <w:left w:val="single" w:sz="4" w:space="0" w:color="auto"/>
              <w:bottom w:val="nil"/>
              <w:right w:val="single" w:sz="4" w:space="0" w:color="auto"/>
            </w:tcBorders>
            <w:shd w:val="clear" w:color="auto" w:fill="auto"/>
            <w:noWrap/>
            <w:vAlign w:val="bottom"/>
          </w:tcPr>
          <w:p w14:paraId="550C2AF4" w14:textId="77777777" w:rsidR="00862C6F" w:rsidRPr="00236418" w:rsidRDefault="00862C6F" w:rsidP="00862C6F">
            <w:pPr>
              <w:rPr>
                <w:sz w:val="20"/>
              </w:rPr>
            </w:pPr>
            <w:r w:rsidRPr="00236418">
              <w:rPr>
                <w:sz w:val="20"/>
              </w:rPr>
              <w:t>Rés.41 – 2019</w:t>
            </w:r>
          </w:p>
        </w:tc>
        <w:tc>
          <w:tcPr>
            <w:tcW w:w="1594" w:type="dxa"/>
            <w:noWrap/>
            <w:vAlign w:val="bottom"/>
          </w:tcPr>
          <w:p w14:paraId="4ED8C1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210 094,66</w:t>
            </w:r>
          </w:p>
        </w:tc>
        <w:tc>
          <w:tcPr>
            <w:tcW w:w="1613" w:type="dxa"/>
            <w:tcBorders>
              <w:top w:val="nil"/>
              <w:left w:val="single" w:sz="4" w:space="0" w:color="auto"/>
              <w:bottom w:val="nil"/>
              <w:right w:val="single" w:sz="4" w:space="0" w:color="auto"/>
            </w:tcBorders>
            <w:noWrap/>
            <w:vAlign w:val="bottom"/>
          </w:tcPr>
          <w:p w14:paraId="6C93D75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612" w:type="dxa"/>
            <w:noWrap/>
            <w:vAlign w:val="bottom"/>
          </w:tcPr>
          <w:p w14:paraId="7EBA152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210 094,66</w:t>
            </w:r>
          </w:p>
        </w:tc>
        <w:tc>
          <w:tcPr>
            <w:tcW w:w="1324" w:type="dxa"/>
            <w:tcBorders>
              <w:top w:val="nil"/>
              <w:left w:val="single" w:sz="4" w:space="0" w:color="auto"/>
              <w:bottom w:val="nil"/>
              <w:right w:val="single" w:sz="4" w:space="0" w:color="auto"/>
            </w:tcBorders>
            <w:noWrap/>
            <w:vAlign w:val="bottom"/>
          </w:tcPr>
          <w:p w14:paraId="43CB4C1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95" w:type="dxa"/>
            <w:tcBorders>
              <w:top w:val="nil"/>
              <w:left w:val="nil"/>
              <w:bottom w:val="nil"/>
              <w:right w:val="single" w:sz="4" w:space="0" w:color="auto"/>
            </w:tcBorders>
            <w:noWrap/>
            <w:vAlign w:val="bottom"/>
          </w:tcPr>
          <w:p w14:paraId="6932179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41BFFF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210 094,66</w:t>
            </w:r>
          </w:p>
        </w:tc>
      </w:tr>
      <w:tr w:rsidR="00862C6F" w:rsidRPr="00236418" w14:paraId="437E7184"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04E0A014"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sz w:val="20"/>
              </w:rPr>
              <w:t>Gambie</w:t>
            </w:r>
          </w:p>
        </w:tc>
        <w:tc>
          <w:tcPr>
            <w:tcW w:w="1701" w:type="dxa"/>
            <w:tcBorders>
              <w:top w:val="nil"/>
              <w:left w:val="single" w:sz="4" w:space="0" w:color="auto"/>
              <w:bottom w:val="nil"/>
              <w:right w:val="single" w:sz="4" w:space="0" w:color="auto"/>
            </w:tcBorders>
            <w:shd w:val="clear" w:color="auto" w:fill="auto"/>
            <w:noWrap/>
            <w:vAlign w:val="bottom"/>
          </w:tcPr>
          <w:p w14:paraId="3869DA3C" w14:textId="77777777" w:rsidR="00862C6F" w:rsidRPr="00236418" w:rsidRDefault="00862C6F" w:rsidP="00862C6F">
            <w:pPr>
              <w:rPr>
                <w:sz w:val="20"/>
              </w:rPr>
            </w:pPr>
            <w:proofErr w:type="spellStart"/>
            <w:r w:rsidRPr="00236418">
              <w:rPr>
                <w:sz w:val="20"/>
              </w:rPr>
              <w:t>Rés</w:t>
            </w:r>
            <w:proofErr w:type="spellEnd"/>
            <w:r w:rsidRPr="00236418">
              <w:rPr>
                <w:sz w:val="20"/>
              </w:rPr>
              <w:t>. 41 – 2019</w:t>
            </w:r>
          </w:p>
        </w:tc>
        <w:tc>
          <w:tcPr>
            <w:tcW w:w="1594" w:type="dxa"/>
            <w:noWrap/>
            <w:vAlign w:val="bottom"/>
          </w:tcPr>
          <w:p w14:paraId="4FE607C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255 414,83</w:t>
            </w:r>
          </w:p>
        </w:tc>
        <w:tc>
          <w:tcPr>
            <w:tcW w:w="1613" w:type="dxa"/>
            <w:tcBorders>
              <w:top w:val="nil"/>
              <w:left w:val="single" w:sz="4" w:space="0" w:color="auto"/>
              <w:bottom w:val="nil"/>
              <w:right w:val="single" w:sz="4" w:space="0" w:color="auto"/>
            </w:tcBorders>
            <w:noWrap/>
            <w:vAlign w:val="bottom"/>
          </w:tcPr>
          <w:p w14:paraId="46C4A71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612" w:type="dxa"/>
            <w:noWrap/>
            <w:vAlign w:val="bottom"/>
          </w:tcPr>
          <w:p w14:paraId="014C1D9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255 414,83</w:t>
            </w:r>
          </w:p>
        </w:tc>
        <w:tc>
          <w:tcPr>
            <w:tcW w:w="1324" w:type="dxa"/>
            <w:tcBorders>
              <w:top w:val="nil"/>
              <w:left w:val="single" w:sz="4" w:space="0" w:color="auto"/>
              <w:bottom w:val="nil"/>
              <w:right w:val="single" w:sz="4" w:space="0" w:color="auto"/>
            </w:tcBorders>
            <w:noWrap/>
            <w:vAlign w:val="bottom"/>
          </w:tcPr>
          <w:p w14:paraId="6017EE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95" w:type="dxa"/>
            <w:tcBorders>
              <w:top w:val="nil"/>
              <w:left w:val="nil"/>
              <w:bottom w:val="nil"/>
              <w:right w:val="single" w:sz="4" w:space="0" w:color="auto"/>
            </w:tcBorders>
            <w:noWrap/>
            <w:vAlign w:val="bottom"/>
          </w:tcPr>
          <w:p w14:paraId="112DB98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223417B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255 414,83</w:t>
            </w:r>
          </w:p>
        </w:tc>
      </w:tr>
      <w:tr w:rsidR="00862C6F" w:rsidRPr="00236418" w14:paraId="33C6B838"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4D5AAF8"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sz w:val="20"/>
              </w:rPr>
              <w:t>Guinée-Bissau</w:t>
            </w:r>
          </w:p>
        </w:tc>
        <w:tc>
          <w:tcPr>
            <w:tcW w:w="1701" w:type="dxa"/>
            <w:tcBorders>
              <w:top w:val="nil"/>
              <w:left w:val="single" w:sz="4" w:space="0" w:color="auto"/>
              <w:bottom w:val="nil"/>
              <w:right w:val="single" w:sz="4" w:space="0" w:color="auto"/>
            </w:tcBorders>
            <w:shd w:val="clear" w:color="auto" w:fill="auto"/>
            <w:noWrap/>
            <w:vAlign w:val="bottom"/>
          </w:tcPr>
          <w:p w14:paraId="740CDA03" w14:textId="77777777" w:rsidR="00862C6F" w:rsidRPr="00236418" w:rsidRDefault="00862C6F" w:rsidP="00862C6F">
            <w:pPr>
              <w:rPr>
                <w:sz w:val="20"/>
              </w:rPr>
            </w:pPr>
            <w:proofErr w:type="spellStart"/>
            <w:r w:rsidRPr="00236418">
              <w:rPr>
                <w:sz w:val="20"/>
              </w:rPr>
              <w:t>Rés</w:t>
            </w:r>
            <w:proofErr w:type="spellEnd"/>
            <w:r w:rsidRPr="00236418">
              <w:rPr>
                <w:sz w:val="20"/>
              </w:rPr>
              <w:t>. 41 – 2019</w:t>
            </w:r>
          </w:p>
        </w:tc>
        <w:tc>
          <w:tcPr>
            <w:tcW w:w="1594" w:type="dxa"/>
            <w:noWrap/>
            <w:vAlign w:val="bottom"/>
          </w:tcPr>
          <w:p w14:paraId="2C1490D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4 416 613,50</w:t>
            </w:r>
          </w:p>
        </w:tc>
        <w:tc>
          <w:tcPr>
            <w:tcW w:w="1613" w:type="dxa"/>
            <w:tcBorders>
              <w:top w:val="nil"/>
              <w:left w:val="single" w:sz="4" w:space="0" w:color="auto"/>
              <w:bottom w:val="nil"/>
              <w:right w:val="single" w:sz="4" w:space="0" w:color="auto"/>
            </w:tcBorders>
            <w:noWrap/>
            <w:vAlign w:val="bottom"/>
          </w:tcPr>
          <w:p w14:paraId="2C05436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612" w:type="dxa"/>
            <w:noWrap/>
            <w:vAlign w:val="bottom"/>
          </w:tcPr>
          <w:p w14:paraId="60F6875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4 416 613,50</w:t>
            </w:r>
          </w:p>
        </w:tc>
        <w:tc>
          <w:tcPr>
            <w:tcW w:w="1324" w:type="dxa"/>
            <w:tcBorders>
              <w:top w:val="nil"/>
              <w:left w:val="single" w:sz="4" w:space="0" w:color="auto"/>
              <w:bottom w:val="nil"/>
              <w:right w:val="single" w:sz="4" w:space="0" w:color="auto"/>
            </w:tcBorders>
            <w:noWrap/>
            <w:vAlign w:val="bottom"/>
          </w:tcPr>
          <w:p w14:paraId="6CB35A7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95" w:type="dxa"/>
            <w:tcBorders>
              <w:top w:val="nil"/>
              <w:left w:val="nil"/>
              <w:bottom w:val="nil"/>
              <w:right w:val="single" w:sz="4" w:space="0" w:color="auto"/>
            </w:tcBorders>
            <w:noWrap/>
            <w:vAlign w:val="bottom"/>
          </w:tcPr>
          <w:p w14:paraId="37A3629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120A64B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4 416 613,50</w:t>
            </w:r>
          </w:p>
        </w:tc>
      </w:tr>
      <w:tr w:rsidR="00862C6F" w:rsidRPr="00236418" w14:paraId="6654F046"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995F9DC"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sz w:val="20"/>
              </w:rPr>
              <w:t>Libéria</w:t>
            </w:r>
          </w:p>
        </w:tc>
        <w:tc>
          <w:tcPr>
            <w:tcW w:w="1701" w:type="dxa"/>
            <w:tcBorders>
              <w:top w:val="nil"/>
              <w:left w:val="single" w:sz="4" w:space="0" w:color="auto"/>
              <w:bottom w:val="nil"/>
              <w:right w:val="single" w:sz="4" w:space="0" w:color="auto"/>
            </w:tcBorders>
            <w:shd w:val="clear" w:color="auto" w:fill="auto"/>
            <w:noWrap/>
            <w:vAlign w:val="bottom"/>
          </w:tcPr>
          <w:p w14:paraId="399F4BA2" w14:textId="77777777" w:rsidR="00862C6F" w:rsidRPr="00236418" w:rsidRDefault="00862C6F" w:rsidP="00862C6F">
            <w:pPr>
              <w:rPr>
                <w:sz w:val="20"/>
              </w:rPr>
            </w:pPr>
            <w:proofErr w:type="spellStart"/>
            <w:r w:rsidRPr="00236418">
              <w:rPr>
                <w:sz w:val="20"/>
              </w:rPr>
              <w:t>Rés</w:t>
            </w:r>
            <w:proofErr w:type="spellEnd"/>
            <w:r w:rsidRPr="00236418">
              <w:rPr>
                <w:sz w:val="20"/>
              </w:rPr>
              <w:t>. 41 – 2019</w:t>
            </w:r>
          </w:p>
        </w:tc>
        <w:tc>
          <w:tcPr>
            <w:tcW w:w="1594" w:type="dxa"/>
            <w:noWrap/>
            <w:vAlign w:val="bottom"/>
          </w:tcPr>
          <w:p w14:paraId="2F25501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4 769 016,24</w:t>
            </w:r>
          </w:p>
        </w:tc>
        <w:tc>
          <w:tcPr>
            <w:tcW w:w="1613" w:type="dxa"/>
            <w:tcBorders>
              <w:top w:val="nil"/>
              <w:left w:val="single" w:sz="4" w:space="0" w:color="auto"/>
              <w:bottom w:val="nil"/>
              <w:right w:val="single" w:sz="4" w:space="0" w:color="auto"/>
            </w:tcBorders>
            <w:noWrap/>
            <w:vAlign w:val="bottom"/>
          </w:tcPr>
          <w:p w14:paraId="457EF5D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612" w:type="dxa"/>
            <w:noWrap/>
            <w:vAlign w:val="bottom"/>
          </w:tcPr>
          <w:p w14:paraId="32AB529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4 769 016,24</w:t>
            </w:r>
          </w:p>
        </w:tc>
        <w:tc>
          <w:tcPr>
            <w:tcW w:w="1324" w:type="dxa"/>
            <w:tcBorders>
              <w:top w:val="nil"/>
              <w:left w:val="single" w:sz="4" w:space="0" w:color="auto"/>
              <w:bottom w:val="nil"/>
              <w:right w:val="single" w:sz="4" w:space="0" w:color="auto"/>
            </w:tcBorders>
            <w:noWrap/>
            <w:vAlign w:val="bottom"/>
          </w:tcPr>
          <w:p w14:paraId="718C37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23 845,10</w:t>
            </w:r>
          </w:p>
        </w:tc>
        <w:tc>
          <w:tcPr>
            <w:tcW w:w="1395" w:type="dxa"/>
            <w:tcBorders>
              <w:top w:val="nil"/>
              <w:left w:val="nil"/>
              <w:bottom w:val="nil"/>
              <w:right w:val="single" w:sz="4" w:space="0" w:color="auto"/>
            </w:tcBorders>
            <w:noWrap/>
            <w:vAlign w:val="bottom"/>
          </w:tcPr>
          <w:p w14:paraId="2B48A8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1D732B6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4 792 861,34</w:t>
            </w:r>
          </w:p>
        </w:tc>
      </w:tr>
      <w:tr w:rsidR="00862C6F" w:rsidRPr="00236418" w14:paraId="6DFBB3F9"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3928FCF" w14:textId="77777777" w:rsidR="00862C6F" w:rsidRPr="00236418" w:rsidRDefault="00862C6F" w:rsidP="00862C6F">
            <w:pPr>
              <w:tabs>
                <w:tab w:val="clear" w:pos="567"/>
                <w:tab w:val="clear" w:pos="1134"/>
                <w:tab w:val="clear" w:pos="1701"/>
                <w:tab w:val="clear" w:pos="2268"/>
                <w:tab w:val="clear" w:pos="2835"/>
              </w:tabs>
              <w:spacing w:before="20" w:after="20"/>
              <w:rPr>
                <w:bCs/>
                <w:sz w:val="20"/>
              </w:rPr>
            </w:pPr>
            <w:r w:rsidRPr="00236418">
              <w:rPr>
                <w:bCs/>
                <w:sz w:val="20"/>
              </w:rPr>
              <w:t>Sierra Leone</w:t>
            </w:r>
          </w:p>
        </w:tc>
        <w:tc>
          <w:tcPr>
            <w:tcW w:w="1701" w:type="dxa"/>
            <w:tcBorders>
              <w:top w:val="nil"/>
              <w:left w:val="single" w:sz="4" w:space="0" w:color="auto"/>
              <w:bottom w:val="nil"/>
              <w:right w:val="single" w:sz="4" w:space="0" w:color="auto"/>
            </w:tcBorders>
            <w:shd w:val="clear" w:color="auto" w:fill="auto"/>
            <w:noWrap/>
            <w:vAlign w:val="bottom"/>
          </w:tcPr>
          <w:p w14:paraId="08A3E500" w14:textId="77777777" w:rsidR="00862C6F" w:rsidRPr="00236418" w:rsidRDefault="00862C6F" w:rsidP="00862C6F">
            <w:pPr>
              <w:rPr>
                <w:sz w:val="20"/>
              </w:rPr>
            </w:pPr>
            <w:proofErr w:type="spellStart"/>
            <w:r w:rsidRPr="00236418">
              <w:rPr>
                <w:sz w:val="20"/>
              </w:rPr>
              <w:t>Rés</w:t>
            </w:r>
            <w:proofErr w:type="spellEnd"/>
            <w:r w:rsidRPr="00236418">
              <w:rPr>
                <w:sz w:val="20"/>
              </w:rPr>
              <w:t>. 41 – 2019</w:t>
            </w:r>
          </w:p>
        </w:tc>
        <w:tc>
          <w:tcPr>
            <w:tcW w:w="1594" w:type="dxa"/>
            <w:noWrap/>
            <w:vAlign w:val="bottom"/>
          </w:tcPr>
          <w:p w14:paraId="1294DA9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2 731 266,28</w:t>
            </w:r>
          </w:p>
        </w:tc>
        <w:tc>
          <w:tcPr>
            <w:tcW w:w="1613" w:type="dxa"/>
            <w:tcBorders>
              <w:top w:val="nil"/>
              <w:left w:val="single" w:sz="4" w:space="0" w:color="auto"/>
              <w:bottom w:val="nil"/>
              <w:right w:val="single" w:sz="4" w:space="0" w:color="auto"/>
            </w:tcBorders>
            <w:noWrap/>
            <w:vAlign w:val="bottom"/>
          </w:tcPr>
          <w:p w14:paraId="73927F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612" w:type="dxa"/>
            <w:noWrap/>
            <w:vAlign w:val="bottom"/>
          </w:tcPr>
          <w:p w14:paraId="5621691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2 731 266,28</w:t>
            </w:r>
          </w:p>
        </w:tc>
        <w:tc>
          <w:tcPr>
            <w:tcW w:w="1324" w:type="dxa"/>
            <w:tcBorders>
              <w:top w:val="nil"/>
              <w:left w:val="single" w:sz="4" w:space="0" w:color="auto"/>
              <w:bottom w:val="nil"/>
              <w:right w:val="single" w:sz="4" w:space="0" w:color="auto"/>
            </w:tcBorders>
            <w:noWrap/>
            <w:vAlign w:val="bottom"/>
          </w:tcPr>
          <w:p w14:paraId="5AC9A74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95" w:type="dxa"/>
            <w:tcBorders>
              <w:top w:val="nil"/>
              <w:left w:val="nil"/>
              <w:bottom w:val="nil"/>
              <w:right w:val="single" w:sz="4" w:space="0" w:color="auto"/>
            </w:tcBorders>
            <w:noWrap/>
            <w:vAlign w:val="bottom"/>
          </w:tcPr>
          <w:p w14:paraId="0523BF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4774FC3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2 731 266,28</w:t>
            </w:r>
          </w:p>
        </w:tc>
      </w:tr>
      <w:tr w:rsidR="00862C6F" w:rsidRPr="00236418" w14:paraId="7411B180"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C343EEE" w14:textId="77777777" w:rsidR="00862C6F" w:rsidRPr="00236418" w:rsidRDefault="00862C6F" w:rsidP="00862C6F">
            <w:pPr>
              <w:tabs>
                <w:tab w:val="clear" w:pos="567"/>
                <w:tab w:val="clear" w:pos="1134"/>
                <w:tab w:val="clear" w:pos="1701"/>
                <w:tab w:val="clear" w:pos="2268"/>
                <w:tab w:val="clear" w:pos="2835"/>
              </w:tabs>
              <w:spacing w:before="20" w:after="20"/>
              <w:rPr>
                <w:b/>
                <w:sz w:val="20"/>
              </w:rPr>
            </w:pPr>
          </w:p>
        </w:tc>
        <w:tc>
          <w:tcPr>
            <w:tcW w:w="1701" w:type="dxa"/>
            <w:tcBorders>
              <w:top w:val="nil"/>
              <w:left w:val="single" w:sz="4" w:space="0" w:color="auto"/>
              <w:bottom w:val="nil"/>
              <w:right w:val="single" w:sz="4" w:space="0" w:color="auto"/>
            </w:tcBorders>
            <w:shd w:val="clear" w:color="auto" w:fill="auto"/>
            <w:noWrap/>
            <w:vAlign w:val="bottom"/>
          </w:tcPr>
          <w:p w14:paraId="2B5F2AD2" w14:textId="77777777" w:rsidR="00862C6F" w:rsidRPr="00236418" w:rsidRDefault="00862C6F" w:rsidP="00862C6F">
            <w:pPr>
              <w:jc w:val="center"/>
              <w:rPr>
                <w:b/>
                <w:bCs/>
                <w:sz w:val="20"/>
              </w:rPr>
            </w:pPr>
          </w:p>
        </w:tc>
        <w:tc>
          <w:tcPr>
            <w:tcW w:w="1594" w:type="dxa"/>
            <w:tcBorders>
              <w:top w:val="nil"/>
              <w:left w:val="single" w:sz="4" w:space="0" w:color="auto"/>
              <w:bottom w:val="nil"/>
              <w:right w:val="single" w:sz="4" w:space="0" w:color="auto"/>
            </w:tcBorders>
            <w:shd w:val="clear" w:color="auto" w:fill="auto"/>
            <w:noWrap/>
            <w:vAlign w:val="bottom"/>
          </w:tcPr>
          <w:p w14:paraId="7CFA8597" w14:textId="77777777" w:rsidR="00862C6F" w:rsidRPr="00236418" w:rsidRDefault="00862C6F" w:rsidP="00862C6F">
            <w:pPr>
              <w:rPr>
                <w:rFonts w:ascii="Times New Roman" w:hAnsi="Times New Roman"/>
                <w:sz w:val="20"/>
              </w:rPr>
            </w:pPr>
          </w:p>
        </w:tc>
        <w:tc>
          <w:tcPr>
            <w:tcW w:w="1613" w:type="dxa"/>
            <w:tcBorders>
              <w:top w:val="nil"/>
              <w:left w:val="single" w:sz="4" w:space="0" w:color="auto"/>
              <w:bottom w:val="nil"/>
              <w:right w:val="single" w:sz="4" w:space="0" w:color="auto"/>
            </w:tcBorders>
            <w:shd w:val="clear" w:color="auto" w:fill="auto"/>
            <w:noWrap/>
            <w:vAlign w:val="bottom"/>
          </w:tcPr>
          <w:p w14:paraId="31E3E0C0" w14:textId="77777777" w:rsidR="00862C6F" w:rsidRPr="00236418" w:rsidRDefault="00862C6F" w:rsidP="00862C6F">
            <w:pPr>
              <w:rPr>
                <w:rFonts w:ascii="Times New Roman" w:hAnsi="Times New Roman"/>
                <w:sz w:val="20"/>
              </w:rPr>
            </w:pPr>
          </w:p>
        </w:tc>
        <w:tc>
          <w:tcPr>
            <w:tcW w:w="1612" w:type="dxa"/>
            <w:tcBorders>
              <w:top w:val="nil"/>
              <w:left w:val="single" w:sz="4" w:space="0" w:color="auto"/>
              <w:bottom w:val="nil"/>
              <w:right w:val="single" w:sz="4" w:space="0" w:color="auto"/>
            </w:tcBorders>
            <w:shd w:val="clear" w:color="auto" w:fill="auto"/>
            <w:noWrap/>
            <w:vAlign w:val="bottom"/>
          </w:tcPr>
          <w:p w14:paraId="0E31F900" w14:textId="77777777" w:rsidR="00862C6F" w:rsidRPr="00236418" w:rsidRDefault="00862C6F" w:rsidP="00862C6F">
            <w:pPr>
              <w:rPr>
                <w:rFonts w:ascii="Times New Roman" w:hAnsi="Times New Roman"/>
                <w:sz w:val="20"/>
              </w:rPr>
            </w:pPr>
          </w:p>
        </w:tc>
        <w:tc>
          <w:tcPr>
            <w:tcW w:w="1324" w:type="dxa"/>
            <w:tcBorders>
              <w:top w:val="nil"/>
              <w:left w:val="single" w:sz="4" w:space="0" w:color="auto"/>
              <w:bottom w:val="nil"/>
              <w:right w:val="single" w:sz="4" w:space="0" w:color="auto"/>
            </w:tcBorders>
            <w:shd w:val="clear" w:color="auto" w:fill="auto"/>
            <w:noWrap/>
            <w:vAlign w:val="bottom"/>
          </w:tcPr>
          <w:p w14:paraId="2E2A20E9" w14:textId="77777777" w:rsidR="00862C6F" w:rsidRPr="00236418" w:rsidRDefault="00862C6F" w:rsidP="00862C6F">
            <w:pPr>
              <w:rPr>
                <w:rFonts w:ascii="Times New Roman" w:hAnsi="Times New Roman"/>
                <w:sz w:val="20"/>
              </w:rPr>
            </w:pPr>
          </w:p>
        </w:tc>
        <w:tc>
          <w:tcPr>
            <w:tcW w:w="1395" w:type="dxa"/>
            <w:tcBorders>
              <w:top w:val="nil"/>
              <w:left w:val="single" w:sz="4" w:space="0" w:color="auto"/>
              <w:bottom w:val="nil"/>
              <w:right w:val="single" w:sz="4" w:space="0" w:color="auto"/>
            </w:tcBorders>
            <w:shd w:val="clear" w:color="auto" w:fill="auto"/>
            <w:noWrap/>
            <w:vAlign w:val="bottom"/>
          </w:tcPr>
          <w:p w14:paraId="213D4F0E" w14:textId="77777777" w:rsidR="00862C6F" w:rsidRPr="00236418" w:rsidRDefault="00862C6F" w:rsidP="00862C6F">
            <w:pPr>
              <w:rPr>
                <w:rFonts w:ascii="Times New Roman" w:hAnsi="Times New Roman"/>
                <w:sz w:val="20"/>
              </w:rPr>
            </w:pPr>
          </w:p>
        </w:tc>
        <w:tc>
          <w:tcPr>
            <w:tcW w:w="1512" w:type="dxa"/>
            <w:tcBorders>
              <w:top w:val="nil"/>
              <w:left w:val="single" w:sz="4" w:space="0" w:color="auto"/>
              <w:bottom w:val="nil"/>
              <w:right w:val="single" w:sz="4" w:space="0" w:color="auto"/>
            </w:tcBorders>
            <w:shd w:val="clear" w:color="auto" w:fill="auto"/>
            <w:noWrap/>
            <w:vAlign w:val="bottom"/>
          </w:tcPr>
          <w:p w14:paraId="480E9FB5" w14:textId="77777777" w:rsidR="00862C6F" w:rsidRPr="00236418" w:rsidRDefault="00862C6F" w:rsidP="00862C6F">
            <w:pPr>
              <w:rPr>
                <w:rFonts w:ascii="Times New Roman" w:hAnsi="Times New Roman"/>
                <w:sz w:val="20"/>
              </w:rPr>
            </w:pPr>
          </w:p>
        </w:tc>
      </w:tr>
      <w:tr w:rsidR="00862C6F" w:rsidRPr="00236418" w14:paraId="33235432"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65D37807" w14:textId="77777777" w:rsidR="00862C6F" w:rsidRPr="00236418" w:rsidRDefault="00862C6F" w:rsidP="00862C6F">
            <w:pPr>
              <w:tabs>
                <w:tab w:val="clear" w:pos="567"/>
                <w:tab w:val="clear" w:pos="1134"/>
                <w:tab w:val="clear" w:pos="1701"/>
                <w:tab w:val="clear" w:pos="2268"/>
                <w:tab w:val="clear" w:pos="2835"/>
              </w:tabs>
              <w:spacing w:before="20" w:after="20"/>
              <w:rPr>
                <w:b/>
                <w:sz w:val="20"/>
              </w:rPr>
            </w:pPr>
            <w:r w:rsidRPr="00236418">
              <w:rPr>
                <w:b/>
                <w:sz w:val="20"/>
              </w:rPr>
              <w:t>Membres de Secteur/Entreprises</w:t>
            </w:r>
          </w:p>
        </w:tc>
        <w:tc>
          <w:tcPr>
            <w:tcW w:w="1701" w:type="dxa"/>
            <w:tcBorders>
              <w:top w:val="nil"/>
              <w:left w:val="single" w:sz="4" w:space="0" w:color="auto"/>
              <w:bottom w:val="nil"/>
              <w:right w:val="single" w:sz="4" w:space="0" w:color="auto"/>
            </w:tcBorders>
            <w:shd w:val="clear" w:color="auto" w:fill="auto"/>
            <w:noWrap/>
            <w:vAlign w:val="bottom"/>
            <w:hideMark/>
          </w:tcPr>
          <w:p w14:paraId="7CB0A08C" w14:textId="77777777" w:rsidR="00862C6F" w:rsidRPr="00236418" w:rsidRDefault="00862C6F" w:rsidP="00862C6F">
            <w:pPr>
              <w:jc w:val="center"/>
              <w:rPr>
                <w:b/>
                <w:bCs/>
                <w:sz w:val="20"/>
              </w:rPr>
            </w:pPr>
          </w:p>
        </w:tc>
        <w:tc>
          <w:tcPr>
            <w:tcW w:w="1594" w:type="dxa"/>
            <w:tcBorders>
              <w:top w:val="nil"/>
              <w:left w:val="single" w:sz="4" w:space="0" w:color="auto"/>
              <w:bottom w:val="nil"/>
              <w:right w:val="single" w:sz="4" w:space="0" w:color="auto"/>
            </w:tcBorders>
            <w:shd w:val="clear" w:color="auto" w:fill="auto"/>
            <w:noWrap/>
            <w:vAlign w:val="bottom"/>
            <w:hideMark/>
          </w:tcPr>
          <w:p w14:paraId="1F0C0C4E" w14:textId="77777777" w:rsidR="00862C6F" w:rsidRPr="00236418" w:rsidRDefault="00862C6F" w:rsidP="00862C6F">
            <w:pPr>
              <w:rPr>
                <w:rFonts w:ascii="Times New Roman" w:hAnsi="Times New Roman"/>
                <w:sz w:val="20"/>
              </w:rPr>
            </w:pPr>
          </w:p>
        </w:tc>
        <w:tc>
          <w:tcPr>
            <w:tcW w:w="1613" w:type="dxa"/>
            <w:tcBorders>
              <w:top w:val="nil"/>
              <w:left w:val="single" w:sz="4" w:space="0" w:color="auto"/>
              <w:bottom w:val="nil"/>
              <w:right w:val="single" w:sz="4" w:space="0" w:color="auto"/>
            </w:tcBorders>
            <w:shd w:val="clear" w:color="auto" w:fill="auto"/>
            <w:noWrap/>
            <w:vAlign w:val="bottom"/>
            <w:hideMark/>
          </w:tcPr>
          <w:p w14:paraId="2C40C01D" w14:textId="77777777" w:rsidR="00862C6F" w:rsidRPr="00236418" w:rsidRDefault="00862C6F" w:rsidP="00862C6F">
            <w:pPr>
              <w:rPr>
                <w:rFonts w:ascii="Times New Roman" w:hAnsi="Times New Roman"/>
                <w:sz w:val="20"/>
              </w:rPr>
            </w:pPr>
          </w:p>
        </w:tc>
        <w:tc>
          <w:tcPr>
            <w:tcW w:w="1612" w:type="dxa"/>
            <w:tcBorders>
              <w:top w:val="nil"/>
              <w:left w:val="single" w:sz="4" w:space="0" w:color="auto"/>
              <w:bottom w:val="nil"/>
              <w:right w:val="single" w:sz="4" w:space="0" w:color="auto"/>
            </w:tcBorders>
            <w:shd w:val="clear" w:color="auto" w:fill="auto"/>
            <w:noWrap/>
            <w:vAlign w:val="bottom"/>
            <w:hideMark/>
          </w:tcPr>
          <w:p w14:paraId="4B16DFB7" w14:textId="77777777" w:rsidR="00862C6F" w:rsidRPr="00236418" w:rsidRDefault="00862C6F" w:rsidP="00862C6F">
            <w:pPr>
              <w:rPr>
                <w:rFonts w:ascii="Times New Roman" w:hAnsi="Times New Roman"/>
                <w:sz w:val="20"/>
              </w:rPr>
            </w:pPr>
          </w:p>
        </w:tc>
        <w:tc>
          <w:tcPr>
            <w:tcW w:w="1324" w:type="dxa"/>
            <w:tcBorders>
              <w:top w:val="nil"/>
              <w:left w:val="single" w:sz="4" w:space="0" w:color="auto"/>
              <w:bottom w:val="nil"/>
              <w:right w:val="single" w:sz="4" w:space="0" w:color="auto"/>
            </w:tcBorders>
            <w:shd w:val="clear" w:color="auto" w:fill="auto"/>
            <w:noWrap/>
            <w:vAlign w:val="bottom"/>
            <w:hideMark/>
          </w:tcPr>
          <w:p w14:paraId="47915EC0" w14:textId="77777777" w:rsidR="00862C6F" w:rsidRPr="00236418" w:rsidRDefault="00862C6F" w:rsidP="00862C6F">
            <w:pPr>
              <w:rPr>
                <w:rFonts w:ascii="Times New Roman" w:hAnsi="Times New Roman"/>
                <w:sz w:val="20"/>
              </w:rPr>
            </w:pPr>
          </w:p>
        </w:tc>
        <w:tc>
          <w:tcPr>
            <w:tcW w:w="1395" w:type="dxa"/>
            <w:tcBorders>
              <w:top w:val="nil"/>
              <w:left w:val="single" w:sz="4" w:space="0" w:color="auto"/>
              <w:bottom w:val="nil"/>
              <w:right w:val="single" w:sz="4" w:space="0" w:color="auto"/>
            </w:tcBorders>
            <w:shd w:val="clear" w:color="auto" w:fill="auto"/>
            <w:noWrap/>
            <w:vAlign w:val="bottom"/>
            <w:hideMark/>
          </w:tcPr>
          <w:p w14:paraId="2EECBB7A" w14:textId="77777777" w:rsidR="00862C6F" w:rsidRPr="00236418" w:rsidRDefault="00862C6F" w:rsidP="00862C6F">
            <w:pPr>
              <w:rPr>
                <w:rFonts w:ascii="Times New Roman" w:hAnsi="Times New Roman"/>
                <w:sz w:val="20"/>
              </w:rPr>
            </w:pPr>
          </w:p>
        </w:tc>
        <w:tc>
          <w:tcPr>
            <w:tcW w:w="1512" w:type="dxa"/>
            <w:tcBorders>
              <w:top w:val="nil"/>
              <w:left w:val="single" w:sz="4" w:space="0" w:color="auto"/>
              <w:bottom w:val="nil"/>
              <w:right w:val="single" w:sz="4" w:space="0" w:color="auto"/>
            </w:tcBorders>
            <w:shd w:val="clear" w:color="auto" w:fill="auto"/>
            <w:noWrap/>
            <w:vAlign w:val="bottom"/>
            <w:hideMark/>
          </w:tcPr>
          <w:p w14:paraId="4AE0F4FC" w14:textId="77777777" w:rsidR="00862C6F" w:rsidRPr="00236418" w:rsidRDefault="00862C6F" w:rsidP="00862C6F">
            <w:pPr>
              <w:rPr>
                <w:rFonts w:ascii="Times New Roman" w:hAnsi="Times New Roman"/>
                <w:sz w:val="20"/>
              </w:rPr>
            </w:pPr>
          </w:p>
        </w:tc>
      </w:tr>
      <w:tr w:rsidR="00862C6F" w:rsidRPr="00236418" w14:paraId="222A8559"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D61C42C" w14:textId="77777777" w:rsidR="00862C6F" w:rsidRPr="00236418" w:rsidRDefault="00862C6F" w:rsidP="00862C6F">
            <w:pPr>
              <w:tabs>
                <w:tab w:val="clear" w:pos="567"/>
                <w:tab w:val="clear" w:pos="1134"/>
                <w:tab w:val="clear" w:pos="1701"/>
                <w:tab w:val="clear" w:pos="2268"/>
                <w:tab w:val="clear" w:pos="2835"/>
              </w:tabs>
              <w:spacing w:before="20" w:after="20"/>
              <w:jc w:val="center"/>
              <w:rPr>
                <w:b/>
                <w:sz w:val="20"/>
              </w:rPr>
            </w:pPr>
          </w:p>
        </w:tc>
        <w:tc>
          <w:tcPr>
            <w:tcW w:w="1701" w:type="dxa"/>
            <w:tcBorders>
              <w:top w:val="nil"/>
              <w:left w:val="single" w:sz="4" w:space="0" w:color="auto"/>
              <w:bottom w:val="nil"/>
              <w:right w:val="single" w:sz="4" w:space="0" w:color="auto"/>
            </w:tcBorders>
            <w:shd w:val="clear" w:color="auto" w:fill="auto"/>
            <w:noWrap/>
            <w:vAlign w:val="bottom"/>
          </w:tcPr>
          <w:p w14:paraId="5AAFCD29" w14:textId="77777777" w:rsidR="00862C6F" w:rsidRPr="00236418" w:rsidRDefault="00862C6F" w:rsidP="00862C6F">
            <w:pPr>
              <w:jc w:val="center"/>
              <w:rPr>
                <w:rFonts w:ascii="Times New Roman" w:hAnsi="Times New Roman"/>
                <w:sz w:val="20"/>
              </w:rPr>
            </w:pPr>
          </w:p>
        </w:tc>
        <w:tc>
          <w:tcPr>
            <w:tcW w:w="1594" w:type="dxa"/>
            <w:tcBorders>
              <w:top w:val="nil"/>
              <w:left w:val="single" w:sz="4" w:space="0" w:color="auto"/>
              <w:bottom w:val="nil"/>
              <w:right w:val="single" w:sz="4" w:space="0" w:color="auto"/>
            </w:tcBorders>
            <w:shd w:val="clear" w:color="auto" w:fill="auto"/>
            <w:noWrap/>
            <w:vAlign w:val="bottom"/>
          </w:tcPr>
          <w:p w14:paraId="255E7D6E" w14:textId="77777777" w:rsidR="00862C6F" w:rsidRPr="00236418" w:rsidRDefault="00862C6F" w:rsidP="00862C6F">
            <w:pPr>
              <w:rPr>
                <w:rFonts w:ascii="Times New Roman" w:hAnsi="Times New Roman"/>
                <w:sz w:val="20"/>
              </w:rPr>
            </w:pPr>
          </w:p>
        </w:tc>
        <w:tc>
          <w:tcPr>
            <w:tcW w:w="1613" w:type="dxa"/>
            <w:tcBorders>
              <w:top w:val="nil"/>
              <w:left w:val="single" w:sz="4" w:space="0" w:color="auto"/>
              <w:bottom w:val="nil"/>
              <w:right w:val="single" w:sz="4" w:space="0" w:color="auto"/>
            </w:tcBorders>
            <w:shd w:val="clear" w:color="auto" w:fill="auto"/>
            <w:noWrap/>
            <w:vAlign w:val="bottom"/>
          </w:tcPr>
          <w:p w14:paraId="34FEAF24" w14:textId="77777777" w:rsidR="00862C6F" w:rsidRPr="00236418" w:rsidRDefault="00862C6F" w:rsidP="00862C6F">
            <w:pPr>
              <w:rPr>
                <w:rFonts w:ascii="Times New Roman" w:hAnsi="Times New Roman"/>
                <w:sz w:val="20"/>
              </w:rPr>
            </w:pPr>
          </w:p>
        </w:tc>
        <w:tc>
          <w:tcPr>
            <w:tcW w:w="1612" w:type="dxa"/>
            <w:tcBorders>
              <w:top w:val="nil"/>
              <w:left w:val="single" w:sz="4" w:space="0" w:color="auto"/>
              <w:bottom w:val="nil"/>
              <w:right w:val="single" w:sz="4" w:space="0" w:color="auto"/>
            </w:tcBorders>
            <w:shd w:val="clear" w:color="auto" w:fill="auto"/>
            <w:noWrap/>
            <w:vAlign w:val="bottom"/>
          </w:tcPr>
          <w:p w14:paraId="2991CB2D" w14:textId="77777777" w:rsidR="00862C6F" w:rsidRPr="00236418" w:rsidRDefault="00862C6F" w:rsidP="00862C6F">
            <w:pPr>
              <w:rPr>
                <w:rFonts w:ascii="Times New Roman" w:hAnsi="Times New Roman"/>
                <w:sz w:val="20"/>
              </w:rPr>
            </w:pPr>
          </w:p>
        </w:tc>
        <w:tc>
          <w:tcPr>
            <w:tcW w:w="1324" w:type="dxa"/>
            <w:tcBorders>
              <w:top w:val="nil"/>
              <w:left w:val="single" w:sz="4" w:space="0" w:color="auto"/>
              <w:bottom w:val="nil"/>
              <w:right w:val="single" w:sz="4" w:space="0" w:color="auto"/>
            </w:tcBorders>
            <w:shd w:val="clear" w:color="auto" w:fill="auto"/>
            <w:noWrap/>
            <w:vAlign w:val="bottom"/>
          </w:tcPr>
          <w:p w14:paraId="592C41AE" w14:textId="77777777" w:rsidR="00862C6F" w:rsidRPr="00236418" w:rsidRDefault="00862C6F" w:rsidP="00862C6F">
            <w:pPr>
              <w:rPr>
                <w:rFonts w:ascii="Times New Roman" w:hAnsi="Times New Roman"/>
                <w:sz w:val="20"/>
              </w:rPr>
            </w:pPr>
          </w:p>
        </w:tc>
        <w:tc>
          <w:tcPr>
            <w:tcW w:w="1395" w:type="dxa"/>
            <w:tcBorders>
              <w:top w:val="nil"/>
              <w:left w:val="single" w:sz="4" w:space="0" w:color="auto"/>
              <w:bottom w:val="nil"/>
              <w:right w:val="single" w:sz="4" w:space="0" w:color="auto"/>
            </w:tcBorders>
            <w:shd w:val="clear" w:color="auto" w:fill="auto"/>
            <w:noWrap/>
            <w:vAlign w:val="bottom"/>
          </w:tcPr>
          <w:p w14:paraId="11E0A33B" w14:textId="77777777" w:rsidR="00862C6F" w:rsidRPr="00236418" w:rsidRDefault="00862C6F" w:rsidP="00862C6F">
            <w:pPr>
              <w:rPr>
                <w:rFonts w:ascii="Times New Roman" w:hAnsi="Times New Roman"/>
                <w:sz w:val="20"/>
              </w:rPr>
            </w:pPr>
          </w:p>
        </w:tc>
        <w:tc>
          <w:tcPr>
            <w:tcW w:w="1512" w:type="dxa"/>
            <w:tcBorders>
              <w:top w:val="nil"/>
              <w:left w:val="single" w:sz="4" w:space="0" w:color="auto"/>
              <w:bottom w:val="nil"/>
              <w:right w:val="single" w:sz="4" w:space="0" w:color="auto"/>
            </w:tcBorders>
            <w:shd w:val="clear" w:color="auto" w:fill="auto"/>
            <w:noWrap/>
            <w:vAlign w:val="bottom"/>
          </w:tcPr>
          <w:p w14:paraId="71E2BAF0" w14:textId="77777777" w:rsidR="00862C6F" w:rsidRPr="00236418" w:rsidRDefault="00862C6F" w:rsidP="00862C6F">
            <w:pPr>
              <w:rPr>
                <w:rFonts w:ascii="Times New Roman" w:hAnsi="Times New Roman"/>
                <w:sz w:val="20"/>
              </w:rPr>
            </w:pPr>
          </w:p>
        </w:tc>
      </w:tr>
      <w:tr w:rsidR="00862C6F" w:rsidRPr="00236418" w14:paraId="600EDED5"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544A5A0F"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sz w:val="20"/>
              </w:rPr>
              <w:t>TIT, Liban</w:t>
            </w:r>
          </w:p>
        </w:tc>
        <w:tc>
          <w:tcPr>
            <w:tcW w:w="1701" w:type="dxa"/>
            <w:tcBorders>
              <w:top w:val="nil"/>
              <w:left w:val="single" w:sz="4" w:space="0" w:color="auto"/>
              <w:bottom w:val="nil"/>
              <w:right w:val="single" w:sz="4" w:space="0" w:color="auto"/>
            </w:tcBorders>
            <w:shd w:val="clear" w:color="auto" w:fill="auto"/>
            <w:noWrap/>
            <w:vAlign w:val="bottom"/>
          </w:tcPr>
          <w:p w14:paraId="436DCA2A" w14:textId="77777777" w:rsidR="00862C6F" w:rsidRPr="00236418" w:rsidRDefault="00862C6F" w:rsidP="00862C6F">
            <w:pPr>
              <w:rPr>
                <w:sz w:val="20"/>
              </w:rPr>
            </w:pPr>
            <w:proofErr w:type="spellStart"/>
            <w:r w:rsidRPr="00236418">
              <w:rPr>
                <w:sz w:val="20"/>
              </w:rPr>
              <w:t>Rés</w:t>
            </w:r>
            <w:proofErr w:type="spellEnd"/>
            <w:r w:rsidRPr="00236418">
              <w:rPr>
                <w:sz w:val="20"/>
              </w:rPr>
              <w:t>. 41 – 2008</w:t>
            </w:r>
          </w:p>
        </w:tc>
        <w:tc>
          <w:tcPr>
            <w:tcW w:w="1594" w:type="dxa"/>
            <w:noWrap/>
            <w:vAlign w:val="bottom"/>
          </w:tcPr>
          <w:p w14:paraId="65F1897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25 000,00</w:t>
            </w:r>
          </w:p>
        </w:tc>
        <w:tc>
          <w:tcPr>
            <w:tcW w:w="1613" w:type="dxa"/>
            <w:tcBorders>
              <w:top w:val="nil"/>
              <w:left w:val="single" w:sz="4" w:space="0" w:color="auto"/>
              <w:bottom w:val="nil"/>
              <w:right w:val="single" w:sz="4" w:space="0" w:color="auto"/>
            </w:tcBorders>
            <w:noWrap/>
            <w:vAlign w:val="bottom"/>
          </w:tcPr>
          <w:p w14:paraId="7E3497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44 771,10</w:t>
            </w:r>
          </w:p>
        </w:tc>
        <w:tc>
          <w:tcPr>
            <w:tcW w:w="1612" w:type="dxa"/>
            <w:noWrap/>
            <w:vAlign w:val="bottom"/>
          </w:tcPr>
          <w:p w14:paraId="42A9510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74956DA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2 686,25</w:t>
            </w:r>
          </w:p>
        </w:tc>
        <w:tc>
          <w:tcPr>
            <w:tcW w:w="1395" w:type="dxa"/>
            <w:tcBorders>
              <w:top w:val="nil"/>
              <w:left w:val="nil"/>
              <w:bottom w:val="nil"/>
              <w:right w:val="single" w:sz="4" w:space="0" w:color="auto"/>
            </w:tcBorders>
            <w:noWrap/>
            <w:vAlign w:val="bottom"/>
          </w:tcPr>
          <w:p w14:paraId="239C74C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44392A0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47 457,35</w:t>
            </w:r>
          </w:p>
        </w:tc>
      </w:tr>
      <w:tr w:rsidR="00862C6F" w:rsidRPr="00236418" w14:paraId="6862264D"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35876E5E" w14:textId="77777777" w:rsidR="00862C6F" w:rsidRPr="00236418" w:rsidRDefault="00862C6F" w:rsidP="00862C6F">
            <w:pPr>
              <w:tabs>
                <w:tab w:val="clear" w:pos="567"/>
                <w:tab w:val="clear" w:pos="1134"/>
                <w:tab w:val="clear" w:pos="1701"/>
                <w:tab w:val="clear" w:pos="2268"/>
                <w:tab w:val="clear" w:pos="2835"/>
              </w:tabs>
              <w:spacing w:before="20" w:after="20"/>
              <w:rPr>
                <w:sz w:val="20"/>
              </w:rPr>
            </w:pPr>
            <w:proofErr w:type="spellStart"/>
            <w:r w:rsidRPr="00236418">
              <w:rPr>
                <w:sz w:val="20"/>
              </w:rPr>
              <w:t>Cameroon</w:t>
            </w:r>
            <w:proofErr w:type="spellEnd"/>
            <w:r w:rsidRPr="00236418">
              <w:rPr>
                <w:sz w:val="20"/>
              </w:rPr>
              <w:t xml:space="preserve"> </w:t>
            </w:r>
            <w:proofErr w:type="spellStart"/>
            <w:r w:rsidRPr="00236418">
              <w:rPr>
                <w:sz w:val="20"/>
              </w:rPr>
              <w:t>Telecomm</w:t>
            </w:r>
            <w:proofErr w:type="spellEnd"/>
            <w:r w:rsidRPr="00236418">
              <w:rPr>
                <w:sz w:val="20"/>
              </w:rPr>
              <w:t>., Cameroun</w:t>
            </w:r>
          </w:p>
        </w:tc>
        <w:tc>
          <w:tcPr>
            <w:tcW w:w="1701" w:type="dxa"/>
            <w:tcBorders>
              <w:top w:val="nil"/>
              <w:left w:val="single" w:sz="4" w:space="0" w:color="auto"/>
              <w:bottom w:val="nil"/>
              <w:right w:val="single" w:sz="4" w:space="0" w:color="auto"/>
            </w:tcBorders>
            <w:shd w:val="clear" w:color="auto" w:fill="auto"/>
            <w:noWrap/>
            <w:vAlign w:val="bottom"/>
            <w:hideMark/>
          </w:tcPr>
          <w:p w14:paraId="27A1CF96" w14:textId="77777777" w:rsidR="00862C6F" w:rsidRPr="00236418" w:rsidRDefault="00862C6F" w:rsidP="00862C6F">
            <w:pPr>
              <w:rPr>
                <w:sz w:val="20"/>
              </w:rPr>
            </w:pPr>
            <w:proofErr w:type="spellStart"/>
            <w:r w:rsidRPr="00236418">
              <w:rPr>
                <w:sz w:val="20"/>
              </w:rPr>
              <w:t>Rés</w:t>
            </w:r>
            <w:proofErr w:type="spellEnd"/>
            <w:r w:rsidRPr="00236418">
              <w:rPr>
                <w:sz w:val="20"/>
              </w:rPr>
              <w:t>. 41 – 2014</w:t>
            </w:r>
          </w:p>
        </w:tc>
        <w:tc>
          <w:tcPr>
            <w:tcW w:w="1594" w:type="dxa"/>
            <w:noWrap/>
            <w:vAlign w:val="bottom"/>
          </w:tcPr>
          <w:p w14:paraId="05A5734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149 588,50</w:t>
            </w:r>
          </w:p>
        </w:tc>
        <w:tc>
          <w:tcPr>
            <w:tcW w:w="1613" w:type="dxa"/>
            <w:tcBorders>
              <w:top w:val="nil"/>
              <w:left w:val="single" w:sz="4" w:space="0" w:color="auto"/>
              <w:bottom w:val="nil"/>
              <w:right w:val="single" w:sz="4" w:space="0" w:color="auto"/>
            </w:tcBorders>
            <w:noWrap/>
            <w:vAlign w:val="bottom"/>
          </w:tcPr>
          <w:p w14:paraId="37433C3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169 351,80</w:t>
            </w:r>
          </w:p>
        </w:tc>
        <w:tc>
          <w:tcPr>
            <w:tcW w:w="1612" w:type="dxa"/>
            <w:noWrap/>
            <w:vAlign w:val="bottom"/>
          </w:tcPr>
          <w:p w14:paraId="2969B4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574E51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10 161,10</w:t>
            </w:r>
          </w:p>
        </w:tc>
        <w:tc>
          <w:tcPr>
            <w:tcW w:w="1395" w:type="dxa"/>
            <w:tcBorders>
              <w:top w:val="nil"/>
              <w:left w:val="nil"/>
              <w:bottom w:val="nil"/>
              <w:right w:val="single" w:sz="4" w:space="0" w:color="auto"/>
            </w:tcBorders>
            <w:noWrap/>
            <w:vAlign w:val="bottom"/>
          </w:tcPr>
          <w:p w14:paraId="72A9873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6CB49FC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179 512,90</w:t>
            </w:r>
          </w:p>
        </w:tc>
      </w:tr>
      <w:tr w:rsidR="00862C6F" w:rsidRPr="00236418" w14:paraId="3F3DA02E"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18643ACE" w14:textId="77777777" w:rsidR="00862C6F" w:rsidRPr="00236418" w:rsidRDefault="00862C6F" w:rsidP="00862C6F">
            <w:pPr>
              <w:tabs>
                <w:tab w:val="clear" w:pos="567"/>
                <w:tab w:val="clear" w:pos="1134"/>
                <w:tab w:val="clear" w:pos="1701"/>
                <w:tab w:val="clear" w:pos="2268"/>
                <w:tab w:val="clear" w:pos="2835"/>
              </w:tabs>
              <w:spacing w:before="20" w:after="20"/>
              <w:rPr>
                <w:sz w:val="20"/>
              </w:rPr>
            </w:pPr>
            <w:proofErr w:type="spellStart"/>
            <w:r w:rsidRPr="00236418">
              <w:rPr>
                <w:sz w:val="20"/>
              </w:rPr>
              <w:t>Ellipsat</w:t>
            </w:r>
            <w:proofErr w:type="spellEnd"/>
            <w:r w:rsidRPr="00236418">
              <w:rPr>
                <w:sz w:val="20"/>
              </w:rPr>
              <w:t xml:space="preserve"> Inc., États-Unis</w:t>
            </w:r>
          </w:p>
        </w:tc>
        <w:tc>
          <w:tcPr>
            <w:tcW w:w="1701" w:type="dxa"/>
            <w:tcBorders>
              <w:top w:val="nil"/>
              <w:left w:val="single" w:sz="4" w:space="0" w:color="auto"/>
              <w:bottom w:val="nil"/>
              <w:right w:val="single" w:sz="4" w:space="0" w:color="auto"/>
            </w:tcBorders>
            <w:shd w:val="clear" w:color="auto" w:fill="auto"/>
            <w:noWrap/>
            <w:vAlign w:val="bottom"/>
            <w:hideMark/>
          </w:tcPr>
          <w:p w14:paraId="5830BAB7" w14:textId="77777777" w:rsidR="00862C6F" w:rsidRPr="00236418" w:rsidRDefault="00862C6F" w:rsidP="00862C6F">
            <w:pPr>
              <w:rPr>
                <w:sz w:val="20"/>
              </w:rPr>
            </w:pPr>
            <w:proofErr w:type="spellStart"/>
            <w:r w:rsidRPr="00236418">
              <w:rPr>
                <w:sz w:val="20"/>
              </w:rPr>
              <w:t>Rés</w:t>
            </w:r>
            <w:proofErr w:type="spellEnd"/>
            <w:r w:rsidRPr="00236418">
              <w:rPr>
                <w:sz w:val="20"/>
              </w:rPr>
              <w:t>. 41 – 2015</w:t>
            </w:r>
          </w:p>
        </w:tc>
        <w:tc>
          <w:tcPr>
            <w:tcW w:w="1594" w:type="dxa"/>
            <w:noWrap/>
            <w:vAlign w:val="bottom"/>
          </w:tcPr>
          <w:p w14:paraId="6077DC1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27 865,90</w:t>
            </w:r>
          </w:p>
        </w:tc>
        <w:tc>
          <w:tcPr>
            <w:tcW w:w="1613" w:type="dxa"/>
            <w:tcBorders>
              <w:top w:val="nil"/>
              <w:left w:val="single" w:sz="4" w:space="0" w:color="auto"/>
              <w:bottom w:val="nil"/>
              <w:right w:val="single" w:sz="4" w:space="0" w:color="auto"/>
            </w:tcBorders>
            <w:noWrap/>
            <w:vAlign w:val="bottom"/>
          </w:tcPr>
          <w:p w14:paraId="71424CF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29 537,85</w:t>
            </w:r>
          </w:p>
        </w:tc>
        <w:tc>
          <w:tcPr>
            <w:tcW w:w="1612" w:type="dxa"/>
            <w:noWrap/>
            <w:vAlign w:val="bottom"/>
          </w:tcPr>
          <w:p w14:paraId="17909DC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22022F6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1 772,25</w:t>
            </w:r>
          </w:p>
        </w:tc>
        <w:tc>
          <w:tcPr>
            <w:tcW w:w="1395" w:type="dxa"/>
            <w:tcBorders>
              <w:top w:val="nil"/>
              <w:left w:val="nil"/>
              <w:bottom w:val="nil"/>
              <w:right w:val="single" w:sz="4" w:space="0" w:color="auto"/>
            </w:tcBorders>
            <w:noWrap/>
            <w:vAlign w:val="bottom"/>
          </w:tcPr>
          <w:p w14:paraId="48E1D7F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1B26EC2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31 310,10</w:t>
            </w:r>
          </w:p>
        </w:tc>
      </w:tr>
      <w:tr w:rsidR="00862C6F" w:rsidRPr="00236418" w14:paraId="06F61DB4" w14:textId="77777777" w:rsidTr="00620F53">
        <w:trPr>
          <w:trHeight w:val="255"/>
        </w:trPr>
        <w:tc>
          <w:tcPr>
            <w:tcW w:w="3163" w:type="dxa"/>
            <w:tcBorders>
              <w:top w:val="nil"/>
              <w:left w:val="single" w:sz="4" w:space="0" w:color="auto"/>
              <w:bottom w:val="nil"/>
              <w:right w:val="single" w:sz="4" w:space="0" w:color="auto"/>
            </w:tcBorders>
            <w:shd w:val="clear" w:color="auto" w:fill="auto"/>
            <w:vAlign w:val="bottom"/>
            <w:hideMark/>
          </w:tcPr>
          <w:p w14:paraId="3A36D7A8" w14:textId="77777777" w:rsidR="00862C6F" w:rsidRPr="00236418" w:rsidRDefault="00862C6F" w:rsidP="00862C6F">
            <w:pPr>
              <w:tabs>
                <w:tab w:val="clear" w:pos="567"/>
                <w:tab w:val="clear" w:pos="1134"/>
                <w:tab w:val="clear" w:pos="1701"/>
                <w:tab w:val="clear" w:pos="2268"/>
                <w:tab w:val="clear" w:pos="2835"/>
              </w:tabs>
              <w:spacing w:before="20" w:after="20"/>
              <w:rPr>
                <w:sz w:val="20"/>
              </w:rPr>
            </w:pPr>
            <w:r w:rsidRPr="00236418">
              <w:rPr>
                <w:sz w:val="20"/>
              </w:rPr>
              <w:t>Apprentissages sans Frontières, Suisse</w:t>
            </w:r>
          </w:p>
        </w:tc>
        <w:tc>
          <w:tcPr>
            <w:tcW w:w="1701" w:type="dxa"/>
            <w:tcBorders>
              <w:top w:val="nil"/>
              <w:left w:val="single" w:sz="4" w:space="0" w:color="auto"/>
              <w:bottom w:val="nil"/>
              <w:right w:val="single" w:sz="4" w:space="0" w:color="auto"/>
            </w:tcBorders>
            <w:shd w:val="clear" w:color="auto" w:fill="auto"/>
            <w:noWrap/>
            <w:vAlign w:val="bottom"/>
            <w:hideMark/>
          </w:tcPr>
          <w:p w14:paraId="64FC24CA" w14:textId="77777777" w:rsidR="00862C6F" w:rsidRPr="00236418" w:rsidRDefault="00862C6F" w:rsidP="00862C6F">
            <w:pPr>
              <w:rPr>
                <w:sz w:val="20"/>
              </w:rPr>
            </w:pPr>
            <w:proofErr w:type="spellStart"/>
            <w:r w:rsidRPr="00236418">
              <w:rPr>
                <w:sz w:val="20"/>
              </w:rPr>
              <w:t>Rés</w:t>
            </w:r>
            <w:proofErr w:type="spellEnd"/>
            <w:r w:rsidRPr="00236418">
              <w:rPr>
                <w:sz w:val="20"/>
              </w:rPr>
              <w:t>. 41 – 2016</w:t>
            </w:r>
          </w:p>
        </w:tc>
        <w:tc>
          <w:tcPr>
            <w:tcW w:w="1594" w:type="dxa"/>
            <w:noWrap/>
            <w:vAlign w:val="bottom"/>
          </w:tcPr>
          <w:p w14:paraId="381C54A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6 658,15</w:t>
            </w:r>
          </w:p>
        </w:tc>
        <w:tc>
          <w:tcPr>
            <w:tcW w:w="1613" w:type="dxa"/>
            <w:tcBorders>
              <w:top w:val="nil"/>
              <w:left w:val="single" w:sz="4" w:space="0" w:color="auto"/>
              <w:bottom w:val="nil"/>
              <w:right w:val="single" w:sz="4" w:space="0" w:color="auto"/>
            </w:tcBorders>
            <w:noWrap/>
            <w:vAlign w:val="bottom"/>
          </w:tcPr>
          <w:p w14:paraId="31E7E9B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7 705,55</w:t>
            </w:r>
          </w:p>
        </w:tc>
        <w:tc>
          <w:tcPr>
            <w:tcW w:w="1612" w:type="dxa"/>
            <w:noWrap/>
            <w:vAlign w:val="bottom"/>
          </w:tcPr>
          <w:p w14:paraId="28FD54D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324" w:type="dxa"/>
            <w:tcBorders>
              <w:top w:val="nil"/>
              <w:left w:val="single" w:sz="4" w:space="0" w:color="auto"/>
              <w:bottom w:val="nil"/>
              <w:right w:val="single" w:sz="4" w:space="0" w:color="auto"/>
            </w:tcBorders>
            <w:noWrap/>
            <w:vAlign w:val="bottom"/>
          </w:tcPr>
          <w:p w14:paraId="19AD7E2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462,35</w:t>
            </w:r>
          </w:p>
        </w:tc>
        <w:tc>
          <w:tcPr>
            <w:tcW w:w="1395" w:type="dxa"/>
            <w:tcBorders>
              <w:top w:val="nil"/>
              <w:left w:val="nil"/>
              <w:bottom w:val="nil"/>
              <w:right w:val="single" w:sz="4" w:space="0" w:color="auto"/>
            </w:tcBorders>
            <w:noWrap/>
            <w:vAlign w:val="bottom"/>
          </w:tcPr>
          <w:p w14:paraId="2FCD45C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0,00</w:t>
            </w:r>
          </w:p>
        </w:tc>
        <w:tc>
          <w:tcPr>
            <w:tcW w:w="1512" w:type="dxa"/>
            <w:tcBorders>
              <w:top w:val="nil"/>
              <w:left w:val="nil"/>
              <w:bottom w:val="nil"/>
              <w:right w:val="single" w:sz="4" w:space="0" w:color="auto"/>
            </w:tcBorders>
            <w:noWrap/>
            <w:vAlign w:val="bottom"/>
          </w:tcPr>
          <w:p w14:paraId="70FBCD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rFonts w:cs="Calibri"/>
                <w:sz w:val="20"/>
                <w:lang w:eastAsia="en-GB"/>
              </w:rPr>
              <w:t>8 167,90</w:t>
            </w:r>
          </w:p>
        </w:tc>
      </w:tr>
      <w:tr w:rsidR="00862C6F" w:rsidRPr="00236418" w14:paraId="1A73C4DF" w14:textId="77777777" w:rsidTr="00620F53">
        <w:trPr>
          <w:trHeight w:val="255"/>
        </w:trPr>
        <w:tc>
          <w:tcPr>
            <w:tcW w:w="3163" w:type="dxa"/>
            <w:tcBorders>
              <w:top w:val="nil"/>
              <w:left w:val="single" w:sz="4" w:space="0" w:color="auto"/>
              <w:bottom w:val="single" w:sz="4" w:space="0" w:color="auto"/>
              <w:right w:val="single" w:sz="4" w:space="0" w:color="auto"/>
            </w:tcBorders>
            <w:shd w:val="clear" w:color="auto" w:fill="auto"/>
            <w:noWrap/>
            <w:vAlign w:val="bottom"/>
          </w:tcPr>
          <w:p w14:paraId="2ADE3BDD" w14:textId="77777777" w:rsidR="00862C6F" w:rsidRPr="00236418" w:rsidRDefault="00862C6F" w:rsidP="00862C6F">
            <w:pPr>
              <w:tabs>
                <w:tab w:val="clear" w:pos="567"/>
                <w:tab w:val="clear" w:pos="1134"/>
                <w:tab w:val="clear" w:pos="1701"/>
                <w:tab w:val="clear" w:pos="2268"/>
                <w:tab w:val="clear" w:pos="2835"/>
              </w:tabs>
              <w:spacing w:before="20" w:after="20"/>
              <w:rPr>
                <w:sz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AAB4CFA" w14:textId="77777777" w:rsidR="00862C6F" w:rsidRPr="00236418" w:rsidRDefault="00862C6F" w:rsidP="00862C6F">
            <w:pPr>
              <w:rPr>
                <w:rFonts w:ascii="Times New Roman" w:hAnsi="Times New Roman"/>
                <w:sz w:val="20"/>
              </w:rPr>
            </w:pPr>
          </w:p>
        </w:tc>
        <w:tc>
          <w:tcPr>
            <w:tcW w:w="1594" w:type="dxa"/>
            <w:tcBorders>
              <w:top w:val="nil"/>
              <w:left w:val="single" w:sz="4" w:space="0" w:color="auto"/>
              <w:bottom w:val="single" w:sz="4" w:space="0" w:color="auto"/>
              <w:right w:val="single" w:sz="4" w:space="0" w:color="auto"/>
            </w:tcBorders>
            <w:shd w:val="clear" w:color="auto" w:fill="auto"/>
            <w:noWrap/>
            <w:vAlign w:val="bottom"/>
          </w:tcPr>
          <w:p w14:paraId="08B4D56F" w14:textId="77777777" w:rsidR="00862C6F" w:rsidRPr="00236418" w:rsidRDefault="00862C6F" w:rsidP="00862C6F">
            <w:pPr>
              <w:rPr>
                <w:rFonts w:ascii="Times New Roman" w:hAnsi="Times New Roman"/>
                <w:sz w:val="20"/>
              </w:rPr>
            </w:pPr>
          </w:p>
        </w:tc>
        <w:tc>
          <w:tcPr>
            <w:tcW w:w="1613" w:type="dxa"/>
            <w:tcBorders>
              <w:top w:val="nil"/>
              <w:left w:val="single" w:sz="4" w:space="0" w:color="auto"/>
              <w:bottom w:val="single" w:sz="4" w:space="0" w:color="auto"/>
              <w:right w:val="single" w:sz="4" w:space="0" w:color="auto"/>
            </w:tcBorders>
            <w:shd w:val="clear" w:color="auto" w:fill="auto"/>
            <w:noWrap/>
            <w:vAlign w:val="bottom"/>
          </w:tcPr>
          <w:p w14:paraId="1C6CC929" w14:textId="77777777" w:rsidR="00862C6F" w:rsidRPr="00236418" w:rsidRDefault="00862C6F" w:rsidP="00862C6F">
            <w:pPr>
              <w:rPr>
                <w:rFonts w:ascii="Times New Roman" w:hAnsi="Times New Roman"/>
                <w:sz w:val="20"/>
              </w:rPr>
            </w:pPr>
          </w:p>
        </w:tc>
        <w:tc>
          <w:tcPr>
            <w:tcW w:w="1612" w:type="dxa"/>
            <w:tcBorders>
              <w:top w:val="nil"/>
              <w:left w:val="single" w:sz="4" w:space="0" w:color="auto"/>
              <w:bottom w:val="single" w:sz="4" w:space="0" w:color="auto"/>
              <w:right w:val="single" w:sz="4" w:space="0" w:color="auto"/>
            </w:tcBorders>
            <w:shd w:val="clear" w:color="auto" w:fill="auto"/>
            <w:noWrap/>
            <w:vAlign w:val="bottom"/>
          </w:tcPr>
          <w:p w14:paraId="146DE876" w14:textId="77777777" w:rsidR="00862C6F" w:rsidRPr="00236418" w:rsidRDefault="00862C6F" w:rsidP="00862C6F">
            <w:pPr>
              <w:rPr>
                <w:rFonts w:ascii="Times New Roman" w:hAnsi="Times New Roman"/>
                <w:sz w:val="20"/>
              </w:rPr>
            </w:pP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577BC40B" w14:textId="77777777" w:rsidR="00862C6F" w:rsidRPr="00236418" w:rsidRDefault="00862C6F" w:rsidP="00862C6F">
            <w:pPr>
              <w:rPr>
                <w:rFonts w:ascii="Times New Roman" w:hAnsi="Times New Roman"/>
                <w:sz w:val="20"/>
              </w:rPr>
            </w:pP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421CB748" w14:textId="77777777" w:rsidR="00862C6F" w:rsidRPr="00236418" w:rsidRDefault="00862C6F" w:rsidP="00862C6F">
            <w:pPr>
              <w:rPr>
                <w:rFonts w:ascii="Times New Roman" w:hAnsi="Times New Roman"/>
                <w:sz w:val="20"/>
              </w:rPr>
            </w:pPr>
          </w:p>
        </w:tc>
        <w:tc>
          <w:tcPr>
            <w:tcW w:w="1512" w:type="dxa"/>
            <w:tcBorders>
              <w:top w:val="nil"/>
              <w:left w:val="single" w:sz="4" w:space="0" w:color="auto"/>
              <w:bottom w:val="single" w:sz="4" w:space="0" w:color="auto"/>
              <w:right w:val="single" w:sz="4" w:space="0" w:color="auto"/>
            </w:tcBorders>
            <w:shd w:val="clear" w:color="auto" w:fill="auto"/>
            <w:noWrap/>
            <w:vAlign w:val="bottom"/>
          </w:tcPr>
          <w:p w14:paraId="62B02477" w14:textId="77777777" w:rsidR="00862C6F" w:rsidRPr="00236418" w:rsidRDefault="00862C6F" w:rsidP="00862C6F">
            <w:pPr>
              <w:rPr>
                <w:rFonts w:ascii="Times New Roman" w:hAnsi="Times New Roman"/>
                <w:sz w:val="20"/>
              </w:rPr>
            </w:pPr>
          </w:p>
        </w:tc>
      </w:tr>
      <w:tr w:rsidR="00862C6F" w:rsidRPr="00236418" w14:paraId="62586FDF" w14:textId="77777777" w:rsidTr="00620F53">
        <w:trPr>
          <w:trHeight w:val="255"/>
        </w:trPr>
        <w:tc>
          <w:tcPr>
            <w:tcW w:w="3163" w:type="dxa"/>
            <w:tcBorders>
              <w:top w:val="single" w:sz="4" w:space="0" w:color="auto"/>
              <w:left w:val="single" w:sz="4" w:space="0" w:color="auto"/>
              <w:bottom w:val="single" w:sz="4" w:space="0" w:color="auto"/>
              <w:right w:val="nil"/>
            </w:tcBorders>
            <w:shd w:val="clear" w:color="auto" w:fill="auto"/>
            <w:noWrap/>
            <w:vAlign w:val="bottom"/>
            <w:hideMark/>
          </w:tcPr>
          <w:p w14:paraId="6654581B" w14:textId="77777777" w:rsidR="00862C6F" w:rsidRPr="00236418" w:rsidRDefault="00862C6F" w:rsidP="00862C6F">
            <w:pPr>
              <w:rPr>
                <w:b/>
                <w:bCs/>
                <w:sz w:val="20"/>
              </w:rPr>
            </w:pPr>
            <w:r w:rsidRPr="00236418">
              <w:rPr>
                <w:b/>
                <w:bCs/>
                <w:sz w:val="20"/>
              </w:rPr>
              <w:t>Total au 31 décembre 2019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C4ED62" w14:textId="77777777" w:rsidR="00862C6F" w:rsidRPr="00236418" w:rsidRDefault="00862C6F" w:rsidP="00862C6F">
            <w:pPr>
              <w:rPr>
                <w:b/>
                <w:bCs/>
                <w:sz w:val="20"/>
              </w:rPr>
            </w:pPr>
          </w:p>
        </w:tc>
        <w:tc>
          <w:tcPr>
            <w:tcW w:w="1594" w:type="dxa"/>
            <w:tcBorders>
              <w:top w:val="nil"/>
              <w:left w:val="nil"/>
              <w:bottom w:val="single" w:sz="4" w:space="0" w:color="auto"/>
              <w:right w:val="nil"/>
            </w:tcBorders>
            <w:noWrap/>
            <w:vAlign w:val="bottom"/>
          </w:tcPr>
          <w:p w14:paraId="39D39FD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14 172 050,79</w:t>
            </w:r>
          </w:p>
        </w:tc>
        <w:tc>
          <w:tcPr>
            <w:tcW w:w="1613" w:type="dxa"/>
            <w:tcBorders>
              <w:top w:val="nil"/>
              <w:left w:val="single" w:sz="4" w:space="0" w:color="auto"/>
              <w:bottom w:val="single" w:sz="4" w:space="0" w:color="auto"/>
              <w:right w:val="single" w:sz="4" w:space="0" w:color="auto"/>
            </w:tcBorders>
            <w:noWrap/>
            <w:vAlign w:val="bottom"/>
          </w:tcPr>
          <w:p w14:paraId="06A6FF4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2 110 983,98</w:t>
            </w:r>
          </w:p>
        </w:tc>
        <w:tc>
          <w:tcPr>
            <w:tcW w:w="1612" w:type="dxa"/>
            <w:tcBorders>
              <w:top w:val="nil"/>
              <w:left w:val="nil"/>
              <w:bottom w:val="single" w:sz="4" w:space="0" w:color="auto"/>
              <w:right w:val="nil"/>
            </w:tcBorders>
            <w:noWrap/>
            <w:vAlign w:val="bottom"/>
          </w:tcPr>
          <w:p w14:paraId="4F9B0A6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12 382 405,51</w:t>
            </w:r>
          </w:p>
        </w:tc>
        <w:tc>
          <w:tcPr>
            <w:tcW w:w="1324" w:type="dxa"/>
            <w:tcBorders>
              <w:top w:val="nil"/>
              <w:left w:val="single" w:sz="4" w:space="0" w:color="auto"/>
              <w:bottom w:val="single" w:sz="4" w:space="0" w:color="auto"/>
              <w:right w:val="single" w:sz="4" w:space="0" w:color="auto"/>
            </w:tcBorders>
            <w:noWrap/>
            <w:vAlign w:val="bottom"/>
          </w:tcPr>
          <w:p w14:paraId="09EBB8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150 504,15</w:t>
            </w:r>
          </w:p>
        </w:tc>
        <w:tc>
          <w:tcPr>
            <w:tcW w:w="1395" w:type="dxa"/>
            <w:tcBorders>
              <w:top w:val="nil"/>
              <w:left w:val="nil"/>
              <w:bottom w:val="single" w:sz="4" w:space="0" w:color="auto"/>
              <w:right w:val="nil"/>
            </w:tcBorders>
            <w:noWrap/>
            <w:vAlign w:val="bottom"/>
          </w:tcPr>
          <w:p w14:paraId="3319F20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0,00</w:t>
            </w:r>
          </w:p>
        </w:tc>
        <w:tc>
          <w:tcPr>
            <w:tcW w:w="1512" w:type="dxa"/>
            <w:tcBorders>
              <w:top w:val="nil"/>
              <w:left w:val="single" w:sz="4" w:space="0" w:color="auto"/>
              <w:bottom w:val="single" w:sz="4" w:space="0" w:color="auto"/>
              <w:right w:val="single" w:sz="4" w:space="0" w:color="auto"/>
            </w:tcBorders>
            <w:noWrap/>
            <w:vAlign w:val="bottom"/>
          </w:tcPr>
          <w:p w14:paraId="05672DE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236418">
              <w:rPr>
                <w:rFonts w:cs="Calibri"/>
                <w:b/>
                <w:bCs/>
                <w:sz w:val="20"/>
                <w:u w:val="single"/>
                <w:lang w:eastAsia="en-GB"/>
              </w:rPr>
              <w:t>14 643 893,64</w:t>
            </w:r>
          </w:p>
        </w:tc>
      </w:tr>
    </w:tbl>
    <w:p w14:paraId="75C8BB5D" w14:textId="77777777" w:rsidR="00862C6F" w:rsidRPr="00236418" w:rsidRDefault="00862C6F" w:rsidP="00862C6F">
      <w:pPr>
        <w:sectPr w:rsidR="00862C6F" w:rsidRPr="00236418" w:rsidSect="00620F53">
          <w:headerReference w:type="default" r:id="rId78"/>
          <w:footerReference w:type="default" r:id="rId79"/>
          <w:pgSz w:w="16840" w:h="11907" w:orient="landscape" w:code="9"/>
          <w:pgMar w:top="1134" w:right="1418" w:bottom="1134" w:left="1418" w:header="720" w:footer="720" w:gutter="0"/>
          <w:cols w:space="708"/>
          <w:docGrid w:linePitch="360"/>
        </w:sectPr>
      </w:pPr>
    </w:p>
    <w:p w14:paraId="30C8DA91" w14:textId="77777777" w:rsidR="00862C6F" w:rsidRPr="00236418" w:rsidRDefault="00862C6F" w:rsidP="00862C6F">
      <w:pPr>
        <w:spacing w:before="240" w:after="240"/>
        <w:jc w:val="center"/>
        <w:rPr>
          <w:b/>
          <w:sz w:val="28"/>
        </w:rPr>
      </w:pPr>
      <w:r w:rsidRPr="00236418">
        <w:rPr>
          <w:b/>
          <w:sz w:val="28"/>
        </w:rPr>
        <w:lastRenderedPageBreak/>
        <w:t xml:space="preserve">Montants dus concernant les factures établies pour </w:t>
      </w:r>
      <w:r w:rsidRPr="00236418">
        <w:rPr>
          <w:b/>
          <w:sz w:val="28"/>
        </w:rPr>
        <w:br/>
        <w:t>les fiches de notification des réseaux à satellite</w:t>
      </w:r>
    </w:p>
    <w:tbl>
      <w:tblPr>
        <w:tblW w:w="9880" w:type="dxa"/>
        <w:jc w:val="center"/>
        <w:tblLook w:val="04A0" w:firstRow="1" w:lastRow="0" w:firstColumn="1" w:lastColumn="0" w:noHBand="0" w:noVBand="1"/>
        <w:tblCaption w:val="MONTANTS DUS CONCERNANT LES FACTURES ÉTABLIES POUR LES FICHES DE NOTIFICATION DES RÉSEAUX À SATELLITE"/>
      </w:tblPr>
      <w:tblGrid>
        <w:gridCol w:w="3201"/>
        <w:gridCol w:w="4113"/>
        <w:gridCol w:w="1176"/>
        <w:gridCol w:w="1390"/>
      </w:tblGrid>
      <w:tr w:rsidR="00862C6F" w:rsidRPr="00236418" w14:paraId="2878C5C0" w14:textId="77777777" w:rsidTr="00620F53">
        <w:trPr>
          <w:trHeight w:val="30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hideMark/>
          </w:tcPr>
          <w:p w14:paraId="2475C937"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Administration notificatrice</w:t>
            </w:r>
          </w:p>
        </w:tc>
        <w:tc>
          <w:tcPr>
            <w:tcW w:w="4113" w:type="dxa"/>
            <w:tcBorders>
              <w:top w:val="single" w:sz="4" w:space="0" w:color="auto"/>
              <w:left w:val="nil"/>
              <w:bottom w:val="single" w:sz="4" w:space="0" w:color="auto"/>
              <w:right w:val="single" w:sz="4" w:space="0" w:color="auto"/>
            </w:tcBorders>
            <w:shd w:val="clear" w:color="auto" w:fill="auto"/>
            <w:noWrap/>
            <w:hideMark/>
          </w:tcPr>
          <w:p w14:paraId="55B502F8"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Entité exploitante</w:t>
            </w:r>
          </w:p>
        </w:tc>
        <w:tc>
          <w:tcPr>
            <w:tcW w:w="1176" w:type="dxa"/>
            <w:tcBorders>
              <w:top w:val="single" w:sz="4" w:space="0" w:color="auto"/>
              <w:left w:val="nil"/>
              <w:bottom w:val="single" w:sz="4" w:space="0" w:color="auto"/>
              <w:right w:val="single" w:sz="4" w:space="0" w:color="auto"/>
            </w:tcBorders>
            <w:shd w:val="clear" w:color="auto" w:fill="auto"/>
            <w:noWrap/>
            <w:hideMark/>
          </w:tcPr>
          <w:p w14:paraId="1C3FC295"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Année</w:t>
            </w:r>
          </w:p>
        </w:tc>
        <w:tc>
          <w:tcPr>
            <w:tcW w:w="1390" w:type="dxa"/>
            <w:tcBorders>
              <w:top w:val="single" w:sz="4" w:space="0" w:color="auto"/>
              <w:left w:val="nil"/>
              <w:bottom w:val="single" w:sz="4" w:space="0" w:color="auto"/>
              <w:right w:val="single" w:sz="4" w:space="0" w:color="auto"/>
            </w:tcBorders>
            <w:shd w:val="clear" w:color="auto" w:fill="auto"/>
            <w:noWrap/>
            <w:hideMark/>
          </w:tcPr>
          <w:p w14:paraId="5518837A"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Montant dû en CHF</w:t>
            </w:r>
          </w:p>
        </w:tc>
      </w:tr>
      <w:tr w:rsidR="00862C6F" w:rsidRPr="00236418" w14:paraId="4313643E" w14:textId="77777777" w:rsidTr="00620F53">
        <w:trPr>
          <w:trHeight w:val="6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3C4715D7"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Nigéria</w:t>
            </w:r>
          </w:p>
        </w:tc>
        <w:tc>
          <w:tcPr>
            <w:tcW w:w="4113" w:type="dxa"/>
            <w:tcBorders>
              <w:top w:val="nil"/>
              <w:left w:val="nil"/>
              <w:bottom w:val="nil"/>
              <w:right w:val="single" w:sz="4" w:space="0" w:color="auto"/>
            </w:tcBorders>
            <w:shd w:val="clear" w:color="auto" w:fill="auto"/>
            <w:hideMark/>
          </w:tcPr>
          <w:p w14:paraId="0E1DB0B3"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color w:val="000000"/>
                <w:sz w:val="22"/>
              </w:rPr>
              <w:t>Ministère fédéral des technologies de la communication</w:t>
            </w:r>
            <w:r w:rsidRPr="00236418">
              <w:rPr>
                <w:sz w:val="22"/>
              </w:rPr>
              <w:t>, Abuja</w:t>
            </w:r>
          </w:p>
        </w:tc>
        <w:tc>
          <w:tcPr>
            <w:tcW w:w="1176" w:type="dxa"/>
            <w:tcBorders>
              <w:top w:val="nil"/>
              <w:left w:val="nil"/>
              <w:bottom w:val="nil"/>
              <w:right w:val="single" w:sz="4" w:space="0" w:color="auto"/>
            </w:tcBorders>
            <w:shd w:val="clear" w:color="auto" w:fill="auto"/>
            <w:noWrap/>
            <w:vAlign w:val="center"/>
            <w:hideMark/>
          </w:tcPr>
          <w:p w14:paraId="2410837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2012</w:t>
            </w:r>
          </w:p>
        </w:tc>
        <w:tc>
          <w:tcPr>
            <w:tcW w:w="1390" w:type="dxa"/>
            <w:tcBorders>
              <w:top w:val="nil"/>
              <w:left w:val="nil"/>
              <w:bottom w:val="nil"/>
              <w:right w:val="single" w:sz="4" w:space="0" w:color="auto"/>
            </w:tcBorders>
            <w:shd w:val="clear" w:color="auto" w:fill="auto"/>
            <w:noWrap/>
            <w:vAlign w:val="center"/>
            <w:hideMark/>
          </w:tcPr>
          <w:p w14:paraId="28904E2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2 302,25</w:t>
            </w:r>
          </w:p>
        </w:tc>
      </w:tr>
      <w:tr w:rsidR="00862C6F" w:rsidRPr="00236418" w14:paraId="06F390B0" w14:textId="77777777" w:rsidTr="00620F53">
        <w:trPr>
          <w:trHeight w:val="121"/>
          <w:jc w:val="center"/>
        </w:trPr>
        <w:tc>
          <w:tcPr>
            <w:tcW w:w="3201" w:type="dxa"/>
            <w:tcBorders>
              <w:top w:val="nil"/>
              <w:left w:val="single" w:sz="4" w:space="0" w:color="auto"/>
              <w:bottom w:val="nil"/>
              <w:right w:val="single" w:sz="4" w:space="0" w:color="auto"/>
            </w:tcBorders>
            <w:shd w:val="clear" w:color="auto" w:fill="auto"/>
            <w:noWrap/>
            <w:vAlign w:val="center"/>
          </w:tcPr>
          <w:p w14:paraId="59F98732" w14:textId="77777777" w:rsidR="00862C6F" w:rsidRPr="00236418" w:rsidRDefault="00862C6F" w:rsidP="00862C6F">
            <w:pPr>
              <w:tabs>
                <w:tab w:val="clear" w:pos="567"/>
                <w:tab w:val="clear" w:pos="1134"/>
                <w:tab w:val="clear" w:pos="1701"/>
                <w:tab w:val="clear" w:pos="2268"/>
                <w:tab w:val="clear" w:pos="2835"/>
              </w:tabs>
              <w:spacing w:before="60" w:after="60"/>
              <w:rPr>
                <w:b/>
                <w:bCs/>
                <w:sz w:val="12"/>
                <w:szCs w:val="12"/>
              </w:rPr>
            </w:pPr>
          </w:p>
        </w:tc>
        <w:tc>
          <w:tcPr>
            <w:tcW w:w="4113" w:type="dxa"/>
            <w:tcBorders>
              <w:top w:val="nil"/>
              <w:left w:val="nil"/>
              <w:bottom w:val="nil"/>
              <w:right w:val="single" w:sz="4" w:space="0" w:color="auto"/>
            </w:tcBorders>
            <w:shd w:val="clear" w:color="auto" w:fill="auto"/>
            <w:noWrap/>
          </w:tcPr>
          <w:p w14:paraId="54C47FD9" w14:textId="77777777" w:rsidR="00862C6F" w:rsidRPr="00236418" w:rsidRDefault="00862C6F" w:rsidP="00862C6F">
            <w:pPr>
              <w:tabs>
                <w:tab w:val="clear" w:pos="567"/>
                <w:tab w:val="clear" w:pos="1134"/>
                <w:tab w:val="clear" w:pos="1701"/>
                <w:tab w:val="clear" w:pos="2268"/>
                <w:tab w:val="clear" w:pos="2835"/>
              </w:tabs>
              <w:spacing w:before="60" w:after="60"/>
              <w:rPr>
                <w:sz w:val="12"/>
                <w:szCs w:val="12"/>
              </w:rPr>
            </w:pPr>
          </w:p>
        </w:tc>
        <w:tc>
          <w:tcPr>
            <w:tcW w:w="1176" w:type="dxa"/>
            <w:tcBorders>
              <w:top w:val="nil"/>
              <w:left w:val="nil"/>
              <w:bottom w:val="nil"/>
              <w:right w:val="single" w:sz="4" w:space="0" w:color="auto"/>
            </w:tcBorders>
            <w:shd w:val="clear" w:color="auto" w:fill="auto"/>
            <w:noWrap/>
            <w:vAlign w:val="center"/>
          </w:tcPr>
          <w:p w14:paraId="11699D3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12"/>
                <w:szCs w:val="12"/>
              </w:rPr>
            </w:pPr>
          </w:p>
        </w:tc>
        <w:tc>
          <w:tcPr>
            <w:tcW w:w="1390" w:type="dxa"/>
            <w:tcBorders>
              <w:top w:val="nil"/>
              <w:left w:val="nil"/>
              <w:bottom w:val="nil"/>
              <w:right w:val="single" w:sz="4" w:space="0" w:color="auto"/>
            </w:tcBorders>
            <w:shd w:val="clear" w:color="auto" w:fill="auto"/>
            <w:noWrap/>
            <w:vAlign w:val="center"/>
          </w:tcPr>
          <w:p w14:paraId="1BC2459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12"/>
                <w:szCs w:val="12"/>
              </w:rPr>
            </w:pPr>
          </w:p>
        </w:tc>
      </w:tr>
      <w:tr w:rsidR="00862C6F" w:rsidRPr="00236418" w14:paraId="1F2A37F6" w14:textId="77777777" w:rsidTr="00620F53">
        <w:trPr>
          <w:trHeight w:val="3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49026E94"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Fédération de Russie</w:t>
            </w:r>
          </w:p>
        </w:tc>
        <w:tc>
          <w:tcPr>
            <w:tcW w:w="4113" w:type="dxa"/>
            <w:tcBorders>
              <w:top w:val="nil"/>
              <w:left w:val="nil"/>
              <w:bottom w:val="nil"/>
              <w:right w:val="single" w:sz="4" w:space="0" w:color="auto"/>
            </w:tcBorders>
            <w:shd w:val="clear" w:color="auto" w:fill="auto"/>
            <w:noWrap/>
            <w:hideMark/>
          </w:tcPr>
          <w:p w14:paraId="7D58F7E8" w14:textId="77777777" w:rsidR="00862C6F" w:rsidRPr="00596807" w:rsidRDefault="00862C6F" w:rsidP="00862C6F">
            <w:pPr>
              <w:tabs>
                <w:tab w:val="clear" w:pos="567"/>
                <w:tab w:val="clear" w:pos="1134"/>
                <w:tab w:val="clear" w:pos="1701"/>
                <w:tab w:val="clear" w:pos="2268"/>
                <w:tab w:val="clear" w:pos="2835"/>
              </w:tabs>
              <w:spacing w:before="60" w:after="60"/>
              <w:rPr>
                <w:sz w:val="22"/>
                <w:lang w:val="en-US"/>
              </w:rPr>
            </w:pPr>
            <w:r w:rsidRPr="00596807">
              <w:rPr>
                <w:sz w:val="22"/>
                <w:lang w:val="en-US"/>
              </w:rPr>
              <w:t xml:space="preserve">EA SAT Closed Joint Stock Company, </w:t>
            </w:r>
            <w:proofErr w:type="spellStart"/>
            <w:r w:rsidRPr="00596807">
              <w:rPr>
                <w:sz w:val="22"/>
                <w:lang w:val="en-US"/>
              </w:rPr>
              <w:t>Moscou</w:t>
            </w:r>
            <w:proofErr w:type="spellEnd"/>
          </w:p>
        </w:tc>
        <w:tc>
          <w:tcPr>
            <w:tcW w:w="1176" w:type="dxa"/>
            <w:tcBorders>
              <w:top w:val="nil"/>
              <w:left w:val="nil"/>
              <w:bottom w:val="nil"/>
              <w:right w:val="single" w:sz="4" w:space="0" w:color="auto"/>
            </w:tcBorders>
            <w:shd w:val="clear" w:color="auto" w:fill="auto"/>
            <w:noWrap/>
            <w:vAlign w:val="center"/>
            <w:hideMark/>
          </w:tcPr>
          <w:p w14:paraId="592B7EC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2014</w:t>
            </w:r>
          </w:p>
        </w:tc>
        <w:tc>
          <w:tcPr>
            <w:tcW w:w="1390" w:type="dxa"/>
            <w:tcBorders>
              <w:top w:val="nil"/>
              <w:left w:val="nil"/>
              <w:bottom w:val="nil"/>
              <w:right w:val="single" w:sz="4" w:space="0" w:color="auto"/>
            </w:tcBorders>
            <w:shd w:val="clear" w:color="auto" w:fill="auto"/>
            <w:noWrap/>
            <w:vAlign w:val="center"/>
            <w:hideMark/>
          </w:tcPr>
          <w:p w14:paraId="74ACAB08"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98 794,70</w:t>
            </w:r>
          </w:p>
        </w:tc>
      </w:tr>
      <w:tr w:rsidR="00862C6F" w:rsidRPr="00236418" w14:paraId="10B70152" w14:textId="77777777" w:rsidTr="00620F53">
        <w:trPr>
          <w:trHeight w:val="300"/>
          <w:jc w:val="center"/>
        </w:trPr>
        <w:tc>
          <w:tcPr>
            <w:tcW w:w="3201" w:type="dxa"/>
            <w:tcBorders>
              <w:top w:val="nil"/>
              <w:left w:val="single" w:sz="4" w:space="0" w:color="auto"/>
              <w:right w:val="single" w:sz="4" w:space="0" w:color="auto"/>
            </w:tcBorders>
            <w:shd w:val="clear" w:color="auto" w:fill="auto"/>
            <w:noWrap/>
            <w:vAlign w:val="center"/>
          </w:tcPr>
          <w:p w14:paraId="31B19B21" w14:textId="77777777" w:rsidR="00862C6F" w:rsidRPr="00236418" w:rsidRDefault="00862C6F" w:rsidP="00862C6F">
            <w:pPr>
              <w:tabs>
                <w:tab w:val="clear" w:pos="567"/>
                <w:tab w:val="clear" w:pos="1134"/>
                <w:tab w:val="clear" w:pos="1701"/>
                <w:tab w:val="clear" w:pos="2268"/>
                <w:tab w:val="clear" w:pos="2835"/>
              </w:tabs>
              <w:spacing w:before="60" w:after="60"/>
              <w:rPr>
                <w:b/>
                <w:bCs/>
                <w:sz w:val="12"/>
                <w:szCs w:val="12"/>
              </w:rPr>
            </w:pPr>
          </w:p>
        </w:tc>
        <w:tc>
          <w:tcPr>
            <w:tcW w:w="4113" w:type="dxa"/>
            <w:tcBorders>
              <w:top w:val="nil"/>
              <w:left w:val="nil"/>
              <w:right w:val="single" w:sz="4" w:space="0" w:color="auto"/>
            </w:tcBorders>
            <w:shd w:val="clear" w:color="auto" w:fill="auto"/>
            <w:noWrap/>
          </w:tcPr>
          <w:p w14:paraId="059914C3" w14:textId="77777777" w:rsidR="00862C6F" w:rsidRPr="00236418" w:rsidRDefault="00862C6F" w:rsidP="00862C6F">
            <w:pPr>
              <w:tabs>
                <w:tab w:val="clear" w:pos="567"/>
                <w:tab w:val="clear" w:pos="1134"/>
                <w:tab w:val="clear" w:pos="1701"/>
                <w:tab w:val="clear" w:pos="2268"/>
                <w:tab w:val="clear" w:pos="2835"/>
              </w:tabs>
              <w:spacing w:before="60" w:after="60"/>
              <w:rPr>
                <w:sz w:val="12"/>
                <w:szCs w:val="12"/>
              </w:rPr>
            </w:pPr>
          </w:p>
        </w:tc>
        <w:tc>
          <w:tcPr>
            <w:tcW w:w="1176" w:type="dxa"/>
            <w:tcBorders>
              <w:top w:val="nil"/>
              <w:left w:val="nil"/>
              <w:right w:val="single" w:sz="4" w:space="0" w:color="auto"/>
            </w:tcBorders>
            <w:shd w:val="clear" w:color="auto" w:fill="auto"/>
            <w:noWrap/>
            <w:vAlign w:val="center"/>
          </w:tcPr>
          <w:p w14:paraId="5CBE3329"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12"/>
                <w:szCs w:val="12"/>
              </w:rPr>
            </w:pPr>
          </w:p>
        </w:tc>
        <w:tc>
          <w:tcPr>
            <w:tcW w:w="1390" w:type="dxa"/>
            <w:tcBorders>
              <w:top w:val="nil"/>
              <w:left w:val="nil"/>
              <w:right w:val="single" w:sz="4" w:space="0" w:color="auto"/>
            </w:tcBorders>
            <w:shd w:val="clear" w:color="auto" w:fill="auto"/>
            <w:noWrap/>
            <w:vAlign w:val="center"/>
          </w:tcPr>
          <w:p w14:paraId="07BDA03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12"/>
                <w:szCs w:val="12"/>
              </w:rPr>
            </w:pPr>
          </w:p>
        </w:tc>
      </w:tr>
      <w:tr w:rsidR="00862C6F" w:rsidRPr="00236418" w14:paraId="6C46CE20" w14:textId="77777777" w:rsidTr="00620F53">
        <w:trPr>
          <w:trHeight w:val="300"/>
          <w:jc w:val="center"/>
        </w:trPr>
        <w:tc>
          <w:tcPr>
            <w:tcW w:w="3201" w:type="dxa"/>
            <w:tcBorders>
              <w:left w:val="single" w:sz="4" w:space="0" w:color="auto"/>
              <w:right w:val="single" w:sz="4" w:space="0" w:color="auto"/>
            </w:tcBorders>
            <w:shd w:val="clear" w:color="auto" w:fill="auto"/>
            <w:noWrap/>
            <w:vAlign w:val="center"/>
            <w:hideMark/>
          </w:tcPr>
          <w:p w14:paraId="57BA5CE3"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États-Unis d'Amérique</w:t>
            </w:r>
          </w:p>
        </w:tc>
        <w:tc>
          <w:tcPr>
            <w:tcW w:w="4113" w:type="dxa"/>
            <w:tcBorders>
              <w:left w:val="nil"/>
              <w:right w:val="single" w:sz="4" w:space="0" w:color="auto"/>
            </w:tcBorders>
            <w:shd w:val="clear" w:color="auto" w:fill="auto"/>
            <w:noWrap/>
            <w:hideMark/>
          </w:tcPr>
          <w:p w14:paraId="238A4FDA"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 xml:space="preserve">Leading Technologies, LLC </w:t>
            </w:r>
          </w:p>
        </w:tc>
        <w:tc>
          <w:tcPr>
            <w:tcW w:w="1176" w:type="dxa"/>
            <w:tcBorders>
              <w:left w:val="nil"/>
              <w:right w:val="single" w:sz="4" w:space="0" w:color="auto"/>
            </w:tcBorders>
            <w:shd w:val="clear" w:color="auto" w:fill="auto"/>
            <w:noWrap/>
            <w:vAlign w:val="center"/>
            <w:hideMark/>
          </w:tcPr>
          <w:p w14:paraId="0C261A71"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2008-2009</w:t>
            </w:r>
          </w:p>
        </w:tc>
        <w:tc>
          <w:tcPr>
            <w:tcW w:w="1390" w:type="dxa"/>
            <w:tcBorders>
              <w:left w:val="nil"/>
              <w:right w:val="single" w:sz="4" w:space="0" w:color="auto"/>
            </w:tcBorders>
            <w:shd w:val="clear" w:color="auto" w:fill="auto"/>
            <w:noWrap/>
            <w:vAlign w:val="center"/>
            <w:hideMark/>
          </w:tcPr>
          <w:p w14:paraId="2CD1160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136 308,00</w:t>
            </w:r>
          </w:p>
        </w:tc>
      </w:tr>
      <w:tr w:rsidR="00862C6F" w:rsidRPr="00236418" w14:paraId="3A40769D" w14:textId="77777777" w:rsidTr="00620F53">
        <w:trPr>
          <w:trHeight w:val="300"/>
          <w:jc w:val="center"/>
        </w:trPr>
        <w:tc>
          <w:tcPr>
            <w:tcW w:w="3201" w:type="dxa"/>
            <w:tcBorders>
              <w:left w:val="single" w:sz="4" w:space="0" w:color="auto"/>
              <w:right w:val="single" w:sz="4" w:space="0" w:color="auto"/>
            </w:tcBorders>
            <w:shd w:val="clear" w:color="auto" w:fill="auto"/>
            <w:noWrap/>
            <w:vAlign w:val="center"/>
          </w:tcPr>
          <w:p w14:paraId="735E9BAE"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p>
        </w:tc>
        <w:tc>
          <w:tcPr>
            <w:tcW w:w="4113" w:type="dxa"/>
            <w:tcBorders>
              <w:left w:val="nil"/>
              <w:right w:val="single" w:sz="4" w:space="0" w:color="auto"/>
            </w:tcBorders>
            <w:shd w:val="clear" w:color="auto" w:fill="auto"/>
            <w:noWrap/>
          </w:tcPr>
          <w:p w14:paraId="0F875E5F" w14:textId="77777777" w:rsidR="00862C6F" w:rsidRPr="00596807" w:rsidRDefault="00862C6F" w:rsidP="00862C6F">
            <w:pPr>
              <w:tabs>
                <w:tab w:val="clear" w:pos="567"/>
                <w:tab w:val="clear" w:pos="1134"/>
                <w:tab w:val="clear" w:pos="1701"/>
                <w:tab w:val="clear" w:pos="2268"/>
                <w:tab w:val="clear" w:pos="2835"/>
              </w:tabs>
              <w:spacing w:before="60" w:after="60"/>
              <w:rPr>
                <w:sz w:val="22"/>
                <w:lang w:val="en-US"/>
              </w:rPr>
            </w:pPr>
            <w:r w:rsidRPr="00596807">
              <w:rPr>
                <w:sz w:val="22"/>
                <w:lang w:val="en-US"/>
              </w:rPr>
              <w:t>New Mexico Tech., Socorro, NM</w:t>
            </w:r>
          </w:p>
        </w:tc>
        <w:tc>
          <w:tcPr>
            <w:tcW w:w="1176" w:type="dxa"/>
            <w:tcBorders>
              <w:left w:val="nil"/>
              <w:right w:val="single" w:sz="4" w:space="0" w:color="auto"/>
            </w:tcBorders>
            <w:shd w:val="clear" w:color="auto" w:fill="auto"/>
            <w:noWrap/>
            <w:vAlign w:val="center"/>
          </w:tcPr>
          <w:p w14:paraId="573C153D"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2018</w:t>
            </w:r>
          </w:p>
        </w:tc>
        <w:tc>
          <w:tcPr>
            <w:tcW w:w="1390" w:type="dxa"/>
            <w:tcBorders>
              <w:left w:val="nil"/>
              <w:right w:val="single" w:sz="4" w:space="0" w:color="auto"/>
            </w:tcBorders>
            <w:shd w:val="clear" w:color="auto" w:fill="auto"/>
            <w:noWrap/>
            <w:vAlign w:val="center"/>
          </w:tcPr>
          <w:p w14:paraId="37079DE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570,00</w:t>
            </w:r>
          </w:p>
        </w:tc>
      </w:tr>
      <w:tr w:rsidR="00862C6F" w:rsidRPr="00236418" w14:paraId="218A4CEE" w14:textId="77777777" w:rsidTr="00620F53">
        <w:trPr>
          <w:trHeight w:val="300"/>
          <w:jc w:val="center"/>
        </w:trPr>
        <w:tc>
          <w:tcPr>
            <w:tcW w:w="3201" w:type="dxa"/>
            <w:tcBorders>
              <w:left w:val="single" w:sz="4" w:space="0" w:color="auto"/>
              <w:right w:val="single" w:sz="4" w:space="0" w:color="auto"/>
            </w:tcBorders>
            <w:shd w:val="clear" w:color="auto" w:fill="auto"/>
            <w:noWrap/>
            <w:vAlign w:val="center"/>
          </w:tcPr>
          <w:p w14:paraId="56132F83"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p>
        </w:tc>
        <w:tc>
          <w:tcPr>
            <w:tcW w:w="4113" w:type="dxa"/>
            <w:tcBorders>
              <w:left w:val="nil"/>
              <w:right w:val="single" w:sz="4" w:space="0" w:color="auto"/>
            </w:tcBorders>
            <w:shd w:val="clear" w:color="auto" w:fill="auto"/>
            <w:noWrap/>
          </w:tcPr>
          <w:p w14:paraId="3912A38F"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roofErr w:type="spellStart"/>
            <w:r w:rsidRPr="00236418">
              <w:rPr>
                <w:sz w:val="22"/>
              </w:rPr>
              <w:t>Steptoe</w:t>
            </w:r>
            <w:proofErr w:type="spellEnd"/>
            <w:r w:rsidRPr="00236418">
              <w:rPr>
                <w:sz w:val="22"/>
              </w:rPr>
              <w:t xml:space="preserve"> &amp; Johnson LLP</w:t>
            </w:r>
          </w:p>
        </w:tc>
        <w:tc>
          <w:tcPr>
            <w:tcW w:w="1176" w:type="dxa"/>
            <w:tcBorders>
              <w:left w:val="nil"/>
              <w:right w:val="single" w:sz="4" w:space="0" w:color="auto"/>
            </w:tcBorders>
            <w:shd w:val="clear" w:color="auto" w:fill="auto"/>
            <w:noWrap/>
            <w:vAlign w:val="center"/>
          </w:tcPr>
          <w:p w14:paraId="1B197F2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2017</w:t>
            </w:r>
          </w:p>
        </w:tc>
        <w:tc>
          <w:tcPr>
            <w:tcW w:w="1390" w:type="dxa"/>
            <w:tcBorders>
              <w:left w:val="nil"/>
              <w:right w:val="single" w:sz="4" w:space="0" w:color="auto"/>
            </w:tcBorders>
            <w:shd w:val="clear" w:color="auto" w:fill="auto"/>
            <w:noWrap/>
            <w:vAlign w:val="center"/>
          </w:tcPr>
          <w:p w14:paraId="3C303C6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72,85</w:t>
            </w:r>
          </w:p>
        </w:tc>
      </w:tr>
      <w:tr w:rsidR="00862C6F" w:rsidRPr="00236418" w14:paraId="27764A98" w14:textId="77777777" w:rsidTr="00620F53">
        <w:trPr>
          <w:trHeight w:val="300"/>
          <w:jc w:val="center"/>
        </w:trPr>
        <w:tc>
          <w:tcPr>
            <w:tcW w:w="3201" w:type="dxa"/>
            <w:tcBorders>
              <w:left w:val="single" w:sz="4" w:space="0" w:color="auto"/>
              <w:bottom w:val="single" w:sz="4" w:space="0" w:color="auto"/>
              <w:right w:val="single" w:sz="4" w:space="0" w:color="auto"/>
            </w:tcBorders>
            <w:shd w:val="clear" w:color="auto" w:fill="auto"/>
            <w:noWrap/>
            <w:vAlign w:val="center"/>
          </w:tcPr>
          <w:p w14:paraId="51B6168F"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Royaume-Uni</w:t>
            </w:r>
          </w:p>
        </w:tc>
        <w:tc>
          <w:tcPr>
            <w:tcW w:w="4113" w:type="dxa"/>
            <w:tcBorders>
              <w:left w:val="nil"/>
              <w:bottom w:val="single" w:sz="4" w:space="0" w:color="auto"/>
              <w:right w:val="single" w:sz="4" w:space="0" w:color="auto"/>
            </w:tcBorders>
            <w:shd w:val="clear" w:color="auto" w:fill="auto"/>
            <w:noWrap/>
          </w:tcPr>
          <w:p w14:paraId="518C4C75"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Spectrum Group, OFCOM, Londres</w:t>
            </w:r>
          </w:p>
        </w:tc>
        <w:tc>
          <w:tcPr>
            <w:tcW w:w="1176" w:type="dxa"/>
            <w:tcBorders>
              <w:left w:val="nil"/>
              <w:bottom w:val="single" w:sz="4" w:space="0" w:color="auto"/>
              <w:right w:val="single" w:sz="4" w:space="0" w:color="auto"/>
            </w:tcBorders>
            <w:shd w:val="clear" w:color="auto" w:fill="auto"/>
            <w:noWrap/>
            <w:vAlign w:val="center"/>
          </w:tcPr>
          <w:p w14:paraId="0E5DFC8C"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2018</w:t>
            </w:r>
          </w:p>
        </w:tc>
        <w:tc>
          <w:tcPr>
            <w:tcW w:w="1390" w:type="dxa"/>
            <w:tcBorders>
              <w:left w:val="nil"/>
              <w:bottom w:val="single" w:sz="4" w:space="0" w:color="auto"/>
              <w:right w:val="single" w:sz="4" w:space="0" w:color="auto"/>
            </w:tcBorders>
            <w:shd w:val="clear" w:color="auto" w:fill="auto"/>
            <w:noWrap/>
            <w:vAlign w:val="center"/>
          </w:tcPr>
          <w:p w14:paraId="46AE4AB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24 970,00</w:t>
            </w:r>
          </w:p>
        </w:tc>
      </w:tr>
      <w:tr w:rsidR="00862C6F" w:rsidRPr="00236418" w14:paraId="45B624EF" w14:textId="77777777" w:rsidTr="00620F53">
        <w:trPr>
          <w:trHeight w:val="51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86E75"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Total des arriérés au 31.12.2019</w:t>
            </w:r>
          </w:p>
        </w:tc>
        <w:tc>
          <w:tcPr>
            <w:tcW w:w="4113" w:type="dxa"/>
            <w:tcBorders>
              <w:top w:val="single" w:sz="4" w:space="0" w:color="auto"/>
              <w:left w:val="nil"/>
              <w:bottom w:val="single" w:sz="4" w:space="0" w:color="auto"/>
              <w:right w:val="single" w:sz="4" w:space="0" w:color="auto"/>
            </w:tcBorders>
            <w:shd w:val="clear" w:color="auto" w:fill="auto"/>
            <w:noWrap/>
            <w:vAlign w:val="bottom"/>
            <w:hideMark/>
          </w:tcPr>
          <w:p w14:paraId="44522BB0"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1F62C6B9"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B6E68C5" w14:textId="77777777" w:rsidR="00862C6F" w:rsidRPr="00236418" w:rsidRDefault="00862C6F" w:rsidP="00862C6F">
            <w:pPr>
              <w:tabs>
                <w:tab w:val="clear" w:pos="567"/>
                <w:tab w:val="clear" w:pos="1134"/>
                <w:tab w:val="clear" w:pos="1701"/>
                <w:tab w:val="clear" w:pos="2268"/>
                <w:tab w:val="clear" w:pos="2835"/>
              </w:tabs>
              <w:spacing w:before="60" w:after="60"/>
              <w:jc w:val="right"/>
              <w:rPr>
                <w:rFonts w:asciiTheme="minorHAnsi" w:hAnsiTheme="minorHAnsi"/>
                <w:b/>
                <w:bCs/>
                <w:sz w:val="22"/>
              </w:rPr>
            </w:pPr>
            <w:r w:rsidRPr="00236418">
              <w:rPr>
                <w:rFonts w:asciiTheme="minorHAnsi" w:hAnsiTheme="minorHAnsi"/>
                <w:b/>
                <w:bCs/>
                <w:sz w:val="22"/>
              </w:rPr>
              <w:t>263 017,80</w:t>
            </w:r>
          </w:p>
        </w:tc>
      </w:tr>
    </w:tbl>
    <w:p w14:paraId="77B3B6B8" w14:textId="77777777" w:rsidR="00862C6F" w:rsidRPr="00236418" w:rsidRDefault="00862C6F" w:rsidP="00862C6F">
      <w:pPr>
        <w:spacing w:before="360" w:after="240"/>
        <w:jc w:val="center"/>
        <w:rPr>
          <w:b/>
          <w:sz w:val="28"/>
        </w:rPr>
      </w:pPr>
      <w:r w:rsidRPr="00236418">
        <w:rPr>
          <w:b/>
          <w:sz w:val="28"/>
        </w:rPr>
        <w:t>Montants dus concernant des factures diverses</w:t>
      </w:r>
    </w:p>
    <w:tbl>
      <w:tblPr>
        <w:tblW w:w="9918" w:type="dxa"/>
        <w:jc w:val="center"/>
        <w:tblLook w:val="04A0" w:firstRow="1" w:lastRow="0" w:firstColumn="1" w:lastColumn="0" w:noHBand="0" w:noVBand="1"/>
        <w:tblCaption w:val="MONTANTS DUS CONCERNANT LES FACTURES DIVERSES"/>
      </w:tblPr>
      <w:tblGrid>
        <w:gridCol w:w="3352"/>
        <w:gridCol w:w="4060"/>
        <w:gridCol w:w="1134"/>
        <w:gridCol w:w="1372"/>
      </w:tblGrid>
      <w:tr w:rsidR="00862C6F" w:rsidRPr="00236418" w14:paraId="76025C0B" w14:textId="77777777" w:rsidTr="00620F53">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9F23"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Pays</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6F66E9F0"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Entité</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298F6D"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Année</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07703087"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Montant dû</w:t>
            </w:r>
          </w:p>
        </w:tc>
      </w:tr>
      <w:tr w:rsidR="00862C6F" w:rsidRPr="00236418" w14:paraId="0C7AD26D" w14:textId="77777777" w:rsidTr="00620F53">
        <w:trPr>
          <w:trHeight w:val="315"/>
          <w:jc w:val="center"/>
        </w:trPr>
        <w:tc>
          <w:tcPr>
            <w:tcW w:w="3352" w:type="dxa"/>
            <w:tcBorders>
              <w:top w:val="nil"/>
              <w:left w:val="single" w:sz="4" w:space="0" w:color="auto"/>
              <w:bottom w:val="nil"/>
              <w:right w:val="nil"/>
            </w:tcBorders>
            <w:shd w:val="clear" w:color="auto" w:fill="auto"/>
            <w:noWrap/>
            <w:vAlign w:val="bottom"/>
          </w:tcPr>
          <w:p w14:paraId="53920A41"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Arabie saoudite</w:t>
            </w:r>
          </w:p>
        </w:tc>
        <w:tc>
          <w:tcPr>
            <w:tcW w:w="4060" w:type="dxa"/>
            <w:tcBorders>
              <w:top w:val="nil"/>
              <w:left w:val="single" w:sz="4" w:space="0" w:color="auto"/>
              <w:bottom w:val="nil"/>
              <w:right w:val="single" w:sz="4" w:space="0" w:color="auto"/>
            </w:tcBorders>
            <w:shd w:val="clear" w:color="auto" w:fill="auto"/>
            <w:vAlign w:val="bottom"/>
          </w:tcPr>
          <w:p w14:paraId="24A04DF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roofErr w:type="spellStart"/>
            <w:r w:rsidRPr="00236418">
              <w:rPr>
                <w:sz w:val="22"/>
              </w:rPr>
              <w:t>Saudi</w:t>
            </w:r>
            <w:proofErr w:type="spellEnd"/>
            <w:r w:rsidRPr="00236418">
              <w:rPr>
                <w:sz w:val="22"/>
              </w:rPr>
              <w:t xml:space="preserve"> Telecom, Riyad</w:t>
            </w:r>
          </w:p>
        </w:tc>
        <w:tc>
          <w:tcPr>
            <w:tcW w:w="1134" w:type="dxa"/>
            <w:tcBorders>
              <w:top w:val="nil"/>
              <w:left w:val="nil"/>
              <w:bottom w:val="nil"/>
              <w:right w:val="single" w:sz="4" w:space="0" w:color="auto"/>
            </w:tcBorders>
            <w:shd w:val="clear" w:color="auto" w:fill="auto"/>
            <w:noWrap/>
          </w:tcPr>
          <w:p w14:paraId="34DC8561"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sz w:val="22"/>
              </w:rPr>
              <w:t>2010</w:t>
            </w:r>
          </w:p>
        </w:tc>
        <w:tc>
          <w:tcPr>
            <w:tcW w:w="1372" w:type="dxa"/>
            <w:tcBorders>
              <w:top w:val="nil"/>
              <w:left w:val="nil"/>
              <w:right w:val="single" w:sz="4" w:space="0" w:color="auto"/>
            </w:tcBorders>
            <w:shd w:val="clear" w:color="auto" w:fill="auto"/>
            <w:noWrap/>
          </w:tcPr>
          <w:p w14:paraId="0AF5A2FF"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62 560,00</w:t>
            </w:r>
          </w:p>
        </w:tc>
      </w:tr>
      <w:tr w:rsidR="00862C6F" w:rsidRPr="00236418" w14:paraId="400D9AEE" w14:textId="77777777" w:rsidTr="00620F53">
        <w:trPr>
          <w:trHeight w:val="315"/>
          <w:jc w:val="center"/>
        </w:trPr>
        <w:tc>
          <w:tcPr>
            <w:tcW w:w="3352" w:type="dxa"/>
            <w:tcBorders>
              <w:top w:val="nil"/>
              <w:left w:val="single" w:sz="4" w:space="0" w:color="auto"/>
              <w:bottom w:val="single" w:sz="4" w:space="0" w:color="auto"/>
              <w:right w:val="nil"/>
            </w:tcBorders>
            <w:shd w:val="clear" w:color="auto" w:fill="auto"/>
            <w:noWrap/>
          </w:tcPr>
          <w:p w14:paraId="5EE76581"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p>
        </w:tc>
        <w:tc>
          <w:tcPr>
            <w:tcW w:w="4060" w:type="dxa"/>
            <w:tcBorders>
              <w:top w:val="nil"/>
              <w:left w:val="single" w:sz="4" w:space="0" w:color="auto"/>
              <w:bottom w:val="single" w:sz="4" w:space="0" w:color="auto"/>
              <w:right w:val="single" w:sz="4" w:space="0" w:color="auto"/>
            </w:tcBorders>
            <w:shd w:val="clear" w:color="auto" w:fill="auto"/>
          </w:tcPr>
          <w:p w14:paraId="6E2DF1C2" w14:textId="77777777" w:rsidR="00862C6F" w:rsidRPr="00236418" w:rsidRDefault="00862C6F" w:rsidP="00862C6F">
            <w:pPr>
              <w:tabs>
                <w:tab w:val="clear" w:pos="567"/>
                <w:tab w:val="clear" w:pos="1134"/>
                <w:tab w:val="clear" w:pos="1701"/>
                <w:tab w:val="clear" w:pos="2268"/>
                <w:tab w:val="clear" w:pos="2835"/>
              </w:tabs>
              <w:spacing w:before="60" w:after="60"/>
              <w:rPr>
                <w:sz w:val="22"/>
              </w:rPr>
            </w:pPr>
          </w:p>
        </w:tc>
        <w:tc>
          <w:tcPr>
            <w:tcW w:w="1134" w:type="dxa"/>
            <w:tcBorders>
              <w:top w:val="nil"/>
              <w:left w:val="nil"/>
              <w:bottom w:val="single" w:sz="4" w:space="0" w:color="auto"/>
              <w:right w:val="single" w:sz="4" w:space="0" w:color="auto"/>
            </w:tcBorders>
            <w:shd w:val="clear" w:color="auto" w:fill="auto"/>
            <w:noWrap/>
            <w:vAlign w:val="bottom"/>
          </w:tcPr>
          <w:p w14:paraId="73A08EE4"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p>
        </w:tc>
        <w:tc>
          <w:tcPr>
            <w:tcW w:w="1372" w:type="dxa"/>
            <w:tcBorders>
              <w:top w:val="nil"/>
              <w:left w:val="nil"/>
              <w:bottom w:val="single" w:sz="4" w:space="0" w:color="auto"/>
              <w:right w:val="single" w:sz="4" w:space="0" w:color="auto"/>
            </w:tcBorders>
            <w:shd w:val="clear" w:color="auto" w:fill="auto"/>
            <w:noWrap/>
            <w:vAlign w:val="bottom"/>
          </w:tcPr>
          <w:p w14:paraId="7196C4E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p>
        </w:tc>
      </w:tr>
      <w:tr w:rsidR="00862C6F" w:rsidRPr="00236418" w14:paraId="38C88456" w14:textId="77777777" w:rsidTr="00620F53">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6A"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Total des arriérés au 31.12.2019</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684ED50F"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509783"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35D1481E"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2"/>
              </w:rPr>
            </w:pPr>
            <w:r w:rsidRPr="00236418">
              <w:rPr>
                <w:b/>
                <w:bCs/>
                <w:sz w:val="22"/>
              </w:rPr>
              <w:t>62 560,00</w:t>
            </w:r>
          </w:p>
        </w:tc>
      </w:tr>
    </w:tbl>
    <w:p w14:paraId="7F899E1F" w14:textId="77777777" w:rsidR="00862C6F" w:rsidRPr="00236418" w:rsidRDefault="00862C6F" w:rsidP="00862C6F"/>
    <w:p w14:paraId="5D84050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2CC1711A" w14:textId="77777777" w:rsidR="00862C6F" w:rsidRPr="00236418" w:rsidRDefault="00862C6F" w:rsidP="00862C6F">
      <w:pPr>
        <w:spacing w:before="240" w:after="240"/>
        <w:jc w:val="center"/>
        <w:rPr>
          <w:b/>
          <w:sz w:val="28"/>
        </w:rPr>
      </w:pPr>
      <w:r w:rsidRPr="00236418">
        <w:rPr>
          <w:b/>
          <w:sz w:val="28"/>
        </w:rPr>
        <w:lastRenderedPageBreak/>
        <w:t xml:space="preserve">MONTANTS DUS CONCERNANT LES NUMÉROS UNIVERSELS </w:t>
      </w:r>
      <w:r w:rsidRPr="00236418">
        <w:rPr>
          <w:b/>
          <w:sz w:val="28"/>
        </w:rPr>
        <w:br/>
        <w:t>DE LIBRE APPEL INTERNATIONAL (UIFN)</w:t>
      </w:r>
    </w:p>
    <w:tbl>
      <w:tblPr>
        <w:tblW w:w="5000" w:type="pct"/>
        <w:tblLook w:val="04A0" w:firstRow="1" w:lastRow="0" w:firstColumn="1" w:lastColumn="0" w:noHBand="0" w:noVBand="1"/>
      </w:tblPr>
      <w:tblGrid>
        <w:gridCol w:w="2483"/>
        <w:gridCol w:w="4244"/>
        <w:gridCol w:w="1481"/>
        <w:gridCol w:w="1421"/>
      </w:tblGrid>
      <w:tr w:rsidR="00862C6F" w:rsidRPr="00236418" w14:paraId="4F498C7D" w14:textId="77777777" w:rsidTr="00620F53">
        <w:trPr>
          <w:trHeight w:val="585"/>
        </w:trPr>
        <w:tc>
          <w:tcPr>
            <w:tcW w:w="1289" w:type="pct"/>
            <w:tcBorders>
              <w:top w:val="single" w:sz="4" w:space="0" w:color="auto"/>
              <w:left w:val="single" w:sz="4" w:space="0" w:color="auto"/>
              <w:bottom w:val="single" w:sz="4" w:space="0" w:color="auto"/>
              <w:right w:val="single" w:sz="4" w:space="0" w:color="auto"/>
            </w:tcBorders>
            <w:shd w:val="clear" w:color="auto" w:fill="FFFFFF"/>
            <w:noWrap/>
            <w:hideMark/>
          </w:tcPr>
          <w:p w14:paraId="141CB596"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en-GB"/>
              </w:rPr>
            </w:pPr>
            <w:r w:rsidRPr="00236418">
              <w:rPr>
                <w:b/>
                <w:sz w:val="22"/>
                <w:lang w:eastAsia="en-GB"/>
              </w:rPr>
              <w:t>Pays</w:t>
            </w:r>
          </w:p>
        </w:tc>
        <w:tc>
          <w:tcPr>
            <w:tcW w:w="2204" w:type="pct"/>
            <w:tcBorders>
              <w:top w:val="single" w:sz="4" w:space="0" w:color="auto"/>
              <w:left w:val="nil"/>
              <w:bottom w:val="single" w:sz="4" w:space="0" w:color="auto"/>
              <w:right w:val="single" w:sz="4" w:space="0" w:color="auto"/>
            </w:tcBorders>
            <w:shd w:val="clear" w:color="auto" w:fill="FFFFFF"/>
            <w:noWrap/>
            <w:hideMark/>
          </w:tcPr>
          <w:p w14:paraId="2C6EE561"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en-GB"/>
              </w:rPr>
            </w:pPr>
            <w:r w:rsidRPr="00236418">
              <w:rPr>
                <w:b/>
                <w:sz w:val="22"/>
                <w:lang w:eastAsia="en-GB"/>
              </w:rPr>
              <w:t>Entité</w:t>
            </w:r>
          </w:p>
        </w:tc>
        <w:tc>
          <w:tcPr>
            <w:tcW w:w="769" w:type="pct"/>
            <w:tcBorders>
              <w:top w:val="single" w:sz="4" w:space="0" w:color="auto"/>
              <w:left w:val="nil"/>
              <w:bottom w:val="single" w:sz="4" w:space="0" w:color="auto"/>
              <w:right w:val="single" w:sz="4" w:space="0" w:color="auto"/>
            </w:tcBorders>
            <w:shd w:val="clear" w:color="auto" w:fill="FFFFFF"/>
            <w:noWrap/>
            <w:hideMark/>
          </w:tcPr>
          <w:p w14:paraId="35628252"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en-GB"/>
              </w:rPr>
            </w:pPr>
            <w:r w:rsidRPr="00236418">
              <w:rPr>
                <w:b/>
                <w:sz w:val="22"/>
                <w:lang w:eastAsia="en-GB"/>
              </w:rPr>
              <w:t>Année</w:t>
            </w:r>
          </w:p>
        </w:tc>
        <w:tc>
          <w:tcPr>
            <w:tcW w:w="738" w:type="pct"/>
            <w:tcBorders>
              <w:top w:val="single" w:sz="4" w:space="0" w:color="auto"/>
              <w:left w:val="nil"/>
              <w:bottom w:val="single" w:sz="4" w:space="0" w:color="auto"/>
              <w:right w:val="single" w:sz="4" w:space="0" w:color="auto"/>
            </w:tcBorders>
            <w:shd w:val="clear" w:color="auto" w:fill="FFFFFF"/>
            <w:hideMark/>
          </w:tcPr>
          <w:p w14:paraId="1F2E5397"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en-GB"/>
              </w:rPr>
            </w:pPr>
            <w:r w:rsidRPr="00236418">
              <w:rPr>
                <w:b/>
                <w:sz w:val="22"/>
              </w:rPr>
              <w:t>Montant dû</w:t>
            </w:r>
            <w:r w:rsidRPr="00236418">
              <w:rPr>
                <w:b/>
                <w:sz w:val="22"/>
                <w:lang w:eastAsia="en-GB"/>
              </w:rPr>
              <w:t xml:space="preserve"> en CHF</w:t>
            </w:r>
          </w:p>
        </w:tc>
      </w:tr>
      <w:tr w:rsidR="00862C6F" w:rsidRPr="00236418" w14:paraId="67356845"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39F7FEF"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ARGENTINE</w:t>
            </w:r>
          </w:p>
        </w:tc>
        <w:tc>
          <w:tcPr>
            <w:tcW w:w="2204" w:type="pct"/>
            <w:tcBorders>
              <w:top w:val="nil"/>
              <w:left w:val="nil"/>
              <w:bottom w:val="nil"/>
              <w:right w:val="single" w:sz="4" w:space="0" w:color="auto"/>
            </w:tcBorders>
            <w:shd w:val="clear" w:color="auto" w:fill="FFFFFF"/>
            <w:noWrap/>
            <w:hideMark/>
          </w:tcPr>
          <w:p w14:paraId="28FBDC93"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Telefónica de Argentina S.A. (TASA)</w:t>
            </w:r>
          </w:p>
        </w:tc>
        <w:tc>
          <w:tcPr>
            <w:tcW w:w="769" w:type="pct"/>
            <w:tcBorders>
              <w:top w:val="nil"/>
              <w:left w:val="nil"/>
              <w:bottom w:val="nil"/>
              <w:right w:val="single" w:sz="4" w:space="0" w:color="auto"/>
            </w:tcBorders>
            <w:shd w:val="clear" w:color="auto" w:fill="FFFFFF"/>
            <w:noWrap/>
            <w:hideMark/>
          </w:tcPr>
          <w:p w14:paraId="6149CAB1"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66F1D997"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200,00</w:t>
            </w:r>
          </w:p>
        </w:tc>
      </w:tr>
      <w:tr w:rsidR="00862C6F" w:rsidRPr="00236418" w14:paraId="303F2E1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06EE06EC"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BRÉSIL</w:t>
            </w:r>
          </w:p>
        </w:tc>
        <w:tc>
          <w:tcPr>
            <w:tcW w:w="2204" w:type="pct"/>
            <w:tcBorders>
              <w:top w:val="nil"/>
              <w:left w:val="nil"/>
              <w:bottom w:val="nil"/>
              <w:right w:val="single" w:sz="4" w:space="0" w:color="auto"/>
            </w:tcBorders>
            <w:shd w:val="clear" w:color="auto" w:fill="FFFFFF"/>
            <w:noWrap/>
            <w:hideMark/>
          </w:tcPr>
          <w:p w14:paraId="748C35C4"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Intelig</w:t>
            </w:r>
            <w:proofErr w:type="spellEnd"/>
            <w:r w:rsidRPr="00236418">
              <w:rPr>
                <w:sz w:val="22"/>
                <w:lang w:eastAsia="en-GB"/>
              </w:rPr>
              <w:t xml:space="preserve"> </w:t>
            </w:r>
            <w:proofErr w:type="spellStart"/>
            <w:r w:rsidRPr="00236418">
              <w:rPr>
                <w:sz w:val="22"/>
                <w:lang w:eastAsia="en-GB"/>
              </w:rPr>
              <w:t>Telecomunicações</w:t>
            </w:r>
            <w:proofErr w:type="spellEnd"/>
            <w:r w:rsidRPr="00236418">
              <w:rPr>
                <w:sz w:val="22"/>
                <w:lang w:eastAsia="en-GB"/>
              </w:rPr>
              <w:t xml:space="preserve"> </w:t>
            </w:r>
            <w:proofErr w:type="spellStart"/>
            <w:r w:rsidRPr="00236418">
              <w:rPr>
                <w:sz w:val="22"/>
                <w:lang w:eastAsia="en-GB"/>
              </w:rPr>
              <w:t>Ltda</w:t>
            </w:r>
            <w:proofErr w:type="spellEnd"/>
            <w:r w:rsidRPr="00236418">
              <w:rPr>
                <w:sz w:val="22"/>
                <w:lang w:eastAsia="en-GB"/>
              </w:rPr>
              <w:t>.</w:t>
            </w:r>
          </w:p>
        </w:tc>
        <w:tc>
          <w:tcPr>
            <w:tcW w:w="769" w:type="pct"/>
            <w:tcBorders>
              <w:top w:val="nil"/>
              <w:left w:val="nil"/>
              <w:bottom w:val="nil"/>
              <w:right w:val="single" w:sz="4" w:space="0" w:color="auto"/>
            </w:tcBorders>
            <w:shd w:val="clear" w:color="auto" w:fill="FFFFFF"/>
            <w:noWrap/>
            <w:hideMark/>
          </w:tcPr>
          <w:p w14:paraId="41F79C9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533EEE0C"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100,00</w:t>
            </w:r>
          </w:p>
        </w:tc>
      </w:tr>
      <w:tr w:rsidR="00862C6F" w:rsidRPr="00236418" w14:paraId="19137329"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02D8A34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COLOMBIE</w:t>
            </w:r>
          </w:p>
        </w:tc>
        <w:tc>
          <w:tcPr>
            <w:tcW w:w="2204" w:type="pct"/>
            <w:tcBorders>
              <w:top w:val="nil"/>
              <w:left w:val="nil"/>
              <w:bottom w:val="nil"/>
              <w:right w:val="single" w:sz="4" w:space="0" w:color="auto"/>
            </w:tcBorders>
            <w:shd w:val="clear" w:color="auto" w:fill="FFFFFF"/>
            <w:noWrap/>
            <w:hideMark/>
          </w:tcPr>
          <w:p w14:paraId="4BFD33C9"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Telefónica S.A.</w:t>
            </w:r>
          </w:p>
        </w:tc>
        <w:tc>
          <w:tcPr>
            <w:tcW w:w="769" w:type="pct"/>
            <w:tcBorders>
              <w:top w:val="nil"/>
              <w:left w:val="nil"/>
              <w:bottom w:val="nil"/>
              <w:right w:val="single" w:sz="4" w:space="0" w:color="auto"/>
            </w:tcBorders>
            <w:shd w:val="clear" w:color="auto" w:fill="FFFFFF"/>
            <w:noWrap/>
            <w:hideMark/>
          </w:tcPr>
          <w:p w14:paraId="4BB8810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003C018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500,00</w:t>
            </w:r>
          </w:p>
        </w:tc>
      </w:tr>
      <w:tr w:rsidR="00862C6F" w:rsidRPr="00236418" w14:paraId="4CCDDF8A"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1A359A94"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ESTONIE</w:t>
            </w:r>
          </w:p>
        </w:tc>
        <w:tc>
          <w:tcPr>
            <w:tcW w:w="2204" w:type="pct"/>
            <w:tcBorders>
              <w:top w:val="nil"/>
              <w:left w:val="nil"/>
              <w:bottom w:val="nil"/>
              <w:right w:val="single" w:sz="4" w:space="0" w:color="auto"/>
            </w:tcBorders>
            <w:shd w:val="clear" w:color="auto" w:fill="FFFFFF"/>
            <w:noWrap/>
            <w:hideMark/>
          </w:tcPr>
          <w:p w14:paraId="1577E7D5"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Elion</w:t>
            </w:r>
            <w:proofErr w:type="spellEnd"/>
            <w:r w:rsidRPr="00236418">
              <w:rPr>
                <w:sz w:val="22"/>
                <w:lang w:eastAsia="en-GB"/>
              </w:rPr>
              <w:t xml:space="preserve"> </w:t>
            </w:r>
            <w:proofErr w:type="spellStart"/>
            <w:r w:rsidRPr="00236418">
              <w:rPr>
                <w:sz w:val="22"/>
                <w:lang w:eastAsia="en-GB"/>
              </w:rPr>
              <w:t>Ettevotted</w:t>
            </w:r>
            <w:proofErr w:type="spellEnd"/>
            <w:r w:rsidRPr="00236418">
              <w:rPr>
                <w:sz w:val="22"/>
                <w:lang w:eastAsia="en-GB"/>
              </w:rPr>
              <w:t xml:space="preserve"> AS</w:t>
            </w:r>
          </w:p>
        </w:tc>
        <w:tc>
          <w:tcPr>
            <w:tcW w:w="769" w:type="pct"/>
            <w:tcBorders>
              <w:top w:val="nil"/>
              <w:left w:val="nil"/>
              <w:bottom w:val="nil"/>
              <w:right w:val="single" w:sz="4" w:space="0" w:color="auto"/>
            </w:tcBorders>
            <w:shd w:val="clear" w:color="auto" w:fill="FFFFFF"/>
            <w:noWrap/>
            <w:hideMark/>
          </w:tcPr>
          <w:p w14:paraId="340587A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5332540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200,00</w:t>
            </w:r>
          </w:p>
        </w:tc>
      </w:tr>
      <w:tr w:rsidR="00862C6F" w:rsidRPr="00236418" w14:paraId="32FE2019"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110592E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FRANCE</w:t>
            </w:r>
          </w:p>
        </w:tc>
        <w:tc>
          <w:tcPr>
            <w:tcW w:w="2204" w:type="pct"/>
            <w:tcBorders>
              <w:top w:val="nil"/>
              <w:left w:val="nil"/>
              <w:bottom w:val="nil"/>
              <w:right w:val="single" w:sz="4" w:space="0" w:color="auto"/>
            </w:tcBorders>
            <w:shd w:val="clear" w:color="auto" w:fill="FFFFFF"/>
            <w:noWrap/>
            <w:hideMark/>
          </w:tcPr>
          <w:p w14:paraId="1DE1F66C"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Altice France</w:t>
            </w:r>
          </w:p>
        </w:tc>
        <w:tc>
          <w:tcPr>
            <w:tcW w:w="769" w:type="pct"/>
            <w:tcBorders>
              <w:top w:val="nil"/>
              <w:left w:val="nil"/>
              <w:bottom w:val="nil"/>
              <w:right w:val="single" w:sz="4" w:space="0" w:color="auto"/>
            </w:tcBorders>
            <w:shd w:val="clear" w:color="auto" w:fill="FFFFFF"/>
            <w:noWrap/>
            <w:hideMark/>
          </w:tcPr>
          <w:p w14:paraId="00B757CB"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14AFAFF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200,00</w:t>
            </w:r>
          </w:p>
        </w:tc>
      </w:tr>
      <w:tr w:rsidR="00862C6F" w:rsidRPr="00236418" w14:paraId="76610AB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A22391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ALLEMAGNE</w:t>
            </w:r>
          </w:p>
        </w:tc>
        <w:tc>
          <w:tcPr>
            <w:tcW w:w="2204" w:type="pct"/>
            <w:tcBorders>
              <w:top w:val="nil"/>
              <w:left w:val="nil"/>
              <w:bottom w:val="nil"/>
              <w:right w:val="single" w:sz="4" w:space="0" w:color="auto"/>
            </w:tcBorders>
            <w:shd w:val="clear" w:color="auto" w:fill="FFFFFF"/>
            <w:noWrap/>
            <w:hideMark/>
          </w:tcPr>
          <w:p w14:paraId="6DF5B715"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Telepassport</w:t>
            </w:r>
            <w:proofErr w:type="spellEnd"/>
            <w:r w:rsidRPr="00236418">
              <w:rPr>
                <w:sz w:val="22"/>
                <w:lang w:eastAsia="en-GB"/>
              </w:rPr>
              <w:t xml:space="preserve"> Service GMBH</w:t>
            </w:r>
          </w:p>
        </w:tc>
        <w:tc>
          <w:tcPr>
            <w:tcW w:w="769" w:type="pct"/>
            <w:tcBorders>
              <w:top w:val="nil"/>
              <w:left w:val="nil"/>
              <w:bottom w:val="nil"/>
              <w:right w:val="single" w:sz="4" w:space="0" w:color="auto"/>
            </w:tcBorders>
            <w:shd w:val="clear" w:color="auto" w:fill="FFFFFF"/>
            <w:noWrap/>
            <w:hideMark/>
          </w:tcPr>
          <w:p w14:paraId="067D82F0"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1814F0A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100,00</w:t>
            </w:r>
          </w:p>
        </w:tc>
      </w:tr>
      <w:tr w:rsidR="00862C6F" w:rsidRPr="00236418" w14:paraId="343DE5C4"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03E5C6DC"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HONDURAS</w:t>
            </w:r>
          </w:p>
        </w:tc>
        <w:tc>
          <w:tcPr>
            <w:tcW w:w="2204" w:type="pct"/>
            <w:tcBorders>
              <w:top w:val="nil"/>
              <w:left w:val="nil"/>
              <w:bottom w:val="nil"/>
              <w:right w:val="single" w:sz="4" w:space="0" w:color="auto"/>
            </w:tcBorders>
            <w:shd w:val="clear" w:color="auto" w:fill="FFFFFF"/>
            <w:noWrap/>
            <w:hideMark/>
          </w:tcPr>
          <w:p w14:paraId="210AA371"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Empresa</w:t>
            </w:r>
            <w:proofErr w:type="spellEnd"/>
            <w:r w:rsidRPr="00236418">
              <w:rPr>
                <w:sz w:val="22"/>
                <w:lang w:eastAsia="en-GB"/>
              </w:rPr>
              <w:t xml:space="preserve"> </w:t>
            </w:r>
            <w:proofErr w:type="spellStart"/>
            <w:r w:rsidRPr="00236418">
              <w:rPr>
                <w:sz w:val="22"/>
                <w:lang w:eastAsia="en-GB"/>
              </w:rPr>
              <w:t>Hondureña</w:t>
            </w:r>
            <w:proofErr w:type="spellEnd"/>
            <w:r w:rsidRPr="00236418">
              <w:rPr>
                <w:sz w:val="22"/>
                <w:lang w:eastAsia="en-GB"/>
              </w:rPr>
              <w:t xml:space="preserve"> de </w:t>
            </w:r>
            <w:proofErr w:type="spellStart"/>
            <w:r w:rsidRPr="00236418">
              <w:rPr>
                <w:sz w:val="22"/>
                <w:lang w:eastAsia="en-GB"/>
              </w:rPr>
              <w:t>Telecomunicaciones</w:t>
            </w:r>
            <w:proofErr w:type="spellEnd"/>
          </w:p>
        </w:tc>
        <w:tc>
          <w:tcPr>
            <w:tcW w:w="769" w:type="pct"/>
            <w:tcBorders>
              <w:top w:val="nil"/>
              <w:left w:val="nil"/>
              <w:bottom w:val="nil"/>
              <w:right w:val="single" w:sz="4" w:space="0" w:color="auto"/>
            </w:tcBorders>
            <w:shd w:val="clear" w:color="auto" w:fill="FFFFFF"/>
            <w:noWrap/>
            <w:hideMark/>
          </w:tcPr>
          <w:p w14:paraId="302CDE6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445CB94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100,00</w:t>
            </w:r>
          </w:p>
        </w:tc>
      </w:tr>
      <w:tr w:rsidR="00862C6F" w:rsidRPr="00236418" w14:paraId="1639967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45A4506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HONG KONG (Chine (République populaire de))</w:t>
            </w:r>
          </w:p>
        </w:tc>
        <w:tc>
          <w:tcPr>
            <w:tcW w:w="2204" w:type="pct"/>
            <w:tcBorders>
              <w:top w:val="nil"/>
              <w:left w:val="nil"/>
              <w:bottom w:val="nil"/>
              <w:right w:val="single" w:sz="4" w:space="0" w:color="auto"/>
            </w:tcBorders>
            <w:shd w:val="clear" w:color="auto" w:fill="FFFFFF"/>
            <w:noWrap/>
            <w:hideMark/>
          </w:tcPr>
          <w:p w14:paraId="4BADE5E6"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HKBN Enterprise Solutions</w:t>
            </w:r>
          </w:p>
        </w:tc>
        <w:tc>
          <w:tcPr>
            <w:tcW w:w="769" w:type="pct"/>
            <w:tcBorders>
              <w:top w:val="nil"/>
              <w:left w:val="nil"/>
              <w:bottom w:val="nil"/>
              <w:right w:val="single" w:sz="4" w:space="0" w:color="auto"/>
            </w:tcBorders>
            <w:shd w:val="clear" w:color="auto" w:fill="FFFFFF"/>
            <w:noWrap/>
            <w:hideMark/>
          </w:tcPr>
          <w:p w14:paraId="695977E7"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2859C07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400,00</w:t>
            </w:r>
          </w:p>
        </w:tc>
      </w:tr>
      <w:tr w:rsidR="00862C6F" w:rsidRPr="00236418" w14:paraId="70783932"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3A4ED330"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ISRAËL</w:t>
            </w:r>
          </w:p>
        </w:tc>
        <w:tc>
          <w:tcPr>
            <w:tcW w:w="2204" w:type="pct"/>
            <w:tcBorders>
              <w:top w:val="nil"/>
              <w:left w:val="nil"/>
              <w:bottom w:val="nil"/>
              <w:right w:val="single" w:sz="4" w:space="0" w:color="auto"/>
            </w:tcBorders>
            <w:shd w:val="clear" w:color="auto" w:fill="FFFFFF"/>
            <w:noWrap/>
            <w:hideMark/>
          </w:tcPr>
          <w:p w14:paraId="7D089E7E"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Bezeq</w:t>
            </w:r>
            <w:proofErr w:type="spellEnd"/>
            <w:r w:rsidRPr="00236418">
              <w:rPr>
                <w:sz w:val="22"/>
                <w:lang w:eastAsia="en-GB"/>
              </w:rPr>
              <w:t xml:space="preserve"> International Ltd.</w:t>
            </w:r>
          </w:p>
        </w:tc>
        <w:tc>
          <w:tcPr>
            <w:tcW w:w="769" w:type="pct"/>
            <w:tcBorders>
              <w:top w:val="nil"/>
              <w:left w:val="nil"/>
              <w:bottom w:val="nil"/>
              <w:right w:val="single" w:sz="4" w:space="0" w:color="auto"/>
            </w:tcBorders>
            <w:shd w:val="clear" w:color="auto" w:fill="FFFFFF"/>
            <w:noWrap/>
            <w:hideMark/>
          </w:tcPr>
          <w:p w14:paraId="4EB5419B"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1AA2BEA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11 200,00</w:t>
            </w:r>
          </w:p>
        </w:tc>
      </w:tr>
      <w:tr w:rsidR="00862C6F" w:rsidRPr="00236418" w14:paraId="5446A0F6"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4F372607"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ISRAËL</w:t>
            </w:r>
          </w:p>
        </w:tc>
        <w:tc>
          <w:tcPr>
            <w:tcW w:w="2204" w:type="pct"/>
            <w:tcBorders>
              <w:top w:val="nil"/>
              <w:left w:val="nil"/>
              <w:bottom w:val="nil"/>
              <w:right w:val="single" w:sz="4" w:space="0" w:color="auto"/>
            </w:tcBorders>
            <w:shd w:val="clear" w:color="auto" w:fill="FFFFFF"/>
            <w:noWrap/>
            <w:hideMark/>
          </w:tcPr>
          <w:p w14:paraId="11BAC5E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Partner Land-Line Communications</w:t>
            </w:r>
          </w:p>
        </w:tc>
        <w:tc>
          <w:tcPr>
            <w:tcW w:w="769" w:type="pct"/>
            <w:tcBorders>
              <w:top w:val="nil"/>
              <w:left w:val="nil"/>
              <w:bottom w:val="nil"/>
              <w:right w:val="single" w:sz="4" w:space="0" w:color="auto"/>
            </w:tcBorders>
            <w:shd w:val="clear" w:color="auto" w:fill="FFFFFF"/>
            <w:noWrap/>
            <w:hideMark/>
          </w:tcPr>
          <w:p w14:paraId="4547870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6413523C"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6 800,00</w:t>
            </w:r>
          </w:p>
        </w:tc>
      </w:tr>
      <w:tr w:rsidR="00862C6F" w:rsidRPr="00236418" w14:paraId="75A4F2BF"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3499DD0D"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ITALIE</w:t>
            </w:r>
          </w:p>
        </w:tc>
        <w:tc>
          <w:tcPr>
            <w:tcW w:w="2204" w:type="pct"/>
            <w:tcBorders>
              <w:top w:val="nil"/>
              <w:left w:val="nil"/>
              <w:bottom w:val="nil"/>
              <w:right w:val="single" w:sz="4" w:space="0" w:color="auto"/>
            </w:tcBorders>
            <w:shd w:val="clear" w:color="auto" w:fill="FFFFFF"/>
            <w:noWrap/>
            <w:hideMark/>
          </w:tcPr>
          <w:p w14:paraId="0DC213D7"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Eutelia</w:t>
            </w:r>
            <w:proofErr w:type="spellEnd"/>
            <w:r w:rsidRPr="00236418">
              <w:rPr>
                <w:sz w:val="22"/>
                <w:lang w:eastAsia="en-GB"/>
              </w:rPr>
              <w:t xml:space="preserve"> </w:t>
            </w:r>
            <w:proofErr w:type="spellStart"/>
            <w:r w:rsidRPr="00236418">
              <w:rPr>
                <w:sz w:val="22"/>
                <w:lang w:eastAsia="en-GB"/>
              </w:rPr>
              <w:t>S.p.A</w:t>
            </w:r>
            <w:proofErr w:type="spellEnd"/>
            <w:r w:rsidRPr="00236418">
              <w:rPr>
                <w:sz w:val="22"/>
                <w:lang w:eastAsia="en-GB"/>
              </w:rPr>
              <w:t>.</w:t>
            </w:r>
          </w:p>
        </w:tc>
        <w:tc>
          <w:tcPr>
            <w:tcW w:w="769" w:type="pct"/>
            <w:tcBorders>
              <w:top w:val="nil"/>
              <w:left w:val="nil"/>
              <w:bottom w:val="nil"/>
              <w:right w:val="single" w:sz="4" w:space="0" w:color="auto"/>
            </w:tcBorders>
            <w:shd w:val="clear" w:color="auto" w:fill="FFFFFF"/>
            <w:noWrap/>
            <w:hideMark/>
          </w:tcPr>
          <w:p w14:paraId="697FE9F5"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6B3F477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1 000,00</w:t>
            </w:r>
          </w:p>
        </w:tc>
      </w:tr>
      <w:tr w:rsidR="00862C6F" w:rsidRPr="00236418" w14:paraId="1FF05636"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4017FD9"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LETTONIE</w:t>
            </w:r>
          </w:p>
        </w:tc>
        <w:tc>
          <w:tcPr>
            <w:tcW w:w="2204" w:type="pct"/>
            <w:tcBorders>
              <w:top w:val="nil"/>
              <w:left w:val="nil"/>
              <w:bottom w:val="nil"/>
              <w:right w:val="single" w:sz="4" w:space="0" w:color="auto"/>
            </w:tcBorders>
            <w:shd w:val="clear" w:color="auto" w:fill="FFFFFF"/>
            <w:noWrap/>
            <w:hideMark/>
          </w:tcPr>
          <w:p w14:paraId="5892886A"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SIA LATTELEKOM</w:t>
            </w:r>
          </w:p>
        </w:tc>
        <w:tc>
          <w:tcPr>
            <w:tcW w:w="769" w:type="pct"/>
            <w:tcBorders>
              <w:top w:val="nil"/>
              <w:left w:val="nil"/>
              <w:bottom w:val="nil"/>
              <w:right w:val="single" w:sz="4" w:space="0" w:color="auto"/>
            </w:tcBorders>
            <w:shd w:val="clear" w:color="auto" w:fill="FFFFFF"/>
            <w:noWrap/>
            <w:hideMark/>
          </w:tcPr>
          <w:p w14:paraId="08882985"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6AAD9314"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100,00</w:t>
            </w:r>
          </w:p>
        </w:tc>
      </w:tr>
      <w:tr w:rsidR="00862C6F" w:rsidRPr="00236418" w14:paraId="390C3B67"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62281754"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NOUVELLE-ZÉLANDE</w:t>
            </w:r>
          </w:p>
        </w:tc>
        <w:tc>
          <w:tcPr>
            <w:tcW w:w="2204" w:type="pct"/>
            <w:tcBorders>
              <w:top w:val="nil"/>
              <w:left w:val="nil"/>
              <w:bottom w:val="nil"/>
              <w:right w:val="single" w:sz="4" w:space="0" w:color="auto"/>
            </w:tcBorders>
            <w:shd w:val="clear" w:color="auto" w:fill="FFFFFF"/>
            <w:noWrap/>
            <w:hideMark/>
          </w:tcPr>
          <w:p w14:paraId="3713D6D2"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 xml:space="preserve">Vodafone New </w:t>
            </w:r>
            <w:proofErr w:type="spellStart"/>
            <w:r w:rsidRPr="00236418">
              <w:rPr>
                <w:sz w:val="22"/>
                <w:lang w:eastAsia="en-GB"/>
              </w:rPr>
              <w:t>Zealand</w:t>
            </w:r>
            <w:proofErr w:type="spellEnd"/>
            <w:r w:rsidRPr="00236418">
              <w:rPr>
                <w:sz w:val="22"/>
                <w:lang w:eastAsia="en-GB"/>
              </w:rPr>
              <w:t xml:space="preserve"> LTD.</w:t>
            </w:r>
          </w:p>
        </w:tc>
        <w:tc>
          <w:tcPr>
            <w:tcW w:w="769" w:type="pct"/>
            <w:tcBorders>
              <w:top w:val="nil"/>
              <w:left w:val="nil"/>
              <w:bottom w:val="nil"/>
              <w:right w:val="single" w:sz="4" w:space="0" w:color="auto"/>
            </w:tcBorders>
            <w:shd w:val="clear" w:color="auto" w:fill="FFFFFF"/>
            <w:noWrap/>
            <w:hideMark/>
          </w:tcPr>
          <w:p w14:paraId="0F24FFF2"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197BAF99"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100,00</w:t>
            </w:r>
          </w:p>
        </w:tc>
      </w:tr>
      <w:tr w:rsidR="00862C6F" w:rsidRPr="00236418" w14:paraId="0C408778"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254FA873"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PÉROU</w:t>
            </w:r>
          </w:p>
        </w:tc>
        <w:tc>
          <w:tcPr>
            <w:tcW w:w="2204" w:type="pct"/>
            <w:tcBorders>
              <w:top w:val="nil"/>
              <w:left w:val="nil"/>
              <w:bottom w:val="nil"/>
              <w:right w:val="single" w:sz="4" w:space="0" w:color="auto"/>
            </w:tcBorders>
            <w:shd w:val="clear" w:color="auto" w:fill="FFFFFF"/>
            <w:noWrap/>
            <w:hideMark/>
          </w:tcPr>
          <w:p w14:paraId="7BFE08EF" w14:textId="77777777" w:rsidR="00862C6F" w:rsidRPr="00596807" w:rsidRDefault="00862C6F" w:rsidP="00862C6F">
            <w:pPr>
              <w:tabs>
                <w:tab w:val="clear" w:pos="567"/>
                <w:tab w:val="clear" w:pos="1134"/>
                <w:tab w:val="clear" w:pos="1701"/>
                <w:tab w:val="clear" w:pos="2268"/>
                <w:tab w:val="clear" w:pos="2835"/>
              </w:tabs>
              <w:spacing w:before="60" w:after="60"/>
              <w:rPr>
                <w:sz w:val="22"/>
                <w:lang w:val="en-US" w:eastAsia="en-GB"/>
              </w:rPr>
            </w:pPr>
            <w:r w:rsidRPr="00596807">
              <w:rPr>
                <w:sz w:val="22"/>
                <w:lang w:val="en-US" w:eastAsia="en-GB"/>
              </w:rPr>
              <w:t>Telefónica del Perú S.A.A.</w:t>
            </w:r>
          </w:p>
        </w:tc>
        <w:tc>
          <w:tcPr>
            <w:tcW w:w="769" w:type="pct"/>
            <w:tcBorders>
              <w:top w:val="nil"/>
              <w:left w:val="nil"/>
              <w:bottom w:val="nil"/>
              <w:right w:val="single" w:sz="4" w:space="0" w:color="auto"/>
            </w:tcBorders>
            <w:shd w:val="clear" w:color="auto" w:fill="FFFFFF"/>
            <w:noWrap/>
            <w:hideMark/>
          </w:tcPr>
          <w:p w14:paraId="5BA9ABC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172F4A42"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300,00</w:t>
            </w:r>
          </w:p>
        </w:tc>
      </w:tr>
      <w:tr w:rsidR="00862C6F" w:rsidRPr="00236418" w14:paraId="71CB54C5"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2299B0A1"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ESPAGNE</w:t>
            </w:r>
          </w:p>
        </w:tc>
        <w:tc>
          <w:tcPr>
            <w:tcW w:w="2204" w:type="pct"/>
            <w:tcBorders>
              <w:top w:val="nil"/>
              <w:left w:val="nil"/>
              <w:bottom w:val="nil"/>
              <w:right w:val="single" w:sz="4" w:space="0" w:color="auto"/>
            </w:tcBorders>
            <w:shd w:val="clear" w:color="auto" w:fill="FFFFFF"/>
            <w:noWrap/>
            <w:hideMark/>
          </w:tcPr>
          <w:p w14:paraId="7D19E681"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Telecable</w:t>
            </w:r>
            <w:proofErr w:type="spellEnd"/>
            <w:r w:rsidRPr="00236418">
              <w:rPr>
                <w:sz w:val="22"/>
                <w:lang w:eastAsia="en-GB"/>
              </w:rPr>
              <w:t xml:space="preserve"> de </w:t>
            </w:r>
            <w:proofErr w:type="spellStart"/>
            <w:r w:rsidRPr="00236418">
              <w:rPr>
                <w:sz w:val="22"/>
                <w:lang w:eastAsia="en-GB"/>
              </w:rPr>
              <w:t>Asturias</w:t>
            </w:r>
            <w:proofErr w:type="spellEnd"/>
            <w:r w:rsidRPr="00236418">
              <w:rPr>
                <w:sz w:val="22"/>
                <w:lang w:eastAsia="en-GB"/>
              </w:rPr>
              <w:t xml:space="preserve"> SA</w:t>
            </w:r>
          </w:p>
        </w:tc>
        <w:tc>
          <w:tcPr>
            <w:tcW w:w="769" w:type="pct"/>
            <w:tcBorders>
              <w:top w:val="nil"/>
              <w:left w:val="nil"/>
              <w:bottom w:val="nil"/>
              <w:right w:val="single" w:sz="4" w:space="0" w:color="auto"/>
            </w:tcBorders>
            <w:shd w:val="clear" w:color="auto" w:fill="FFFFFF"/>
            <w:noWrap/>
            <w:hideMark/>
          </w:tcPr>
          <w:p w14:paraId="65ACD0C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31D2747B"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100,00</w:t>
            </w:r>
          </w:p>
        </w:tc>
      </w:tr>
      <w:tr w:rsidR="00862C6F" w:rsidRPr="00236418" w14:paraId="40214BE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207FEB5A"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SUÈDE</w:t>
            </w:r>
          </w:p>
        </w:tc>
        <w:tc>
          <w:tcPr>
            <w:tcW w:w="2204" w:type="pct"/>
            <w:tcBorders>
              <w:top w:val="nil"/>
              <w:left w:val="nil"/>
              <w:bottom w:val="nil"/>
              <w:right w:val="single" w:sz="4" w:space="0" w:color="auto"/>
            </w:tcBorders>
            <w:shd w:val="clear" w:color="auto" w:fill="FFFFFF"/>
            <w:noWrap/>
            <w:hideMark/>
          </w:tcPr>
          <w:p w14:paraId="667490D1"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proofErr w:type="spellStart"/>
            <w:r w:rsidRPr="00236418">
              <w:rPr>
                <w:sz w:val="22"/>
                <w:lang w:eastAsia="en-GB"/>
              </w:rPr>
              <w:t>Tele</w:t>
            </w:r>
            <w:proofErr w:type="spellEnd"/>
            <w:r w:rsidRPr="00236418">
              <w:rPr>
                <w:sz w:val="22"/>
                <w:lang w:eastAsia="en-GB"/>
              </w:rPr>
              <w:t xml:space="preserve"> 2 AB</w:t>
            </w:r>
          </w:p>
        </w:tc>
        <w:tc>
          <w:tcPr>
            <w:tcW w:w="769" w:type="pct"/>
            <w:tcBorders>
              <w:top w:val="nil"/>
              <w:left w:val="nil"/>
              <w:bottom w:val="nil"/>
              <w:right w:val="single" w:sz="4" w:space="0" w:color="auto"/>
            </w:tcBorders>
            <w:shd w:val="clear" w:color="auto" w:fill="FFFFFF"/>
            <w:noWrap/>
            <w:hideMark/>
          </w:tcPr>
          <w:p w14:paraId="20E499D0"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7CED8C0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900,00</w:t>
            </w:r>
          </w:p>
        </w:tc>
      </w:tr>
      <w:tr w:rsidR="00862C6F" w:rsidRPr="00236418" w14:paraId="75AF5D62"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86A67E3"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SUÈDE</w:t>
            </w:r>
          </w:p>
        </w:tc>
        <w:tc>
          <w:tcPr>
            <w:tcW w:w="2204" w:type="pct"/>
            <w:tcBorders>
              <w:top w:val="nil"/>
              <w:left w:val="nil"/>
              <w:bottom w:val="nil"/>
              <w:right w:val="single" w:sz="4" w:space="0" w:color="auto"/>
            </w:tcBorders>
            <w:shd w:val="clear" w:color="auto" w:fill="FFFFFF"/>
            <w:noWrap/>
            <w:hideMark/>
          </w:tcPr>
          <w:p w14:paraId="0520506D"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Unisource NV</w:t>
            </w:r>
          </w:p>
        </w:tc>
        <w:tc>
          <w:tcPr>
            <w:tcW w:w="769" w:type="pct"/>
            <w:tcBorders>
              <w:top w:val="nil"/>
              <w:left w:val="nil"/>
              <w:bottom w:val="nil"/>
              <w:right w:val="single" w:sz="4" w:space="0" w:color="auto"/>
            </w:tcBorders>
            <w:shd w:val="clear" w:color="auto" w:fill="FFFFFF"/>
            <w:noWrap/>
            <w:hideMark/>
          </w:tcPr>
          <w:p w14:paraId="43BA1AB9"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559FFCB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100,00</w:t>
            </w:r>
          </w:p>
        </w:tc>
      </w:tr>
      <w:tr w:rsidR="00862C6F" w:rsidRPr="00236418" w14:paraId="646295AD"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639E756E"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ROYAUME-UNI</w:t>
            </w:r>
          </w:p>
        </w:tc>
        <w:tc>
          <w:tcPr>
            <w:tcW w:w="2204" w:type="pct"/>
            <w:tcBorders>
              <w:top w:val="nil"/>
              <w:left w:val="nil"/>
              <w:bottom w:val="nil"/>
              <w:right w:val="single" w:sz="4" w:space="0" w:color="auto"/>
            </w:tcBorders>
            <w:shd w:val="clear" w:color="auto" w:fill="FFFFFF"/>
            <w:noWrap/>
            <w:hideMark/>
          </w:tcPr>
          <w:p w14:paraId="510BEE7A"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KCOM</w:t>
            </w:r>
          </w:p>
        </w:tc>
        <w:tc>
          <w:tcPr>
            <w:tcW w:w="769" w:type="pct"/>
            <w:tcBorders>
              <w:top w:val="nil"/>
              <w:left w:val="nil"/>
              <w:bottom w:val="nil"/>
              <w:right w:val="single" w:sz="4" w:space="0" w:color="auto"/>
            </w:tcBorders>
            <w:shd w:val="clear" w:color="auto" w:fill="FFFFFF"/>
            <w:noWrap/>
            <w:hideMark/>
          </w:tcPr>
          <w:p w14:paraId="51C89F47"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1893424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500,00</w:t>
            </w:r>
          </w:p>
        </w:tc>
      </w:tr>
      <w:tr w:rsidR="00862C6F" w:rsidRPr="00236418" w14:paraId="76AA86F6"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3514FFAA"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ROYAUME-UNI</w:t>
            </w:r>
          </w:p>
        </w:tc>
        <w:tc>
          <w:tcPr>
            <w:tcW w:w="2204" w:type="pct"/>
            <w:tcBorders>
              <w:top w:val="nil"/>
              <w:left w:val="nil"/>
              <w:bottom w:val="nil"/>
              <w:right w:val="single" w:sz="4" w:space="0" w:color="auto"/>
            </w:tcBorders>
            <w:shd w:val="clear" w:color="auto" w:fill="FFFFFF"/>
            <w:noWrap/>
            <w:hideMark/>
          </w:tcPr>
          <w:p w14:paraId="01A0F33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Primus Telecommunications Ltd.</w:t>
            </w:r>
          </w:p>
        </w:tc>
        <w:tc>
          <w:tcPr>
            <w:tcW w:w="769" w:type="pct"/>
            <w:tcBorders>
              <w:top w:val="nil"/>
              <w:left w:val="nil"/>
              <w:bottom w:val="nil"/>
              <w:right w:val="single" w:sz="4" w:space="0" w:color="auto"/>
            </w:tcBorders>
            <w:shd w:val="clear" w:color="auto" w:fill="FFFFFF"/>
            <w:noWrap/>
            <w:hideMark/>
          </w:tcPr>
          <w:p w14:paraId="169FC314"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nil"/>
              <w:right w:val="single" w:sz="4" w:space="0" w:color="auto"/>
            </w:tcBorders>
            <w:shd w:val="clear" w:color="auto" w:fill="FFFFFF"/>
            <w:noWrap/>
            <w:hideMark/>
          </w:tcPr>
          <w:p w14:paraId="0A0B82ED"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300,00</w:t>
            </w:r>
          </w:p>
        </w:tc>
      </w:tr>
      <w:tr w:rsidR="00862C6F" w:rsidRPr="00236418" w14:paraId="693093B9" w14:textId="77777777" w:rsidTr="00620F53">
        <w:trPr>
          <w:trHeight w:val="300"/>
        </w:trPr>
        <w:tc>
          <w:tcPr>
            <w:tcW w:w="1289" w:type="pct"/>
            <w:tcBorders>
              <w:top w:val="nil"/>
              <w:left w:val="single" w:sz="4" w:space="0" w:color="auto"/>
              <w:bottom w:val="single" w:sz="4" w:space="0" w:color="auto"/>
              <w:right w:val="single" w:sz="4" w:space="0" w:color="auto"/>
            </w:tcBorders>
            <w:shd w:val="clear" w:color="auto" w:fill="FFFFFF"/>
            <w:hideMark/>
          </w:tcPr>
          <w:p w14:paraId="07089128"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 xml:space="preserve">ÉTATS-UNIS </w:t>
            </w:r>
          </w:p>
        </w:tc>
        <w:tc>
          <w:tcPr>
            <w:tcW w:w="2204" w:type="pct"/>
            <w:tcBorders>
              <w:top w:val="nil"/>
              <w:left w:val="nil"/>
              <w:bottom w:val="single" w:sz="4" w:space="0" w:color="auto"/>
              <w:right w:val="single" w:sz="4" w:space="0" w:color="auto"/>
            </w:tcBorders>
            <w:shd w:val="clear" w:color="auto" w:fill="FFFFFF"/>
            <w:noWrap/>
            <w:hideMark/>
          </w:tcPr>
          <w:p w14:paraId="6EB5581C"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en-GB"/>
              </w:rPr>
            </w:pPr>
            <w:r w:rsidRPr="00236418">
              <w:rPr>
                <w:sz w:val="22"/>
                <w:lang w:eastAsia="en-GB"/>
              </w:rPr>
              <w:t>International Telecom Ltd.</w:t>
            </w:r>
          </w:p>
        </w:tc>
        <w:tc>
          <w:tcPr>
            <w:tcW w:w="769" w:type="pct"/>
            <w:tcBorders>
              <w:top w:val="nil"/>
              <w:left w:val="nil"/>
              <w:bottom w:val="single" w:sz="4" w:space="0" w:color="auto"/>
              <w:right w:val="single" w:sz="4" w:space="0" w:color="auto"/>
            </w:tcBorders>
            <w:shd w:val="clear" w:color="auto" w:fill="FFFFFF"/>
            <w:noWrap/>
            <w:hideMark/>
          </w:tcPr>
          <w:p w14:paraId="3E022D4C"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2018</w:t>
            </w:r>
          </w:p>
        </w:tc>
        <w:tc>
          <w:tcPr>
            <w:tcW w:w="738" w:type="pct"/>
            <w:tcBorders>
              <w:top w:val="nil"/>
              <w:left w:val="nil"/>
              <w:bottom w:val="single" w:sz="4" w:space="0" w:color="auto"/>
              <w:right w:val="single" w:sz="4" w:space="0" w:color="auto"/>
            </w:tcBorders>
            <w:shd w:val="clear" w:color="auto" w:fill="FFFFFF"/>
            <w:noWrap/>
            <w:hideMark/>
          </w:tcPr>
          <w:p w14:paraId="749091A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r w:rsidRPr="00236418">
              <w:rPr>
                <w:sz w:val="22"/>
                <w:lang w:eastAsia="en-GB"/>
              </w:rPr>
              <w:t>5 600,00</w:t>
            </w:r>
          </w:p>
        </w:tc>
      </w:tr>
      <w:tr w:rsidR="00862C6F" w:rsidRPr="00236418" w14:paraId="1DFFCE55" w14:textId="77777777" w:rsidTr="00620F53">
        <w:trPr>
          <w:trHeight w:val="450"/>
        </w:trPr>
        <w:tc>
          <w:tcPr>
            <w:tcW w:w="1289" w:type="pct"/>
            <w:tcBorders>
              <w:top w:val="nil"/>
              <w:left w:val="single" w:sz="4" w:space="0" w:color="auto"/>
              <w:bottom w:val="single" w:sz="4" w:space="0" w:color="auto"/>
              <w:right w:val="single" w:sz="4" w:space="0" w:color="auto"/>
            </w:tcBorders>
            <w:noWrap/>
            <w:hideMark/>
          </w:tcPr>
          <w:p w14:paraId="07A01B51" w14:textId="77777777" w:rsidR="00862C6F" w:rsidRPr="00236418" w:rsidRDefault="00862C6F" w:rsidP="00862C6F">
            <w:pPr>
              <w:tabs>
                <w:tab w:val="clear" w:pos="567"/>
                <w:tab w:val="clear" w:pos="1134"/>
                <w:tab w:val="clear" w:pos="1701"/>
                <w:tab w:val="clear" w:pos="2268"/>
                <w:tab w:val="clear" w:pos="2835"/>
              </w:tabs>
              <w:spacing w:before="60" w:after="60"/>
              <w:rPr>
                <w:b/>
                <w:bCs/>
                <w:color w:val="000000"/>
                <w:sz w:val="22"/>
                <w:lang w:eastAsia="en-GB"/>
              </w:rPr>
            </w:pPr>
            <w:r w:rsidRPr="00236418">
              <w:rPr>
                <w:b/>
                <w:bCs/>
                <w:color w:val="000000"/>
                <w:sz w:val="22"/>
                <w:lang w:eastAsia="en-GB"/>
              </w:rPr>
              <w:t>Total au 31.12.2019</w:t>
            </w:r>
          </w:p>
        </w:tc>
        <w:tc>
          <w:tcPr>
            <w:tcW w:w="2204" w:type="pct"/>
            <w:tcBorders>
              <w:top w:val="nil"/>
              <w:left w:val="nil"/>
              <w:bottom w:val="single" w:sz="4" w:space="0" w:color="auto"/>
              <w:right w:val="single" w:sz="4" w:space="0" w:color="auto"/>
            </w:tcBorders>
            <w:noWrap/>
            <w:hideMark/>
          </w:tcPr>
          <w:p w14:paraId="2444B69D" w14:textId="77777777" w:rsidR="00862C6F" w:rsidRPr="00236418" w:rsidRDefault="00862C6F" w:rsidP="00862C6F">
            <w:pPr>
              <w:tabs>
                <w:tab w:val="clear" w:pos="567"/>
                <w:tab w:val="clear" w:pos="1134"/>
                <w:tab w:val="clear" w:pos="1701"/>
                <w:tab w:val="clear" w:pos="2268"/>
                <w:tab w:val="clear" w:pos="2835"/>
              </w:tabs>
              <w:spacing w:before="60" w:after="60"/>
              <w:rPr>
                <w:b/>
                <w:bCs/>
                <w:color w:val="000000"/>
                <w:sz w:val="22"/>
                <w:lang w:eastAsia="en-GB"/>
              </w:rPr>
            </w:pPr>
            <w:r w:rsidRPr="00236418">
              <w:rPr>
                <w:b/>
                <w:bCs/>
                <w:color w:val="000000"/>
                <w:sz w:val="22"/>
                <w:lang w:eastAsia="en-GB"/>
              </w:rPr>
              <w:t> </w:t>
            </w:r>
          </w:p>
        </w:tc>
        <w:tc>
          <w:tcPr>
            <w:tcW w:w="769" w:type="pct"/>
            <w:tcBorders>
              <w:top w:val="nil"/>
              <w:left w:val="nil"/>
              <w:bottom w:val="single" w:sz="4" w:space="0" w:color="auto"/>
              <w:right w:val="single" w:sz="4" w:space="0" w:color="auto"/>
            </w:tcBorders>
            <w:noWrap/>
            <w:hideMark/>
          </w:tcPr>
          <w:p w14:paraId="7B1E63B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lang w:eastAsia="en-GB"/>
              </w:rPr>
            </w:pPr>
          </w:p>
        </w:tc>
        <w:tc>
          <w:tcPr>
            <w:tcW w:w="738" w:type="pct"/>
            <w:tcBorders>
              <w:top w:val="nil"/>
              <w:left w:val="nil"/>
              <w:bottom w:val="single" w:sz="4" w:space="0" w:color="auto"/>
              <w:right w:val="single" w:sz="4" w:space="0" w:color="auto"/>
            </w:tcBorders>
            <w:noWrap/>
            <w:hideMark/>
          </w:tcPr>
          <w:p w14:paraId="57E597DD" w14:textId="77777777" w:rsidR="00862C6F" w:rsidRPr="00236418" w:rsidRDefault="00862C6F" w:rsidP="00862C6F">
            <w:pPr>
              <w:tabs>
                <w:tab w:val="clear" w:pos="567"/>
                <w:tab w:val="clear" w:pos="1134"/>
                <w:tab w:val="clear" w:pos="1701"/>
                <w:tab w:val="clear" w:pos="2268"/>
                <w:tab w:val="clear" w:pos="2835"/>
              </w:tabs>
              <w:spacing w:before="60" w:after="60"/>
              <w:jc w:val="center"/>
              <w:rPr>
                <w:b/>
                <w:bCs/>
                <w:color w:val="000000"/>
                <w:sz w:val="22"/>
                <w:lang w:eastAsia="en-GB"/>
              </w:rPr>
            </w:pPr>
            <w:r w:rsidRPr="00236418">
              <w:rPr>
                <w:b/>
                <w:bCs/>
                <w:color w:val="000000"/>
                <w:sz w:val="22"/>
                <w:lang w:eastAsia="en-GB"/>
              </w:rPr>
              <w:t>28 800,00</w:t>
            </w:r>
          </w:p>
        </w:tc>
      </w:tr>
    </w:tbl>
    <w:p w14:paraId="799B4C92" w14:textId="77777777" w:rsidR="00862C6F" w:rsidRPr="00236418" w:rsidRDefault="00862C6F" w:rsidP="00862C6F"/>
    <w:p w14:paraId="55D577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sz w:val="28"/>
        </w:rPr>
      </w:pPr>
      <w:r w:rsidRPr="00236418">
        <w:br w:type="page"/>
      </w:r>
    </w:p>
    <w:p w14:paraId="79694E52" w14:textId="77777777" w:rsidR="00862C6F" w:rsidRPr="00236418" w:rsidRDefault="00862C6F" w:rsidP="00862C6F">
      <w:pPr>
        <w:spacing w:before="360" w:after="240"/>
        <w:jc w:val="center"/>
        <w:rPr>
          <w:b/>
          <w:sz w:val="28"/>
        </w:rPr>
      </w:pPr>
      <w:r w:rsidRPr="00236418">
        <w:rPr>
          <w:b/>
          <w:sz w:val="28"/>
        </w:rPr>
        <w:lastRenderedPageBreak/>
        <w:t>Résumé de la situation des arriérés au 31 décembre 2019</w:t>
      </w:r>
    </w:p>
    <w:tbl>
      <w:tblPr>
        <w:tblW w:w="9918" w:type="dxa"/>
        <w:jc w:val="center"/>
        <w:tblLook w:val="04A0" w:firstRow="1" w:lastRow="0" w:firstColumn="1" w:lastColumn="0" w:noHBand="0" w:noVBand="1"/>
        <w:tblCaption w:val="RÉSUMÉ DE LA SITUATION DES ARRIÉRÉS AU 31.12.2015"/>
      </w:tblPr>
      <w:tblGrid>
        <w:gridCol w:w="6052"/>
        <w:gridCol w:w="3866"/>
      </w:tblGrid>
      <w:tr w:rsidR="00862C6F" w:rsidRPr="00236418" w14:paraId="6314ECB0" w14:textId="77777777" w:rsidTr="00620F53">
        <w:trPr>
          <w:trHeight w:val="627"/>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E9414"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MONTANTS DUS</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39981" w14:textId="77777777" w:rsidR="00862C6F" w:rsidRPr="00236418" w:rsidRDefault="00862C6F" w:rsidP="00862C6F">
            <w:pPr>
              <w:tabs>
                <w:tab w:val="clear" w:pos="567"/>
                <w:tab w:val="clear" w:pos="1134"/>
                <w:tab w:val="clear" w:pos="1701"/>
                <w:tab w:val="clear" w:pos="2268"/>
                <w:tab w:val="clear" w:pos="2835"/>
              </w:tabs>
              <w:spacing w:after="120"/>
              <w:jc w:val="center"/>
              <w:rPr>
                <w:b/>
                <w:sz w:val="22"/>
              </w:rPr>
            </w:pPr>
            <w:r w:rsidRPr="00236418">
              <w:rPr>
                <w:b/>
                <w:sz w:val="22"/>
              </w:rPr>
              <w:t>CHF</w:t>
            </w:r>
          </w:p>
        </w:tc>
      </w:tr>
      <w:tr w:rsidR="00862C6F" w:rsidRPr="00236418" w14:paraId="2471E0D0" w14:textId="77777777" w:rsidTr="00620F53">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34C8FB79"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 xml:space="preserve">Contributions </w:t>
            </w:r>
          </w:p>
        </w:tc>
        <w:tc>
          <w:tcPr>
            <w:tcW w:w="3866" w:type="dxa"/>
            <w:tcBorders>
              <w:top w:val="nil"/>
              <w:left w:val="nil"/>
              <w:bottom w:val="nil"/>
              <w:right w:val="single" w:sz="4" w:space="0" w:color="auto"/>
            </w:tcBorders>
            <w:vAlign w:val="bottom"/>
          </w:tcPr>
          <w:p w14:paraId="1D641B2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rFonts w:cs="Calibri"/>
                <w:b/>
                <w:bCs/>
                <w:sz w:val="22"/>
                <w:szCs w:val="22"/>
                <w:lang w:eastAsia="en-GB"/>
              </w:rPr>
              <w:t>20 158 337,73</w:t>
            </w:r>
          </w:p>
        </w:tc>
      </w:tr>
      <w:tr w:rsidR="00862C6F" w:rsidRPr="00236418" w14:paraId="62837F1F" w14:textId="77777777" w:rsidTr="00620F53">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3FCA4FE6"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 xml:space="preserve">Publications </w:t>
            </w:r>
          </w:p>
        </w:tc>
        <w:tc>
          <w:tcPr>
            <w:tcW w:w="3866" w:type="dxa"/>
            <w:tcBorders>
              <w:top w:val="nil"/>
              <w:left w:val="nil"/>
              <w:bottom w:val="nil"/>
              <w:right w:val="single" w:sz="4" w:space="0" w:color="auto"/>
            </w:tcBorders>
            <w:vAlign w:val="bottom"/>
          </w:tcPr>
          <w:p w14:paraId="4F67F73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rFonts w:cs="Calibri"/>
                <w:b/>
                <w:bCs/>
                <w:sz w:val="22"/>
                <w:szCs w:val="22"/>
                <w:lang w:eastAsia="en-GB"/>
              </w:rPr>
              <w:t>93 731,20</w:t>
            </w:r>
          </w:p>
        </w:tc>
      </w:tr>
      <w:tr w:rsidR="00862C6F" w:rsidRPr="00236418" w14:paraId="76907735"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69B0C46A"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Notifications des réseaux à satellite</w:t>
            </w:r>
          </w:p>
        </w:tc>
        <w:tc>
          <w:tcPr>
            <w:tcW w:w="3866" w:type="dxa"/>
            <w:tcBorders>
              <w:top w:val="nil"/>
              <w:left w:val="nil"/>
              <w:bottom w:val="nil"/>
              <w:right w:val="single" w:sz="4" w:space="0" w:color="auto"/>
            </w:tcBorders>
            <w:shd w:val="clear" w:color="auto" w:fill="FFFFFF"/>
            <w:vAlign w:val="bottom"/>
          </w:tcPr>
          <w:p w14:paraId="3D6C15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rFonts w:cs="Calibri"/>
                <w:b/>
                <w:bCs/>
                <w:sz w:val="22"/>
                <w:szCs w:val="22"/>
                <w:lang w:eastAsia="en-GB"/>
              </w:rPr>
              <w:t>263 017,80</w:t>
            </w:r>
          </w:p>
        </w:tc>
      </w:tr>
      <w:tr w:rsidR="00862C6F" w:rsidRPr="00236418" w14:paraId="3B9291F7"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1F3A32FA"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Factures diverses</w:t>
            </w:r>
          </w:p>
        </w:tc>
        <w:tc>
          <w:tcPr>
            <w:tcW w:w="3866" w:type="dxa"/>
            <w:tcBorders>
              <w:top w:val="nil"/>
              <w:left w:val="nil"/>
              <w:bottom w:val="nil"/>
              <w:right w:val="single" w:sz="4" w:space="0" w:color="auto"/>
            </w:tcBorders>
            <w:vAlign w:val="bottom"/>
          </w:tcPr>
          <w:p w14:paraId="16C26B1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rFonts w:cs="Calibri"/>
                <w:b/>
                <w:bCs/>
                <w:sz w:val="22"/>
                <w:szCs w:val="22"/>
                <w:lang w:eastAsia="en-GB"/>
              </w:rPr>
              <w:t>62 560,00</w:t>
            </w:r>
          </w:p>
        </w:tc>
      </w:tr>
      <w:tr w:rsidR="00862C6F" w:rsidRPr="00236418" w14:paraId="136574EC"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00F69750"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Numéros universels de libre-appel international (UIFN)</w:t>
            </w:r>
          </w:p>
        </w:tc>
        <w:tc>
          <w:tcPr>
            <w:tcW w:w="3866" w:type="dxa"/>
            <w:tcBorders>
              <w:top w:val="nil"/>
              <w:left w:val="nil"/>
              <w:bottom w:val="nil"/>
              <w:right w:val="single" w:sz="4" w:space="0" w:color="auto"/>
            </w:tcBorders>
            <w:vAlign w:val="bottom"/>
          </w:tcPr>
          <w:p w14:paraId="0F177EB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rFonts w:cs="Calibri"/>
                <w:b/>
                <w:bCs/>
                <w:sz w:val="22"/>
                <w:szCs w:val="22"/>
                <w:lang w:eastAsia="en-GB"/>
              </w:rPr>
              <w:t>28 800,00</w:t>
            </w:r>
          </w:p>
        </w:tc>
      </w:tr>
      <w:tr w:rsidR="00862C6F" w:rsidRPr="00236418" w14:paraId="43BA6285"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hideMark/>
          </w:tcPr>
          <w:p w14:paraId="36434E6D"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Comptes spéciaux d'arriérés (Accords d'amortissement)</w:t>
            </w:r>
          </w:p>
        </w:tc>
        <w:tc>
          <w:tcPr>
            <w:tcW w:w="3866" w:type="dxa"/>
            <w:tcBorders>
              <w:top w:val="nil"/>
              <w:left w:val="nil"/>
              <w:bottom w:val="nil"/>
              <w:right w:val="single" w:sz="4" w:space="0" w:color="auto"/>
            </w:tcBorders>
            <w:shd w:val="clear" w:color="auto" w:fill="FFFFFF"/>
            <w:vAlign w:val="bottom"/>
          </w:tcPr>
          <w:p w14:paraId="4F246EC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rFonts w:cs="Calibri"/>
                <w:b/>
                <w:bCs/>
                <w:sz w:val="22"/>
                <w:szCs w:val="22"/>
                <w:lang w:eastAsia="en-GB"/>
              </w:rPr>
              <w:t>4 550 200,64</w:t>
            </w:r>
          </w:p>
        </w:tc>
      </w:tr>
      <w:tr w:rsidR="00862C6F" w:rsidRPr="00236418" w14:paraId="416CFA1E" w14:textId="77777777" w:rsidTr="00620F53">
        <w:trPr>
          <w:trHeight w:val="555"/>
          <w:jc w:val="center"/>
        </w:trPr>
        <w:tc>
          <w:tcPr>
            <w:tcW w:w="6052" w:type="dxa"/>
            <w:tcBorders>
              <w:top w:val="nil"/>
              <w:left w:val="single" w:sz="4" w:space="0" w:color="auto"/>
              <w:bottom w:val="nil"/>
              <w:right w:val="single" w:sz="4" w:space="0" w:color="000000"/>
            </w:tcBorders>
            <w:shd w:val="clear" w:color="auto" w:fill="auto"/>
            <w:vAlign w:val="bottom"/>
            <w:hideMark/>
          </w:tcPr>
          <w:p w14:paraId="606251D2"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Comptes spéciaux d'arriérés supprimés (Accords d'amortissement supprimés pour non-paiement)</w:t>
            </w:r>
          </w:p>
        </w:tc>
        <w:tc>
          <w:tcPr>
            <w:tcW w:w="3866" w:type="dxa"/>
            <w:tcBorders>
              <w:top w:val="nil"/>
              <w:left w:val="nil"/>
              <w:bottom w:val="nil"/>
              <w:right w:val="single" w:sz="4" w:space="0" w:color="auto"/>
            </w:tcBorders>
            <w:vAlign w:val="bottom"/>
          </w:tcPr>
          <w:p w14:paraId="36E9C66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rFonts w:cs="Calibri"/>
                <w:b/>
                <w:bCs/>
                <w:sz w:val="22"/>
                <w:szCs w:val="22"/>
                <w:lang w:eastAsia="en-GB"/>
              </w:rPr>
              <w:t>14 643 893,64</w:t>
            </w:r>
          </w:p>
        </w:tc>
      </w:tr>
      <w:tr w:rsidR="00862C6F" w:rsidRPr="00236418" w14:paraId="10A13A6F" w14:textId="77777777" w:rsidTr="00620F53">
        <w:trPr>
          <w:trHeight w:val="480"/>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1A2F" w14:textId="77777777" w:rsidR="00862C6F" w:rsidRPr="00236418" w:rsidRDefault="00862C6F" w:rsidP="00862C6F">
            <w:pPr>
              <w:tabs>
                <w:tab w:val="clear" w:pos="567"/>
                <w:tab w:val="clear" w:pos="1134"/>
                <w:tab w:val="clear" w:pos="1701"/>
                <w:tab w:val="clear" w:pos="2268"/>
                <w:tab w:val="clear" w:pos="2835"/>
              </w:tabs>
              <w:spacing w:before="60" w:after="60"/>
              <w:rPr>
                <w:b/>
                <w:sz w:val="22"/>
                <w:u w:val="single"/>
              </w:rPr>
            </w:pPr>
            <w:r w:rsidRPr="00236418">
              <w:rPr>
                <w:b/>
                <w:sz w:val="22"/>
                <w:u w:val="single"/>
              </w:rPr>
              <w:t>TOTAL DES ARRIÉRÉS</w:t>
            </w:r>
          </w:p>
        </w:tc>
        <w:tc>
          <w:tcPr>
            <w:tcW w:w="3866" w:type="dxa"/>
            <w:tcBorders>
              <w:top w:val="single" w:sz="4" w:space="0" w:color="auto"/>
              <w:left w:val="nil"/>
              <w:bottom w:val="single" w:sz="4" w:space="0" w:color="auto"/>
              <w:right w:val="single" w:sz="4" w:space="0" w:color="auto"/>
            </w:tcBorders>
            <w:shd w:val="clear" w:color="auto" w:fill="auto"/>
            <w:vAlign w:val="bottom"/>
          </w:tcPr>
          <w:p w14:paraId="5A2D22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eastAsia="zh-CN"/>
              </w:rPr>
            </w:pPr>
            <w:r w:rsidRPr="00236418">
              <w:rPr>
                <w:b/>
                <w:bCs/>
                <w:sz w:val="22"/>
                <w:szCs w:val="22"/>
                <w:u w:val="single"/>
                <w:lang w:eastAsia="zh-CN"/>
              </w:rPr>
              <w:t>39 800 541,01</w:t>
            </w:r>
          </w:p>
        </w:tc>
      </w:tr>
    </w:tbl>
    <w:p w14:paraId="144B7C7C" w14:textId="77777777" w:rsidR="00862C6F" w:rsidRPr="00236418" w:rsidRDefault="00862C6F" w:rsidP="00862C6F">
      <w:pPr>
        <w:spacing w:before="720"/>
        <w:jc w:val="center"/>
        <w:rPr>
          <w:caps/>
          <w:sz w:val="28"/>
        </w:rPr>
      </w:pPr>
      <w:bookmarkStart w:id="2989" w:name="_Toc358379360"/>
      <w:bookmarkStart w:id="2990" w:name="_Toc358379977"/>
      <w:r w:rsidRPr="00236418">
        <w:rPr>
          <w:caps/>
          <w:sz w:val="28"/>
        </w:rPr>
        <w:br w:type="page"/>
      </w:r>
    </w:p>
    <w:p w14:paraId="2EF35174" w14:textId="77777777" w:rsidR="00862C6F" w:rsidRPr="00236418" w:rsidRDefault="00862C6F" w:rsidP="00862C6F">
      <w:pPr>
        <w:spacing w:before="720"/>
        <w:jc w:val="center"/>
        <w:rPr>
          <w:caps/>
          <w:sz w:val="2"/>
          <w:szCs w:val="2"/>
        </w:rPr>
      </w:pPr>
      <w:bookmarkStart w:id="2991" w:name="_Toc395260981"/>
      <w:bookmarkStart w:id="2992" w:name="_Toc395261118"/>
      <w:bookmarkStart w:id="2993" w:name="_Toc395511768"/>
      <w:bookmarkStart w:id="2994" w:name="_Toc452138680"/>
      <w:bookmarkStart w:id="2995" w:name="_Toc452139129"/>
      <w:bookmarkStart w:id="2996" w:name="_Toc482888058"/>
      <w:bookmarkStart w:id="2997" w:name="_Toc482888401"/>
      <w:bookmarkStart w:id="2998" w:name="_Toc511736696"/>
      <w:bookmarkStart w:id="2999" w:name="_Toc10450824"/>
    </w:p>
    <w:p w14:paraId="47888FA7" w14:textId="77777777" w:rsidR="00862C6F" w:rsidRPr="00236418" w:rsidRDefault="00862C6F" w:rsidP="00CC3DB9">
      <w:pPr>
        <w:pStyle w:val="AnnexNo"/>
      </w:pPr>
      <w:bookmarkStart w:id="3000" w:name="_Toc41815010"/>
      <w:r w:rsidRPr="00236418">
        <w:t xml:space="preserve">ANNEXE </w:t>
      </w:r>
      <w:bookmarkEnd w:id="2989"/>
      <w:bookmarkEnd w:id="2990"/>
      <w:bookmarkEnd w:id="2991"/>
      <w:bookmarkEnd w:id="2992"/>
      <w:bookmarkEnd w:id="2993"/>
      <w:bookmarkEnd w:id="2994"/>
      <w:bookmarkEnd w:id="2995"/>
      <w:bookmarkEnd w:id="2996"/>
      <w:bookmarkEnd w:id="2997"/>
      <w:bookmarkEnd w:id="2998"/>
      <w:r w:rsidRPr="00236418">
        <w:t>D</w:t>
      </w:r>
      <w:bookmarkEnd w:id="2999"/>
      <w:bookmarkEnd w:id="3000"/>
    </w:p>
    <w:p w14:paraId="5CFBE291" w14:textId="77777777" w:rsidR="00862C6F" w:rsidRPr="00236418" w:rsidRDefault="00862C6F" w:rsidP="00862C6F">
      <w:pPr>
        <w:jc w:val="center"/>
        <w:rPr>
          <w:b/>
          <w:sz w:val="28"/>
        </w:rPr>
      </w:pPr>
      <w:bookmarkStart w:id="3001" w:name="_Toc395261119"/>
      <w:bookmarkStart w:id="3002" w:name="_Toc395511769"/>
      <w:r w:rsidRPr="00236418">
        <w:rPr>
          <w:b/>
          <w:sz w:val="28"/>
        </w:rPr>
        <w:t xml:space="preserve">Liste des débiteurs au 31 décembre 2019 des manifestations </w:t>
      </w:r>
      <w:r w:rsidRPr="00236418">
        <w:rPr>
          <w:b/>
          <w:sz w:val="28"/>
        </w:rPr>
        <w:br/>
        <w:t>bouclées ITU TELECOM</w:t>
      </w:r>
      <w:bookmarkEnd w:id="3001"/>
      <w:bookmarkEnd w:id="3002"/>
    </w:p>
    <w:p w14:paraId="462FB9E7" w14:textId="77777777" w:rsidR="00862C6F" w:rsidRPr="00236418" w:rsidRDefault="00862C6F" w:rsidP="00862C6F">
      <w:pPr>
        <w:spacing w:before="240" w:after="240"/>
        <w:jc w:val="center"/>
      </w:pPr>
      <w:r w:rsidRPr="00236418">
        <w:t>(Cette liste ne tient pas compte des paiements reçus après le 31.12.2019)</w:t>
      </w:r>
    </w:p>
    <w:tbl>
      <w:tblPr>
        <w:tblW w:w="9918" w:type="dxa"/>
        <w:jc w:val="center"/>
        <w:tblLayout w:type="fixed"/>
        <w:tblLook w:val="04A0" w:firstRow="1" w:lastRow="0" w:firstColumn="1" w:lastColumn="0" w:noHBand="0" w:noVBand="1"/>
        <w:tblCaption w:val="E"/>
      </w:tblPr>
      <w:tblGrid>
        <w:gridCol w:w="1271"/>
        <w:gridCol w:w="2186"/>
        <w:gridCol w:w="2798"/>
        <w:gridCol w:w="1408"/>
        <w:gridCol w:w="1126"/>
        <w:gridCol w:w="1129"/>
      </w:tblGrid>
      <w:tr w:rsidR="00862C6F" w:rsidRPr="00236418" w14:paraId="384C3062" w14:textId="77777777" w:rsidTr="00620F53">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2FFBBBF8"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caps/>
                <w:sz w:val="20"/>
                <w:lang w:eastAsia="zh-CN"/>
              </w:rPr>
              <w:t>é</w:t>
            </w:r>
            <w:r w:rsidRPr="00236418">
              <w:rPr>
                <w:b/>
                <w:sz w:val="20"/>
                <w:lang w:eastAsia="zh-CN"/>
              </w:rPr>
              <w:t>vénement</w:t>
            </w:r>
          </w:p>
        </w:tc>
        <w:tc>
          <w:tcPr>
            <w:tcW w:w="2186" w:type="dxa"/>
            <w:tcBorders>
              <w:top w:val="single" w:sz="4" w:space="0" w:color="auto"/>
              <w:left w:val="nil"/>
              <w:bottom w:val="single" w:sz="4" w:space="0" w:color="auto"/>
              <w:right w:val="single" w:sz="4" w:space="0" w:color="auto"/>
            </w:tcBorders>
            <w:shd w:val="clear" w:color="auto" w:fill="auto"/>
            <w:noWrap/>
            <w:hideMark/>
          </w:tcPr>
          <w:p w14:paraId="6766E5E5"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Pays</w:t>
            </w:r>
          </w:p>
        </w:tc>
        <w:tc>
          <w:tcPr>
            <w:tcW w:w="2798" w:type="dxa"/>
            <w:tcBorders>
              <w:top w:val="single" w:sz="4" w:space="0" w:color="auto"/>
              <w:left w:val="nil"/>
              <w:bottom w:val="single" w:sz="4" w:space="0" w:color="auto"/>
              <w:right w:val="single" w:sz="4" w:space="0" w:color="auto"/>
            </w:tcBorders>
            <w:shd w:val="clear" w:color="auto" w:fill="auto"/>
            <w:noWrap/>
            <w:hideMark/>
          </w:tcPr>
          <w:p w14:paraId="718E62FF"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Entité</w:t>
            </w:r>
          </w:p>
        </w:tc>
        <w:tc>
          <w:tcPr>
            <w:tcW w:w="1408" w:type="dxa"/>
            <w:tcBorders>
              <w:top w:val="single" w:sz="4" w:space="0" w:color="auto"/>
              <w:left w:val="nil"/>
              <w:bottom w:val="single" w:sz="4" w:space="0" w:color="auto"/>
              <w:right w:val="single" w:sz="4" w:space="0" w:color="auto"/>
            </w:tcBorders>
            <w:shd w:val="clear" w:color="auto" w:fill="auto"/>
            <w:noWrap/>
            <w:hideMark/>
          </w:tcPr>
          <w:p w14:paraId="7E78C48C"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hideMark/>
          </w:tcPr>
          <w:p w14:paraId="7A192F0F"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hideMark/>
          </w:tcPr>
          <w:p w14:paraId="332F4A8F"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Restant dû</w:t>
            </w:r>
          </w:p>
        </w:tc>
      </w:tr>
      <w:tr w:rsidR="00862C6F" w:rsidRPr="00236418" w14:paraId="73BECC3F"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DE8F0AC"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4C65E4DA"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République sudafricaine</w:t>
            </w:r>
          </w:p>
        </w:tc>
        <w:tc>
          <w:tcPr>
            <w:tcW w:w="2798" w:type="dxa"/>
            <w:tcBorders>
              <w:top w:val="nil"/>
              <w:left w:val="nil"/>
              <w:bottom w:val="single" w:sz="4" w:space="0" w:color="auto"/>
              <w:right w:val="single" w:sz="4" w:space="0" w:color="auto"/>
            </w:tcBorders>
            <w:shd w:val="clear" w:color="auto" w:fill="auto"/>
            <w:noWrap/>
            <w:hideMark/>
          </w:tcPr>
          <w:p w14:paraId="7C096E63"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MPCELL (</w:t>
            </w:r>
            <w:proofErr w:type="spellStart"/>
            <w:r w:rsidRPr="00236418">
              <w:rPr>
                <w:sz w:val="20"/>
                <w:lang w:eastAsia="zh-CN"/>
              </w:rPr>
              <w:t>Pty</w:t>
            </w:r>
            <w:proofErr w:type="spellEnd"/>
            <w:r w:rsidRPr="00236418">
              <w:rPr>
                <w:sz w:val="20"/>
                <w:lang w:eastAsia="zh-CN"/>
              </w:rPr>
              <w:t>) Ltd.</w:t>
            </w:r>
          </w:p>
        </w:tc>
        <w:tc>
          <w:tcPr>
            <w:tcW w:w="1408" w:type="dxa"/>
            <w:tcBorders>
              <w:top w:val="nil"/>
              <w:left w:val="nil"/>
              <w:bottom w:val="single" w:sz="4" w:space="0" w:color="auto"/>
              <w:right w:val="single" w:sz="4" w:space="0" w:color="auto"/>
            </w:tcBorders>
            <w:shd w:val="clear" w:color="auto" w:fill="auto"/>
            <w:noWrap/>
            <w:hideMark/>
          </w:tcPr>
          <w:p w14:paraId="10DCBB16"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3 690,00</w:t>
            </w:r>
          </w:p>
        </w:tc>
        <w:tc>
          <w:tcPr>
            <w:tcW w:w="1126" w:type="dxa"/>
            <w:tcBorders>
              <w:top w:val="nil"/>
              <w:left w:val="nil"/>
              <w:bottom w:val="single" w:sz="4" w:space="0" w:color="auto"/>
              <w:right w:val="single" w:sz="4" w:space="0" w:color="auto"/>
            </w:tcBorders>
            <w:shd w:val="clear" w:color="auto" w:fill="auto"/>
            <w:noWrap/>
            <w:hideMark/>
          </w:tcPr>
          <w:p w14:paraId="7F01FCDA"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0A4E2A70"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3 690,00</w:t>
            </w:r>
          </w:p>
        </w:tc>
      </w:tr>
      <w:tr w:rsidR="00862C6F" w:rsidRPr="00236418" w14:paraId="3B351794"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9AE8A9D"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3808A172"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Canada</w:t>
            </w:r>
          </w:p>
        </w:tc>
        <w:tc>
          <w:tcPr>
            <w:tcW w:w="2798" w:type="dxa"/>
            <w:tcBorders>
              <w:top w:val="nil"/>
              <w:left w:val="nil"/>
              <w:bottom w:val="single" w:sz="4" w:space="0" w:color="auto"/>
              <w:right w:val="single" w:sz="4" w:space="0" w:color="auto"/>
            </w:tcBorders>
            <w:shd w:val="clear" w:color="auto" w:fill="auto"/>
            <w:noWrap/>
            <w:hideMark/>
          </w:tcPr>
          <w:p w14:paraId="3E26685B"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xml:space="preserve">Broad </w:t>
            </w:r>
            <w:proofErr w:type="spellStart"/>
            <w:r w:rsidRPr="00236418">
              <w:rPr>
                <w:sz w:val="20"/>
                <w:lang w:eastAsia="zh-CN"/>
              </w:rPr>
              <w:t>Connect</w:t>
            </w:r>
            <w:proofErr w:type="spellEnd"/>
            <w:r w:rsidRPr="00236418">
              <w:rPr>
                <w:sz w:val="20"/>
                <w:lang w:eastAsia="zh-CN"/>
              </w:rPr>
              <w:t xml:space="preserve"> Telecom Ltd.</w:t>
            </w:r>
          </w:p>
        </w:tc>
        <w:tc>
          <w:tcPr>
            <w:tcW w:w="1408" w:type="dxa"/>
            <w:tcBorders>
              <w:top w:val="nil"/>
              <w:left w:val="nil"/>
              <w:bottom w:val="single" w:sz="4" w:space="0" w:color="auto"/>
              <w:right w:val="single" w:sz="4" w:space="0" w:color="auto"/>
            </w:tcBorders>
            <w:shd w:val="clear" w:color="auto" w:fill="auto"/>
            <w:noWrap/>
            <w:hideMark/>
          </w:tcPr>
          <w:p w14:paraId="627E5202"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14 760,00</w:t>
            </w:r>
          </w:p>
        </w:tc>
        <w:tc>
          <w:tcPr>
            <w:tcW w:w="1126" w:type="dxa"/>
            <w:tcBorders>
              <w:top w:val="nil"/>
              <w:left w:val="nil"/>
              <w:bottom w:val="single" w:sz="4" w:space="0" w:color="auto"/>
              <w:right w:val="single" w:sz="4" w:space="0" w:color="auto"/>
            </w:tcBorders>
            <w:shd w:val="clear" w:color="auto" w:fill="auto"/>
            <w:noWrap/>
            <w:hideMark/>
          </w:tcPr>
          <w:p w14:paraId="231D069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5 850,00</w:t>
            </w:r>
          </w:p>
        </w:tc>
        <w:tc>
          <w:tcPr>
            <w:tcW w:w="1129" w:type="dxa"/>
            <w:tcBorders>
              <w:top w:val="nil"/>
              <w:left w:val="nil"/>
              <w:bottom w:val="single" w:sz="4" w:space="0" w:color="auto"/>
              <w:right w:val="single" w:sz="4" w:space="0" w:color="auto"/>
            </w:tcBorders>
            <w:shd w:val="clear" w:color="auto" w:fill="auto"/>
            <w:noWrap/>
            <w:hideMark/>
          </w:tcPr>
          <w:p w14:paraId="2B92D65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8 910,00</w:t>
            </w:r>
          </w:p>
        </w:tc>
      </w:tr>
      <w:tr w:rsidR="00862C6F" w:rsidRPr="00236418" w14:paraId="466ADED2"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ED6520B"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7F16628F"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98" w:type="dxa"/>
            <w:tcBorders>
              <w:top w:val="nil"/>
              <w:left w:val="nil"/>
              <w:bottom w:val="single" w:sz="4" w:space="0" w:color="auto"/>
              <w:right w:val="single" w:sz="4" w:space="0" w:color="auto"/>
            </w:tcBorders>
            <w:shd w:val="clear" w:color="auto" w:fill="auto"/>
            <w:noWrap/>
            <w:hideMark/>
          </w:tcPr>
          <w:p w14:paraId="18CFFDD0"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SipRing</w:t>
            </w:r>
            <w:proofErr w:type="spellEnd"/>
            <w:r w:rsidRPr="00236418">
              <w:rPr>
                <w:sz w:val="20"/>
                <w:lang w:eastAsia="zh-CN"/>
              </w:rPr>
              <w:t xml:space="preserve"> </w:t>
            </w:r>
            <w:proofErr w:type="spellStart"/>
            <w:r w:rsidRPr="00236418">
              <w:rPr>
                <w:sz w:val="20"/>
                <w:lang w:eastAsia="zh-CN"/>
              </w:rPr>
              <w:t>Telecommunication</w:t>
            </w:r>
            <w:proofErr w:type="spellEnd"/>
          </w:p>
        </w:tc>
        <w:tc>
          <w:tcPr>
            <w:tcW w:w="1408" w:type="dxa"/>
            <w:tcBorders>
              <w:top w:val="nil"/>
              <w:left w:val="nil"/>
              <w:bottom w:val="single" w:sz="4" w:space="0" w:color="auto"/>
              <w:right w:val="single" w:sz="4" w:space="0" w:color="auto"/>
            </w:tcBorders>
            <w:shd w:val="clear" w:color="auto" w:fill="auto"/>
            <w:noWrap/>
            <w:hideMark/>
          </w:tcPr>
          <w:p w14:paraId="7E48E3C2"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8 200,00</w:t>
            </w:r>
          </w:p>
        </w:tc>
        <w:tc>
          <w:tcPr>
            <w:tcW w:w="1126" w:type="dxa"/>
            <w:tcBorders>
              <w:top w:val="nil"/>
              <w:left w:val="nil"/>
              <w:bottom w:val="single" w:sz="4" w:space="0" w:color="auto"/>
              <w:right w:val="single" w:sz="4" w:space="0" w:color="auto"/>
            </w:tcBorders>
            <w:shd w:val="clear" w:color="auto" w:fill="auto"/>
            <w:noWrap/>
            <w:hideMark/>
          </w:tcPr>
          <w:p w14:paraId="4D56897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0BE40A46"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8 200,00</w:t>
            </w:r>
          </w:p>
        </w:tc>
      </w:tr>
      <w:tr w:rsidR="00862C6F" w:rsidRPr="00236418" w14:paraId="2F124CFE"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CF2EB65"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5E3D31A5"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Côte d'Ivoire</w:t>
            </w:r>
          </w:p>
        </w:tc>
        <w:tc>
          <w:tcPr>
            <w:tcW w:w="2798" w:type="dxa"/>
            <w:tcBorders>
              <w:top w:val="nil"/>
              <w:left w:val="nil"/>
              <w:bottom w:val="single" w:sz="4" w:space="0" w:color="auto"/>
              <w:right w:val="single" w:sz="4" w:space="0" w:color="auto"/>
            </w:tcBorders>
            <w:shd w:val="clear" w:color="auto" w:fill="auto"/>
            <w:noWrap/>
            <w:hideMark/>
          </w:tcPr>
          <w:p w14:paraId="6CA66A5E"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Apex Technologies</w:t>
            </w:r>
          </w:p>
        </w:tc>
        <w:tc>
          <w:tcPr>
            <w:tcW w:w="1408" w:type="dxa"/>
            <w:tcBorders>
              <w:top w:val="nil"/>
              <w:left w:val="nil"/>
              <w:bottom w:val="single" w:sz="4" w:space="0" w:color="auto"/>
              <w:right w:val="single" w:sz="4" w:space="0" w:color="auto"/>
            </w:tcBorders>
            <w:shd w:val="clear" w:color="auto" w:fill="auto"/>
            <w:noWrap/>
            <w:hideMark/>
          </w:tcPr>
          <w:p w14:paraId="474B99C6"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7 380,00</w:t>
            </w:r>
          </w:p>
        </w:tc>
        <w:tc>
          <w:tcPr>
            <w:tcW w:w="1126" w:type="dxa"/>
            <w:tcBorders>
              <w:top w:val="nil"/>
              <w:left w:val="nil"/>
              <w:bottom w:val="single" w:sz="4" w:space="0" w:color="auto"/>
              <w:right w:val="single" w:sz="4" w:space="0" w:color="auto"/>
            </w:tcBorders>
            <w:shd w:val="clear" w:color="auto" w:fill="auto"/>
            <w:noWrap/>
            <w:hideMark/>
          </w:tcPr>
          <w:p w14:paraId="3A57240F"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3C0F393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7 380,00</w:t>
            </w:r>
          </w:p>
        </w:tc>
      </w:tr>
      <w:tr w:rsidR="00862C6F" w:rsidRPr="00236418" w14:paraId="5EDA4130"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C208297"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AFT08</w:t>
            </w:r>
          </w:p>
        </w:tc>
        <w:tc>
          <w:tcPr>
            <w:tcW w:w="2186" w:type="dxa"/>
            <w:tcBorders>
              <w:top w:val="nil"/>
              <w:left w:val="nil"/>
              <w:bottom w:val="single" w:sz="4" w:space="0" w:color="auto"/>
              <w:right w:val="single" w:sz="4" w:space="0" w:color="auto"/>
            </w:tcBorders>
            <w:shd w:val="clear" w:color="auto" w:fill="auto"/>
            <w:noWrap/>
            <w:hideMark/>
          </w:tcPr>
          <w:p w14:paraId="363EBE49"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Liban</w:t>
            </w:r>
          </w:p>
        </w:tc>
        <w:tc>
          <w:tcPr>
            <w:tcW w:w="2798" w:type="dxa"/>
            <w:tcBorders>
              <w:top w:val="nil"/>
              <w:left w:val="nil"/>
              <w:bottom w:val="single" w:sz="4" w:space="0" w:color="auto"/>
              <w:right w:val="single" w:sz="4" w:space="0" w:color="auto"/>
            </w:tcBorders>
            <w:shd w:val="clear" w:color="auto" w:fill="auto"/>
            <w:noWrap/>
            <w:hideMark/>
          </w:tcPr>
          <w:p w14:paraId="2016D1DC"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Splendor</w:t>
            </w:r>
            <w:proofErr w:type="spellEnd"/>
          </w:p>
        </w:tc>
        <w:tc>
          <w:tcPr>
            <w:tcW w:w="1408" w:type="dxa"/>
            <w:tcBorders>
              <w:top w:val="nil"/>
              <w:left w:val="nil"/>
              <w:bottom w:val="single" w:sz="4" w:space="0" w:color="auto"/>
              <w:right w:val="single" w:sz="4" w:space="0" w:color="auto"/>
            </w:tcBorders>
            <w:shd w:val="clear" w:color="auto" w:fill="auto"/>
            <w:noWrap/>
            <w:hideMark/>
          </w:tcPr>
          <w:p w14:paraId="267DA882"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12 300,00</w:t>
            </w:r>
          </w:p>
        </w:tc>
        <w:tc>
          <w:tcPr>
            <w:tcW w:w="1126" w:type="dxa"/>
            <w:tcBorders>
              <w:top w:val="nil"/>
              <w:left w:val="nil"/>
              <w:bottom w:val="single" w:sz="4" w:space="0" w:color="auto"/>
              <w:right w:val="single" w:sz="4" w:space="0" w:color="auto"/>
            </w:tcBorders>
            <w:shd w:val="clear" w:color="auto" w:fill="auto"/>
            <w:noWrap/>
            <w:hideMark/>
          </w:tcPr>
          <w:p w14:paraId="3DB656EC"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9" w:type="dxa"/>
            <w:tcBorders>
              <w:top w:val="nil"/>
              <w:left w:val="nil"/>
              <w:bottom w:val="single" w:sz="4" w:space="0" w:color="auto"/>
              <w:right w:val="single" w:sz="4" w:space="0" w:color="auto"/>
            </w:tcBorders>
            <w:shd w:val="clear" w:color="auto" w:fill="auto"/>
            <w:noWrap/>
            <w:hideMark/>
          </w:tcPr>
          <w:p w14:paraId="17317175"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12 300,00</w:t>
            </w:r>
          </w:p>
        </w:tc>
      </w:tr>
      <w:tr w:rsidR="00862C6F" w:rsidRPr="00236418" w14:paraId="3720365D"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tcPr>
          <w:p w14:paraId="7603A44D"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p>
        </w:tc>
        <w:tc>
          <w:tcPr>
            <w:tcW w:w="2186" w:type="dxa"/>
            <w:tcBorders>
              <w:top w:val="nil"/>
              <w:left w:val="nil"/>
              <w:bottom w:val="single" w:sz="4" w:space="0" w:color="auto"/>
              <w:right w:val="single" w:sz="4" w:space="0" w:color="auto"/>
            </w:tcBorders>
            <w:shd w:val="clear" w:color="auto" w:fill="auto"/>
            <w:noWrap/>
          </w:tcPr>
          <w:p w14:paraId="04C32453"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2798" w:type="dxa"/>
            <w:tcBorders>
              <w:top w:val="nil"/>
              <w:left w:val="nil"/>
              <w:bottom w:val="single" w:sz="4" w:space="0" w:color="auto"/>
              <w:right w:val="single" w:sz="4" w:space="0" w:color="auto"/>
            </w:tcBorders>
            <w:shd w:val="clear" w:color="auto" w:fill="auto"/>
            <w:noWrap/>
          </w:tcPr>
          <w:p w14:paraId="4D552B7D"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1408" w:type="dxa"/>
            <w:tcBorders>
              <w:top w:val="nil"/>
              <w:left w:val="nil"/>
              <w:bottom w:val="single" w:sz="4" w:space="0" w:color="auto"/>
              <w:right w:val="single" w:sz="4" w:space="0" w:color="auto"/>
            </w:tcBorders>
            <w:shd w:val="clear" w:color="auto" w:fill="auto"/>
            <w:noWrap/>
          </w:tcPr>
          <w:p w14:paraId="5772421C"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26" w:type="dxa"/>
            <w:tcBorders>
              <w:top w:val="nil"/>
              <w:left w:val="nil"/>
              <w:bottom w:val="single" w:sz="4" w:space="0" w:color="auto"/>
              <w:right w:val="single" w:sz="4" w:space="0" w:color="auto"/>
            </w:tcBorders>
            <w:shd w:val="clear" w:color="auto" w:fill="auto"/>
            <w:noWrap/>
          </w:tcPr>
          <w:p w14:paraId="555F14FF"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29" w:type="dxa"/>
            <w:tcBorders>
              <w:top w:val="nil"/>
              <w:left w:val="nil"/>
              <w:bottom w:val="single" w:sz="4" w:space="0" w:color="auto"/>
              <w:right w:val="single" w:sz="4" w:space="0" w:color="auto"/>
            </w:tcBorders>
            <w:shd w:val="clear" w:color="auto" w:fill="auto"/>
            <w:noWrap/>
          </w:tcPr>
          <w:p w14:paraId="3BB558E6"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r>
      <w:tr w:rsidR="00862C6F" w:rsidRPr="00236418" w14:paraId="3C2ECB39" w14:textId="77777777" w:rsidTr="00620F53">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69D25A36" w14:textId="77777777" w:rsidR="00862C6F" w:rsidRPr="00236418" w:rsidRDefault="00862C6F" w:rsidP="00862C6F">
            <w:pPr>
              <w:tabs>
                <w:tab w:val="clear" w:pos="567"/>
                <w:tab w:val="clear" w:pos="1134"/>
                <w:tab w:val="clear" w:pos="1701"/>
                <w:tab w:val="clear" w:pos="2268"/>
                <w:tab w:val="clear" w:pos="2835"/>
              </w:tabs>
              <w:spacing w:before="0"/>
              <w:jc w:val="center"/>
              <w:rPr>
                <w:b/>
                <w:bCs/>
                <w:sz w:val="20"/>
                <w:lang w:eastAsia="zh-CN"/>
              </w:rPr>
            </w:pPr>
            <w:r w:rsidRPr="00236418">
              <w:rPr>
                <w:b/>
                <w:bCs/>
                <w:sz w:val="20"/>
                <w:lang w:eastAsia="zh-CN"/>
              </w:rPr>
              <w:t>AFT08</w:t>
            </w:r>
          </w:p>
        </w:tc>
        <w:tc>
          <w:tcPr>
            <w:tcW w:w="2186" w:type="dxa"/>
            <w:tcBorders>
              <w:top w:val="single" w:sz="4" w:space="0" w:color="auto"/>
              <w:left w:val="nil"/>
              <w:bottom w:val="single" w:sz="4" w:space="0" w:color="auto"/>
              <w:right w:val="single" w:sz="4" w:space="0" w:color="auto"/>
            </w:tcBorders>
            <w:shd w:val="clear" w:color="auto" w:fill="auto"/>
            <w:noWrap/>
            <w:hideMark/>
          </w:tcPr>
          <w:p w14:paraId="45DBADF2"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2798" w:type="dxa"/>
            <w:tcBorders>
              <w:top w:val="single" w:sz="4" w:space="0" w:color="auto"/>
              <w:left w:val="nil"/>
              <w:bottom w:val="single" w:sz="4" w:space="0" w:color="auto"/>
              <w:right w:val="single" w:sz="4" w:space="0" w:color="auto"/>
            </w:tcBorders>
            <w:shd w:val="clear" w:color="auto" w:fill="auto"/>
            <w:noWrap/>
            <w:hideMark/>
          </w:tcPr>
          <w:p w14:paraId="17ACFF13"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1408" w:type="dxa"/>
            <w:tcBorders>
              <w:top w:val="single" w:sz="4" w:space="0" w:color="auto"/>
              <w:left w:val="nil"/>
              <w:bottom w:val="single" w:sz="4" w:space="0" w:color="auto"/>
              <w:right w:val="single" w:sz="4" w:space="0" w:color="auto"/>
            </w:tcBorders>
            <w:shd w:val="clear" w:color="auto" w:fill="auto"/>
            <w:noWrap/>
            <w:hideMark/>
          </w:tcPr>
          <w:p w14:paraId="62C22D6E"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 </w:t>
            </w:r>
          </w:p>
        </w:tc>
        <w:tc>
          <w:tcPr>
            <w:tcW w:w="1126" w:type="dxa"/>
            <w:tcBorders>
              <w:top w:val="single" w:sz="4" w:space="0" w:color="auto"/>
              <w:left w:val="nil"/>
              <w:bottom w:val="single" w:sz="4" w:space="0" w:color="auto"/>
              <w:right w:val="single" w:sz="4" w:space="0" w:color="auto"/>
            </w:tcBorders>
            <w:shd w:val="clear" w:color="auto" w:fill="auto"/>
            <w:noWrap/>
            <w:hideMark/>
          </w:tcPr>
          <w:p w14:paraId="4E55B146"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 </w:t>
            </w:r>
          </w:p>
        </w:tc>
        <w:tc>
          <w:tcPr>
            <w:tcW w:w="1129" w:type="dxa"/>
            <w:tcBorders>
              <w:top w:val="single" w:sz="4" w:space="0" w:color="auto"/>
              <w:left w:val="nil"/>
              <w:bottom w:val="single" w:sz="4" w:space="0" w:color="auto"/>
              <w:right w:val="single" w:sz="4" w:space="0" w:color="auto"/>
            </w:tcBorders>
            <w:shd w:val="clear" w:color="auto" w:fill="auto"/>
            <w:noWrap/>
            <w:hideMark/>
          </w:tcPr>
          <w:p w14:paraId="487E9BE0"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40 480,00</w:t>
            </w:r>
          </w:p>
        </w:tc>
      </w:tr>
    </w:tbl>
    <w:p w14:paraId="6A37244B" w14:textId="77777777" w:rsidR="00862C6F" w:rsidRPr="00236418" w:rsidRDefault="00862C6F" w:rsidP="00862C6F"/>
    <w:tbl>
      <w:tblPr>
        <w:tblW w:w="9920" w:type="dxa"/>
        <w:jc w:val="center"/>
        <w:tblLayout w:type="fixed"/>
        <w:tblLook w:val="04A0" w:firstRow="1" w:lastRow="0" w:firstColumn="1" w:lastColumn="0" w:noHBand="0" w:noVBand="1"/>
        <w:tblCaption w:val="E"/>
      </w:tblPr>
      <w:tblGrid>
        <w:gridCol w:w="1269"/>
        <w:gridCol w:w="2184"/>
        <w:gridCol w:w="2785"/>
        <w:gridCol w:w="1428"/>
        <w:gridCol w:w="1134"/>
        <w:gridCol w:w="1120"/>
      </w:tblGrid>
      <w:tr w:rsidR="00862C6F" w:rsidRPr="00236418" w14:paraId="79AD2A2C" w14:textId="77777777" w:rsidTr="00620F53">
        <w:trPr>
          <w:trHeight w:val="300"/>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hideMark/>
          </w:tcPr>
          <w:p w14:paraId="6078423C"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Événement</w:t>
            </w:r>
          </w:p>
        </w:tc>
        <w:tc>
          <w:tcPr>
            <w:tcW w:w="2184" w:type="dxa"/>
            <w:tcBorders>
              <w:top w:val="single" w:sz="4" w:space="0" w:color="auto"/>
              <w:left w:val="nil"/>
              <w:bottom w:val="single" w:sz="4" w:space="0" w:color="auto"/>
              <w:right w:val="single" w:sz="4" w:space="0" w:color="auto"/>
            </w:tcBorders>
            <w:shd w:val="clear" w:color="auto" w:fill="auto"/>
            <w:noWrap/>
            <w:hideMark/>
          </w:tcPr>
          <w:p w14:paraId="0091F4B5"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Pays</w:t>
            </w:r>
          </w:p>
        </w:tc>
        <w:tc>
          <w:tcPr>
            <w:tcW w:w="2785" w:type="dxa"/>
            <w:tcBorders>
              <w:top w:val="single" w:sz="4" w:space="0" w:color="auto"/>
              <w:left w:val="nil"/>
              <w:bottom w:val="single" w:sz="4" w:space="0" w:color="auto"/>
              <w:right w:val="single" w:sz="4" w:space="0" w:color="auto"/>
            </w:tcBorders>
            <w:shd w:val="clear" w:color="auto" w:fill="auto"/>
            <w:noWrap/>
            <w:hideMark/>
          </w:tcPr>
          <w:p w14:paraId="7A656F5C"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Entité</w:t>
            </w:r>
          </w:p>
        </w:tc>
        <w:tc>
          <w:tcPr>
            <w:tcW w:w="1428" w:type="dxa"/>
            <w:tcBorders>
              <w:top w:val="single" w:sz="4" w:space="0" w:color="auto"/>
              <w:left w:val="nil"/>
              <w:bottom w:val="single" w:sz="4" w:space="0" w:color="auto"/>
              <w:right w:val="single" w:sz="4" w:space="0" w:color="auto"/>
            </w:tcBorders>
            <w:shd w:val="clear" w:color="auto" w:fill="auto"/>
            <w:noWrap/>
            <w:hideMark/>
          </w:tcPr>
          <w:p w14:paraId="206E11B0"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39A9564B"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hideMark/>
          </w:tcPr>
          <w:p w14:paraId="30604E6B"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Restant dû</w:t>
            </w:r>
          </w:p>
        </w:tc>
      </w:tr>
      <w:tr w:rsidR="00862C6F" w:rsidRPr="00236418" w14:paraId="5D492180"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0337C8E2"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0E2232FD" w14:textId="77777777" w:rsidR="00862C6F" w:rsidRPr="00236418" w:rsidRDefault="00862C6F" w:rsidP="00862C6F">
            <w:pPr>
              <w:tabs>
                <w:tab w:val="clear" w:pos="567"/>
                <w:tab w:val="clear" w:pos="1134"/>
                <w:tab w:val="clear" w:pos="1701"/>
                <w:tab w:val="clear" w:pos="2268"/>
                <w:tab w:val="clear" w:pos="2835"/>
              </w:tabs>
              <w:spacing w:before="0"/>
              <w:rPr>
                <w:rFonts w:cs="Arial"/>
                <w:sz w:val="20"/>
                <w:lang w:eastAsia="zh-CN"/>
              </w:rPr>
            </w:pPr>
            <w:r w:rsidRPr="00236418">
              <w:rPr>
                <w:rFonts w:cs="Arial"/>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510ABFD2" w14:textId="77777777" w:rsidR="00862C6F" w:rsidRPr="00236418" w:rsidRDefault="00862C6F" w:rsidP="00862C6F">
            <w:pPr>
              <w:tabs>
                <w:tab w:val="clear" w:pos="567"/>
                <w:tab w:val="clear" w:pos="1134"/>
                <w:tab w:val="clear" w:pos="1701"/>
                <w:tab w:val="clear" w:pos="2268"/>
                <w:tab w:val="clear" w:pos="2835"/>
              </w:tabs>
              <w:spacing w:before="0"/>
              <w:rPr>
                <w:rFonts w:cs="Arial"/>
                <w:sz w:val="20"/>
                <w:lang w:eastAsia="zh-CN"/>
              </w:rPr>
            </w:pPr>
            <w:r w:rsidRPr="00236418">
              <w:rPr>
                <w:rFonts w:cs="Arial"/>
                <w:sz w:val="20"/>
                <w:lang w:eastAsia="zh-CN"/>
              </w:rPr>
              <w:t>Consulat des Etats-Unis à Hong Kong</w:t>
            </w:r>
          </w:p>
        </w:tc>
        <w:tc>
          <w:tcPr>
            <w:tcW w:w="1428" w:type="dxa"/>
            <w:tcBorders>
              <w:top w:val="nil"/>
              <w:left w:val="nil"/>
              <w:bottom w:val="single" w:sz="4" w:space="0" w:color="auto"/>
              <w:right w:val="single" w:sz="4" w:space="0" w:color="auto"/>
            </w:tcBorders>
            <w:shd w:val="clear" w:color="auto" w:fill="auto"/>
            <w:noWrap/>
            <w:hideMark/>
          </w:tcPr>
          <w:p w14:paraId="246DB6B4" w14:textId="77777777" w:rsidR="00862C6F" w:rsidRPr="00236418" w:rsidRDefault="00862C6F" w:rsidP="00862C6F">
            <w:pPr>
              <w:tabs>
                <w:tab w:val="clear" w:pos="567"/>
                <w:tab w:val="clear" w:pos="1134"/>
                <w:tab w:val="clear" w:pos="1701"/>
                <w:tab w:val="clear" w:pos="2268"/>
                <w:tab w:val="clear" w:pos="2835"/>
              </w:tabs>
              <w:spacing w:before="0"/>
              <w:jc w:val="right"/>
              <w:rPr>
                <w:rFonts w:cs="Arial"/>
                <w:sz w:val="20"/>
                <w:lang w:eastAsia="zh-CN"/>
              </w:rPr>
            </w:pPr>
            <w:r w:rsidRPr="00236418">
              <w:rPr>
                <w:rFonts w:cs="Arial"/>
                <w:sz w:val="20"/>
                <w:lang w:eastAsia="zh-CN"/>
              </w:rPr>
              <w:t>400,00</w:t>
            </w:r>
          </w:p>
        </w:tc>
        <w:tc>
          <w:tcPr>
            <w:tcW w:w="1134" w:type="dxa"/>
            <w:tcBorders>
              <w:top w:val="nil"/>
              <w:left w:val="nil"/>
              <w:bottom w:val="single" w:sz="4" w:space="0" w:color="auto"/>
              <w:right w:val="single" w:sz="4" w:space="0" w:color="auto"/>
            </w:tcBorders>
            <w:shd w:val="clear" w:color="auto" w:fill="auto"/>
            <w:noWrap/>
            <w:hideMark/>
          </w:tcPr>
          <w:p w14:paraId="2006E1F2" w14:textId="77777777" w:rsidR="00862C6F" w:rsidRPr="00236418" w:rsidRDefault="00862C6F" w:rsidP="00862C6F">
            <w:pPr>
              <w:tabs>
                <w:tab w:val="clear" w:pos="567"/>
                <w:tab w:val="clear" w:pos="1134"/>
                <w:tab w:val="clear" w:pos="1701"/>
                <w:tab w:val="clear" w:pos="2268"/>
                <w:tab w:val="clear" w:pos="2835"/>
              </w:tabs>
              <w:spacing w:before="0"/>
              <w:jc w:val="right"/>
              <w:rPr>
                <w:rFonts w:cs="Arial"/>
                <w:sz w:val="20"/>
                <w:lang w:eastAsia="zh-CN"/>
              </w:rPr>
            </w:pPr>
            <w:r w:rsidRPr="00236418">
              <w:rPr>
                <w:rFonts w:cs="Arial"/>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4316D07D" w14:textId="77777777" w:rsidR="00862C6F" w:rsidRPr="00236418" w:rsidRDefault="00862C6F" w:rsidP="00862C6F">
            <w:pPr>
              <w:tabs>
                <w:tab w:val="clear" w:pos="567"/>
                <w:tab w:val="clear" w:pos="1134"/>
                <w:tab w:val="clear" w:pos="1701"/>
                <w:tab w:val="clear" w:pos="2268"/>
                <w:tab w:val="clear" w:pos="2835"/>
              </w:tabs>
              <w:spacing w:before="0"/>
              <w:jc w:val="right"/>
              <w:rPr>
                <w:rFonts w:cs="Arial"/>
                <w:sz w:val="20"/>
                <w:lang w:eastAsia="zh-CN"/>
              </w:rPr>
            </w:pPr>
            <w:r w:rsidRPr="00236418">
              <w:rPr>
                <w:rFonts w:cs="Arial"/>
                <w:sz w:val="20"/>
                <w:lang w:eastAsia="zh-CN"/>
              </w:rPr>
              <w:t>400,00</w:t>
            </w:r>
          </w:p>
        </w:tc>
      </w:tr>
      <w:tr w:rsidR="00862C6F" w:rsidRPr="00236418" w14:paraId="4A5F3580"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9972063"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5C25D98"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5C8D4BB6"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ChongQing</w:t>
            </w:r>
            <w:proofErr w:type="spellEnd"/>
            <w:r w:rsidRPr="00236418">
              <w:rPr>
                <w:sz w:val="20"/>
                <w:lang w:eastAsia="zh-CN"/>
              </w:rPr>
              <w:t xml:space="preserve"> Chong You</w:t>
            </w:r>
          </w:p>
        </w:tc>
        <w:tc>
          <w:tcPr>
            <w:tcW w:w="1428" w:type="dxa"/>
            <w:tcBorders>
              <w:top w:val="nil"/>
              <w:left w:val="nil"/>
              <w:bottom w:val="single" w:sz="4" w:space="0" w:color="auto"/>
              <w:right w:val="single" w:sz="4" w:space="0" w:color="auto"/>
            </w:tcBorders>
            <w:shd w:val="clear" w:color="auto" w:fill="auto"/>
            <w:noWrap/>
            <w:hideMark/>
          </w:tcPr>
          <w:p w14:paraId="339E6780"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5EF55FEE"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066E23C7"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r>
      <w:tr w:rsidR="00862C6F" w:rsidRPr="00236418" w14:paraId="595CBF3A"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41944FC8"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71C59527"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43F7EFC8"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xml:space="preserve">Jiangxi </w:t>
            </w:r>
            <w:proofErr w:type="spellStart"/>
            <w:r w:rsidRPr="00236418">
              <w:rPr>
                <w:sz w:val="20"/>
                <w:lang w:eastAsia="zh-CN"/>
              </w:rPr>
              <w:t>Lianchuang</w:t>
            </w:r>
            <w:proofErr w:type="spellEnd"/>
          </w:p>
        </w:tc>
        <w:tc>
          <w:tcPr>
            <w:tcW w:w="1428" w:type="dxa"/>
            <w:tcBorders>
              <w:top w:val="nil"/>
              <w:left w:val="nil"/>
              <w:bottom w:val="single" w:sz="4" w:space="0" w:color="auto"/>
              <w:right w:val="single" w:sz="4" w:space="0" w:color="auto"/>
            </w:tcBorders>
            <w:shd w:val="clear" w:color="auto" w:fill="auto"/>
            <w:noWrap/>
            <w:hideMark/>
          </w:tcPr>
          <w:p w14:paraId="19B693D1"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0C516955"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2A42A265"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r>
      <w:tr w:rsidR="00862C6F" w:rsidRPr="00236418" w14:paraId="30B6AB7A"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620F94C"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A08C1A9"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4CFA3D32"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Naike</w:t>
            </w:r>
            <w:proofErr w:type="spellEnd"/>
            <w:r w:rsidRPr="00236418">
              <w:rPr>
                <w:sz w:val="20"/>
                <w:lang w:eastAsia="zh-CN"/>
              </w:rPr>
              <w:t xml:space="preserve"> (HK) Digital</w:t>
            </w:r>
          </w:p>
        </w:tc>
        <w:tc>
          <w:tcPr>
            <w:tcW w:w="1428" w:type="dxa"/>
            <w:tcBorders>
              <w:top w:val="nil"/>
              <w:left w:val="nil"/>
              <w:bottom w:val="single" w:sz="4" w:space="0" w:color="auto"/>
              <w:right w:val="single" w:sz="4" w:space="0" w:color="auto"/>
            </w:tcBorders>
            <w:shd w:val="clear" w:color="auto" w:fill="auto"/>
            <w:noWrap/>
            <w:hideMark/>
          </w:tcPr>
          <w:p w14:paraId="370A87F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2A0F2902"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22A50B7E"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r>
      <w:tr w:rsidR="00862C6F" w:rsidRPr="00236418" w14:paraId="7C46542F"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6ADD44D4"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5A66D3B"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1CB93FC9"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xml:space="preserve">Shenzhen </w:t>
            </w:r>
            <w:proofErr w:type="spellStart"/>
            <w:r w:rsidRPr="00236418">
              <w:rPr>
                <w:sz w:val="20"/>
                <w:lang w:eastAsia="zh-CN"/>
              </w:rPr>
              <w:t>Orea</w:t>
            </w:r>
            <w:proofErr w:type="spellEnd"/>
            <w:r w:rsidRPr="00236418">
              <w:rPr>
                <w:sz w:val="20"/>
                <w:lang w:eastAsia="zh-CN"/>
              </w:rPr>
              <w:t xml:space="preserve"> Design</w:t>
            </w:r>
          </w:p>
        </w:tc>
        <w:tc>
          <w:tcPr>
            <w:tcW w:w="1428" w:type="dxa"/>
            <w:tcBorders>
              <w:top w:val="nil"/>
              <w:left w:val="nil"/>
              <w:bottom w:val="single" w:sz="4" w:space="0" w:color="auto"/>
              <w:right w:val="single" w:sz="4" w:space="0" w:color="auto"/>
            </w:tcBorders>
            <w:shd w:val="clear" w:color="auto" w:fill="auto"/>
            <w:noWrap/>
            <w:hideMark/>
          </w:tcPr>
          <w:p w14:paraId="09D0C336"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3 600,00</w:t>
            </w:r>
          </w:p>
        </w:tc>
        <w:tc>
          <w:tcPr>
            <w:tcW w:w="1134" w:type="dxa"/>
            <w:tcBorders>
              <w:top w:val="nil"/>
              <w:left w:val="nil"/>
              <w:bottom w:val="single" w:sz="4" w:space="0" w:color="auto"/>
              <w:right w:val="single" w:sz="4" w:space="0" w:color="auto"/>
            </w:tcBorders>
            <w:shd w:val="clear" w:color="auto" w:fill="auto"/>
            <w:noWrap/>
            <w:hideMark/>
          </w:tcPr>
          <w:p w14:paraId="28DDA325"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59C8829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3 600,00</w:t>
            </w:r>
          </w:p>
        </w:tc>
      </w:tr>
      <w:tr w:rsidR="00862C6F" w:rsidRPr="00236418" w14:paraId="226E6EDE"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311888E9"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549139C"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2F820DA8"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Sipnovo</w:t>
            </w:r>
            <w:proofErr w:type="spellEnd"/>
          </w:p>
        </w:tc>
        <w:tc>
          <w:tcPr>
            <w:tcW w:w="1428" w:type="dxa"/>
            <w:tcBorders>
              <w:top w:val="nil"/>
              <w:left w:val="nil"/>
              <w:bottom w:val="single" w:sz="4" w:space="0" w:color="auto"/>
              <w:right w:val="single" w:sz="4" w:space="0" w:color="auto"/>
            </w:tcBorders>
            <w:shd w:val="clear" w:color="auto" w:fill="auto"/>
            <w:noWrap/>
            <w:hideMark/>
          </w:tcPr>
          <w:p w14:paraId="2B52B28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c>
          <w:tcPr>
            <w:tcW w:w="1134" w:type="dxa"/>
            <w:tcBorders>
              <w:top w:val="nil"/>
              <w:left w:val="nil"/>
              <w:bottom w:val="single" w:sz="4" w:space="0" w:color="auto"/>
              <w:right w:val="single" w:sz="4" w:space="0" w:color="auto"/>
            </w:tcBorders>
            <w:shd w:val="clear" w:color="auto" w:fill="auto"/>
            <w:noWrap/>
            <w:hideMark/>
          </w:tcPr>
          <w:p w14:paraId="1E97F6B5"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46E0356D"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7 200,00</w:t>
            </w:r>
          </w:p>
        </w:tc>
      </w:tr>
      <w:tr w:rsidR="00862C6F" w:rsidRPr="00236418" w14:paraId="2EE3C087"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019FED14"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6F56D51B"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713A5987"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xml:space="preserve">Tiger </w:t>
            </w:r>
            <w:proofErr w:type="spellStart"/>
            <w:r w:rsidRPr="00236418">
              <w:rPr>
                <w:sz w:val="20"/>
                <w:lang w:eastAsia="zh-CN"/>
              </w:rPr>
              <w:t>NetCom</w:t>
            </w:r>
            <w:proofErr w:type="spellEnd"/>
          </w:p>
        </w:tc>
        <w:tc>
          <w:tcPr>
            <w:tcW w:w="1428" w:type="dxa"/>
            <w:tcBorders>
              <w:top w:val="nil"/>
              <w:left w:val="nil"/>
              <w:bottom w:val="single" w:sz="4" w:space="0" w:color="auto"/>
              <w:right w:val="single" w:sz="4" w:space="0" w:color="auto"/>
            </w:tcBorders>
            <w:shd w:val="clear" w:color="auto" w:fill="auto"/>
            <w:noWrap/>
            <w:hideMark/>
          </w:tcPr>
          <w:p w14:paraId="66898B00"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3 150,00</w:t>
            </w:r>
          </w:p>
        </w:tc>
        <w:tc>
          <w:tcPr>
            <w:tcW w:w="1134" w:type="dxa"/>
            <w:tcBorders>
              <w:top w:val="nil"/>
              <w:left w:val="nil"/>
              <w:bottom w:val="single" w:sz="4" w:space="0" w:color="auto"/>
              <w:right w:val="single" w:sz="4" w:space="0" w:color="auto"/>
            </w:tcBorders>
            <w:shd w:val="clear" w:color="auto" w:fill="auto"/>
            <w:noWrap/>
            <w:hideMark/>
          </w:tcPr>
          <w:p w14:paraId="45A65BB0"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1A183CDE"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3 150,00</w:t>
            </w:r>
          </w:p>
        </w:tc>
      </w:tr>
      <w:tr w:rsidR="00862C6F" w:rsidRPr="00236418" w14:paraId="1FD58F18"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725DD780"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5214F40"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Chine</w:t>
            </w:r>
          </w:p>
        </w:tc>
        <w:tc>
          <w:tcPr>
            <w:tcW w:w="2785" w:type="dxa"/>
            <w:tcBorders>
              <w:top w:val="nil"/>
              <w:left w:val="nil"/>
              <w:bottom w:val="single" w:sz="4" w:space="0" w:color="auto"/>
              <w:right w:val="single" w:sz="4" w:space="0" w:color="auto"/>
            </w:tcBorders>
            <w:shd w:val="clear" w:color="auto" w:fill="auto"/>
            <w:noWrap/>
            <w:hideMark/>
          </w:tcPr>
          <w:p w14:paraId="39EA0691"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Vapel</w:t>
            </w:r>
            <w:proofErr w:type="spellEnd"/>
            <w:r w:rsidRPr="00236418">
              <w:rPr>
                <w:sz w:val="20"/>
                <w:lang w:eastAsia="zh-CN"/>
              </w:rPr>
              <w:t xml:space="preserve"> Power</w:t>
            </w:r>
          </w:p>
        </w:tc>
        <w:tc>
          <w:tcPr>
            <w:tcW w:w="1428" w:type="dxa"/>
            <w:tcBorders>
              <w:top w:val="nil"/>
              <w:left w:val="nil"/>
              <w:bottom w:val="single" w:sz="4" w:space="0" w:color="auto"/>
              <w:right w:val="single" w:sz="4" w:space="0" w:color="auto"/>
            </w:tcBorders>
            <w:shd w:val="clear" w:color="auto" w:fill="auto"/>
            <w:noWrap/>
            <w:hideMark/>
          </w:tcPr>
          <w:p w14:paraId="620ACAFB"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4 800,00</w:t>
            </w:r>
          </w:p>
        </w:tc>
        <w:tc>
          <w:tcPr>
            <w:tcW w:w="1134" w:type="dxa"/>
            <w:tcBorders>
              <w:top w:val="nil"/>
              <w:left w:val="nil"/>
              <w:bottom w:val="single" w:sz="4" w:space="0" w:color="auto"/>
              <w:right w:val="single" w:sz="4" w:space="0" w:color="auto"/>
            </w:tcBorders>
            <w:shd w:val="clear" w:color="auto" w:fill="auto"/>
            <w:noWrap/>
            <w:hideMark/>
          </w:tcPr>
          <w:p w14:paraId="5319E503"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20" w:type="dxa"/>
            <w:tcBorders>
              <w:top w:val="nil"/>
              <w:left w:val="nil"/>
              <w:bottom w:val="single" w:sz="4" w:space="0" w:color="auto"/>
              <w:right w:val="single" w:sz="4" w:space="0" w:color="auto"/>
            </w:tcBorders>
            <w:shd w:val="clear" w:color="auto" w:fill="auto"/>
            <w:noWrap/>
            <w:hideMark/>
          </w:tcPr>
          <w:p w14:paraId="2373782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4 800,00</w:t>
            </w:r>
          </w:p>
        </w:tc>
      </w:tr>
      <w:tr w:rsidR="00862C6F" w:rsidRPr="00236418" w14:paraId="71BAA8AB"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tcPr>
          <w:p w14:paraId="5EDF4929"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p>
        </w:tc>
        <w:tc>
          <w:tcPr>
            <w:tcW w:w="2184" w:type="dxa"/>
            <w:tcBorders>
              <w:top w:val="nil"/>
              <w:left w:val="nil"/>
              <w:bottom w:val="single" w:sz="4" w:space="0" w:color="auto"/>
              <w:right w:val="single" w:sz="4" w:space="0" w:color="auto"/>
            </w:tcBorders>
            <w:shd w:val="clear" w:color="auto" w:fill="auto"/>
            <w:noWrap/>
          </w:tcPr>
          <w:p w14:paraId="370681A3"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2785" w:type="dxa"/>
            <w:tcBorders>
              <w:top w:val="nil"/>
              <w:left w:val="nil"/>
              <w:bottom w:val="single" w:sz="4" w:space="0" w:color="auto"/>
              <w:right w:val="single" w:sz="4" w:space="0" w:color="auto"/>
            </w:tcBorders>
            <w:shd w:val="clear" w:color="auto" w:fill="auto"/>
            <w:noWrap/>
          </w:tcPr>
          <w:p w14:paraId="0FA81898"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1428" w:type="dxa"/>
            <w:tcBorders>
              <w:top w:val="nil"/>
              <w:left w:val="nil"/>
              <w:bottom w:val="single" w:sz="4" w:space="0" w:color="auto"/>
              <w:right w:val="single" w:sz="4" w:space="0" w:color="auto"/>
            </w:tcBorders>
            <w:shd w:val="clear" w:color="auto" w:fill="auto"/>
            <w:noWrap/>
          </w:tcPr>
          <w:p w14:paraId="3EC4328C"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34" w:type="dxa"/>
            <w:tcBorders>
              <w:top w:val="nil"/>
              <w:left w:val="nil"/>
              <w:bottom w:val="single" w:sz="4" w:space="0" w:color="auto"/>
              <w:right w:val="single" w:sz="4" w:space="0" w:color="auto"/>
            </w:tcBorders>
            <w:shd w:val="clear" w:color="auto" w:fill="auto"/>
            <w:noWrap/>
          </w:tcPr>
          <w:p w14:paraId="07D3E89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20" w:type="dxa"/>
            <w:tcBorders>
              <w:top w:val="nil"/>
              <w:left w:val="nil"/>
              <w:bottom w:val="single" w:sz="4" w:space="0" w:color="auto"/>
              <w:right w:val="single" w:sz="4" w:space="0" w:color="auto"/>
            </w:tcBorders>
            <w:shd w:val="clear" w:color="auto" w:fill="auto"/>
            <w:noWrap/>
          </w:tcPr>
          <w:p w14:paraId="678EF0D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r>
      <w:tr w:rsidR="00862C6F" w:rsidRPr="00236418" w14:paraId="173106C8"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20E5A148" w14:textId="77777777" w:rsidR="00862C6F" w:rsidRPr="00236418" w:rsidRDefault="00862C6F" w:rsidP="00862C6F">
            <w:pPr>
              <w:tabs>
                <w:tab w:val="clear" w:pos="567"/>
                <w:tab w:val="clear" w:pos="1134"/>
                <w:tab w:val="clear" w:pos="1701"/>
                <w:tab w:val="clear" w:pos="2268"/>
                <w:tab w:val="clear" w:pos="2835"/>
              </w:tabs>
              <w:spacing w:before="0"/>
              <w:jc w:val="center"/>
              <w:rPr>
                <w:rFonts w:cs="Arial"/>
                <w:b/>
                <w:bCs/>
                <w:sz w:val="20"/>
                <w:lang w:eastAsia="zh-CN"/>
              </w:rPr>
            </w:pPr>
            <w:r w:rsidRPr="00236418">
              <w:rPr>
                <w:rFonts w:cs="Arial"/>
                <w:b/>
                <w:bCs/>
                <w:sz w:val="20"/>
                <w:lang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2469160F"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2785" w:type="dxa"/>
            <w:tcBorders>
              <w:top w:val="nil"/>
              <w:left w:val="nil"/>
              <w:bottom w:val="single" w:sz="4" w:space="0" w:color="auto"/>
              <w:right w:val="single" w:sz="4" w:space="0" w:color="auto"/>
            </w:tcBorders>
            <w:shd w:val="clear" w:color="auto" w:fill="auto"/>
            <w:noWrap/>
            <w:hideMark/>
          </w:tcPr>
          <w:p w14:paraId="6E7FFB30"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1428" w:type="dxa"/>
            <w:tcBorders>
              <w:top w:val="nil"/>
              <w:left w:val="nil"/>
              <w:bottom w:val="single" w:sz="4" w:space="0" w:color="auto"/>
              <w:right w:val="single" w:sz="4" w:space="0" w:color="auto"/>
            </w:tcBorders>
            <w:shd w:val="clear" w:color="auto" w:fill="auto"/>
            <w:noWrap/>
            <w:hideMark/>
          </w:tcPr>
          <w:p w14:paraId="3ED4540D"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 </w:t>
            </w:r>
          </w:p>
        </w:tc>
        <w:tc>
          <w:tcPr>
            <w:tcW w:w="1134" w:type="dxa"/>
            <w:tcBorders>
              <w:top w:val="nil"/>
              <w:left w:val="nil"/>
              <w:bottom w:val="single" w:sz="4" w:space="0" w:color="auto"/>
              <w:right w:val="single" w:sz="4" w:space="0" w:color="auto"/>
            </w:tcBorders>
            <w:shd w:val="clear" w:color="auto" w:fill="auto"/>
            <w:noWrap/>
            <w:hideMark/>
          </w:tcPr>
          <w:p w14:paraId="72A95B0D" w14:textId="77777777" w:rsidR="00862C6F" w:rsidRPr="00236418" w:rsidRDefault="00862C6F" w:rsidP="00862C6F">
            <w:pPr>
              <w:tabs>
                <w:tab w:val="clear" w:pos="567"/>
                <w:tab w:val="clear" w:pos="1134"/>
                <w:tab w:val="clear" w:pos="1701"/>
                <w:tab w:val="clear" w:pos="2268"/>
                <w:tab w:val="clear" w:pos="2835"/>
              </w:tabs>
              <w:spacing w:before="0"/>
              <w:jc w:val="right"/>
              <w:rPr>
                <w:rFonts w:cs="Arial"/>
                <w:b/>
                <w:bCs/>
                <w:sz w:val="20"/>
                <w:lang w:eastAsia="zh-CN"/>
              </w:rPr>
            </w:pPr>
            <w:r w:rsidRPr="00236418">
              <w:rPr>
                <w:rFonts w:cs="Arial"/>
                <w:b/>
                <w:bCs/>
                <w:sz w:val="20"/>
                <w:lang w:eastAsia="zh-CN"/>
              </w:rPr>
              <w:t> </w:t>
            </w:r>
          </w:p>
        </w:tc>
        <w:tc>
          <w:tcPr>
            <w:tcW w:w="1120" w:type="dxa"/>
            <w:tcBorders>
              <w:top w:val="nil"/>
              <w:left w:val="nil"/>
              <w:bottom w:val="single" w:sz="4" w:space="0" w:color="auto"/>
              <w:right w:val="single" w:sz="4" w:space="0" w:color="auto"/>
            </w:tcBorders>
            <w:shd w:val="clear" w:color="auto" w:fill="auto"/>
            <w:noWrap/>
            <w:hideMark/>
          </w:tcPr>
          <w:p w14:paraId="6616E3E0" w14:textId="77777777" w:rsidR="00862C6F" w:rsidRPr="00236418" w:rsidRDefault="00862C6F" w:rsidP="00862C6F">
            <w:pPr>
              <w:tabs>
                <w:tab w:val="clear" w:pos="567"/>
                <w:tab w:val="clear" w:pos="1134"/>
                <w:tab w:val="clear" w:pos="1701"/>
                <w:tab w:val="clear" w:pos="2268"/>
                <w:tab w:val="clear" w:pos="2835"/>
              </w:tabs>
              <w:spacing w:before="0"/>
              <w:jc w:val="right"/>
              <w:rPr>
                <w:rFonts w:cs="Arial"/>
                <w:b/>
                <w:bCs/>
                <w:sz w:val="20"/>
                <w:lang w:eastAsia="zh-CN"/>
              </w:rPr>
            </w:pPr>
            <w:r w:rsidRPr="00236418">
              <w:rPr>
                <w:rFonts w:cs="Arial"/>
                <w:b/>
                <w:bCs/>
                <w:sz w:val="20"/>
                <w:lang w:eastAsia="zh-CN"/>
              </w:rPr>
              <w:t>40 750,00</w:t>
            </w:r>
          </w:p>
        </w:tc>
      </w:tr>
    </w:tbl>
    <w:p w14:paraId="4EDDEA8A" w14:textId="77777777" w:rsidR="00862C6F" w:rsidRPr="00236418" w:rsidRDefault="00862C6F" w:rsidP="00862C6F"/>
    <w:tbl>
      <w:tblPr>
        <w:tblW w:w="9913" w:type="dxa"/>
        <w:jc w:val="center"/>
        <w:tblLayout w:type="fixed"/>
        <w:tblLook w:val="04A0" w:firstRow="1" w:lastRow="0" w:firstColumn="1" w:lastColumn="0" w:noHBand="0" w:noVBand="1"/>
        <w:tblCaption w:val="E"/>
      </w:tblPr>
      <w:tblGrid>
        <w:gridCol w:w="1251"/>
        <w:gridCol w:w="2202"/>
        <w:gridCol w:w="2785"/>
        <w:gridCol w:w="1428"/>
        <w:gridCol w:w="1134"/>
        <w:gridCol w:w="1113"/>
      </w:tblGrid>
      <w:tr w:rsidR="00862C6F" w:rsidRPr="00236418" w14:paraId="01DF5E3B" w14:textId="77777777" w:rsidTr="00620F53">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14:paraId="327B9FB4"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Événement</w:t>
            </w:r>
          </w:p>
        </w:tc>
        <w:tc>
          <w:tcPr>
            <w:tcW w:w="2202" w:type="dxa"/>
            <w:tcBorders>
              <w:top w:val="single" w:sz="4" w:space="0" w:color="auto"/>
              <w:left w:val="nil"/>
              <w:bottom w:val="single" w:sz="4" w:space="0" w:color="auto"/>
              <w:right w:val="single" w:sz="4" w:space="0" w:color="auto"/>
            </w:tcBorders>
            <w:shd w:val="clear" w:color="auto" w:fill="auto"/>
            <w:noWrap/>
            <w:hideMark/>
          </w:tcPr>
          <w:p w14:paraId="4BAA81A0"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Pays</w:t>
            </w:r>
          </w:p>
        </w:tc>
        <w:tc>
          <w:tcPr>
            <w:tcW w:w="2785" w:type="dxa"/>
            <w:tcBorders>
              <w:top w:val="single" w:sz="4" w:space="0" w:color="auto"/>
              <w:left w:val="nil"/>
              <w:bottom w:val="single" w:sz="4" w:space="0" w:color="auto"/>
              <w:right w:val="single" w:sz="4" w:space="0" w:color="auto"/>
            </w:tcBorders>
            <w:shd w:val="clear" w:color="auto" w:fill="auto"/>
            <w:noWrap/>
            <w:hideMark/>
          </w:tcPr>
          <w:p w14:paraId="673BAAAB"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Entité</w:t>
            </w:r>
          </w:p>
        </w:tc>
        <w:tc>
          <w:tcPr>
            <w:tcW w:w="1428" w:type="dxa"/>
            <w:tcBorders>
              <w:top w:val="single" w:sz="4" w:space="0" w:color="auto"/>
              <w:left w:val="nil"/>
              <w:bottom w:val="single" w:sz="4" w:space="0" w:color="auto"/>
              <w:right w:val="single" w:sz="4" w:space="0" w:color="auto"/>
            </w:tcBorders>
            <w:shd w:val="clear" w:color="auto" w:fill="auto"/>
            <w:noWrap/>
            <w:hideMark/>
          </w:tcPr>
          <w:p w14:paraId="770F5043"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21871AFE"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Paiement reçu</w:t>
            </w:r>
          </w:p>
        </w:tc>
        <w:tc>
          <w:tcPr>
            <w:tcW w:w="1113" w:type="dxa"/>
            <w:tcBorders>
              <w:top w:val="single" w:sz="4" w:space="0" w:color="auto"/>
              <w:left w:val="nil"/>
              <w:bottom w:val="single" w:sz="4" w:space="0" w:color="auto"/>
              <w:right w:val="single" w:sz="4" w:space="0" w:color="auto"/>
            </w:tcBorders>
            <w:shd w:val="clear" w:color="auto" w:fill="auto"/>
            <w:noWrap/>
            <w:hideMark/>
          </w:tcPr>
          <w:p w14:paraId="57235777"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Restant dû</w:t>
            </w:r>
          </w:p>
        </w:tc>
      </w:tr>
      <w:tr w:rsidR="00862C6F" w:rsidRPr="00236418" w14:paraId="2D1B80B8"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712EA36B"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25404399"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Etats-Unis</w:t>
            </w:r>
          </w:p>
        </w:tc>
        <w:tc>
          <w:tcPr>
            <w:tcW w:w="2785" w:type="dxa"/>
            <w:tcBorders>
              <w:top w:val="nil"/>
              <w:left w:val="nil"/>
              <w:bottom w:val="single" w:sz="4" w:space="0" w:color="auto"/>
              <w:right w:val="single" w:sz="4" w:space="0" w:color="auto"/>
            </w:tcBorders>
            <w:shd w:val="clear" w:color="auto" w:fill="auto"/>
            <w:noWrap/>
            <w:hideMark/>
          </w:tcPr>
          <w:p w14:paraId="2D6E1B93" w14:textId="77777777" w:rsidR="00862C6F" w:rsidRPr="00596807" w:rsidRDefault="00862C6F" w:rsidP="00862C6F">
            <w:pPr>
              <w:tabs>
                <w:tab w:val="clear" w:pos="567"/>
                <w:tab w:val="clear" w:pos="1134"/>
                <w:tab w:val="clear" w:pos="1701"/>
                <w:tab w:val="clear" w:pos="2268"/>
                <w:tab w:val="clear" w:pos="2835"/>
              </w:tabs>
              <w:spacing w:before="0"/>
              <w:rPr>
                <w:sz w:val="20"/>
                <w:lang w:val="en-US" w:eastAsia="zh-CN"/>
              </w:rPr>
            </w:pPr>
            <w:r w:rsidRPr="00596807">
              <w:rPr>
                <w:sz w:val="20"/>
                <w:lang w:val="en-US" w:eastAsia="zh-CN"/>
              </w:rPr>
              <w:t>E: Telesis Energy and Data</w:t>
            </w:r>
          </w:p>
        </w:tc>
        <w:tc>
          <w:tcPr>
            <w:tcW w:w="1428" w:type="dxa"/>
            <w:tcBorders>
              <w:top w:val="nil"/>
              <w:left w:val="nil"/>
              <w:bottom w:val="single" w:sz="4" w:space="0" w:color="auto"/>
              <w:right w:val="single" w:sz="4" w:space="0" w:color="auto"/>
            </w:tcBorders>
            <w:shd w:val="clear" w:color="auto" w:fill="auto"/>
            <w:noWrap/>
            <w:hideMark/>
          </w:tcPr>
          <w:p w14:paraId="7424ABD1"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10 800,00</w:t>
            </w:r>
          </w:p>
        </w:tc>
        <w:tc>
          <w:tcPr>
            <w:tcW w:w="1134" w:type="dxa"/>
            <w:tcBorders>
              <w:top w:val="nil"/>
              <w:left w:val="nil"/>
              <w:bottom w:val="single" w:sz="4" w:space="0" w:color="auto"/>
              <w:right w:val="single" w:sz="4" w:space="0" w:color="auto"/>
            </w:tcBorders>
            <w:shd w:val="clear" w:color="auto" w:fill="auto"/>
            <w:noWrap/>
            <w:hideMark/>
          </w:tcPr>
          <w:p w14:paraId="3DE073D3"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13" w:type="dxa"/>
            <w:tcBorders>
              <w:top w:val="nil"/>
              <w:left w:val="nil"/>
              <w:bottom w:val="single" w:sz="4" w:space="0" w:color="auto"/>
              <w:right w:val="single" w:sz="4" w:space="0" w:color="auto"/>
            </w:tcBorders>
            <w:shd w:val="clear" w:color="auto" w:fill="auto"/>
            <w:noWrap/>
            <w:hideMark/>
          </w:tcPr>
          <w:p w14:paraId="66C84C1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10 800,00</w:t>
            </w:r>
          </w:p>
        </w:tc>
      </w:tr>
      <w:tr w:rsidR="00862C6F" w:rsidRPr="00236418" w14:paraId="35DEA47C"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1325EA70"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309F8B21"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Inde</w:t>
            </w:r>
          </w:p>
        </w:tc>
        <w:tc>
          <w:tcPr>
            <w:tcW w:w="2785" w:type="dxa"/>
            <w:tcBorders>
              <w:top w:val="nil"/>
              <w:left w:val="nil"/>
              <w:bottom w:val="single" w:sz="4" w:space="0" w:color="auto"/>
              <w:right w:val="single" w:sz="4" w:space="0" w:color="auto"/>
            </w:tcBorders>
            <w:shd w:val="clear" w:color="auto" w:fill="auto"/>
            <w:noWrap/>
            <w:hideMark/>
          </w:tcPr>
          <w:p w14:paraId="73A92C8E" w14:textId="77777777" w:rsidR="00862C6F" w:rsidRPr="00596807" w:rsidRDefault="00862C6F" w:rsidP="00862C6F">
            <w:pPr>
              <w:tabs>
                <w:tab w:val="clear" w:pos="567"/>
                <w:tab w:val="clear" w:pos="1134"/>
                <w:tab w:val="clear" w:pos="1701"/>
                <w:tab w:val="clear" w:pos="2268"/>
                <w:tab w:val="clear" w:pos="2835"/>
              </w:tabs>
              <w:spacing w:before="0"/>
              <w:rPr>
                <w:sz w:val="20"/>
                <w:lang w:val="en-US" w:eastAsia="zh-CN"/>
              </w:rPr>
            </w:pPr>
            <w:r w:rsidRPr="00596807">
              <w:rPr>
                <w:sz w:val="20"/>
                <w:lang w:val="en-US" w:eastAsia="zh-CN"/>
              </w:rPr>
              <w:t>REVE Systems (S) Pte Ltd</w:t>
            </w:r>
          </w:p>
        </w:tc>
        <w:tc>
          <w:tcPr>
            <w:tcW w:w="1428" w:type="dxa"/>
            <w:tcBorders>
              <w:top w:val="nil"/>
              <w:left w:val="nil"/>
              <w:bottom w:val="single" w:sz="4" w:space="0" w:color="auto"/>
              <w:right w:val="single" w:sz="4" w:space="0" w:color="auto"/>
            </w:tcBorders>
            <w:shd w:val="clear" w:color="auto" w:fill="auto"/>
            <w:noWrap/>
            <w:hideMark/>
          </w:tcPr>
          <w:p w14:paraId="3C1F2CF0"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10 800,00</w:t>
            </w:r>
          </w:p>
        </w:tc>
        <w:tc>
          <w:tcPr>
            <w:tcW w:w="1134" w:type="dxa"/>
            <w:tcBorders>
              <w:top w:val="nil"/>
              <w:left w:val="nil"/>
              <w:bottom w:val="single" w:sz="4" w:space="0" w:color="auto"/>
              <w:right w:val="single" w:sz="4" w:space="0" w:color="auto"/>
            </w:tcBorders>
            <w:shd w:val="clear" w:color="auto" w:fill="auto"/>
            <w:noWrap/>
            <w:hideMark/>
          </w:tcPr>
          <w:p w14:paraId="130BB5A7"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113" w:type="dxa"/>
            <w:tcBorders>
              <w:top w:val="nil"/>
              <w:left w:val="nil"/>
              <w:bottom w:val="single" w:sz="4" w:space="0" w:color="auto"/>
              <w:right w:val="single" w:sz="4" w:space="0" w:color="auto"/>
            </w:tcBorders>
            <w:shd w:val="clear" w:color="auto" w:fill="auto"/>
            <w:noWrap/>
            <w:hideMark/>
          </w:tcPr>
          <w:p w14:paraId="43447F91"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10 800,00</w:t>
            </w:r>
          </w:p>
        </w:tc>
      </w:tr>
      <w:tr w:rsidR="00862C6F" w:rsidRPr="00236418" w14:paraId="6C4964C3"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3958F579"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24CE074A"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Etats-Unis</w:t>
            </w:r>
          </w:p>
        </w:tc>
        <w:tc>
          <w:tcPr>
            <w:tcW w:w="2785" w:type="dxa"/>
            <w:tcBorders>
              <w:top w:val="nil"/>
              <w:left w:val="nil"/>
              <w:bottom w:val="single" w:sz="4" w:space="0" w:color="auto"/>
              <w:right w:val="single" w:sz="4" w:space="0" w:color="auto"/>
            </w:tcBorders>
            <w:shd w:val="clear" w:color="auto" w:fill="auto"/>
            <w:noWrap/>
            <w:hideMark/>
          </w:tcPr>
          <w:p w14:paraId="0EFA5DAE"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UTStarcom</w:t>
            </w:r>
            <w:proofErr w:type="spellEnd"/>
            <w:r w:rsidRPr="00236418">
              <w:rPr>
                <w:sz w:val="20"/>
                <w:lang w:eastAsia="zh-CN"/>
              </w:rPr>
              <w:t xml:space="preserve"> Inc.</w:t>
            </w:r>
          </w:p>
        </w:tc>
        <w:tc>
          <w:tcPr>
            <w:tcW w:w="1428" w:type="dxa"/>
            <w:tcBorders>
              <w:top w:val="nil"/>
              <w:left w:val="nil"/>
              <w:bottom w:val="single" w:sz="4" w:space="0" w:color="auto"/>
              <w:right w:val="single" w:sz="4" w:space="0" w:color="auto"/>
            </w:tcBorders>
            <w:shd w:val="clear" w:color="auto" w:fill="auto"/>
            <w:noWrap/>
            <w:hideMark/>
          </w:tcPr>
          <w:p w14:paraId="35E88DBD"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94 050,00</w:t>
            </w:r>
          </w:p>
        </w:tc>
        <w:tc>
          <w:tcPr>
            <w:tcW w:w="1134" w:type="dxa"/>
            <w:tcBorders>
              <w:top w:val="nil"/>
              <w:left w:val="nil"/>
              <w:bottom w:val="single" w:sz="4" w:space="0" w:color="auto"/>
              <w:right w:val="single" w:sz="4" w:space="0" w:color="auto"/>
            </w:tcBorders>
            <w:shd w:val="clear" w:color="auto" w:fill="auto"/>
            <w:noWrap/>
            <w:hideMark/>
          </w:tcPr>
          <w:p w14:paraId="359267F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47 025,00</w:t>
            </w:r>
          </w:p>
        </w:tc>
        <w:tc>
          <w:tcPr>
            <w:tcW w:w="1113" w:type="dxa"/>
            <w:tcBorders>
              <w:top w:val="nil"/>
              <w:left w:val="nil"/>
              <w:bottom w:val="single" w:sz="4" w:space="0" w:color="auto"/>
              <w:right w:val="single" w:sz="4" w:space="0" w:color="auto"/>
            </w:tcBorders>
            <w:shd w:val="clear" w:color="auto" w:fill="auto"/>
            <w:noWrap/>
            <w:hideMark/>
          </w:tcPr>
          <w:p w14:paraId="4CAB8CE7"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47 025,00</w:t>
            </w:r>
          </w:p>
        </w:tc>
      </w:tr>
      <w:tr w:rsidR="00862C6F" w:rsidRPr="00236418" w14:paraId="271982C6"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tcPr>
          <w:p w14:paraId="56AB8DCA"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p>
        </w:tc>
        <w:tc>
          <w:tcPr>
            <w:tcW w:w="2202" w:type="dxa"/>
            <w:tcBorders>
              <w:top w:val="nil"/>
              <w:left w:val="nil"/>
              <w:bottom w:val="single" w:sz="4" w:space="0" w:color="auto"/>
              <w:right w:val="single" w:sz="4" w:space="0" w:color="auto"/>
            </w:tcBorders>
            <w:shd w:val="clear" w:color="auto" w:fill="auto"/>
            <w:noWrap/>
          </w:tcPr>
          <w:p w14:paraId="0E6B6F74"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2785" w:type="dxa"/>
            <w:tcBorders>
              <w:top w:val="nil"/>
              <w:left w:val="nil"/>
              <w:bottom w:val="single" w:sz="4" w:space="0" w:color="auto"/>
              <w:right w:val="single" w:sz="4" w:space="0" w:color="auto"/>
            </w:tcBorders>
            <w:shd w:val="clear" w:color="auto" w:fill="auto"/>
            <w:noWrap/>
          </w:tcPr>
          <w:p w14:paraId="4A9F6C4A"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1428" w:type="dxa"/>
            <w:tcBorders>
              <w:top w:val="nil"/>
              <w:left w:val="nil"/>
              <w:bottom w:val="single" w:sz="4" w:space="0" w:color="auto"/>
              <w:right w:val="single" w:sz="4" w:space="0" w:color="auto"/>
            </w:tcBorders>
            <w:shd w:val="clear" w:color="auto" w:fill="auto"/>
            <w:noWrap/>
          </w:tcPr>
          <w:p w14:paraId="610A20BB"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34" w:type="dxa"/>
            <w:tcBorders>
              <w:top w:val="nil"/>
              <w:left w:val="nil"/>
              <w:bottom w:val="single" w:sz="4" w:space="0" w:color="auto"/>
              <w:right w:val="single" w:sz="4" w:space="0" w:color="auto"/>
            </w:tcBorders>
            <w:shd w:val="clear" w:color="auto" w:fill="auto"/>
            <w:noWrap/>
          </w:tcPr>
          <w:p w14:paraId="5C969B92"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13" w:type="dxa"/>
            <w:tcBorders>
              <w:top w:val="nil"/>
              <w:left w:val="nil"/>
              <w:bottom w:val="single" w:sz="4" w:space="0" w:color="auto"/>
              <w:right w:val="single" w:sz="4" w:space="0" w:color="auto"/>
            </w:tcBorders>
            <w:shd w:val="clear" w:color="auto" w:fill="auto"/>
            <w:noWrap/>
          </w:tcPr>
          <w:p w14:paraId="18DB10A0"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r>
      <w:tr w:rsidR="00862C6F" w:rsidRPr="00236418" w14:paraId="1F039CBC"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18BAA5B2" w14:textId="77777777" w:rsidR="00862C6F" w:rsidRPr="00236418" w:rsidRDefault="00862C6F" w:rsidP="00862C6F">
            <w:pPr>
              <w:tabs>
                <w:tab w:val="clear" w:pos="567"/>
                <w:tab w:val="clear" w:pos="1134"/>
                <w:tab w:val="clear" w:pos="1701"/>
                <w:tab w:val="clear" w:pos="2268"/>
                <w:tab w:val="clear" w:pos="2835"/>
              </w:tabs>
              <w:spacing w:before="0"/>
              <w:jc w:val="center"/>
              <w:rPr>
                <w:rFonts w:cs="Arial"/>
                <w:b/>
                <w:bCs/>
                <w:sz w:val="20"/>
                <w:lang w:eastAsia="zh-CN"/>
              </w:rPr>
            </w:pPr>
            <w:r w:rsidRPr="00236418">
              <w:rPr>
                <w:rFonts w:cs="Arial"/>
                <w:b/>
                <w:bCs/>
                <w:sz w:val="20"/>
                <w:lang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4B73673E"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2785" w:type="dxa"/>
            <w:tcBorders>
              <w:top w:val="nil"/>
              <w:left w:val="nil"/>
              <w:bottom w:val="single" w:sz="4" w:space="0" w:color="auto"/>
              <w:right w:val="single" w:sz="4" w:space="0" w:color="auto"/>
            </w:tcBorders>
            <w:shd w:val="clear" w:color="auto" w:fill="auto"/>
            <w:noWrap/>
            <w:hideMark/>
          </w:tcPr>
          <w:p w14:paraId="254C9D9A"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1428" w:type="dxa"/>
            <w:tcBorders>
              <w:top w:val="nil"/>
              <w:left w:val="nil"/>
              <w:bottom w:val="single" w:sz="4" w:space="0" w:color="auto"/>
              <w:right w:val="single" w:sz="4" w:space="0" w:color="auto"/>
            </w:tcBorders>
            <w:shd w:val="clear" w:color="auto" w:fill="auto"/>
            <w:noWrap/>
            <w:hideMark/>
          </w:tcPr>
          <w:p w14:paraId="0746DBE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 </w:t>
            </w:r>
          </w:p>
        </w:tc>
        <w:tc>
          <w:tcPr>
            <w:tcW w:w="1134" w:type="dxa"/>
            <w:tcBorders>
              <w:top w:val="nil"/>
              <w:left w:val="nil"/>
              <w:bottom w:val="single" w:sz="4" w:space="0" w:color="auto"/>
              <w:right w:val="single" w:sz="4" w:space="0" w:color="auto"/>
            </w:tcBorders>
            <w:shd w:val="clear" w:color="auto" w:fill="auto"/>
            <w:noWrap/>
            <w:hideMark/>
          </w:tcPr>
          <w:p w14:paraId="446E5D1F"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 </w:t>
            </w:r>
          </w:p>
        </w:tc>
        <w:tc>
          <w:tcPr>
            <w:tcW w:w="1113" w:type="dxa"/>
            <w:tcBorders>
              <w:top w:val="nil"/>
              <w:left w:val="nil"/>
              <w:bottom w:val="single" w:sz="4" w:space="0" w:color="auto"/>
              <w:right w:val="single" w:sz="4" w:space="0" w:color="auto"/>
            </w:tcBorders>
            <w:shd w:val="clear" w:color="auto" w:fill="auto"/>
            <w:noWrap/>
            <w:hideMark/>
          </w:tcPr>
          <w:p w14:paraId="58F736F1"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68 625,00</w:t>
            </w:r>
          </w:p>
        </w:tc>
      </w:tr>
    </w:tbl>
    <w:p w14:paraId="68A0A253" w14:textId="77777777" w:rsidR="00862C6F" w:rsidRPr="00236418" w:rsidRDefault="00862C6F" w:rsidP="00862C6F"/>
    <w:tbl>
      <w:tblPr>
        <w:tblW w:w="9906" w:type="dxa"/>
        <w:jc w:val="center"/>
        <w:tblLayout w:type="fixed"/>
        <w:tblLook w:val="04A0" w:firstRow="1" w:lastRow="0" w:firstColumn="1" w:lastColumn="0" w:noHBand="0" w:noVBand="1"/>
        <w:tblCaption w:val="E"/>
      </w:tblPr>
      <w:tblGrid>
        <w:gridCol w:w="1241"/>
        <w:gridCol w:w="2226"/>
        <w:gridCol w:w="2771"/>
        <w:gridCol w:w="1414"/>
        <w:gridCol w:w="1134"/>
        <w:gridCol w:w="1120"/>
      </w:tblGrid>
      <w:tr w:rsidR="00862C6F" w:rsidRPr="00236418" w14:paraId="61EDBF3D" w14:textId="77777777" w:rsidTr="00620F53">
        <w:trPr>
          <w:trHeight w:val="300"/>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58035AC"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Événement</w:t>
            </w:r>
          </w:p>
        </w:tc>
        <w:tc>
          <w:tcPr>
            <w:tcW w:w="2226" w:type="dxa"/>
            <w:tcBorders>
              <w:top w:val="single" w:sz="4" w:space="0" w:color="auto"/>
              <w:left w:val="nil"/>
              <w:bottom w:val="single" w:sz="4" w:space="0" w:color="auto"/>
              <w:right w:val="single" w:sz="4" w:space="0" w:color="auto"/>
            </w:tcBorders>
            <w:shd w:val="clear" w:color="auto" w:fill="auto"/>
            <w:noWrap/>
            <w:hideMark/>
          </w:tcPr>
          <w:p w14:paraId="5297FA6C"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Pays</w:t>
            </w:r>
          </w:p>
        </w:tc>
        <w:tc>
          <w:tcPr>
            <w:tcW w:w="2771" w:type="dxa"/>
            <w:tcBorders>
              <w:top w:val="single" w:sz="4" w:space="0" w:color="auto"/>
              <w:left w:val="nil"/>
              <w:bottom w:val="single" w:sz="4" w:space="0" w:color="auto"/>
              <w:right w:val="single" w:sz="4" w:space="0" w:color="auto"/>
            </w:tcBorders>
            <w:shd w:val="clear" w:color="auto" w:fill="auto"/>
            <w:noWrap/>
            <w:hideMark/>
          </w:tcPr>
          <w:p w14:paraId="2B6EF3A7"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Entité</w:t>
            </w:r>
          </w:p>
        </w:tc>
        <w:tc>
          <w:tcPr>
            <w:tcW w:w="1414" w:type="dxa"/>
            <w:tcBorders>
              <w:top w:val="single" w:sz="4" w:space="0" w:color="auto"/>
              <w:left w:val="nil"/>
              <w:bottom w:val="single" w:sz="4" w:space="0" w:color="auto"/>
              <w:right w:val="single" w:sz="4" w:space="0" w:color="auto"/>
            </w:tcBorders>
            <w:shd w:val="clear" w:color="auto" w:fill="auto"/>
            <w:noWrap/>
            <w:hideMark/>
          </w:tcPr>
          <w:p w14:paraId="5A860F27"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640041ED"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hideMark/>
          </w:tcPr>
          <w:p w14:paraId="78EE1D7A" w14:textId="77777777" w:rsidR="00862C6F" w:rsidRPr="00236418" w:rsidRDefault="00862C6F" w:rsidP="00862C6F">
            <w:pPr>
              <w:tabs>
                <w:tab w:val="clear" w:pos="567"/>
                <w:tab w:val="clear" w:pos="1134"/>
                <w:tab w:val="clear" w:pos="1701"/>
                <w:tab w:val="clear" w:pos="2268"/>
                <w:tab w:val="clear" w:pos="2835"/>
              </w:tabs>
              <w:spacing w:before="0"/>
              <w:jc w:val="center"/>
              <w:rPr>
                <w:b/>
                <w:sz w:val="20"/>
                <w:lang w:eastAsia="zh-CN"/>
              </w:rPr>
            </w:pPr>
            <w:r w:rsidRPr="00236418">
              <w:rPr>
                <w:b/>
                <w:sz w:val="20"/>
                <w:lang w:eastAsia="zh-CN"/>
              </w:rPr>
              <w:t>Restant dû</w:t>
            </w:r>
          </w:p>
        </w:tc>
      </w:tr>
      <w:tr w:rsidR="00862C6F" w:rsidRPr="00236418" w14:paraId="7C8334FF" w14:textId="77777777" w:rsidTr="00620F53">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hideMark/>
          </w:tcPr>
          <w:p w14:paraId="78CE72FB"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2011</w:t>
            </w:r>
          </w:p>
        </w:tc>
        <w:tc>
          <w:tcPr>
            <w:tcW w:w="2226" w:type="dxa"/>
            <w:tcBorders>
              <w:top w:val="nil"/>
              <w:left w:val="nil"/>
              <w:bottom w:val="single" w:sz="4" w:space="0" w:color="auto"/>
              <w:right w:val="single" w:sz="4" w:space="0" w:color="auto"/>
            </w:tcBorders>
            <w:shd w:val="clear" w:color="auto" w:fill="auto"/>
            <w:noWrap/>
            <w:hideMark/>
          </w:tcPr>
          <w:p w14:paraId="231DEFA3"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Suisse</w:t>
            </w:r>
          </w:p>
        </w:tc>
        <w:tc>
          <w:tcPr>
            <w:tcW w:w="2771" w:type="dxa"/>
            <w:tcBorders>
              <w:top w:val="nil"/>
              <w:left w:val="nil"/>
              <w:bottom w:val="single" w:sz="4" w:space="0" w:color="auto"/>
              <w:right w:val="single" w:sz="4" w:space="0" w:color="auto"/>
            </w:tcBorders>
            <w:shd w:val="clear" w:color="auto" w:fill="auto"/>
            <w:noWrap/>
            <w:hideMark/>
          </w:tcPr>
          <w:p w14:paraId="4E7EFBC8"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Client World 2011</w:t>
            </w:r>
          </w:p>
        </w:tc>
        <w:tc>
          <w:tcPr>
            <w:tcW w:w="1414" w:type="dxa"/>
            <w:tcBorders>
              <w:top w:val="nil"/>
              <w:left w:val="nil"/>
              <w:bottom w:val="single" w:sz="4" w:space="0" w:color="auto"/>
              <w:right w:val="single" w:sz="4" w:space="0" w:color="auto"/>
            </w:tcBorders>
            <w:shd w:val="clear" w:color="auto" w:fill="auto"/>
            <w:noWrap/>
            <w:hideMark/>
          </w:tcPr>
          <w:p w14:paraId="788E1101"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203 243,05</w:t>
            </w:r>
          </w:p>
        </w:tc>
        <w:tc>
          <w:tcPr>
            <w:tcW w:w="1134" w:type="dxa"/>
            <w:tcBorders>
              <w:top w:val="nil"/>
              <w:left w:val="nil"/>
              <w:bottom w:val="single" w:sz="4" w:space="0" w:color="auto"/>
              <w:right w:val="single" w:sz="4" w:space="0" w:color="auto"/>
            </w:tcBorders>
            <w:shd w:val="clear" w:color="auto" w:fill="auto"/>
            <w:noWrap/>
            <w:hideMark/>
          </w:tcPr>
          <w:p w14:paraId="7D2F3C0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194 643,25</w:t>
            </w:r>
          </w:p>
        </w:tc>
        <w:tc>
          <w:tcPr>
            <w:tcW w:w="1120" w:type="dxa"/>
            <w:tcBorders>
              <w:top w:val="nil"/>
              <w:left w:val="nil"/>
              <w:bottom w:val="single" w:sz="4" w:space="0" w:color="auto"/>
              <w:right w:val="single" w:sz="4" w:space="0" w:color="auto"/>
            </w:tcBorders>
            <w:shd w:val="clear" w:color="auto" w:fill="auto"/>
            <w:noWrap/>
            <w:hideMark/>
          </w:tcPr>
          <w:p w14:paraId="181F1C09"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8 599,80</w:t>
            </w:r>
          </w:p>
        </w:tc>
      </w:tr>
      <w:tr w:rsidR="00862C6F" w:rsidRPr="00236418" w14:paraId="44BC4931" w14:textId="77777777" w:rsidTr="00620F53">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tcPr>
          <w:p w14:paraId="50950F86"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p>
        </w:tc>
        <w:tc>
          <w:tcPr>
            <w:tcW w:w="2226" w:type="dxa"/>
            <w:tcBorders>
              <w:top w:val="nil"/>
              <w:left w:val="nil"/>
              <w:bottom w:val="single" w:sz="4" w:space="0" w:color="auto"/>
              <w:right w:val="single" w:sz="4" w:space="0" w:color="auto"/>
            </w:tcBorders>
            <w:shd w:val="clear" w:color="auto" w:fill="auto"/>
            <w:noWrap/>
          </w:tcPr>
          <w:p w14:paraId="01816F4F"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2771" w:type="dxa"/>
            <w:tcBorders>
              <w:top w:val="nil"/>
              <w:left w:val="nil"/>
              <w:bottom w:val="single" w:sz="4" w:space="0" w:color="auto"/>
              <w:right w:val="single" w:sz="4" w:space="0" w:color="auto"/>
            </w:tcBorders>
            <w:shd w:val="clear" w:color="auto" w:fill="auto"/>
            <w:noWrap/>
          </w:tcPr>
          <w:p w14:paraId="5D97E531"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1414" w:type="dxa"/>
            <w:tcBorders>
              <w:top w:val="nil"/>
              <w:left w:val="nil"/>
              <w:bottom w:val="single" w:sz="4" w:space="0" w:color="auto"/>
              <w:right w:val="single" w:sz="4" w:space="0" w:color="auto"/>
            </w:tcBorders>
            <w:shd w:val="clear" w:color="auto" w:fill="auto"/>
            <w:noWrap/>
          </w:tcPr>
          <w:p w14:paraId="27406B2F"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34" w:type="dxa"/>
            <w:tcBorders>
              <w:top w:val="nil"/>
              <w:left w:val="nil"/>
              <w:bottom w:val="single" w:sz="4" w:space="0" w:color="auto"/>
              <w:right w:val="single" w:sz="4" w:space="0" w:color="auto"/>
            </w:tcBorders>
            <w:shd w:val="clear" w:color="auto" w:fill="auto"/>
            <w:noWrap/>
          </w:tcPr>
          <w:p w14:paraId="6D5CBBF8"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120" w:type="dxa"/>
            <w:tcBorders>
              <w:top w:val="nil"/>
              <w:left w:val="nil"/>
              <w:bottom w:val="single" w:sz="4" w:space="0" w:color="auto"/>
              <w:right w:val="single" w:sz="4" w:space="0" w:color="auto"/>
            </w:tcBorders>
            <w:shd w:val="clear" w:color="auto" w:fill="auto"/>
            <w:noWrap/>
          </w:tcPr>
          <w:p w14:paraId="19A4076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r>
      <w:tr w:rsidR="00862C6F" w:rsidRPr="00236418" w14:paraId="44485A8B" w14:textId="77777777" w:rsidTr="00620F53">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hideMark/>
          </w:tcPr>
          <w:p w14:paraId="0650A9AE" w14:textId="77777777" w:rsidR="00862C6F" w:rsidRPr="00236418" w:rsidRDefault="00862C6F" w:rsidP="00862C6F">
            <w:pPr>
              <w:tabs>
                <w:tab w:val="clear" w:pos="567"/>
                <w:tab w:val="clear" w:pos="1134"/>
                <w:tab w:val="clear" w:pos="1701"/>
                <w:tab w:val="clear" w:pos="2268"/>
                <w:tab w:val="clear" w:pos="2835"/>
              </w:tabs>
              <w:spacing w:before="0"/>
              <w:jc w:val="center"/>
              <w:rPr>
                <w:rFonts w:cs="Arial"/>
                <w:b/>
                <w:bCs/>
                <w:sz w:val="20"/>
                <w:lang w:eastAsia="zh-CN"/>
              </w:rPr>
            </w:pPr>
            <w:r w:rsidRPr="00236418">
              <w:rPr>
                <w:rFonts w:cs="Arial"/>
                <w:b/>
                <w:bCs/>
                <w:sz w:val="20"/>
                <w:lang w:eastAsia="zh-CN"/>
              </w:rPr>
              <w:t>TLC 2011</w:t>
            </w:r>
          </w:p>
        </w:tc>
        <w:tc>
          <w:tcPr>
            <w:tcW w:w="2226" w:type="dxa"/>
            <w:tcBorders>
              <w:top w:val="nil"/>
              <w:left w:val="nil"/>
              <w:bottom w:val="single" w:sz="4" w:space="0" w:color="auto"/>
              <w:right w:val="single" w:sz="4" w:space="0" w:color="auto"/>
            </w:tcBorders>
            <w:shd w:val="clear" w:color="auto" w:fill="auto"/>
            <w:noWrap/>
            <w:hideMark/>
          </w:tcPr>
          <w:p w14:paraId="5F8A399F"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2771" w:type="dxa"/>
            <w:tcBorders>
              <w:top w:val="nil"/>
              <w:left w:val="nil"/>
              <w:bottom w:val="single" w:sz="4" w:space="0" w:color="auto"/>
              <w:right w:val="single" w:sz="4" w:space="0" w:color="auto"/>
            </w:tcBorders>
            <w:shd w:val="clear" w:color="auto" w:fill="auto"/>
            <w:noWrap/>
            <w:hideMark/>
          </w:tcPr>
          <w:p w14:paraId="54D1788E"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1414" w:type="dxa"/>
            <w:tcBorders>
              <w:top w:val="nil"/>
              <w:left w:val="nil"/>
              <w:bottom w:val="single" w:sz="4" w:space="0" w:color="auto"/>
              <w:right w:val="single" w:sz="4" w:space="0" w:color="auto"/>
            </w:tcBorders>
            <w:shd w:val="clear" w:color="auto" w:fill="auto"/>
            <w:noWrap/>
            <w:hideMark/>
          </w:tcPr>
          <w:p w14:paraId="030AB9BB"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 </w:t>
            </w:r>
          </w:p>
        </w:tc>
        <w:tc>
          <w:tcPr>
            <w:tcW w:w="1134" w:type="dxa"/>
            <w:tcBorders>
              <w:top w:val="nil"/>
              <w:left w:val="nil"/>
              <w:bottom w:val="single" w:sz="4" w:space="0" w:color="auto"/>
              <w:right w:val="single" w:sz="4" w:space="0" w:color="auto"/>
            </w:tcBorders>
            <w:shd w:val="clear" w:color="auto" w:fill="auto"/>
            <w:noWrap/>
            <w:hideMark/>
          </w:tcPr>
          <w:p w14:paraId="4D83DBC0"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 </w:t>
            </w:r>
          </w:p>
        </w:tc>
        <w:tc>
          <w:tcPr>
            <w:tcW w:w="1120" w:type="dxa"/>
            <w:tcBorders>
              <w:top w:val="nil"/>
              <w:left w:val="nil"/>
              <w:bottom w:val="single" w:sz="4" w:space="0" w:color="auto"/>
              <w:right w:val="single" w:sz="4" w:space="0" w:color="auto"/>
            </w:tcBorders>
            <w:shd w:val="clear" w:color="auto" w:fill="auto"/>
            <w:noWrap/>
            <w:hideMark/>
          </w:tcPr>
          <w:p w14:paraId="56924405"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8 599,80</w:t>
            </w:r>
          </w:p>
        </w:tc>
      </w:tr>
    </w:tbl>
    <w:p w14:paraId="26C66176" w14:textId="77777777" w:rsidR="00862C6F" w:rsidRPr="00236418" w:rsidRDefault="00862C6F" w:rsidP="00862C6F">
      <w:pPr>
        <w:spacing w:after="120"/>
        <w:jc w:val="center"/>
        <w:rPr>
          <w:b/>
          <w:sz w:val="28"/>
        </w:rPr>
      </w:pPr>
      <w:r w:rsidRPr="00236418">
        <w:rPr>
          <w:b/>
          <w:sz w:val="28"/>
        </w:rPr>
        <w:lastRenderedPageBreak/>
        <w:t xml:space="preserve">Liste des débiteurs au 31.12.2019 des manifestations </w:t>
      </w:r>
      <w:r w:rsidRPr="00236418">
        <w:rPr>
          <w:b/>
          <w:sz w:val="28"/>
        </w:rPr>
        <w:br/>
        <w:t>bouclées ITU TELECOM (</w:t>
      </w:r>
      <w:r w:rsidRPr="00236418">
        <w:rPr>
          <w:b/>
          <w:i/>
          <w:iCs/>
          <w:sz w:val="28"/>
        </w:rPr>
        <w:t>suite</w:t>
      </w:r>
      <w:r w:rsidRPr="00236418">
        <w:rPr>
          <w:b/>
          <w:sz w:val="28"/>
        </w:rPr>
        <w:t>)</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236418" w14:paraId="16DBC050"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2395B2FA"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40FFE2C2"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33AB0053"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42382D72"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00343839"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6E5D92F5"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Restant dû</w:t>
            </w:r>
          </w:p>
        </w:tc>
      </w:tr>
      <w:tr w:rsidR="00862C6F" w:rsidRPr="00236418" w14:paraId="542854DD"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50C95F2F"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2014</w:t>
            </w:r>
          </w:p>
        </w:tc>
        <w:tc>
          <w:tcPr>
            <w:tcW w:w="1553" w:type="dxa"/>
            <w:tcBorders>
              <w:top w:val="nil"/>
              <w:left w:val="nil"/>
              <w:bottom w:val="single" w:sz="4" w:space="0" w:color="auto"/>
              <w:right w:val="single" w:sz="4" w:space="0" w:color="auto"/>
            </w:tcBorders>
            <w:shd w:val="clear" w:color="auto" w:fill="auto"/>
            <w:noWrap/>
            <w:hideMark/>
          </w:tcPr>
          <w:p w14:paraId="58556BBC"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Congo</w:t>
            </w:r>
          </w:p>
        </w:tc>
        <w:tc>
          <w:tcPr>
            <w:tcW w:w="2274" w:type="dxa"/>
            <w:tcBorders>
              <w:top w:val="nil"/>
              <w:left w:val="nil"/>
              <w:bottom w:val="single" w:sz="4" w:space="0" w:color="auto"/>
              <w:right w:val="single" w:sz="4" w:space="0" w:color="auto"/>
            </w:tcBorders>
            <w:shd w:val="clear" w:color="auto" w:fill="auto"/>
            <w:noWrap/>
            <w:hideMark/>
          </w:tcPr>
          <w:p w14:paraId="6012E715"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Ministère des Postes</w:t>
            </w:r>
          </w:p>
        </w:tc>
        <w:tc>
          <w:tcPr>
            <w:tcW w:w="1843" w:type="dxa"/>
            <w:tcBorders>
              <w:top w:val="nil"/>
              <w:left w:val="nil"/>
              <w:bottom w:val="single" w:sz="4" w:space="0" w:color="auto"/>
              <w:right w:val="single" w:sz="4" w:space="0" w:color="auto"/>
            </w:tcBorders>
            <w:shd w:val="clear" w:color="auto" w:fill="auto"/>
            <w:noWrap/>
            <w:hideMark/>
          </w:tcPr>
          <w:p w14:paraId="5037FE06"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110 000,00</w:t>
            </w:r>
          </w:p>
        </w:tc>
        <w:tc>
          <w:tcPr>
            <w:tcW w:w="1417" w:type="dxa"/>
            <w:tcBorders>
              <w:top w:val="nil"/>
              <w:left w:val="nil"/>
              <w:bottom w:val="single" w:sz="4" w:space="0" w:color="auto"/>
              <w:right w:val="single" w:sz="4" w:space="0" w:color="auto"/>
            </w:tcBorders>
            <w:shd w:val="clear" w:color="auto" w:fill="auto"/>
            <w:noWrap/>
            <w:hideMark/>
          </w:tcPr>
          <w:p w14:paraId="0F190D8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0,00</w:t>
            </w:r>
          </w:p>
        </w:tc>
        <w:tc>
          <w:tcPr>
            <w:tcW w:w="1418" w:type="dxa"/>
            <w:tcBorders>
              <w:top w:val="nil"/>
              <w:left w:val="nil"/>
              <w:bottom w:val="single" w:sz="4" w:space="0" w:color="auto"/>
              <w:right w:val="single" w:sz="4" w:space="0" w:color="auto"/>
            </w:tcBorders>
            <w:shd w:val="clear" w:color="auto" w:fill="auto"/>
            <w:noWrap/>
            <w:hideMark/>
          </w:tcPr>
          <w:p w14:paraId="4F28328E"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110 000,00</w:t>
            </w:r>
          </w:p>
        </w:tc>
      </w:tr>
      <w:tr w:rsidR="00862C6F" w:rsidRPr="00236418" w14:paraId="6CC3E9A0"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EB3B965" w14:textId="77777777" w:rsidR="00862C6F" w:rsidRPr="00236418" w:rsidRDefault="00862C6F" w:rsidP="00862C6F">
            <w:pPr>
              <w:tabs>
                <w:tab w:val="clear" w:pos="567"/>
                <w:tab w:val="clear" w:pos="1134"/>
                <w:tab w:val="clear" w:pos="1701"/>
                <w:tab w:val="clear" w:pos="2268"/>
                <w:tab w:val="clear" w:pos="2835"/>
              </w:tabs>
              <w:spacing w:before="0"/>
              <w:jc w:val="center"/>
              <w:rPr>
                <w:rFonts w:cstheme="majorBidi"/>
                <w:sz w:val="20"/>
                <w:lang w:eastAsia="zh-CN"/>
              </w:rPr>
            </w:pPr>
          </w:p>
        </w:tc>
        <w:tc>
          <w:tcPr>
            <w:tcW w:w="1553" w:type="dxa"/>
            <w:tcBorders>
              <w:top w:val="nil"/>
              <w:left w:val="nil"/>
              <w:bottom w:val="single" w:sz="4" w:space="0" w:color="auto"/>
              <w:right w:val="single" w:sz="4" w:space="0" w:color="auto"/>
            </w:tcBorders>
            <w:shd w:val="clear" w:color="auto" w:fill="auto"/>
            <w:noWrap/>
          </w:tcPr>
          <w:p w14:paraId="3FDC3281" w14:textId="77777777" w:rsidR="00862C6F" w:rsidRPr="00236418" w:rsidRDefault="00862C6F" w:rsidP="00862C6F">
            <w:pPr>
              <w:tabs>
                <w:tab w:val="clear" w:pos="567"/>
                <w:tab w:val="clear" w:pos="1134"/>
                <w:tab w:val="clear" w:pos="1701"/>
                <w:tab w:val="clear" w:pos="2268"/>
                <w:tab w:val="clear" w:pos="2835"/>
              </w:tabs>
              <w:spacing w:before="0"/>
              <w:rPr>
                <w:rFonts w:cstheme="majorBidi"/>
                <w:sz w:val="20"/>
                <w:lang w:eastAsia="zh-CN"/>
              </w:rPr>
            </w:pPr>
          </w:p>
        </w:tc>
        <w:tc>
          <w:tcPr>
            <w:tcW w:w="2274" w:type="dxa"/>
            <w:tcBorders>
              <w:top w:val="nil"/>
              <w:left w:val="nil"/>
              <w:bottom w:val="single" w:sz="4" w:space="0" w:color="auto"/>
              <w:right w:val="single" w:sz="4" w:space="0" w:color="auto"/>
            </w:tcBorders>
            <w:shd w:val="clear" w:color="auto" w:fill="auto"/>
            <w:noWrap/>
          </w:tcPr>
          <w:p w14:paraId="7D8A5E65" w14:textId="77777777" w:rsidR="00862C6F" w:rsidRPr="00236418" w:rsidRDefault="00862C6F" w:rsidP="00862C6F">
            <w:pPr>
              <w:tabs>
                <w:tab w:val="clear" w:pos="567"/>
                <w:tab w:val="clear" w:pos="1134"/>
                <w:tab w:val="clear" w:pos="1701"/>
                <w:tab w:val="clear" w:pos="2268"/>
                <w:tab w:val="clear" w:pos="2835"/>
              </w:tabs>
              <w:spacing w:before="0"/>
              <w:rPr>
                <w:rFonts w:cstheme="majorBidi"/>
                <w:sz w:val="20"/>
                <w:lang w:eastAsia="zh-CN"/>
              </w:rPr>
            </w:pPr>
          </w:p>
        </w:tc>
        <w:tc>
          <w:tcPr>
            <w:tcW w:w="1843" w:type="dxa"/>
            <w:tcBorders>
              <w:top w:val="nil"/>
              <w:left w:val="nil"/>
              <w:bottom w:val="single" w:sz="4" w:space="0" w:color="auto"/>
              <w:right w:val="single" w:sz="4" w:space="0" w:color="auto"/>
            </w:tcBorders>
            <w:shd w:val="clear" w:color="auto" w:fill="auto"/>
            <w:noWrap/>
          </w:tcPr>
          <w:p w14:paraId="4054393C" w14:textId="77777777" w:rsidR="00862C6F" w:rsidRPr="00236418" w:rsidRDefault="00862C6F" w:rsidP="00862C6F">
            <w:pPr>
              <w:tabs>
                <w:tab w:val="clear" w:pos="567"/>
                <w:tab w:val="clear" w:pos="1134"/>
                <w:tab w:val="clear" w:pos="1701"/>
                <w:tab w:val="clear" w:pos="2268"/>
                <w:tab w:val="clear" w:pos="2835"/>
              </w:tabs>
              <w:spacing w:before="0"/>
              <w:jc w:val="right"/>
              <w:rPr>
                <w:rFonts w:cstheme="majorBidi"/>
                <w:sz w:val="20"/>
                <w:lang w:eastAsia="zh-CN"/>
              </w:rPr>
            </w:pPr>
          </w:p>
        </w:tc>
        <w:tc>
          <w:tcPr>
            <w:tcW w:w="1417" w:type="dxa"/>
            <w:tcBorders>
              <w:top w:val="nil"/>
              <w:left w:val="nil"/>
              <w:bottom w:val="single" w:sz="4" w:space="0" w:color="auto"/>
              <w:right w:val="single" w:sz="4" w:space="0" w:color="auto"/>
            </w:tcBorders>
            <w:shd w:val="clear" w:color="auto" w:fill="auto"/>
            <w:noWrap/>
          </w:tcPr>
          <w:p w14:paraId="7A24860A" w14:textId="77777777" w:rsidR="00862C6F" w:rsidRPr="00236418" w:rsidRDefault="00862C6F" w:rsidP="00862C6F">
            <w:pPr>
              <w:tabs>
                <w:tab w:val="clear" w:pos="567"/>
                <w:tab w:val="clear" w:pos="1134"/>
                <w:tab w:val="clear" w:pos="1701"/>
                <w:tab w:val="clear" w:pos="2268"/>
                <w:tab w:val="clear" w:pos="2835"/>
              </w:tabs>
              <w:spacing w:before="0"/>
              <w:jc w:val="right"/>
              <w:rPr>
                <w:rFonts w:cstheme="majorBidi"/>
                <w:sz w:val="20"/>
                <w:lang w:eastAsia="zh-CN"/>
              </w:rPr>
            </w:pPr>
          </w:p>
        </w:tc>
        <w:tc>
          <w:tcPr>
            <w:tcW w:w="1418" w:type="dxa"/>
            <w:tcBorders>
              <w:top w:val="nil"/>
              <w:left w:val="nil"/>
              <w:bottom w:val="single" w:sz="4" w:space="0" w:color="auto"/>
              <w:right w:val="single" w:sz="4" w:space="0" w:color="auto"/>
            </w:tcBorders>
            <w:shd w:val="clear" w:color="auto" w:fill="auto"/>
            <w:noWrap/>
          </w:tcPr>
          <w:p w14:paraId="66372644" w14:textId="77777777" w:rsidR="00862C6F" w:rsidRPr="00236418" w:rsidRDefault="00862C6F" w:rsidP="00862C6F">
            <w:pPr>
              <w:tabs>
                <w:tab w:val="clear" w:pos="567"/>
                <w:tab w:val="clear" w:pos="1134"/>
                <w:tab w:val="clear" w:pos="1701"/>
                <w:tab w:val="clear" w:pos="2268"/>
                <w:tab w:val="clear" w:pos="2835"/>
              </w:tabs>
              <w:spacing w:before="0"/>
              <w:jc w:val="right"/>
              <w:rPr>
                <w:rFonts w:cstheme="majorBidi"/>
                <w:sz w:val="20"/>
                <w:lang w:eastAsia="zh-CN"/>
              </w:rPr>
            </w:pPr>
          </w:p>
        </w:tc>
      </w:tr>
      <w:tr w:rsidR="00862C6F" w:rsidRPr="00236418" w14:paraId="29165E17"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32E680AF" w14:textId="77777777" w:rsidR="00862C6F" w:rsidRPr="00236418" w:rsidRDefault="00862C6F" w:rsidP="00862C6F">
            <w:pPr>
              <w:tabs>
                <w:tab w:val="clear" w:pos="567"/>
                <w:tab w:val="clear" w:pos="1134"/>
                <w:tab w:val="clear" w:pos="1701"/>
                <w:tab w:val="clear" w:pos="2268"/>
                <w:tab w:val="clear" w:pos="2835"/>
              </w:tabs>
              <w:spacing w:before="0"/>
              <w:jc w:val="center"/>
              <w:rPr>
                <w:b/>
                <w:bCs/>
                <w:sz w:val="20"/>
                <w:lang w:eastAsia="zh-CN"/>
              </w:rPr>
            </w:pPr>
            <w:r w:rsidRPr="00236418">
              <w:rPr>
                <w:b/>
                <w:bCs/>
                <w:sz w:val="20"/>
                <w:lang w:eastAsia="zh-CN"/>
              </w:rPr>
              <w:t>TLC 2014</w:t>
            </w:r>
          </w:p>
        </w:tc>
        <w:tc>
          <w:tcPr>
            <w:tcW w:w="1553" w:type="dxa"/>
            <w:tcBorders>
              <w:top w:val="single" w:sz="4" w:space="0" w:color="auto"/>
              <w:left w:val="nil"/>
              <w:bottom w:val="single" w:sz="4" w:space="0" w:color="auto"/>
              <w:right w:val="single" w:sz="4" w:space="0" w:color="auto"/>
            </w:tcBorders>
            <w:shd w:val="clear" w:color="auto" w:fill="auto"/>
            <w:noWrap/>
            <w:hideMark/>
          </w:tcPr>
          <w:p w14:paraId="4FE3803B"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hideMark/>
          </w:tcPr>
          <w:p w14:paraId="65BB3C49"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5B04A917"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r w:rsidRPr="00236418">
              <w:rPr>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5CD7B8C3" w14:textId="77777777" w:rsidR="00862C6F" w:rsidRPr="00236418" w:rsidRDefault="00862C6F" w:rsidP="00862C6F">
            <w:pPr>
              <w:tabs>
                <w:tab w:val="clear" w:pos="567"/>
                <w:tab w:val="clear" w:pos="1134"/>
                <w:tab w:val="clear" w:pos="1701"/>
                <w:tab w:val="clear" w:pos="2268"/>
                <w:tab w:val="clear" w:pos="2835"/>
              </w:tabs>
              <w:spacing w:before="0"/>
              <w:jc w:val="right"/>
              <w:rPr>
                <w:rFonts w:cs="Arial"/>
                <w:b/>
                <w:bCs/>
                <w:sz w:val="20"/>
                <w:lang w:eastAsia="zh-CN"/>
              </w:rPr>
            </w:pPr>
            <w:r w:rsidRPr="00236418">
              <w:rPr>
                <w:rFonts w:cs="Arial"/>
                <w:b/>
                <w:bCs/>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AD7EFC6" w14:textId="77777777" w:rsidR="00862C6F" w:rsidRPr="00236418" w:rsidRDefault="00862C6F" w:rsidP="00862C6F">
            <w:pPr>
              <w:tabs>
                <w:tab w:val="clear" w:pos="567"/>
                <w:tab w:val="clear" w:pos="1134"/>
                <w:tab w:val="clear" w:pos="1701"/>
                <w:tab w:val="clear" w:pos="2268"/>
                <w:tab w:val="clear" w:pos="2835"/>
              </w:tabs>
              <w:spacing w:before="0"/>
              <w:jc w:val="right"/>
              <w:rPr>
                <w:rFonts w:cs="Arial"/>
                <w:b/>
                <w:bCs/>
                <w:sz w:val="20"/>
                <w:lang w:eastAsia="zh-CN"/>
              </w:rPr>
            </w:pPr>
            <w:r w:rsidRPr="00236418">
              <w:rPr>
                <w:rFonts w:cs="Arial"/>
                <w:b/>
                <w:bCs/>
                <w:sz w:val="20"/>
                <w:lang w:eastAsia="zh-CN"/>
              </w:rPr>
              <w:t>110 000,00</w:t>
            </w:r>
          </w:p>
        </w:tc>
      </w:tr>
    </w:tbl>
    <w:p w14:paraId="5A24660E" w14:textId="77777777" w:rsidR="00862C6F" w:rsidRPr="00236418" w:rsidRDefault="00862C6F" w:rsidP="00862C6F"/>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236418" w14:paraId="0785F5D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416C0EC9"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tcPr>
          <w:p w14:paraId="69801DD8"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tcPr>
          <w:p w14:paraId="7305C5BA"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tcPr>
          <w:p w14:paraId="3F7F5DBE"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tcPr>
          <w:p w14:paraId="143C0E87"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tcPr>
          <w:p w14:paraId="5F0615FA"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Restant dû</w:t>
            </w:r>
          </w:p>
        </w:tc>
      </w:tr>
      <w:tr w:rsidR="00862C6F" w:rsidRPr="00236418" w14:paraId="6336583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DD4567B" w14:textId="77777777" w:rsidR="00862C6F" w:rsidRPr="00236418" w:rsidRDefault="00862C6F" w:rsidP="00862C6F">
            <w:pPr>
              <w:tabs>
                <w:tab w:val="clear" w:pos="567"/>
                <w:tab w:val="clear" w:pos="1134"/>
                <w:tab w:val="clear" w:pos="1701"/>
                <w:tab w:val="clear" w:pos="2268"/>
                <w:tab w:val="clear" w:pos="2835"/>
              </w:tabs>
              <w:spacing w:before="60"/>
              <w:jc w:val="center"/>
              <w:rPr>
                <w:sz w:val="20"/>
                <w:lang w:eastAsia="zh-CN"/>
              </w:rPr>
            </w:pPr>
            <w:r w:rsidRPr="00236418">
              <w:rPr>
                <w:sz w:val="20"/>
                <w:lang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06068E65"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r w:rsidRPr="00236418">
              <w:rPr>
                <w:sz w:val="20"/>
                <w:lang w:eastAsia="zh-CN"/>
              </w:rPr>
              <w:t>Sri Lanka</w:t>
            </w:r>
          </w:p>
        </w:tc>
        <w:tc>
          <w:tcPr>
            <w:tcW w:w="2274" w:type="dxa"/>
            <w:tcBorders>
              <w:top w:val="single" w:sz="4" w:space="0" w:color="auto"/>
              <w:left w:val="nil"/>
              <w:bottom w:val="single" w:sz="4" w:space="0" w:color="auto"/>
              <w:right w:val="single" w:sz="4" w:space="0" w:color="auto"/>
            </w:tcBorders>
            <w:shd w:val="clear" w:color="auto" w:fill="auto"/>
            <w:noWrap/>
          </w:tcPr>
          <w:p w14:paraId="449166C6"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proofErr w:type="spellStart"/>
            <w:r w:rsidRPr="00236418">
              <w:rPr>
                <w:sz w:val="20"/>
                <w:lang w:eastAsia="zh-CN"/>
              </w:rPr>
              <w:t>Negete</w:t>
            </w:r>
            <w:proofErr w:type="spellEnd"/>
            <w:r w:rsidRPr="00236418">
              <w:rPr>
                <w:sz w:val="20"/>
                <w:lang w:eastAsia="zh-CN"/>
              </w:rPr>
              <w:t xml:space="preserve"> </w:t>
            </w:r>
            <w:proofErr w:type="spellStart"/>
            <w:r w:rsidRPr="00236418">
              <w:rPr>
                <w:sz w:val="20"/>
                <w:lang w:eastAsia="zh-CN"/>
              </w:rPr>
              <w:t>Private</w:t>
            </w:r>
            <w:proofErr w:type="spellEnd"/>
            <w:r w:rsidRPr="00236418">
              <w:rPr>
                <w:sz w:val="20"/>
                <w:lang w:eastAsia="zh-CN"/>
              </w:rPr>
              <w:t xml:space="preserve"> Ltd.</w:t>
            </w:r>
          </w:p>
        </w:tc>
        <w:tc>
          <w:tcPr>
            <w:tcW w:w="1843" w:type="dxa"/>
            <w:tcBorders>
              <w:top w:val="single" w:sz="4" w:space="0" w:color="auto"/>
              <w:left w:val="nil"/>
              <w:bottom w:val="single" w:sz="4" w:space="0" w:color="auto"/>
              <w:right w:val="single" w:sz="4" w:space="0" w:color="auto"/>
            </w:tcBorders>
            <w:shd w:val="clear" w:color="auto" w:fill="auto"/>
            <w:noWrap/>
          </w:tcPr>
          <w:p w14:paraId="1920889B"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10257183"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078061D8"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1 200,00</w:t>
            </w:r>
          </w:p>
        </w:tc>
      </w:tr>
      <w:tr w:rsidR="00862C6F" w:rsidRPr="00236418" w14:paraId="565917B9"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6E3DB8D" w14:textId="77777777" w:rsidR="00862C6F" w:rsidRPr="00236418" w:rsidRDefault="00862C6F" w:rsidP="00862C6F">
            <w:pPr>
              <w:tabs>
                <w:tab w:val="clear" w:pos="567"/>
                <w:tab w:val="clear" w:pos="1134"/>
                <w:tab w:val="clear" w:pos="1701"/>
                <w:tab w:val="clear" w:pos="2268"/>
                <w:tab w:val="clear" w:pos="2835"/>
              </w:tabs>
              <w:spacing w:before="60"/>
              <w:jc w:val="center"/>
              <w:rPr>
                <w:sz w:val="20"/>
                <w:lang w:eastAsia="zh-CN"/>
              </w:rPr>
            </w:pPr>
            <w:r w:rsidRPr="00236418">
              <w:rPr>
                <w:sz w:val="20"/>
                <w:lang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5E6A7D53"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r w:rsidRPr="00236418">
              <w:rPr>
                <w:sz w:val="20"/>
                <w:lang w:eastAsia="zh-CN"/>
              </w:rPr>
              <w:t>Égypte</w:t>
            </w:r>
          </w:p>
        </w:tc>
        <w:tc>
          <w:tcPr>
            <w:tcW w:w="2274" w:type="dxa"/>
            <w:tcBorders>
              <w:top w:val="single" w:sz="4" w:space="0" w:color="auto"/>
              <w:left w:val="nil"/>
              <w:bottom w:val="single" w:sz="4" w:space="0" w:color="auto"/>
              <w:right w:val="single" w:sz="4" w:space="0" w:color="auto"/>
            </w:tcBorders>
            <w:shd w:val="clear" w:color="auto" w:fill="auto"/>
            <w:noWrap/>
          </w:tcPr>
          <w:p w14:paraId="3656AF78"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proofErr w:type="spellStart"/>
            <w:r w:rsidRPr="00236418">
              <w:rPr>
                <w:sz w:val="20"/>
                <w:lang w:eastAsia="zh-CN"/>
              </w:rPr>
              <w:t>Tawasol</w:t>
            </w:r>
            <w:proofErr w:type="spellEnd"/>
            <w:r w:rsidRPr="00236418">
              <w:rPr>
                <w:sz w:val="20"/>
                <w:lang w:eastAsia="zh-CN"/>
              </w:rPr>
              <w:t xml:space="preserve"> IT</w:t>
            </w:r>
          </w:p>
        </w:tc>
        <w:tc>
          <w:tcPr>
            <w:tcW w:w="1843" w:type="dxa"/>
            <w:tcBorders>
              <w:top w:val="single" w:sz="4" w:space="0" w:color="auto"/>
              <w:left w:val="nil"/>
              <w:bottom w:val="single" w:sz="4" w:space="0" w:color="auto"/>
              <w:right w:val="single" w:sz="4" w:space="0" w:color="auto"/>
            </w:tcBorders>
            <w:shd w:val="clear" w:color="auto" w:fill="auto"/>
            <w:noWrap/>
          </w:tcPr>
          <w:p w14:paraId="36967206"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44A12B71"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760C7107"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1 200,00</w:t>
            </w:r>
          </w:p>
        </w:tc>
      </w:tr>
      <w:tr w:rsidR="00862C6F" w:rsidRPr="00236418" w14:paraId="19444865"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C67E100" w14:textId="77777777" w:rsidR="00862C6F" w:rsidRPr="00236418" w:rsidRDefault="00862C6F" w:rsidP="00862C6F">
            <w:pPr>
              <w:tabs>
                <w:tab w:val="clear" w:pos="567"/>
                <w:tab w:val="clear" w:pos="1134"/>
                <w:tab w:val="clear" w:pos="1701"/>
                <w:tab w:val="clear" w:pos="2268"/>
                <w:tab w:val="clear" w:pos="2835"/>
              </w:tabs>
              <w:spacing w:before="60"/>
              <w:jc w:val="center"/>
              <w:rPr>
                <w:sz w:val="20"/>
                <w:lang w:eastAsia="zh-CN"/>
              </w:rPr>
            </w:pPr>
          </w:p>
        </w:tc>
        <w:tc>
          <w:tcPr>
            <w:tcW w:w="1553" w:type="dxa"/>
            <w:tcBorders>
              <w:top w:val="single" w:sz="4" w:space="0" w:color="auto"/>
              <w:left w:val="nil"/>
              <w:bottom w:val="single" w:sz="4" w:space="0" w:color="auto"/>
              <w:right w:val="single" w:sz="4" w:space="0" w:color="auto"/>
            </w:tcBorders>
            <w:shd w:val="clear" w:color="auto" w:fill="auto"/>
            <w:noWrap/>
          </w:tcPr>
          <w:p w14:paraId="682FBE19"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r w:rsidRPr="00236418">
              <w:rPr>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0A9CC417"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r w:rsidRPr="00236418">
              <w:rPr>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3B1B5543"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22A2B9F1"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57C41AC8"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 </w:t>
            </w:r>
          </w:p>
        </w:tc>
      </w:tr>
      <w:tr w:rsidR="00862C6F" w:rsidRPr="00236418" w14:paraId="59FCF431"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B9A0715" w14:textId="77777777" w:rsidR="00862C6F" w:rsidRPr="00236418" w:rsidRDefault="00862C6F" w:rsidP="00862C6F">
            <w:pPr>
              <w:tabs>
                <w:tab w:val="clear" w:pos="567"/>
                <w:tab w:val="clear" w:pos="1134"/>
                <w:tab w:val="clear" w:pos="1701"/>
                <w:tab w:val="clear" w:pos="2268"/>
                <w:tab w:val="clear" w:pos="2835"/>
              </w:tabs>
              <w:spacing w:before="60"/>
              <w:jc w:val="center"/>
              <w:rPr>
                <w:b/>
                <w:bCs/>
                <w:sz w:val="20"/>
                <w:lang w:eastAsia="zh-CN"/>
              </w:rPr>
            </w:pPr>
            <w:r w:rsidRPr="00236418">
              <w:rPr>
                <w:b/>
                <w:bCs/>
                <w:sz w:val="20"/>
                <w:lang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0F0E99E8"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r w:rsidRPr="00236418">
              <w:rPr>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3E3314B3"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r w:rsidRPr="00236418">
              <w:rPr>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48ADF271"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543AA39B" w14:textId="77777777" w:rsidR="00862C6F" w:rsidRPr="00236418" w:rsidRDefault="00862C6F" w:rsidP="00862C6F">
            <w:pPr>
              <w:tabs>
                <w:tab w:val="clear" w:pos="567"/>
                <w:tab w:val="clear" w:pos="1134"/>
                <w:tab w:val="clear" w:pos="1701"/>
                <w:tab w:val="clear" w:pos="2268"/>
                <w:tab w:val="clear" w:pos="2835"/>
              </w:tabs>
              <w:spacing w:before="60"/>
              <w:jc w:val="right"/>
              <w:rPr>
                <w:rFonts w:cs="Arial"/>
                <w:b/>
                <w:bCs/>
                <w:sz w:val="20"/>
                <w:lang w:eastAsia="zh-CN"/>
              </w:rPr>
            </w:pPr>
            <w:r w:rsidRPr="00236418">
              <w:rPr>
                <w:rFonts w:cs="Arial"/>
                <w:b/>
                <w:bCs/>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68A340E1" w14:textId="77777777" w:rsidR="00862C6F" w:rsidRPr="00236418" w:rsidRDefault="00862C6F" w:rsidP="00862C6F">
            <w:pPr>
              <w:tabs>
                <w:tab w:val="clear" w:pos="567"/>
                <w:tab w:val="clear" w:pos="1134"/>
                <w:tab w:val="clear" w:pos="1701"/>
                <w:tab w:val="clear" w:pos="2268"/>
                <w:tab w:val="clear" w:pos="2835"/>
              </w:tabs>
              <w:spacing w:before="60"/>
              <w:jc w:val="right"/>
              <w:rPr>
                <w:rFonts w:cs="Arial"/>
                <w:b/>
                <w:bCs/>
                <w:sz w:val="20"/>
                <w:lang w:eastAsia="zh-CN"/>
              </w:rPr>
            </w:pPr>
            <w:r w:rsidRPr="00236418">
              <w:rPr>
                <w:rFonts w:cs="Arial"/>
                <w:b/>
                <w:bCs/>
                <w:sz w:val="20"/>
                <w:lang w:eastAsia="zh-CN"/>
              </w:rPr>
              <w:t>2 400,00</w:t>
            </w:r>
          </w:p>
        </w:tc>
      </w:tr>
    </w:tbl>
    <w:p w14:paraId="5830F0B0" w14:textId="77777777" w:rsidR="00862C6F" w:rsidRPr="00236418" w:rsidRDefault="00862C6F" w:rsidP="00862C6F"/>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236418" w14:paraId="16FA291A"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88E7790"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tcPr>
          <w:p w14:paraId="3C8DB12B"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tcPr>
          <w:p w14:paraId="22D2A101"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tcPr>
          <w:p w14:paraId="057769CD"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tcPr>
          <w:p w14:paraId="5122870F"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tcPr>
          <w:p w14:paraId="34A41D05"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Restant dû</w:t>
            </w:r>
          </w:p>
        </w:tc>
      </w:tr>
      <w:tr w:rsidR="00862C6F" w:rsidRPr="00236418" w14:paraId="606AF493"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16078D95" w14:textId="77777777" w:rsidR="00862C6F" w:rsidRPr="00236418" w:rsidRDefault="00862C6F" w:rsidP="00862C6F">
            <w:pPr>
              <w:tabs>
                <w:tab w:val="clear" w:pos="567"/>
                <w:tab w:val="clear" w:pos="1134"/>
                <w:tab w:val="clear" w:pos="1701"/>
                <w:tab w:val="clear" w:pos="2268"/>
                <w:tab w:val="clear" w:pos="2835"/>
              </w:tabs>
              <w:spacing w:before="60"/>
              <w:jc w:val="center"/>
              <w:rPr>
                <w:sz w:val="20"/>
                <w:lang w:eastAsia="zh-CN"/>
              </w:rPr>
            </w:pPr>
            <w:r w:rsidRPr="00236418">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3ACF5D61"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r w:rsidRPr="00236418">
              <w:rPr>
                <w:sz w:val="20"/>
                <w:lang w:eastAsia="zh-CN"/>
              </w:rPr>
              <w:t>Ouganda</w:t>
            </w:r>
          </w:p>
        </w:tc>
        <w:tc>
          <w:tcPr>
            <w:tcW w:w="2274" w:type="dxa"/>
            <w:tcBorders>
              <w:top w:val="single" w:sz="4" w:space="0" w:color="auto"/>
              <w:left w:val="nil"/>
              <w:bottom w:val="single" w:sz="4" w:space="0" w:color="auto"/>
              <w:right w:val="single" w:sz="4" w:space="0" w:color="auto"/>
            </w:tcBorders>
            <w:shd w:val="clear" w:color="auto" w:fill="auto"/>
            <w:noWrap/>
          </w:tcPr>
          <w:p w14:paraId="403E1A52" w14:textId="77777777" w:rsidR="00862C6F" w:rsidRPr="00236418" w:rsidRDefault="00862C6F" w:rsidP="00862C6F">
            <w:pPr>
              <w:tabs>
                <w:tab w:val="clear" w:pos="567"/>
                <w:tab w:val="clear" w:pos="1134"/>
                <w:tab w:val="clear" w:pos="1701"/>
                <w:tab w:val="clear" w:pos="2268"/>
                <w:tab w:val="clear" w:pos="2835"/>
              </w:tabs>
              <w:spacing w:before="60"/>
              <w:rPr>
                <w:sz w:val="20"/>
                <w:lang w:eastAsia="zh-CN"/>
              </w:rPr>
            </w:pPr>
            <w:proofErr w:type="spellStart"/>
            <w:r w:rsidRPr="00236418">
              <w:rPr>
                <w:sz w:val="20"/>
                <w:lang w:eastAsia="zh-CN"/>
              </w:rPr>
              <w:t>Abercom</w:t>
            </w:r>
            <w:proofErr w:type="spellEnd"/>
            <w:r w:rsidRPr="00236418">
              <w:rPr>
                <w:sz w:val="20"/>
                <w:lang w:eastAsia="zh-CN"/>
              </w:rPr>
              <w:t>(U)</w:t>
            </w:r>
          </w:p>
        </w:tc>
        <w:tc>
          <w:tcPr>
            <w:tcW w:w="1843" w:type="dxa"/>
            <w:tcBorders>
              <w:top w:val="single" w:sz="4" w:space="0" w:color="auto"/>
              <w:left w:val="nil"/>
              <w:bottom w:val="single" w:sz="4" w:space="0" w:color="auto"/>
              <w:right w:val="single" w:sz="4" w:space="0" w:color="auto"/>
            </w:tcBorders>
            <w:shd w:val="clear" w:color="auto" w:fill="auto"/>
            <w:noWrap/>
          </w:tcPr>
          <w:p w14:paraId="29848B97"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5CEBE47D"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60A977EF"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1 200,00</w:t>
            </w:r>
          </w:p>
        </w:tc>
      </w:tr>
      <w:tr w:rsidR="00862C6F" w:rsidRPr="00236418" w14:paraId="1C48144D"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23582B3" w14:textId="77777777" w:rsidR="00862C6F" w:rsidRPr="00236418" w:rsidRDefault="00862C6F" w:rsidP="00862C6F">
            <w:pPr>
              <w:tabs>
                <w:tab w:val="clear" w:pos="567"/>
                <w:tab w:val="clear" w:pos="1134"/>
                <w:tab w:val="clear" w:pos="1701"/>
                <w:tab w:val="clear" w:pos="2268"/>
                <w:tab w:val="clear" w:pos="2835"/>
              </w:tabs>
              <w:spacing w:before="60"/>
              <w:jc w:val="center"/>
              <w:rPr>
                <w:sz w:val="20"/>
                <w:lang w:eastAsia="zh-CN"/>
              </w:rPr>
            </w:pPr>
            <w:r w:rsidRPr="00236418">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59E3B197"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Kenya</w:t>
            </w:r>
          </w:p>
        </w:tc>
        <w:tc>
          <w:tcPr>
            <w:tcW w:w="2274" w:type="dxa"/>
            <w:tcBorders>
              <w:top w:val="single" w:sz="4" w:space="0" w:color="auto"/>
              <w:left w:val="nil"/>
              <w:bottom w:val="single" w:sz="4" w:space="0" w:color="auto"/>
              <w:right w:val="single" w:sz="4" w:space="0" w:color="auto"/>
            </w:tcBorders>
            <w:shd w:val="clear" w:color="auto" w:fill="auto"/>
            <w:noWrap/>
          </w:tcPr>
          <w:p w14:paraId="0F20E047"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proofErr w:type="spellStart"/>
            <w:r w:rsidRPr="00236418">
              <w:rPr>
                <w:color w:val="000000"/>
                <w:sz w:val="20"/>
                <w:lang w:eastAsia="zh-CN"/>
              </w:rPr>
              <w:t>FarmDrive</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14:paraId="7B48B5EB"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2F77E611"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25C1F105"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1 200,00</w:t>
            </w:r>
          </w:p>
        </w:tc>
      </w:tr>
      <w:tr w:rsidR="00862C6F" w:rsidRPr="00236418" w14:paraId="460474F7"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F88E79E" w14:textId="77777777" w:rsidR="00862C6F" w:rsidRPr="00236418" w:rsidRDefault="00862C6F" w:rsidP="00862C6F">
            <w:pPr>
              <w:tabs>
                <w:tab w:val="clear" w:pos="567"/>
                <w:tab w:val="clear" w:pos="1134"/>
                <w:tab w:val="clear" w:pos="1701"/>
                <w:tab w:val="clear" w:pos="2268"/>
                <w:tab w:val="clear" w:pos="2835"/>
              </w:tabs>
              <w:spacing w:before="60"/>
              <w:jc w:val="center"/>
              <w:rPr>
                <w:sz w:val="20"/>
                <w:lang w:eastAsia="zh-CN"/>
              </w:rPr>
            </w:pPr>
            <w:r w:rsidRPr="00236418">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122A443C"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Argentine</w:t>
            </w:r>
          </w:p>
        </w:tc>
        <w:tc>
          <w:tcPr>
            <w:tcW w:w="2274" w:type="dxa"/>
            <w:tcBorders>
              <w:top w:val="single" w:sz="4" w:space="0" w:color="auto"/>
              <w:left w:val="nil"/>
              <w:bottom w:val="single" w:sz="4" w:space="0" w:color="auto"/>
              <w:right w:val="single" w:sz="4" w:space="0" w:color="auto"/>
            </w:tcBorders>
            <w:shd w:val="clear" w:color="auto" w:fill="auto"/>
            <w:noWrap/>
          </w:tcPr>
          <w:p w14:paraId="7A886F3C"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proofErr w:type="spellStart"/>
            <w:r w:rsidRPr="00236418">
              <w:rPr>
                <w:color w:val="000000"/>
                <w:sz w:val="20"/>
                <w:lang w:eastAsia="zh-CN"/>
              </w:rPr>
              <w:t>Ministerio</w:t>
            </w:r>
            <w:proofErr w:type="spellEnd"/>
            <w:r w:rsidRPr="00236418">
              <w:rPr>
                <w:color w:val="000000"/>
                <w:sz w:val="20"/>
                <w:lang w:eastAsia="zh-CN"/>
              </w:rPr>
              <w:t xml:space="preserve"> de </w:t>
            </w:r>
            <w:proofErr w:type="spellStart"/>
            <w:r w:rsidRPr="00236418">
              <w:rPr>
                <w:color w:val="000000"/>
                <w:sz w:val="20"/>
                <w:lang w:eastAsia="zh-CN"/>
              </w:rPr>
              <w:t>Comunicaciones</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14:paraId="5F204EE6"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40 000,00</w:t>
            </w:r>
          </w:p>
        </w:tc>
        <w:tc>
          <w:tcPr>
            <w:tcW w:w="1417" w:type="dxa"/>
            <w:tcBorders>
              <w:top w:val="single" w:sz="4" w:space="0" w:color="auto"/>
              <w:left w:val="nil"/>
              <w:bottom w:val="single" w:sz="4" w:space="0" w:color="auto"/>
              <w:right w:val="single" w:sz="4" w:space="0" w:color="auto"/>
            </w:tcBorders>
            <w:shd w:val="clear" w:color="auto" w:fill="auto"/>
            <w:noWrap/>
          </w:tcPr>
          <w:p w14:paraId="757FC25D"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415070CE"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40 000,00</w:t>
            </w:r>
          </w:p>
        </w:tc>
      </w:tr>
      <w:tr w:rsidR="00862C6F" w:rsidRPr="00236418" w14:paraId="162AADBB"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407F150" w14:textId="77777777" w:rsidR="00862C6F" w:rsidRPr="00236418" w:rsidRDefault="00862C6F" w:rsidP="00862C6F">
            <w:pPr>
              <w:tabs>
                <w:tab w:val="clear" w:pos="567"/>
                <w:tab w:val="clear" w:pos="1134"/>
                <w:tab w:val="clear" w:pos="1701"/>
                <w:tab w:val="clear" w:pos="2268"/>
                <w:tab w:val="clear" w:pos="2835"/>
              </w:tabs>
              <w:spacing w:before="60"/>
              <w:jc w:val="center"/>
              <w:rPr>
                <w:sz w:val="20"/>
                <w:lang w:eastAsia="zh-CN"/>
              </w:rPr>
            </w:pPr>
            <w:r w:rsidRPr="00236418">
              <w:rPr>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2FC14BC7"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Soudan</w:t>
            </w:r>
          </w:p>
        </w:tc>
        <w:tc>
          <w:tcPr>
            <w:tcW w:w="2274" w:type="dxa"/>
            <w:tcBorders>
              <w:top w:val="single" w:sz="4" w:space="0" w:color="auto"/>
              <w:left w:val="nil"/>
              <w:bottom w:val="single" w:sz="4" w:space="0" w:color="auto"/>
              <w:right w:val="single" w:sz="4" w:space="0" w:color="auto"/>
            </w:tcBorders>
            <w:shd w:val="clear" w:color="auto" w:fill="auto"/>
            <w:noWrap/>
          </w:tcPr>
          <w:p w14:paraId="2584D03C"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National Information Center</w:t>
            </w:r>
          </w:p>
        </w:tc>
        <w:tc>
          <w:tcPr>
            <w:tcW w:w="1843" w:type="dxa"/>
            <w:tcBorders>
              <w:top w:val="single" w:sz="4" w:space="0" w:color="auto"/>
              <w:left w:val="nil"/>
              <w:bottom w:val="single" w:sz="4" w:space="0" w:color="auto"/>
              <w:right w:val="single" w:sz="4" w:space="0" w:color="auto"/>
            </w:tcBorders>
            <w:shd w:val="clear" w:color="auto" w:fill="auto"/>
            <w:noWrap/>
          </w:tcPr>
          <w:p w14:paraId="73355773"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50 000,00</w:t>
            </w:r>
          </w:p>
        </w:tc>
        <w:tc>
          <w:tcPr>
            <w:tcW w:w="1417" w:type="dxa"/>
            <w:tcBorders>
              <w:top w:val="single" w:sz="4" w:space="0" w:color="auto"/>
              <w:left w:val="nil"/>
              <w:bottom w:val="single" w:sz="4" w:space="0" w:color="auto"/>
              <w:right w:val="single" w:sz="4" w:space="0" w:color="auto"/>
            </w:tcBorders>
            <w:shd w:val="clear" w:color="auto" w:fill="auto"/>
            <w:noWrap/>
          </w:tcPr>
          <w:p w14:paraId="6068C5D2"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2E79EA9F" w14:textId="77777777" w:rsidR="00862C6F" w:rsidRPr="00236418" w:rsidRDefault="00862C6F" w:rsidP="00862C6F">
            <w:pPr>
              <w:tabs>
                <w:tab w:val="clear" w:pos="567"/>
                <w:tab w:val="clear" w:pos="1134"/>
                <w:tab w:val="clear" w:pos="1701"/>
                <w:tab w:val="clear" w:pos="2268"/>
                <w:tab w:val="clear" w:pos="2835"/>
              </w:tabs>
              <w:spacing w:before="60"/>
              <w:jc w:val="right"/>
              <w:rPr>
                <w:sz w:val="20"/>
                <w:lang w:eastAsia="zh-CN"/>
              </w:rPr>
            </w:pPr>
            <w:r w:rsidRPr="00236418">
              <w:rPr>
                <w:sz w:val="20"/>
                <w:lang w:eastAsia="zh-CN"/>
              </w:rPr>
              <w:t>50 000,00</w:t>
            </w:r>
          </w:p>
        </w:tc>
      </w:tr>
      <w:tr w:rsidR="00862C6F" w:rsidRPr="00236418" w14:paraId="64B82B8E"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45160509" w14:textId="77777777" w:rsidR="00862C6F" w:rsidRPr="00236418" w:rsidRDefault="00862C6F" w:rsidP="00862C6F">
            <w:pPr>
              <w:tabs>
                <w:tab w:val="clear" w:pos="567"/>
                <w:tab w:val="clear" w:pos="1134"/>
                <w:tab w:val="clear" w:pos="1701"/>
                <w:tab w:val="clear" w:pos="2268"/>
                <w:tab w:val="clear" w:pos="2835"/>
              </w:tabs>
              <w:spacing w:before="60"/>
              <w:jc w:val="center"/>
              <w:rPr>
                <w:color w:val="000000"/>
                <w:sz w:val="20"/>
                <w:lang w:eastAsia="zh-CN"/>
              </w:rPr>
            </w:pPr>
          </w:p>
        </w:tc>
        <w:tc>
          <w:tcPr>
            <w:tcW w:w="1553" w:type="dxa"/>
            <w:tcBorders>
              <w:top w:val="single" w:sz="4" w:space="0" w:color="auto"/>
              <w:left w:val="nil"/>
              <w:bottom w:val="single" w:sz="4" w:space="0" w:color="auto"/>
              <w:right w:val="single" w:sz="4" w:space="0" w:color="auto"/>
            </w:tcBorders>
            <w:shd w:val="clear" w:color="auto" w:fill="auto"/>
            <w:noWrap/>
          </w:tcPr>
          <w:p w14:paraId="78CC0C93"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470B493B"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17053095"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3D2576EE"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61506825"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 </w:t>
            </w:r>
          </w:p>
        </w:tc>
      </w:tr>
      <w:tr w:rsidR="00862C6F" w:rsidRPr="00236418" w14:paraId="609C933B"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86BD7CE" w14:textId="77777777" w:rsidR="00862C6F" w:rsidRPr="00236418" w:rsidRDefault="00862C6F" w:rsidP="00862C6F">
            <w:pPr>
              <w:tabs>
                <w:tab w:val="clear" w:pos="567"/>
                <w:tab w:val="clear" w:pos="1134"/>
                <w:tab w:val="clear" w:pos="1701"/>
                <w:tab w:val="clear" w:pos="2268"/>
                <w:tab w:val="clear" w:pos="2835"/>
              </w:tabs>
              <w:spacing w:before="60"/>
              <w:jc w:val="center"/>
              <w:rPr>
                <w:b/>
                <w:bCs/>
                <w:color w:val="000000"/>
                <w:sz w:val="20"/>
                <w:lang w:eastAsia="zh-CN"/>
              </w:rPr>
            </w:pPr>
            <w:r w:rsidRPr="00236418">
              <w:rPr>
                <w:b/>
                <w:bCs/>
                <w:color w:val="000000"/>
                <w:sz w:val="20"/>
                <w:lang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2C42BEEC"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17A32958" w14:textId="77777777" w:rsidR="00862C6F" w:rsidRPr="00236418" w:rsidRDefault="00862C6F" w:rsidP="00862C6F">
            <w:pPr>
              <w:tabs>
                <w:tab w:val="clear" w:pos="567"/>
                <w:tab w:val="clear" w:pos="1134"/>
                <w:tab w:val="clear" w:pos="1701"/>
                <w:tab w:val="clear" w:pos="2268"/>
                <w:tab w:val="clear" w:pos="2835"/>
              </w:tabs>
              <w:spacing w:before="60"/>
              <w:rPr>
                <w:color w:val="000000"/>
                <w:sz w:val="20"/>
                <w:lang w:eastAsia="zh-CN"/>
              </w:rPr>
            </w:pPr>
            <w:r w:rsidRPr="00236418">
              <w:rPr>
                <w:color w:val="000000"/>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6975E4FD" w14:textId="77777777" w:rsidR="00862C6F" w:rsidRPr="00236418" w:rsidRDefault="00862C6F" w:rsidP="00862C6F">
            <w:pPr>
              <w:tabs>
                <w:tab w:val="clear" w:pos="567"/>
                <w:tab w:val="clear" w:pos="1134"/>
                <w:tab w:val="clear" w:pos="1701"/>
                <w:tab w:val="clear" w:pos="2268"/>
                <w:tab w:val="clear" w:pos="2835"/>
              </w:tabs>
              <w:spacing w:before="60"/>
              <w:jc w:val="right"/>
              <w:rPr>
                <w:color w:val="000000"/>
                <w:sz w:val="20"/>
                <w:lang w:eastAsia="zh-CN"/>
              </w:rPr>
            </w:pPr>
            <w:r w:rsidRPr="00236418">
              <w:rPr>
                <w:color w:val="000000"/>
                <w:sz w:val="20"/>
                <w:lang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6ADEBDCF" w14:textId="77777777" w:rsidR="00862C6F" w:rsidRPr="00236418" w:rsidRDefault="00862C6F" w:rsidP="00862C6F">
            <w:pPr>
              <w:tabs>
                <w:tab w:val="clear" w:pos="567"/>
                <w:tab w:val="clear" w:pos="1134"/>
                <w:tab w:val="clear" w:pos="1701"/>
                <w:tab w:val="clear" w:pos="2268"/>
                <w:tab w:val="clear" w:pos="2835"/>
              </w:tabs>
              <w:spacing w:before="60"/>
              <w:jc w:val="right"/>
              <w:rPr>
                <w:rFonts w:ascii="Arial" w:hAnsi="Arial" w:cs="Arial"/>
                <w:b/>
                <w:bCs/>
                <w:sz w:val="20"/>
                <w:lang w:eastAsia="zh-CN"/>
              </w:rPr>
            </w:pPr>
            <w:r w:rsidRPr="00236418">
              <w:rPr>
                <w:rFonts w:ascii="Arial" w:hAnsi="Arial" w:cs="Arial"/>
                <w:b/>
                <w:bCs/>
                <w:sz w:val="20"/>
                <w:lang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7E24B0B9" w14:textId="77777777" w:rsidR="00862C6F" w:rsidRPr="00236418" w:rsidRDefault="00862C6F" w:rsidP="00862C6F">
            <w:pPr>
              <w:tabs>
                <w:tab w:val="clear" w:pos="567"/>
                <w:tab w:val="clear" w:pos="1134"/>
                <w:tab w:val="clear" w:pos="1701"/>
                <w:tab w:val="clear" w:pos="2268"/>
                <w:tab w:val="clear" w:pos="2835"/>
              </w:tabs>
              <w:spacing w:before="60"/>
              <w:jc w:val="right"/>
              <w:rPr>
                <w:rFonts w:cs="Arial"/>
                <w:b/>
                <w:bCs/>
                <w:sz w:val="20"/>
                <w:lang w:eastAsia="zh-CN"/>
              </w:rPr>
            </w:pPr>
            <w:r w:rsidRPr="00236418">
              <w:rPr>
                <w:rFonts w:cs="Arial"/>
                <w:b/>
                <w:bCs/>
                <w:sz w:val="20"/>
                <w:lang w:eastAsia="zh-CN"/>
              </w:rPr>
              <w:t>92 400,00</w:t>
            </w:r>
          </w:p>
        </w:tc>
      </w:tr>
    </w:tbl>
    <w:p w14:paraId="71C9192B" w14:textId="77777777" w:rsidR="00862C6F" w:rsidRPr="00236418" w:rsidRDefault="00862C6F" w:rsidP="00862C6F">
      <w:pPr>
        <w:spacing w:before="240" w:after="120"/>
        <w:jc w:val="center"/>
        <w:rPr>
          <w:b/>
          <w:sz w:val="28"/>
        </w:rPr>
      </w:pPr>
      <w:r w:rsidRPr="00236418">
        <w:rPr>
          <w:b/>
          <w:sz w:val="28"/>
        </w:rPr>
        <w:br w:type="page"/>
      </w:r>
    </w:p>
    <w:p w14:paraId="4AD7858D" w14:textId="77777777" w:rsidR="00862C6F" w:rsidRPr="00236418" w:rsidRDefault="00862C6F" w:rsidP="00862C6F">
      <w:pPr>
        <w:spacing w:before="240" w:after="120"/>
        <w:jc w:val="center"/>
        <w:rPr>
          <w:b/>
          <w:sz w:val="28"/>
        </w:rPr>
      </w:pPr>
      <w:r w:rsidRPr="00236418">
        <w:rPr>
          <w:b/>
          <w:sz w:val="28"/>
        </w:rPr>
        <w:lastRenderedPageBreak/>
        <w:t xml:space="preserve">Liste des débiteurs au 31.12.2019 des manifestations </w:t>
      </w:r>
      <w:r w:rsidRPr="00236418">
        <w:rPr>
          <w:b/>
          <w:sz w:val="28"/>
        </w:rPr>
        <w:br/>
        <w:t>bouclées ITU TELECOM (</w:t>
      </w:r>
      <w:r w:rsidRPr="00236418">
        <w:rPr>
          <w:b/>
          <w:i/>
          <w:iCs/>
          <w:sz w:val="28"/>
        </w:rPr>
        <w:t>fin)</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236418" w14:paraId="2ED85E55"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492B40AC"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1B5CE725"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561C360E"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13529918"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62C7F7AC"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2C75660A"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Restant dû</w:t>
            </w:r>
          </w:p>
        </w:tc>
      </w:tr>
      <w:tr w:rsidR="00862C6F" w:rsidRPr="00236418" w14:paraId="51A698B6"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3DA7AE68"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2017</w:t>
            </w:r>
          </w:p>
        </w:tc>
        <w:tc>
          <w:tcPr>
            <w:tcW w:w="1553" w:type="dxa"/>
            <w:tcBorders>
              <w:top w:val="nil"/>
              <w:left w:val="nil"/>
              <w:bottom w:val="single" w:sz="4" w:space="0" w:color="auto"/>
              <w:right w:val="single" w:sz="4" w:space="0" w:color="auto"/>
            </w:tcBorders>
            <w:shd w:val="clear" w:color="auto" w:fill="auto"/>
            <w:noWrap/>
          </w:tcPr>
          <w:p w14:paraId="64DAA937"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Yémen</w:t>
            </w:r>
          </w:p>
        </w:tc>
        <w:tc>
          <w:tcPr>
            <w:tcW w:w="2274" w:type="dxa"/>
            <w:tcBorders>
              <w:top w:val="nil"/>
              <w:left w:val="nil"/>
              <w:bottom w:val="single" w:sz="4" w:space="0" w:color="auto"/>
              <w:right w:val="single" w:sz="4" w:space="0" w:color="auto"/>
            </w:tcBorders>
            <w:shd w:val="clear" w:color="auto" w:fill="auto"/>
            <w:noWrap/>
          </w:tcPr>
          <w:p w14:paraId="339A903A"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roofErr w:type="spellStart"/>
            <w:r w:rsidRPr="00236418">
              <w:rPr>
                <w:sz w:val="20"/>
                <w:lang w:eastAsia="zh-CN"/>
              </w:rPr>
              <w:t>AnaMehani</w:t>
            </w:r>
            <w:proofErr w:type="spellEnd"/>
          </w:p>
        </w:tc>
        <w:tc>
          <w:tcPr>
            <w:tcW w:w="1843" w:type="dxa"/>
            <w:tcBorders>
              <w:top w:val="nil"/>
              <w:left w:val="nil"/>
              <w:bottom w:val="single" w:sz="4" w:space="0" w:color="auto"/>
              <w:right w:val="single" w:sz="4" w:space="0" w:color="auto"/>
            </w:tcBorders>
            <w:shd w:val="clear" w:color="auto" w:fill="auto"/>
            <w:noWrap/>
          </w:tcPr>
          <w:p w14:paraId="4B9BD4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1 200,00</w:t>
            </w:r>
          </w:p>
        </w:tc>
        <w:tc>
          <w:tcPr>
            <w:tcW w:w="1417" w:type="dxa"/>
            <w:tcBorders>
              <w:top w:val="nil"/>
              <w:left w:val="nil"/>
              <w:bottom w:val="single" w:sz="4" w:space="0" w:color="auto"/>
              <w:right w:val="single" w:sz="4" w:space="0" w:color="auto"/>
            </w:tcBorders>
            <w:shd w:val="clear" w:color="auto" w:fill="auto"/>
            <w:noWrap/>
          </w:tcPr>
          <w:p w14:paraId="3432B97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0,00</w:t>
            </w:r>
          </w:p>
        </w:tc>
        <w:tc>
          <w:tcPr>
            <w:tcW w:w="1418" w:type="dxa"/>
            <w:tcBorders>
              <w:top w:val="nil"/>
              <w:left w:val="nil"/>
              <w:bottom w:val="single" w:sz="4" w:space="0" w:color="auto"/>
              <w:right w:val="single" w:sz="4" w:space="0" w:color="auto"/>
            </w:tcBorders>
            <w:shd w:val="clear" w:color="auto" w:fill="auto"/>
            <w:noWrap/>
          </w:tcPr>
          <w:p w14:paraId="1900E03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1 200,00</w:t>
            </w:r>
          </w:p>
        </w:tc>
      </w:tr>
      <w:tr w:rsidR="00862C6F" w:rsidRPr="00236418" w14:paraId="31BFA914"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7F3D6C2F"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2017</w:t>
            </w:r>
          </w:p>
        </w:tc>
        <w:tc>
          <w:tcPr>
            <w:tcW w:w="1553" w:type="dxa"/>
            <w:tcBorders>
              <w:top w:val="nil"/>
              <w:left w:val="nil"/>
              <w:bottom w:val="single" w:sz="4" w:space="0" w:color="auto"/>
              <w:right w:val="single" w:sz="4" w:space="0" w:color="auto"/>
            </w:tcBorders>
            <w:shd w:val="clear" w:color="auto" w:fill="auto"/>
            <w:noWrap/>
            <w:hideMark/>
          </w:tcPr>
          <w:p w14:paraId="726C40C1"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Cameroun</w:t>
            </w:r>
          </w:p>
        </w:tc>
        <w:tc>
          <w:tcPr>
            <w:tcW w:w="2274" w:type="dxa"/>
            <w:tcBorders>
              <w:top w:val="nil"/>
              <w:left w:val="nil"/>
              <w:bottom w:val="single" w:sz="4" w:space="0" w:color="auto"/>
              <w:right w:val="single" w:sz="4" w:space="0" w:color="auto"/>
            </w:tcBorders>
            <w:shd w:val="clear" w:color="auto" w:fill="auto"/>
            <w:noWrap/>
            <w:hideMark/>
          </w:tcPr>
          <w:p w14:paraId="3DFD2BB7" w14:textId="77777777" w:rsidR="00862C6F" w:rsidRPr="00596807" w:rsidRDefault="00862C6F" w:rsidP="00862C6F">
            <w:pPr>
              <w:tabs>
                <w:tab w:val="clear" w:pos="567"/>
                <w:tab w:val="clear" w:pos="1134"/>
                <w:tab w:val="clear" w:pos="1701"/>
                <w:tab w:val="clear" w:pos="2268"/>
                <w:tab w:val="clear" w:pos="2835"/>
              </w:tabs>
              <w:spacing w:before="0"/>
              <w:rPr>
                <w:sz w:val="20"/>
                <w:lang w:val="en-US" w:eastAsia="zh-CN"/>
              </w:rPr>
            </w:pPr>
            <w:r w:rsidRPr="00596807">
              <w:rPr>
                <w:sz w:val="20"/>
                <w:lang w:val="en-US" w:eastAsia="zh-CN"/>
              </w:rPr>
              <w:t>Citizen Assoc, For Tech. Development</w:t>
            </w:r>
          </w:p>
        </w:tc>
        <w:tc>
          <w:tcPr>
            <w:tcW w:w="1843" w:type="dxa"/>
            <w:tcBorders>
              <w:top w:val="nil"/>
              <w:left w:val="nil"/>
              <w:bottom w:val="single" w:sz="4" w:space="0" w:color="auto"/>
              <w:right w:val="single" w:sz="4" w:space="0" w:color="auto"/>
            </w:tcBorders>
            <w:shd w:val="clear" w:color="auto" w:fill="auto"/>
            <w:noWrap/>
          </w:tcPr>
          <w:p w14:paraId="3482F23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1 200,00</w:t>
            </w:r>
          </w:p>
        </w:tc>
        <w:tc>
          <w:tcPr>
            <w:tcW w:w="1417" w:type="dxa"/>
            <w:tcBorders>
              <w:top w:val="nil"/>
              <w:left w:val="nil"/>
              <w:bottom w:val="single" w:sz="4" w:space="0" w:color="auto"/>
              <w:right w:val="single" w:sz="4" w:space="0" w:color="auto"/>
            </w:tcBorders>
            <w:shd w:val="clear" w:color="auto" w:fill="auto"/>
            <w:noWrap/>
          </w:tcPr>
          <w:p w14:paraId="1E92B6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0,00</w:t>
            </w:r>
          </w:p>
        </w:tc>
        <w:tc>
          <w:tcPr>
            <w:tcW w:w="1418" w:type="dxa"/>
            <w:tcBorders>
              <w:top w:val="nil"/>
              <w:left w:val="nil"/>
              <w:bottom w:val="single" w:sz="4" w:space="0" w:color="auto"/>
              <w:right w:val="single" w:sz="4" w:space="0" w:color="auto"/>
            </w:tcBorders>
            <w:shd w:val="clear" w:color="auto" w:fill="auto"/>
            <w:noWrap/>
          </w:tcPr>
          <w:p w14:paraId="7D65497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1 200,00</w:t>
            </w:r>
          </w:p>
        </w:tc>
      </w:tr>
      <w:tr w:rsidR="00862C6F" w:rsidRPr="00236418" w14:paraId="3F32FDBC"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3442AACC"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2017</w:t>
            </w:r>
          </w:p>
        </w:tc>
        <w:tc>
          <w:tcPr>
            <w:tcW w:w="1553" w:type="dxa"/>
            <w:tcBorders>
              <w:top w:val="nil"/>
              <w:left w:val="nil"/>
              <w:bottom w:val="single" w:sz="4" w:space="0" w:color="auto"/>
              <w:right w:val="single" w:sz="4" w:space="0" w:color="auto"/>
            </w:tcBorders>
            <w:shd w:val="clear" w:color="auto" w:fill="auto"/>
            <w:noWrap/>
          </w:tcPr>
          <w:p w14:paraId="7C9F20C2"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Bénin</w:t>
            </w:r>
          </w:p>
        </w:tc>
        <w:tc>
          <w:tcPr>
            <w:tcW w:w="2274" w:type="dxa"/>
            <w:tcBorders>
              <w:top w:val="nil"/>
              <w:left w:val="nil"/>
              <w:bottom w:val="single" w:sz="4" w:space="0" w:color="auto"/>
              <w:right w:val="single" w:sz="4" w:space="0" w:color="auto"/>
            </w:tcBorders>
            <w:shd w:val="clear" w:color="auto" w:fill="auto"/>
            <w:noWrap/>
          </w:tcPr>
          <w:p w14:paraId="7FB8ABB5"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Ministère de l'Économie Numérique</w:t>
            </w:r>
          </w:p>
        </w:tc>
        <w:tc>
          <w:tcPr>
            <w:tcW w:w="1843" w:type="dxa"/>
            <w:tcBorders>
              <w:top w:val="nil"/>
              <w:left w:val="nil"/>
              <w:bottom w:val="single" w:sz="4" w:space="0" w:color="auto"/>
              <w:right w:val="single" w:sz="4" w:space="0" w:color="auto"/>
            </w:tcBorders>
            <w:shd w:val="clear" w:color="auto" w:fill="auto"/>
            <w:noWrap/>
          </w:tcPr>
          <w:p w14:paraId="6AA03B0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50 000,00</w:t>
            </w:r>
          </w:p>
        </w:tc>
        <w:tc>
          <w:tcPr>
            <w:tcW w:w="1417" w:type="dxa"/>
            <w:tcBorders>
              <w:top w:val="nil"/>
              <w:left w:val="nil"/>
              <w:bottom w:val="single" w:sz="4" w:space="0" w:color="auto"/>
              <w:right w:val="single" w:sz="4" w:space="0" w:color="auto"/>
            </w:tcBorders>
            <w:shd w:val="clear" w:color="auto" w:fill="auto"/>
            <w:noWrap/>
          </w:tcPr>
          <w:p w14:paraId="2006957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47 048,89</w:t>
            </w:r>
          </w:p>
        </w:tc>
        <w:tc>
          <w:tcPr>
            <w:tcW w:w="1418" w:type="dxa"/>
            <w:tcBorders>
              <w:top w:val="nil"/>
              <w:left w:val="nil"/>
              <w:bottom w:val="single" w:sz="4" w:space="0" w:color="auto"/>
              <w:right w:val="single" w:sz="4" w:space="0" w:color="auto"/>
            </w:tcBorders>
            <w:shd w:val="clear" w:color="auto" w:fill="auto"/>
            <w:noWrap/>
          </w:tcPr>
          <w:p w14:paraId="37A139C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2 951,11</w:t>
            </w:r>
          </w:p>
        </w:tc>
      </w:tr>
      <w:tr w:rsidR="00862C6F" w:rsidRPr="00236418" w14:paraId="697ABCA5"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23CD8BC"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2017</w:t>
            </w:r>
          </w:p>
        </w:tc>
        <w:tc>
          <w:tcPr>
            <w:tcW w:w="1553" w:type="dxa"/>
            <w:tcBorders>
              <w:top w:val="nil"/>
              <w:left w:val="nil"/>
              <w:bottom w:val="single" w:sz="4" w:space="0" w:color="auto"/>
              <w:right w:val="single" w:sz="4" w:space="0" w:color="auto"/>
            </w:tcBorders>
            <w:shd w:val="clear" w:color="auto" w:fill="auto"/>
            <w:noWrap/>
          </w:tcPr>
          <w:p w14:paraId="13536A0F"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Gabon</w:t>
            </w:r>
          </w:p>
        </w:tc>
        <w:tc>
          <w:tcPr>
            <w:tcW w:w="2274" w:type="dxa"/>
            <w:tcBorders>
              <w:top w:val="nil"/>
              <w:left w:val="nil"/>
              <w:bottom w:val="single" w:sz="4" w:space="0" w:color="auto"/>
              <w:right w:val="single" w:sz="4" w:space="0" w:color="auto"/>
            </w:tcBorders>
            <w:shd w:val="clear" w:color="auto" w:fill="auto"/>
            <w:noWrap/>
          </w:tcPr>
          <w:p w14:paraId="0218790D"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Ministère de l'Économie numérique</w:t>
            </w:r>
          </w:p>
        </w:tc>
        <w:tc>
          <w:tcPr>
            <w:tcW w:w="1843" w:type="dxa"/>
            <w:tcBorders>
              <w:top w:val="nil"/>
              <w:left w:val="nil"/>
              <w:bottom w:val="single" w:sz="4" w:space="0" w:color="auto"/>
              <w:right w:val="single" w:sz="4" w:space="0" w:color="auto"/>
            </w:tcBorders>
            <w:shd w:val="clear" w:color="auto" w:fill="auto"/>
            <w:noWrap/>
          </w:tcPr>
          <w:p w14:paraId="7FE892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138 000,00</w:t>
            </w:r>
          </w:p>
        </w:tc>
        <w:tc>
          <w:tcPr>
            <w:tcW w:w="1417" w:type="dxa"/>
            <w:tcBorders>
              <w:top w:val="nil"/>
              <w:left w:val="nil"/>
              <w:bottom w:val="single" w:sz="4" w:space="0" w:color="auto"/>
              <w:right w:val="single" w:sz="4" w:space="0" w:color="auto"/>
            </w:tcBorders>
            <w:shd w:val="clear" w:color="auto" w:fill="auto"/>
            <w:noWrap/>
          </w:tcPr>
          <w:p w14:paraId="184F13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0,00</w:t>
            </w:r>
          </w:p>
        </w:tc>
        <w:tc>
          <w:tcPr>
            <w:tcW w:w="1418" w:type="dxa"/>
            <w:tcBorders>
              <w:top w:val="nil"/>
              <w:left w:val="nil"/>
              <w:bottom w:val="single" w:sz="4" w:space="0" w:color="auto"/>
              <w:right w:val="single" w:sz="4" w:space="0" w:color="auto"/>
            </w:tcBorders>
            <w:shd w:val="clear" w:color="auto" w:fill="auto"/>
            <w:noWrap/>
          </w:tcPr>
          <w:p w14:paraId="2CBCFE7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138 000,00</w:t>
            </w:r>
          </w:p>
        </w:tc>
      </w:tr>
      <w:tr w:rsidR="00862C6F" w:rsidRPr="00236418" w14:paraId="148B32CA"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4A40698"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p>
        </w:tc>
        <w:tc>
          <w:tcPr>
            <w:tcW w:w="1553" w:type="dxa"/>
            <w:tcBorders>
              <w:top w:val="nil"/>
              <w:left w:val="nil"/>
              <w:bottom w:val="single" w:sz="4" w:space="0" w:color="auto"/>
              <w:right w:val="single" w:sz="4" w:space="0" w:color="auto"/>
            </w:tcBorders>
            <w:shd w:val="clear" w:color="auto" w:fill="auto"/>
            <w:noWrap/>
          </w:tcPr>
          <w:p w14:paraId="439DCA56"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2274" w:type="dxa"/>
            <w:tcBorders>
              <w:top w:val="nil"/>
              <w:left w:val="nil"/>
              <w:bottom w:val="single" w:sz="4" w:space="0" w:color="auto"/>
              <w:right w:val="single" w:sz="4" w:space="0" w:color="auto"/>
            </w:tcBorders>
            <w:shd w:val="clear" w:color="auto" w:fill="auto"/>
            <w:noWrap/>
          </w:tcPr>
          <w:p w14:paraId="17682C45"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1843" w:type="dxa"/>
            <w:tcBorders>
              <w:top w:val="nil"/>
              <w:left w:val="nil"/>
              <w:bottom w:val="single" w:sz="4" w:space="0" w:color="auto"/>
              <w:right w:val="single" w:sz="4" w:space="0" w:color="auto"/>
            </w:tcBorders>
            <w:shd w:val="clear" w:color="auto" w:fill="auto"/>
            <w:noWrap/>
          </w:tcPr>
          <w:p w14:paraId="1277238B"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417" w:type="dxa"/>
            <w:tcBorders>
              <w:top w:val="nil"/>
              <w:left w:val="nil"/>
              <w:bottom w:val="single" w:sz="4" w:space="0" w:color="auto"/>
              <w:right w:val="single" w:sz="4" w:space="0" w:color="auto"/>
            </w:tcBorders>
            <w:shd w:val="clear" w:color="auto" w:fill="auto"/>
            <w:noWrap/>
          </w:tcPr>
          <w:p w14:paraId="7F9B421E"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418" w:type="dxa"/>
            <w:tcBorders>
              <w:top w:val="nil"/>
              <w:left w:val="nil"/>
              <w:bottom w:val="single" w:sz="4" w:space="0" w:color="auto"/>
              <w:right w:val="single" w:sz="4" w:space="0" w:color="auto"/>
            </w:tcBorders>
            <w:shd w:val="clear" w:color="auto" w:fill="auto"/>
            <w:noWrap/>
          </w:tcPr>
          <w:p w14:paraId="024462B4"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r>
      <w:tr w:rsidR="00862C6F" w:rsidRPr="00236418" w14:paraId="1C018849"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B2826FC" w14:textId="77777777" w:rsidR="00862C6F" w:rsidRPr="00236418" w:rsidRDefault="00862C6F" w:rsidP="00862C6F">
            <w:pPr>
              <w:tabs>
                <w:tab w:val="clear" w:pos="567"/>
                <w:tab w:val="clear" w:pos="1134"/>
                <w:tab w:val="clear" w:pos="1701"/>
                <w:tab w:val="clear" w:pos="2268"/>
                <w:tab w:val="clear" w:pos="2835"/>
              </w:tabs>
              <w:spacing w:before="0"/>
              <w:jc w:val="center"/>
              <w:rPr>
                <w:b/>
                <w:bCs/>
                <w:sz w:val="20"/>
                <w:lang w:eastAsia="zh-CN"/>
              </w:rPr>
            </w:pPr>
            <w:r w:rsidRPr="00236418">
              <w:rPr>
                <w:b/>
                <w:bCs/>
                <w:sz w:val="20"/>
                <w:lang w:eastAsia="zh-CN"/>
              </w:rPr>
              <w:t>TLC 2017</w:t>
            </w:r>
          </w:p>
        </w:tc>
        <w:tc>
          <w:tcPr>
            <w:tcW w:w="1553" w:type="dxa"/>
            <w:tcBorders>
              <w:top w:val="single" w:sz="4" w:space="0" w:color="auto"/>
              <w:left w:val="nil"/>
              <w:bottom w:val="single" w:sz="4" w:space="0" w:color="auto"/>
              <w:right w:val="single" w:sz="4" w:space="0" w:color="auto"/>
            </w:tcBorders>
            <w:shd w:val="clear" w:color="auto" w:fill="auto"/>
            <w:noWrap/>
          </w:tcPr>
          <w:p w14:paraId="0E6C537D"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b/>
                <w:bCs/>
                <w:sz w:val="20"/>
                <w:lang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6CCB8FE4"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b/>
                <w:bCs/>
                <w:sz w:val="20"/>
                <w:lang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585C017B"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7" w:type="dxa"/>
            <w:tcBorders>
              <w:top w:val="single" w:sz="4" w:space="0" w:color="auto"/>
              <w:left w:val="nil"/>
              <w:bottom w:val="single" w:sz="4" w:space="0" w:color="auto"/>
              <w:right w:val="single" w:sz="4" w:space="0" w:color="auto"/>
            </w:tcBorders>
            <w:shd w:val="clear" w:color="auto" w:fill="auto"/>
            <w:noWrap/>
          </w:tcPr>
          <w:p w14:paraId="5CB1BC00"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2986308E"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143 351,11</w:t>
            </w:r>
          </w:p>
        </w:tc>
      </w:tr>
    </w:tbl>
    <w:p w14:paraId="01D6240D" w14:textId="77777777" w:rsidR="00862C6F" w:rsidRPr="00236418" w:rsidRDefault="00862C6F" w:rsidP="00862C6F">
      <w:pPr>
        <w:spacing w:before="0"/>
      </w:pPr>
    </w:p>
    <w:tbl>
      <w:tblPr>
        <w:tblW w:w="9787" w:type="dxa"/>
        <w:jc w:val="center"/>
        <w:tblLayout w:type="fixed"/>
        <w:tblLook w:val="04A0" w:firstRow="1" w:lastRow="0" w:firstColumn="1" w:lastColumn="0" w:noHBand="0" w:noVBand="1"/>
        <w:tblCaption w:val="E"/>
      </w:tblPr>
      <w:tblGrid>
        <w:gridCol w:w="1277"/>
        <w:gridCol w:w="1554"/>
        <w:gridCol w:w="2275"/>
        <w:gridCol w:w="1844"/>
        <w:gridCol w:w="1418"/>
        <w:gridCol w:w="1419"/>
      </w:tblGrid>
      <w:tr w:rsidR="00862C6F" w:rsidRPr="00236418" w14:paraId="34B0D13A"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0F31BDCC"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Événement</w:t>
            </w:r>
          </w:p>
        </w:tc>
        <w:tc>
          <w:tcPr>
            <w:tcW w:w="1554" w:type="dxa"/>
            <w:tcBorders>
              <w:top w:val="single" w:sz="4" w:space="0" w:color="auto"/>
              <w:left w:val="nil"/>
              <w:bottom w:val="single" w:sz="4" w:space="0" w:color="auto"/>
              <w:right w:val="single" w:sz="4" w:space="0" w:color="auto"/>
            </w:tcBorders>
            <w:shd w:val="clear" w:color="auto" w:fill="auto"/>
            <w:noWrap/>
            <w:hideMark/>
          </w:tcPr>
          <w:p w14:paraId="024B01FF"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Pays</w:t>
            </w:r>
          </w:p>
        </w:tc>
        <w:tc>
          <w:tcPr>
            <w:tcW w:w="2275" w:type="dxa"/>
            <w:tcBorders>
              <w:top w:val="single" w:sz="4" w:space="0" w:color="auto"/>
              <w:left w:val="nil"/>
              <w:bottom w:val="single" w:sz="4" w:space="0" w:color="auto"/>
              <w:right w:val="single" w:sz="4" w:space="0" w:color="auto"/>
            </w:tcBorders>
            <w:shd w:val="clear" w:color="auto" w:fill="auto"/>
            <w:noWrap/>
            <w:hideMark/>
          </w:tcPr>
          <w:p w14:paraId="129857AD"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Entité</w:t>
            </w:r>
          </w:p>
        </w:tc>
        <w:tc>
          <w:tcPr>
            <w:tcW w:w="1844" w:type="dxa"/>
            <w:tcBorders>
              <w:top w:val="single" w:sz="4" w:space="0" w:color="auto"/>
              <w:left w:val="nil"/>
              <w:bottom w:val="single" w:sz="4" w:space="0" w:color="auto"/>
              <w:right w:val="single" w:sz="4" w:space="0" w:color="auto"/>
            </w:tcBorders>
            <w:shd w:val="clear" w:color="auto" w:fill="auto"/>
            <w:noWrap/>
            <w:hideMark/>
          </w:tcPr>
          <w:p w14:paraId="796838A0"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Montant facturé</w:t>
            </w:r>
          </w:p>
        </w:tc>
        <w:tc>
          <w:tcPr>
            <w:tcW w:w="1418" w:type="dxa"/>
            <w:tcBorders>
              <w:top w:val="single" w:sz="4" w:space="0" w:color="auto"/>
              <w:left w:val="nil"/>
              <w:bottom w:val="single" w:sz="4" w:space="0" w:color="auto"/>
              <w:right w:val="single" w:sz="4" w:space="0" w:color="auto"/>
            </w:tcBorders>
            <w:shd w:val="clear" w:color="auto" w:fill="auto"/>
            <w:noWrap/>
            <w:hideMark/>
          </w:tcPr>
          <w:p w14:paraId="2E514C7C"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Paiement reçu</w:t>
            </w:r>
          </w:p>
        </w:tc>
        <w:tc>
          <w:tcPr>
            <w:tcW w:w="1419" w:type="dxa"/>
            <w:tcBorders>
              <w:top w:val="single" w:sz="4" w:space="0" w:color="auto"/>
              <w:left w:val="nil"/>
              <w:bottom w:val="single" w:sz="4" w:space="0" w:color="auto"/>
              <w:right w:val="single" w:sz="4" w:space="0" w:color="auto"/>
            </w:tcBorders>
            <w:shd w:val="clear" w:color="auto" w:fill="auto"/>
            <w:noWrap/>
            <w:hideMark/>
          </w:tcPr>
          <w:p w14:paraId="7FEFFC59" w14:textId="77777777" w:rsidR="00862C6F" w:rsidRPr="00236418" w:rsidRDefault="00862C6F" w:rsidP="00862C6F">
            <w:pPr>
              <w:tabs>
                <w:tab w:val="clear" w:pos="567"/>
                <w:tab w:val="clear" w:pos="1134"/>
                <w:tab w:val="clear" w:pos="1701"/>
                <w:tab w:val="clear" w:pos="2268"/>
                <w:tab w:val="clear" w:pos="2835"/>
              </w:tabs>
              <w:jc w:val="center"/>
              <w:rPr>
                <w:b/>
                <w:sz w:val="20"/>
                <w:lang w:eastAsia="zh-CN"/>
              </w:rPr>
            </w:pPr>
            <w:r w:rsidRPr="00236418">
              <w:rPr>
                <w:b/>
                <w:sz w:val="20"/>
                <w:lang w:eastAsia="zh-CN"/>
              </w:rPr>
              <w:t>Restant dû</w:t>
            </w:r>
          </w:p>
        </w:tc>
      </w:tr>
      <w:tr w:rsidR="00862C6F" w:rsidRPr="00236418" w14:paraId="4D43FF59"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7E577150"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2018</w:t>
            </w:r>
          </w:p>
        </w:tc>
        <w:tc>
          <w:tcPr>
            <w:tcW w:w="1554" w:type="dxa"/>
            <w:tcBorders>
              <w:top w:val="nil"/>
              <w:left w:val="nil"/>
              <w:bottom w:val="single" w:sz="4" w:space="0" w:color="auto"/>
              <w:right w:val="single" w:sz="4" w:space="0" w:color="auto"/>
            </w:tcBorders>
            <w:shd w:val="clear" w:color="auto" w:fill="auto"/>
            <w:noWrap/>
          </w:tcPr>
          <w:p w14:paraId="7BA302B2"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République sudafricaine</w:t>
            </w:r>
          </w:p>
        </w:tc>
        <w:tc>
          <w:tcPr>
            <w:tcW w:w="2275" w:type="dxa"/>
            <w:tcBorders>
              <w:top w:val="nil"/>
              <w:left w:val="nil"/>
              <w:bottom w:val="single" w:sz="4" w:space="0" w:color="auto"/>
              <w:right w:val="single" w:sz="4" w:space="0" w:color="auto"/>
            </w:tcBorders>
            <w:shd w:val="clear" w:color="auto" w:fill="auto"/>
            <w:noWrap/>
          </w:tcPr>
          <w:p w14:paraId="37AB51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roofErr w:type="spellStart"/>
            <w:r w:rsidRPr="00236418">
              <w:rPr>
                <w:sz w:val="20"/>
                <w:lang w:eastAsia="zh-CN"/>
              </w:rPr>
              <w:t>Ekasi</w:t>
            </w:r>
            <w:proofErr w:type="spellEnd"/>
            <w:r w:rsidRPr="00236418">
              <w:rPr>
                <w:sz w:val="20"/>
                <w:lang w:eastAsia="zh-CN"/>
              </w:rPr>
              <w:t xml:space="preserve"> Gaming</w:t>
            </w:r>
          </w:p>
        </w:tc>
        <w:tc>
          <w:tcPr>
            <w:tcW w:w="1844" w:type="dxa"/>
            <w:tcBorders>
              <w:top w:val="nil"/>
              <w:left w:val="nil"/>
              <w:bottom w:val="single" w:sz="4" w:space="0" w:color="auto"/>
              <w:right w:val="single" w:sz="4" w:space="0" w:color="auto"/>
            </w:tcBorders>
            <w:shd w:val="clear" w:color="auto" w:fill="auto"/>
            <w:noWrap/>
          </w:tcPr>
          <w:p w14:paraId="4265C9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800,00</w:t>
            </w:r>
          </w:p>
        </w:tc>
        <w:tc>
          <w:tcPr>
            <w:tcW w:w="1418" w:type="dxa"/>
            <w:tcBorders>
              <w:top w:val="nil"/>
              <w:left w:val="nil"/>
              <w:bottom w:val="single" w:sz="4" w:space="0" w:color="auto"/>
              <w:right w:val="single" w:sz="4" w:space="0" w:color="auto"/>
            </w:tcBorders>
            <w:shd w:val="clear" w:color="auto" w:fill="auto"/>
            <w:noWrap/>
          </w:tcPr>
          <w:p w14:paraId="55E19E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0,00</w:t>
            </w:r>
          </w:p>
        </w:tc>
        <w:tc>
          <w:tcPr>
            <w:tcW w:w="1419" w:type="dxa"/>
            <w:tcBorders>
              <w:top w:val="nil"/>
              <w:left w:val="nil"/>
              <w:bottom w:val="single" w:sz="4" w:space="0" w:color="auto"/>
              <w:right w:val="single" w:sz="4" w:space="0" w:color="auto"/>
            </w:tcBorders>
            <w:shd w:val="clear" w:color="auto" w:fill="auto"/>
            <w:noWrap/>
          </w:tcPr>
          <w:p w14:paraId="4B7B1E3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800,00</w:t>
            </w:r>
          </w:p>
        </w:tc>
      </w:tr>
      <w:tr w:rsidR="00862C6F" w:rsidRPr="00236418" w14:paraId="2FF916C9"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44A7D678"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2018</w:t>
            </w:r>
          </w:p>
        </w:tc>
        <w:tc>
          <w:tcPr>
            <w:tcW w:w="1554" w:type="dxa"/>
            <w:tcBorders>
              <w:top w:val="nil"/>
              <w:left w:val="nil"/>
              <w:bottom w:val="single" w:sz="4" w:space="0" w:color="auto"/>
              <w:right w:val="single" w:sz="4" w:space="0" w:color="auto"/>
            </w:tcBorders>
            <w:shd w:val="clear" w:color="auto" w:fill="auto"/>
            <w:noWrap/>
            <w:hideMark/>
          </w:tcPr>
          <w:p w14:paraId="75DB8AF7"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Cameroun</w:t>
            </w:r>
          </w:p>
        </w:tc>
        <w:tc>
          <w:tcPr>
            <w:tcW w:w="2275" w:type="dxa"/>
            <w:tcBorders>
              <w:top w:val="nil"/>
              <w:left w:val="nil"/>
              <w:bottom w:val="single" w:sz="4" w:space="0" w:color="auto"/>
              <w:right w:val="single" w:sz="4" w:space="0" w:color="auto"/>
            </w:tcBorders>
            <w:shd w:val="clear" w:color="auto" w:fill="auto"/>
            <w:noWrap/>
          </w:tcPr>
          <w:p w14:paraId="026F099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proofErr w:type="spellStart"/>
            <w:r w:rsidRPr="00236418">
              <w:rPr>
                <w:color w:val="000000"/>
                <w:sz w:val="20"/>
                <w:lang w:eastAsia="zh-CN"/>
              </w:rPr>
              <w:t>Iplans</w:t>
            </w:r>
            <w:proofErr w:type="spellEnd"/>
            <w:r w:rsidRPr="00236418">
              <w:rPr>
                <w:color w:val="000000"/>
                <w:sz w:val="20"/>
                <w:lang w:eastAsia="zh-CN"/>
              </w:rPr>
              <w:t xml:space="preserve"> SA</w:t>
            </w:r>
          </w:p>
        </w:tc>
        <w:tc>
          <w:tcPr>
            <w:tcW w:w="1844" w:type="dxa"/>
            <w:tcBorders>
              <w:top w:val="nil"/>
              <w:left w:val="nil"/>
              <w:bottom w:val="single" w:sz="4" w:space="0" w:color="auto"/>
              <w:right w:val="single" w:sz="4" w:space="0" w:color="auto"/>
            </w:tcBorders>
            <w:shd w:val="clear" w:color="auto" w:fill="auto"/>
            <w:noWrap/>
          </w:tcPr>
          <w:p w14:paraId="78D084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1 200,00</w:t>
            </w:r>
          </w:p>
        </w:tc>
        <w:tc>
          <w:tcPr>
            <w:tcW w:w="1418" w:type="dxa"/>
            <w:tcBorders>
              <w:top w:val="nil"/>
              <w:left w:val="nil"/>
              <w:bottom w:val="single" w:sz="4" w:space="0" w:color="auto"/>
              <w:right w:val="single" w:sz="4" w:space="0" w:color="auto"/>
            </w:tcBorders>
            <w:shd w:val="clear" w:color="auto" w:fill="auto"/>
            <w:noWrap/>
          </w:tcPr>
          <w:p w14:paraId="72764DB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0,00</w:t>
            </w:r>
          </w:p>
        </w:tc>
        <w:tc>
          <w:tcPr>
            <w:tcW w:w="1419" w:type="dxa"/>
            <w:tcBorders>
              <w:top w:val="nil"/>
              <w:left w:val="nil"/>
              <w:bottom w:val="single" w:sz="4" w:space="0" w:color="auto"/>
              <w:right w:val="single" w:sz="4" w:space="0" w:color="auto"/>
            </w:tcBorders>
            <w:shd w:val="clear" w:color="auto" w:fill="auto"/>
            <w:noWrap/>
          </w:tcPr>
          <w:p w14:paraId="3F90C59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1 200,00</w:t>
            </w:r>
          </w:p>
        </w:tc>
      </w:tr>
      <w:tr w:rsidR="00862C6F" w:rsidRPr="00236418" w14:paraId="588E37E0"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01EBEA33"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r w:rsidRPr="00236418">
              <w:rPr>
                <w:sz w:val="20"/>
                <w:lang w:eastAsia="zh-CN"/>
              </w:rPr>
              <w:t>TLC 2018</w:t>
            </w:r>
          </w:p>
        </w:tc>
        <w:tc>
          <w:tcPr>
            <w:tcW w:w="1554" w:type="dxa"/>
            <w:tcBorders>
              <w:top w:val="nil"/>
              <w:left w:val="nil"/>
              <w:bottom w:val="single" w:sz="4" w:space="0" w:color="auto"/>
              <w:right w:val="single" w:sz="4" w:space="0" w:color="auto"/>
            </w:tcBorders>
            <w:shd w:val="clear" w:color="auto" w:fill="auto"/>
            <w:noWrap/>
          </w:tcPr>
          <w:p w14:paraId="52845D73"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Royaume-Uni</w:t>
            </w:r>
          </w:p>
        </w:tc>
        <w:tc>
          <w:tcPr>
            <w:tcW w:w="2275" w:type="dxa"/>
            <w:tcBorders>
              <w:top w:val="nil"/>
              <w:left w:val="nil"/>
              <w:bottom w:val="single" w:sz="4" w:space="0" w:color="auto"/>
              <w:right w:val="single" w:sz="4" w:space="0" w:color="auto"/>
            </w:tcBorders>
            <w:shd w:val="clear" w:color="auto" w:fill="auto"/>
            <w:noWrap/>
          </w:tcPr>
          <w:p w14:paraId="3B01E41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proofErr w:type="spellStart"/>
            <w:r w:rsidRPr="00236418">
              <w:rPr>
                <w:color w:val="000000"/>
                <w:sz w:val="20"/>
                <w:lang w:eastAsia="zh-CN"/>
              </w:rPr>
              <w:t>Quika</w:t>
            </w:r>
            <w:proofErr w:type="spellEnd"/>
            <w:r w:rsidRPr="00236418">
              <w:rPr>
                <w:color w:val="000000"/>
                <w:sz w:val="20"/>
                <w:lang w:eastAsia="zh-CN"/>
              </w:rPr>
              <w:t xml:space="preserve"> Limited</w:t>
            </w:r>
          </w:p>
        </w:tc>
        <w:tc>
          <w:tcPr>
            <w:tcW w:w="1844" w:type="dxa"/>
            <w:tcBorders>
              <w:top w:val="nil"/>
              <w:left w:val="nil"/>
              <w:bottom w:val="single" w:sz="4" w:space="0" w:color="auto"/>
              <w:right w:val="single" w:sz="4" w:space="0" w:color="auto"/>
            </w:tcBorders>
            <w:shd w:val="clear" w:color="auto" w:fill="auto"/>
            <w:noWrap/>
          </w:tcPr>
          <w:p w14:paraId="529812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31 800,00</w:t>
            </w:r>
          </w:p>
        </w:tc>
        <w:tc>
          <w:tcPr>
            <w:tcW w:w="1418" w:type="dxa"/>
            <w:tcBorders>
              <w:top w:val="nil"/>
              <w:left w:val="nil"/>
              <w:bottom w:val="single" w:sz="4" w:space="0" w:color="auto"/>
              <w:right w:val="single" w:sz="4" w:space="0" w:color="auto"/>
            </w:tcBorders>
            <w:shd w:val="clear" w:color="auto" w:fill="auto"/>
            <w:noWrap/>
          </w:tcPr>
          <w:p w14:paraId="2F0FA7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236418">
              <w:rPr>
                <w:color w:val="000000"/>
                <w:sz w:val="20"/>
                <w:lang w:eastAsia="zh-CN"/>
              </w:rPr>
              <w:t>0,00</w:t>
            </w:r>
          </w:p>
        </w:tc>
        <w:tc>
          <w:tcPr>
            <w:tcW w:w="1419" w:type="dxa"/>
            <w:tcBorders>
              <w:top w:val="nil"/>
              <w:left w:val="nil"/>
              <w:bottom w:val="single" w:sz="4" w:space="0" w:color="auto"/>
              <w:right w:val="single" w:sz="4" w:space="0" w:color="auto"/>
            </w:tcBorders>
            <w:shd w:val="clear" w:color="auto" w:fill="auto"/>
            <w:noWrap/>
          </w:tcPr>
          <w:p w14:paraId="068FDFE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236418">
              <w:rPr>
                <w:sz w:val="20"/>
                <w:lang w:eastAsia="zh-CN"/>
              </w:rPr>
              <w:t>31 800,00</w:t>
            </w:r>
          </w:p>
        </w:tc>
      </w:tr>
      <w:tr w:rsidR="00862C6F" w:rsidRPr="00236418" w14:paraId="47FA073C"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63026FBA" w14:textId="77777777" w:rsidR="00862C6F" w:rsidRPr="00236418" w:rsidRDefault="00862C6F" w:rsidP="00862C6F">
            <w:pPr>
              <w:tabs>
                <w:tab w:val="clear" w:pos="567"/>
                <w:tab w:val="clear" w:pos="1134"/>
                <w:tab w:val="clear" w:pos="1701"/>
                <w:tab w:val="clear" w:pos="2268"/>
                <w:tab w:val="clear" w:pos="2835"/>
              </w:tabs>
              <w:spacing w:before="0"/>
              <w:jc w:val="center"/>
              <w:rPr>
                <w:sz w:val="20"/>
                <w:lang w:eastAsia="zh-CN"/>
              </w:rPr>
            </w:pPr>
          </w:p>
        </w:tc>
        <w:tc>
          <w:tcPr>
            <w:tcW w:w="1554" w:type="dxa"/>
            <w:tcBorders>
              <w:top w:val="nil"/>
              <w:left w:val="nil"/>
              <w:bottom w:val="single" w:sz="4" w:space="0" w:color="auto"/>
              <w:right w:val="single" w:sz="4" w:space="0" w:color="auto"/>
            </w:tcBorders>
            <w:shd w:val="clear" w:color="auto" w:fill="auto"/>
            <w:noWrap/>
          </w:tcPr>
          <w:p w14:paraId="6F852D3A"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 </w:t>
            </w:r>
          </w:p>
        </w:tc>
        <w:tc>
          <w:tcPr>
            <w:tcW w:w="2275" w:type="dxa"/>
            <w:tcBorders>
              <w:top w:val="nil"/>
              <w:left w:val="nil"/>
              <w:bottom w:val="single" w:sz="4" w:space="0" w:color="auto"/>
              <w:right w:val="single" w:sz="4" w:space="0" w:color="auto"/>
            </w:tcBorders>
            <w:shd w:val="clear" w:color="auto" w:fill="auto"/>
            <w:noWrap/>
          </w:tcPr>
          <w:p w14:paraId="6324F12B"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p>
        </w:tc>
        <w:tc>
          <w:tcPr>
            <w:tcW w:w="1844" w:type="dxa"/>
            <w:tcBorders>
              <w:top w:val="nil"/>
              <w:left w:val="nil"/>
              <w:bottom w:val="single" w:sz="4" w:space="0" w:color="auto"/>
              <w:right w:val="single" w:sz="4" w:space="0" w:color="auto"/>
            </w:tcBorders>
            <w:shd w:val="clear" w:color="auto" w:fill="auto"/>
            <w:noWrap/>
          </w:tcPr>
          <w:p w14:paraId="1B44FC6E"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418" w:type="dxa"/>
            <w:tcBorders>
              <w:top w:val="nil"/>
              <w:left w:val="nil"/>
              <w:bottom w:val="single" w:sz="4" w:space="0" w:color="auto"/>
              <w:right w:val="single" w:sz="4" w:space="0" w:color="auto"/>
            </w:tcBorders>
            <w:shd w:val="clear" w:color="auto" w:fill="auto"/>
            <w:noWrap/>
          </w:tcPr>
          <w:p w14:paraId="4094BA77"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c>
          <w:tcPr>
            <w:tcW w:w="1419" w:type="dxa"/>
            <w:tcBorders>
              <w:top w:val="nil"/>
              <w:left w:val="nil"/>
              <w:bottom w:val="single" w:sz="4" w:space="0" w:color="auto"/>
              <w:right w:val="single" w:sz="4" w:space="0" w:color="auto"/>
            </w:tcBorders>
            <w:shd w:val="clear" w:color="auto" w:fill="auto"/>
            <w:noWrap/>
          </w:tcPr>
          <w:p w14:paraId="24C22B0B" w14:textId="77777777" w:rsidR="00862C6F" w:rsidRPr="00236418" w:rsidRDefault="00862C6F" w:rsidP="00862C6F">
            <w:pPr>
              <w:tabs>
                <w:tab w:val="clear" w:pos="567"/>
                <w:tab w:val="clear" w:pos="1134"/>
                <w:tab w:val="clear" w:pos="1701"/>
                <w:tab w:val="clear" w:pos="2268"/>
                <w:tab w:val="clear" w:pos="2835"/>
              </w:tabs>
              <w:spacing w:before="0"/>
              <w:jc w:val="right"/>
              <w:rPr>
                <w:sz w:val="20"/>
                <w:lang w:eastAsia="zh-CN"/>
              </w:rPr>
            </w:pPr>
          </w:p>
        </w:tc>
      </w:tr>
      <w:tr w:rsidR="00862C6F" w:rsidRPr="00236418" w14:paraId="64E7765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5DF45226" w14:textId="77777777" w:rsidR="00862C6F" w:rsidRPr="00236418" w:rsidRDefault="00862C6F" w:rsidP="00862C6F">
            <w:pPr>
              <w:tabs>
                <w:tab w:val="clear" w:pos="567"/>
                <w:tab w:val="clear" w:pos="1134"/>
                <w:tab w:val="clear" w:pos="1701"/>
                <w:tab w:val="clear" w:pos="2268"/>
                <w:tab w:val="clear" w:pos="2835"/>
              </w:tabs>
              <w:spacing w:before="0"/>
              <w:jc w:val="center"/>
              <w:rPr>
                <w:b/>
                <w:bCs/>
                <w:sz w:val="20"/>
                <w:lang w:eastAsia="zh-CN"/>
              </w:rPr>
            </w:pPr>
            <w:r w:rsidRPr="00236418">
              <w:rPr>
                <w:b/>
                <w:bCs/>
                <w:sz w:val="20"/>
                <w:lang w:eastAsia="zh-CN"/>
              </w:rPr>
              <w:t>TLC 2018</w:t>
            </w:r>
          </w:p>
        </w:tc>
        <w:tc>
          <w:tcPr>
            <w:tcW w:w="1554" w:type="dxa"/>
            <w:tcBorders>
              <w:top w:val="single" w:sz="4" w:space="0" w:color="auto"/>
              <w:left w:val="nil"/>
              <w:bottom w:val="single" w:sz="4" w:space="0" w:color="auto"/>
              <w:right w:val="single" w:sz="4" w:space="0" w:color="auto"/>
            </w:tcBorders>
            <w:shd w:val="clear" w:color="auto" w:fill="auto"/>
            <w:noWrap/>
          </w:tcPr>
          <w:p w14:paraId="01007558"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b/>
                <w:bCs/>
                <w:sz w:val="20"/>
                <w:lang w:eastAsia="zh-CN"/>
              </w:rPr>
              <w:t> </w:t>
            </w:r>
          </w:p>
        </w:tc>
        <w:tc>
          <w:tcPr>
            <w:tcW w:w="2275" w:type="dxa"/>
            <w:tcBorders>
              <w:top w:val="single" w:sz="4" w:space="0" w:color="auto"/>
              <w:left w:val="nil"/>
              <w:bottom w:val="single" w:sz="4" w:space="0" w:color="auto"/>
              <w:right w:val="single" w:sz="4" w:space="0" w:color="auto"/>
            </w:tcBorders>
            <w:shd w:val="clear" w:color="auto" w:fill="auto"/>
            <w:noWrap/>
          </w:tcPr>
          <w:p w14:paraId="09A255E9"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b/>
                <w:bCs/>
                <w:sz w:val="20"/>
                <w:lang w:eastAsia="zh-CN"/>
              </w:rPr>
              <w:t> </w:t>
            </w:r>
          </w:p>
        </w:tc>
        <w:tc>
          <w:tcPr>
            <w:tcW w:w="1844" w:type="dxa"/>
            <w:tcBorders>
              <w:top w:val="single" w:sz="4" w:space="0" w:color="auto"/>
              <w:left w:val="nil"/>
              <w:bottom w:val="single" w:sz="4" w:space="0" w:color="auto"/>
              <w:right w:val="single" w:sz="4" w:space="0" w:color="auto"/>
            </w:tcBorders>
            <w:shd w:val="clear" w:color="auto" w:fill="auto"/>
            <w:noWrap/>
          </w:tcPr>
          <w:p w14:paraId="33C6942D"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642F6118"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9" w:type="dxa"/>
            <w:tcBorders>
              <w:top w:val="single" w:sz="4" w:space="0" w:color="auto"/>
              <w:left w:val="nil"/>
              <w:bottom w:val="single" w:sz="4" w:space="0" w:color="auto"/>
              <w:right w:val="single" w:sz="4" w:space="0" w:color="auto"/>
            </w:tcBorders>
            <w:shd w:val="clear" w:color="auto" w:fill="auto"/>
            <w:noWrap/>
          </w:tcPr>
          <w:p w14:paraId="08ACB6A4"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33 800,00</w:t>
            </w:r>
          </w:p>
        </w:tc>
      </w:tr>
    </w:tbl>
    <w:p w14:paraId="1EB49DE3" w14:textId="77777777" w:rsidR="00862C6F" w:rsidRPr="00236418" w:rsidRDefault="00862C6F" w:rsidP="00862C6F">
      <w:pPr>
        <w:spacing w:before="0"/>
      </w:pPr>
    </w:p>
    <w:tbl>
      <w:tblPr>
        <w:tblW w:w="9787" w:type="dxa"/>
        <w:jc w:val="center"/>
        <w:tblLayout w:type="fixed"/>
        <w:tblLook w:val="04A0" w:firstRow="1" w:lastRow="0" w:firstColumn="1" w:lastColumn="0" w:noHBand="0" w:noVBand="1"/>
        <w:tblCaption w:val="E"/>
      </w:tblPr>
      <w:tblGrid>
        <w:gridCol w:w="1277"/>
        <w:gridCol w:w="1553"/>
        <w:gridCol w:w="2276"/>
        <w:gridCol w:w="1844"/>
        <w:gridCol w:w="1418"/>
        <w:gridCol w:w="1419"/>
      </w:tblGrid>
      <w:tr w:rsidR="00862C6F" w:rsidRPr="00236418" w14:paraId="2EF779F6" w14:textId="77777777" w:rsidTr="00620F53">
        <w:trPr>
          <w:trHeight w:val="300"/>
          <w:jc w:val="center"/>
        </w:trPr>
        <w:tc>
          <w:tcPr>
            <w:tcW w:w="1277" w:type="dxa"/>
            <w:tcBorders>
              <w:top w:val="single" w:sz="4" w:space="0" w:color="auto"/>
              <w:left w:val="single" w:sz="4" w:space="0" w:color="auto"/>
              <w:right w:val="single" w:sz="4" w:space="0" w:color="auto"/>
            </w:tcBorders>
            <w:shd w:val="clear" w:color="auto" w:fill="auto"/>
            <w:noWrap/>
          </w:tcPr>
          <w:p w14:paraId="1219C79D" w14:textId="77777777" w:rsidR="00862C6F" w:rsidRPr="00236418" w:rsidRDefault="00862C6F" w:rsidP="00862C6F">
            <w:pPr>
              <w:tabs>
                <w:tab w:val="clear" w:pos="567"/>
                <w:tab w:val="clear" w:pos="1134"/>
                <w:tab w:val="clear" w:pos="1701"/>
                <w:tab w:val="clear" w:pos="2268"/>
                <w:tab w:val="clear" w:pos="2835"/>
              </w:tabs>
              <w:spacing w:after="120"/>
              <w:jc w:val="center"/>
              <w:rPr>
                <w:b/>
                <w:sz w:val="20"/>
              </w:rPr>
            </w:pPr>
            <w:r w:rsidRPr="00236418">
              <w:rPr>
                <w:b/>
                <w:sz w:val="20"/>
              </w:rPr>
              <w:t>Événement</w:t>
            </w:r>
          </w:p>
        </w:tc>
        <w:tc>
          <w:tcPr>
            <w:tcW w:w="1553" w:type="dxa"/>
            <w:tcBorders>
              <w:top w:val="single" w:sz="4" w:space="0" w:color="auto"/>
              <w:left w:val="nil"/>
              <w:right w:val="single" w:sz="4" w:space="0" w:color="auto"/>
            </w:tcBorders>
            <w:shd w:val="clear" w:color="auto" w:fill="auto"/>
            <w:noWrap/>
          </w:tcPr>
          <w:p w14:paraId="020B83B7" w14:textId="77777777" w:rsidR="00862C6F" w:rsidRPr="00236418" w:rsidRDefault="00862C6F" w:rsidP="00862C6F">
            <w:pPr>
              <w:tabs>
                <w:tab w:val="clear" w:pos="567"/>
                <w:tab w:val="clear" w:pos="1134"/>
                <w:tab w:val="clear" w:pos="1701"/>
                <w:tab w:val="clear" w:pos="2268"/>
                <w:tab w:val="clear" w:pos="2835"/>
              </w:tabs>
              <w:spacing w:after="120"/>
              <w:jc w:val="center"/>
              <w:rPr>
                <w:b/>
                <w:sz w:val="20"/>
              </w:rPr>
            </w:pPr>
            <w:r w:rsidRPr="00236418">
              <w:rPr>
                <w:b/>
                <w:sz w:val="20"/>
              </w:rPr>
              <w:t>Pays</w:t>
            </w:r>
          </w:p>
        </w:tc>
        <w:tc>
          <w:tcPr>
            <w:tcW w:w="2276" w:type="dxa"/>
            <w:tcBorders>
              <w:top w:val="single" w:sz="4" w:space="0" w:color="auto"/>
              <w:left w:val="nil"/>
              <w:right w:val="single" w:sz="4" w:space="0" w:color="auto"/>
            </w:tcBorders>
            <w:shd w:val="clear" w:color="auto" w:fill="auto"/>
            <w:noWrap/>
          </w:tcPr>
          <w:p w14:paraId="0EC8C75E" w14:textId="77777777" w:rsidR="00862C6F" w:rsidRPr="00236418" w:rsidRDefault="00862C6F" w:rsidP="00862C6F">
            <w:pPr>
              <w:tabs>
                <w:tab w:val="clear" w:pos="567"/>
                <w:tab w:val="clear" w:pos="1134"/>
                <w:tab w:val="clear" w:pos="1701"/>
                <w:tab w:val="clear" w:pos="2268"/>
                <w:tab w:val="clear" w:pos="2835"/>
              </w:tabs>
              <w:spacing w:after="120"/>
              <w:jc w:val="center"/>
              <w:rPr>
                <w:b/>
                <w:sz w:val="20"/>
              </w:rPr>
            </w:pPr>
            <w:r w:rsidRPr="00236418">
              <w:rPr>
                <w:b/>
                <w:sz w:val="20"/>
              </w:rPr>
              <w:t>Entité</w:t>
            </w:r>
          </w:p>
        </w:tc>
        <w:tc>
          <w:tcPr>
            <w:tcW w:w="1844" w:type="dxa"/>
            <w:tcBorders>
              <w:top w:val="single" w:sz="4" w:space="0" w:color="auto"/>
              <w:left w:val="nil"/>
              <w:right w:val="single" w:sz="4" w:space="0" w:color="auto"/>
            </w:tcBorders>
            <w:shd w:val="clear" w:color="auto" w:fill="auto"/>
            <w:noWrap/>
          </w:tcPr>
          <w:p w14:paraId="47952A5B" w14:textId="77777777" w:rsidR="00862C6F" w:rsidRPr="00236418" w:rsidRDefault="00862C6F" w:rsidP="00862C6F">
            <w:pPr>
              <w:tabs>
                <w:tab w:val="clear" w:pos="567"/>
                <w:tab w:val="clear" w:pos="1134"/>
                <w:tab w:val="clear" w:pos="1701"/>
                <w:tab w:val="clear" w:pos="2268"/>
                <w:tab w:val="clear" w:pos="2835"/>
              </w:tabs>
              <w:spacing w:after="120"/>
              <w:jc w:val="center"/>
              <w:rPr>
                <w:b/>
                <w:sz w:val="20"/>
              </w:rPr>
            </w:pPr>
            <w:r w:rsidRPr="00236418">
              <w:rPr>
                <w:b/>
                <w:sz w:val="20"/>
              </w:rPr>
              <w:t>Montant facturé</w:t>
            </w:r>
          </w:p>
        </w:tc>
        <w:tc>
          <w:tcPr>
            <w:tcW w:w="1418" w:type="dxa"/>
            <w:tcBorders>
              <w:top w:val="single" w:sz="4" w:space="0" w:color="auto"/>
              <w:left w:val="nil"/>
              <w:right w:val="single" w:sz="4" w:space="0" w:color="auto"/>
            </w:tcBorders>
            <w:shd w:val="clear" w:color="auto" w:fill="auto"/>
            <w:noWrap/>
          </w:tcPr>
          <w:p w14:paraId="4086C14C" w14:textId="77777777" w:rsidR="00862C6F" w:rsidRPr="00236418" w:rsidRDefault="00862C6F" w:rsidP="00862C6F">
            <w:pPr>
              <w:tabs>
                <w:tab w:val="clear" w:pos="567"/>
                <w:tab w:val="clear" w:pos="1134"/>
                <w:tab w:val="clear" w:pos="1701"/>
                <w:tab w:val="clear" w:pos="2268"/>
                <w:tab w:val="clear" w:pos="2835"/>
              </w:tabs>
              <w:spacing w:after="120"/>
              <w:jc w:val="center"/>
              <w:rPr>
                <w:b/>
                <w:sz w:val="20"/>
              </w:rPr>
            </w:pPr>
            <w:r w:rsidRPr="00236418">
              <w:rPr>
                <w:b/>
                <w:sz w:val="20"/>
              </w:rPr>
              <w:t>Paiement reçu</w:t>
            </w:r>
          </w:p>
        </w:tc>
        <w:tc>
          <w:tcPr>
            <w:tcW w:w="1419" w:type="dxa"/>
            <w:tcBorders>
              <w:top w:val="single" w:sz="4" w:space="0" w:color="auto"/>
              <w:left w:val="nil"/>
              <w:right w:val="single" w:sz="4" w:space="0" w:color="auto"/>
            </w:tcBorders>
            <w:shd w:val="clear" w:color="auto" w:fill="auto"/>
            <w:noWrap/>
          </w:tcPr>
          <w:p w14:paraId="0CB24B17" w14:textId="77777777" w:rsidR="00862C6F" w:rsidRPr="00236418" w:rsidRDefault="00862C6F" w:rsidP="00862C6F">
            <w:pPr>
              <w:tabs>
                <w:tab w:val="clear" w:pos="567"/>
                <w:tab w:val="clear" w:pos="1134"/>
                <w:tab w:val="clear" w:pos="1701"/>
                <w:tab w:val="clear" w:pos="2268"/>
                <w:tab w:val="clear" w:pos="2835"/>
              </w:tabs>
              <w:spacing w:after="120"/>
              <w:jc w:val="center"/>
              <w:rPr>
                <w:b/>
                <w:sz w:val="20"/>
              </w:rPr>
            </w:pPr>
            <w:r w:rsidRPr="00236418">
              <w:rPr>
                <w:b/>
                <w:sz w:val="20"/>
              </w:rPr>
              <w:t>Restant dû</w:t>
            </w:r>
          </w:p>
        </w:tc>
      </w:tr>
      <w:tr w:rsidR="00862C6F" w:rsidRPr="00236418" w14:paraId="431DAA32"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670EAC94"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38FF9E48"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Congo</w:t>
            </w:r>
          </w:p>
        </w:tc>
        <w:tc>
          <w:tcPr>
            <w:tcW w:w="2276" w:type="dxa"/>
            <w:tcBorders>
              <w:top w:val="single" w:sz="4" w:space="0" w:color="auto"/>
              <w:left w:val="single" w:sz="4" w:space="0" w:color="auto"/>
              <w:bottom w:val="single" w:sz="4" w:space="0" w:color="auto"/>
              <w:right w:val="single" w:sz="4" w:space="0" w:color="auto"/>
            </w:tcBorders>
            <w:noWrap/>
          </w:tcPr>
          <w:p w14:paraId="4167F4F1"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Centre Intégré de Développement (CID)</w:t>
            </w:r>
          </w:p>
        </w:tc>
        <w:tc>
          <w:tcPr>
            <w:tcW w:w="1844" w:type="dxa"/>
            <w:tcBorders>
              <w:top w:val="single" w:sz="4" w:space="0" w:color="auto"/>
              <w:left w:val="single" w:sz="4" w:space="0" w:color="auto"/>
              <w:bottom w:val="single" w:sz="4" w:space="0" w:color="auto"/>
              <w:right w:val="single" w:sz="4" w:space="0" w:color="auto"/>
            </w:tcBorders>
            <w:noWrap/>
          </w:tcPr>
          <w:p w14:paraId="4C2C91A6"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5 400,00</w:t>
            </w:r>
          </w:p>
        </w:tc>
        <w:tc>
          <w:tcPr>
            <w:tcW w:w="1418" w:type="dxa"/>
            <w:tcBorders>
              <w:top w:val="single" w:sz="4" w:space="0" w:color="auto"/>
              <w:left w:val="single" w:sz="4" w:space="0" w:color="auto"/>
              <w:bottom w:val="single" w:sz="4" w:space="0" w:color="auto"/>
              <w:right w:val="single" w:sz="4" w:space="0" w:color="auto"/>
            </w:tcBorders>
            <w:noWrap/>
          </w:tcPr>
          <w:p w14:paraId="64DC6DCF"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776D9C9A"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5 400,00</w:t>
            </w:r>
          </w:p>
        </w:tc>
      </w:tr>
      <w:tr w:rsidR="00862C6F" w:rsidRPr="00236418" w14:paraId="3FE8203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64170984"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62D5067C"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lang w:eastAsia="zh-CN"/>
              </w:rPr>
              <w:t>République sudafricaine</w:t>
            </w:r>
          </w:p>
        </w:tc>
        <w:tc>
          <w:tcPr>
            <w:tcW w:w="2276" w:type="dxa"/>
            <w:tcBorders>
              <w:top w:val="single" w:sz="4" w:space="0" w:color="auto"/>
              <w:left w:val="single" w:sz="4" w:space="0" w:color="auto"/>
              <w:bottom w:val="single" w:sz="4" w:space="0" w:color="auto"/>
              <w:right w:val="single" w:sz="4" w:space="0" w:color="auto"/>
            </w:tcBorders>
            <w:noWrap/>
          </w:tcPr>
          <w:p w14:paraId="2166B4B7" w14:textId="77777777" w:rsidR="00862C6F" w:rsidRPr="00596807" w:rsidRDefault="00862C6F" w:rsidP="00862C6F">
            <w:pPr>
              <w:tabs>
                <w:tab w:val="clear" w:pos="567"/>
                <w:tab w:val="clear" w:pos="1134"/>
                <w:tab w:val="clear" w:pos="1701"/>
                <w:tab w:val="clear" w:pos="2268"/>
                <w:tab w:val="clear" w:pos="2835"/>
              </w:tabs>
              <w:spacing w:before="0"/>
              <w:rPr>
                <w:b/>
                <w:bCs/>
                <w:sz w:val="20"/>
                <w:lang w:val="en-US" w:eastAsia="zh-CN"/>
              </w:rPr>
            </w:pPr>
            <w:proofErr w:type="spellStart"/>
            <w:r w:rsidRPr="00596807">
              <w:rPr>
                <w:sz w:val="20"/>
                <w:lang w:val="en-US"/>
              </w:rPr>
              <w:t>Orizur</w:t>
            </w:r>
            <w:proofErr w:type="spellEnd"/>
            <w:r w:rsidRPr="00596807">
              <w:rPr>
                <w:sz w:val="20"/>
                <w:lang w:val="en-US"/>
              </w:rPr>
              <w:t xml:space="preserve"> Consulting Enterprise Pty Ltd.</w:t>
            </w:r>
          </w:p>
        </w:tc>
        <w:tc>
          <w:tcPr>
            <w:tcW w:w="1844" w:type="dxa"/>
            <w:tcBorders>
              <w:top w:val="single" w:sz="4" w:space="0" w:color="auto"/>
              <w:left w:val="single" w:sz="4" w:space="0" w:color="auto"/>
              <w:bottom w:val="single" w:sz="4" w:space="0" w:color="auto"/>
              <w:right w:val="single" w:sz="4" w:space="0" w:color="auto"/>
            </w:tcBorders>
            <w:noWrap/>
          </w:tcPr>
          <w:p w14:paraId="7C2F9902"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1 000,00</w:t>
            </w:r>
          </w:p>
        </w:tc>
        <w:tc>
          <w:tcPr>
            <w:tcW w:w="1418" w:type="dxa"/>
            <w:tcBorders>
              <w:top w:val="single" w:sz="4" w:space="0" w:color="auto"/>
              <w:left w:val="single" w:sz="4" w:space="0" w:color="auto"/>
              <w:bottom w:val="single" w:sz="4" w:space="0" w:color="auto"/>
              <w:right w:val="single" w:sz="4" w:space="0" w:color="auto"/>
            </w:tcBorders>
            <w:noWrap/>
          </w:tcPr>
          <w:p w14:paraId="490DDB56"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33A44497"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1 000,00</w:t>
            </w:r>
          </w:p>
        </w:tc>
      </w:tr>
      <w:tr w:rsidR="00862C6F" w:rsidRPr="00236418" w14:paraId="029391DA"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47296D4C"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1B52CBBC"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Émirats arabes unis</w:t>
            </w:r>
          </w:p>
        </w:tc>
        <w:tc>
          <w:tcPr>
            <w:tcW w:w="2276" w:type="dxa"/>
            <w:tcBorders>
              <w:top w:val="single" w:sz="4" w:space="0" w:color="auto"/>
              <w:left w:val="single" w:sz="4" w:space="0" w:color="auto"/>
              <w:bottom w:val="single" w:sz="4" w:space="0" w:color="auto"/>
              <w:right w:val="single" w:sz="4" w:space="0" w:color="auto"/>
            </w:tcBorders>
            <w:noWrap/>
          </w:tcPr>
          <w:p w14:paraId="525EBDF1"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Smart Life for IT</w:t>
            </w:r>
          </w:p>
        </w:tc>
        <w:tc>
          <w:tcPr>
            <w:tcW w:w="1844" w:type="dxa"/>
            <w:tcBorders>
              <w:top w:val="single" w:sz="4" w:space="0" w:color="auto"/>
              <w:left w:val="single" w:sz="4" w:space="0" w:color="auto"/>
              <w:bottom w:val="single" w:sz="4" w:space="0" w:color="auto"/>
              <w:right w:val="single" w:sz="4" w:space="0" w:color="auto"/>
            </w:tcBorders>
            <w:noWrap/>
          </w:tcPr>
          <w:p w14:paraId="17A9ADCE"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5 400,00</w:t>
            </w:r>
          </w:p>
        </w:tc>
        <w:tc>
          <w:tcPr>
            <w:tcW w:w="1418" w:type="dxa"/>
            <w:tcBorders>
              <w:top w:val="single" w:sz="4" w:space="0" w:color="auto"/>
              <w:left w:val="single" w:sz="4" w:space="0" w:color="auto"/>
              <w:bottom w:val="single" w:sz="4" w:space="0" w:color="auto"/>
              <w:right w:val="single" w:sz="4" w:space="0" w:color="auto"/>
            </w:tcBorders>
            <w:noWrap/>
          </w:tcPr>
          <w:p w14:paraId="637D76D9"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5F4559D1"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5 400,00</w:t>
            </w:r>
          </w:p>
        </w:tc>
      </w:tr>
      <w:tr w:rsidR="00862C6F" w:rsidRPr="00236418" w14:paraId="279E823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724F1363"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5EA7A9D6"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Ghana</w:t>
            </w:r>
          </w:p>
        </w:tc>
        <w:tc>
          <w:tcPr>
            <w:tcW w:w="2276" w:type="dxa"/>
            <w:tcBorders>
              <w:top w:val="single" w:sz="4" w:space="0" w:color="auto"/>
              <w:left w:val="single" w:sz="4" w:space="0" w:color="auto"/>
              <w:bottom w:val="single" w:sz="4" w:space="0" w:color="auto"/>
              <w:right w:val="single" w:sz="4" w:space="0" w:color="auto"/>
            </w:tcBorders>
            <w:noWrap/>
          </w:tcPr>
          <w:p w14:paraId="612B64A9"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Tawo Mobile Technologies</w:t>
            </w:r>
          </w:p>
        </w:tc>
        <w:tc>
          <w:tcPr>
            <w:tcW w:w="1844" w:type="dxa"/>
            <w:tcBorders>
              <w:top w:val="single" w:sz="4" w:space="0" w:color="auto"/>
              <w:left w:val="single" w:sz="4" w:space="0" w:color="auto"/>
              <w:bottom w:val="single" w:sz="4" w:space="0" w:color="auto"/>
              <w:right w:val="single" w:sz="4" w:space="0" w:color="auto"/>
            </w:tcBorders>
            <w:noWrap/>
          </w:tcPr>
          <w:p w14:paraId="58C19324"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1 000,00</w:t>
            </w:r>
          </w:p>
        </w:tc>
        <w:tc>
          <w:tcPr>
            <w:tcW w:w="1418" w:type="dxa"/>
            <w:tcBorders>
              <w:top w:val="single" w:sz="4" w:space="0" w:color="auto"/>
              <w:left w:val="single" w:sz="4" w:space="0" w:color="auto"/>
              <w:bottom w:val="single" w:sz="4" w:space="0" w:color="auto"/>
              <w:right w:val="single" w:sz="4" w:space="0" w:color="auto"/>
            </w:tcBorders>
            <w:noWrap/>
          </w:tcPr>
          <w:p w14:paraId="1536AD90"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6DAD2CD9"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1 000,00</w:t>
            </w:r>
          </w:p>
        </w:tc>
      </w:tr>
      <w:tr w:rsidR="00862C6F" w:rsidRPr="00236418" w14:paraId="25521938"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06F705F3"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4DAC0010"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Inde</w:t>
            </w:r>
          </w:p>
        </w:tc>
        <w:tc>
          <w:tcPr>
            <w:tcW w:w="2276" w:type="dxa"/>
            <w:tcBorders>
              <w:top w:val="single" w:sz="4" w:space="0" w:color="auto"/>
              <w:left w:val="single" w:sz="4" w:space="0" w:color="auto"/>
              <w:bottom w:val="single" w:sz="4" w:space="0" w:color="auto"/>
              <w:right w:val="single" w:sz="4" w:space="0" w:color="auto"/>
            </w:tcBorders>
            <w:noWrap/>
          </w:tcPr>
          <w:p w14:paraId="5A8B35E9"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Telecommunication Headsets India Ltd.</w:t>
            </w:r>
          </w:p>
        </w:tc>
        <w:tc>
          <w:tcPr>
            <w:tcW w:w="1844" w:type="dxa"/>
            <w:tcBorders>
              <w:top w:val="single" w:sz="4" w:space="0" w:color="auto"/>
              <w:left w:val="single" w:sz="4" w:space="0" w:color="auto"/>
              <w:bottom w:val="single" w:sz="4" w:space="0" w:color="auto"/>
              <w:right w:val="single" w:sz="4" w:space="0" w:color="auto"/>
            </w:tcBorders>
            <w:noWrap/>
          </w:tcPr>
          <w:p w14:paraId="29A00C27"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800,00</w:t>
            </w:r>
          </w:p>
        </w:tc>
        <w:tc>
          <w:tcPr>
            <w:tcW w:w="1418" w:type="dxa"/>
            <w:tcBorders>
              <w:top w:val="single" w:sz="4" w:space="0" w:color="auto"/>
              <w:left w:val="single" w:sz="4" w:space="0" w:color="auto"/>
              <w:bottom w:val="single" w:sz="4" w:space="0" w:color="auto"/>
              <w:right w:val="single" w:sz="4" w:space="0" w:color="auto"/>
            </w:tcBorders>
            <w:noWrap/>
          </w:tcPr>
          <w:p w14:paraId="7BFF0C35"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02843782"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800,00</w:t>
            </w:r>
          </w:p>
        </w:tc>
      </w:tr>
      <w:tr w:rsidR="00862C6F" w:rsidRPr="00236418" w14:paraId="43B5C65E"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599E4C84"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TLC 2019</w:t>
            </w:r>
          </w:p>
        </w:tc>
        <w:tc>
          <w:tcPr>
            <w:tcW w:w="1553" w:type="dxa"/>
            <w:tcBorders>
              <w:top w:val="single" w:sz="4" w:space="0" w:color="auto"/>
              <w:left w:val="single" w:sz="4" w:space="0" w:color="auto"/>
              <w:bottom w:val="single" w:sz="4" w:space="0" w:color="auto"/>
              <w:right w:val="single" w:sz="4" w:space="0" w:color="auto"/>
            </w:tcBorders>
            <w:noWrap/>
          </w:tcPr>
          <w:p w14:paraId="28EA4643"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Hongrie</w:t>
            </w:r>
          </w:p>
        </w:tc>
        <w:tc>
          <w:tcPr>
            <w:tcW w:w="2276" w:type="dxa"/>
            <w:tcBorders>
              <w:top w:val="single" w:sz="4" w:space="0" w:color="auto"/>
              <w:left w:val="single" w:sz="4" w:space="0" w:color="auto"/>
              <w:bottom w:val="single" w:sz="4" w:space="0" w:color="auto"/>
              <w:right w:val="single" w:sz="4" w:space="0" w:color="auto"/>
            </w:tcBorders>
            <w:noWrap/>
          </w:tcPr>
          <w:p w14:paraId="3E9637CE"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r w:rsidRPr="00236418">
              <w:rPr>
                <w:sz w:val="20"/>
              </w:rPr>
              <w:t>The Digital Future Foundation</w:t>
            </w:r>
          </w:p>
        </w:tc>
        <w:tc>
          <w:tcPr>
            <w:tcW w:w="1844" w:type="dxa"/>
            <w:tcBorders>
              <w:top w:val="single" w:sz="4" w:space="0" w:color="auto"/>
              <w:left w:val="single" w:sz="4" w:space="0" w:color="auto"/>
              <w:bottom w:val="single" w:sz="4" w:space="0" w:color="auto"/>
              <w:right w:val="single" w:sz="4" w:space="0" w:color="auto"/>
            </w:tcBorders>
            <w:noWrap/>
          </w:tcPr>
          <w:p w14:paraId="23E7ADE8"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48 000,00</w:t>
            </w:r>
          </w:p>
        </w:tc>
        <w:tc>
          <w:tcPr>
            <w:tcW w:w="1418" w:type="dxa"/>
            <w:tcBorders>
              <w:top w:val="single" w:sz="4" w:space="0" w:color="auto"/>
              <w:left w:val="single" w:sz="4" w:space="0" w:color="auto"/>
              <w:bottom w:val="single" w:sz="4" w:space="0" w:color="auto"/>
              <w:right w:val="single" w:sz="4" w:space="0" w:color="auto"/>
            </w:tcBorders>
            <w:noWrap/>
          </w:tcPr>
          <w:p w14:paraId="0A076F7B"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0,00</w:t>
            </w:r>
          </w:p>
        </w:tc>
        <w:tc>
          <w:tcPr>
            <w:tcW w:w="1419" w:type="dxa"/>
            <w:tcBorders>
              <w:top w:val="single" w:sz="4" w:space="0" w:color="auto"/>
              <w:left w:val="single" w:sz="4" w:space="0" w:color="auto"/>
              <w:bottom w:val="single" w:sz="4" w:space="0" w:color="auto"/>
              <w:right w:val="single" w:sz="4" w:space="0" w:color="auto"/>
            </w:tcBorders>
            <w:noWrap/>
          </w:tcPr>
          <w:p w14:paraId="5A4C7F20"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sz w:val="20"/>
              </w:rPr>
              <w:t>48 000,00</w:t>
            </w:r>
          </w:p>
        </w:tc>
      </w:tr>
      <w:tr w:rsidR="00862C6F" w:rsidRPr="00236418" w14:paraId="157F6E53" w14:textId="77777777" w:rsidTr="00620F53">
        <w:trPr>
          <w:trHeight w:val="300"/>
          <w:jc w:val="center"/>
        </w:trPr>
        <w:tc>
          <w:tcPr>
            <w:tcW w:w="1277" w:type="dxa"/>
            <w:tcBorders>
              <w:left w:val="single" w:sz="4" w:space="0" w:color="auto"/>
              <w:bottom w:val="single" w:sz="4" w:space="0" w:color="auto"/>
              <w:right w:val="single" w:sz="4" w:space="0" w:color="auto"/>
            </w:tcBorders>
            <w:shd w:val="clear" w:color="auto" w:fill="auto"/>
            <w:noWrap/>
          </w:tcPr>
          <w:p w14:paraId="2F87D286" w14:textId="77777777" w:rsidR="00862C6F" w:rsidRPr="00236418" w:rsidRDefault="00862C6F" w:rsidP="00862C6F">
            <w:pPr>
              <w:tabs>
                <w:tab w:val="clear" w:pos="567"/>
                <w:tab w:val="clear" w:pos="1134"/>
                <w:tab w:val="clear" w:pos="1701"/>
                <w:tab w:val="clear" w:pos="2268"/>
                <w:tab w:val="clear" w:pos="2835"/>
              </w:tabs>
              <w:spacing w:before="0"/>
              <w:jc w:val="center"/>
              <w:rPr>
                <w:b/>
                <w:bCs/>
                <w:sz w:val="20"/>
                <w:lang w:eastAsia="zh-CN"/>
              </w:rPr>
            </w:pPr>
          </w:p>
        </w:tc>
        <w:tc>
          <w:tcPr>
            <w:tcW w:w="1553" w:type="dxa"/>
            <w:tcBorders>
              <w:left w:val="nil"/>
              <w:bottom w:val="single" w:sz="4" w:space="0" w:color="auto"/>
              <w:right w:val="single" w:sz="4" w:space="0" w:color="auto"/>
            </w:tcBorders>
            <w:shd w:val="clear" w:color="auto" w:fill="auto"/>
            <w:noWrap/>
          </w:tcPr>
          <w:p w14:paraId="08A4385F"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p>
        </w:tc>
        <w:tc>
          <w:tcPr>
            <w:tcW w:w="2276" w:type="dxa"/>
            <w:tcBorders>
              <w:left w:val="nil"/>
              <w:bottom w:val="single" w:sz="4" w:space="0" w:color="auto"/>
              <w:right w:val="single" w:sz="4" w:space="0" w:color="auto"/>
            </w:tcBorders>
            <w:shd w:val="clear" w:color="auto" w:fill="auto"/>
            <w:noWrap/>
          </w:tcPr>
          <w:p w14:paraId="1F135840"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p>
        </w:tc>
        <w:tc>
          <w:tcPr>
            <w:tcW w:w="1844" w:type="dxa"/>
            <w:tcBorders>
              <w:left w:val="nil"/>
              <w:bottom w:val="single" w:sz="4" w:space="0" w:color="auto"/>
              <w:right w:val="single" w:sz="4" w:space="0" w:color="auto"/>
            </w:tcBorders>
            <w:shd w:val="clear" w:color="auto" w:fill="auto"/>
            <w:noWrap/>
          </w:tcPr>
          <w:p w14:paraId="442D4A85"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8" w:type="dxa"/>
            <w:tcBorders>
              <w:left w:val="nil"/>
              <w:bottom w:val="single" w:sz="4" w:space="0" w:color="auto"/>
              <w:right w:val="single" w:sz="4" w:space="0" w:color="auto"/>
            </w:tcBorders>
            <w:shd w:val="clear" w:color="auto" w:fill="auto"/>
            <w:noWrap/>
          </w:tcPr>
          <w:p w14:paraId="18909DCC"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9" w:type="dxa"/>
            <w:tcBorders>
              <w:left w:val="nil"/>
              <w:bottom w:val="single" w:sz="4" w:space="0" w:color="auto"/>
              <w:right w:val="single" w:sz="4" w:space="0" w:color="auto"/>
            </w:tcBorders>
            <w:shd w:val="clear" w:color="auto" w:fill="auto"/>
            <w:noWrap/>
          </w:tcPr>
          <w:p w14:paraId="7F02478A"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r>
      <w:tr w:rsidR="00862C6F" w:rsidRPr="00236418" w14:paraId="4AD65FC4"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54B81CED" w14:textId="77777777" w:rsidR="00862C6F" w:rsidRPr="00236418" w:rsidRDefault="00862C6F" w:rsidP="00862C6F">
            <w:pPr>
              <w:tabs>
                <w:tab w:val="clear" w:pos="567"/>
                <w:tab w:val="clear" w:pos="1134"/>
                <w:tab w:val="clear" w:pos="1701"/>
                <w:tab w:val="clear" w:pos="2268"/>
                <w:tab w:val="clear" w:pos="2835"/>
              </w:tabs>
              <w:spacing w:before="0"/>
              <w:rPr>
                <w:sz w:val="20"/>
                <w:lang w:eastAsia="zh-CN"/>
              </w:rPr>
            </w:pPr>
            <w:r w:rsidRPr="00236418">
              <w:rPr>
                <w:sz w:val="20"/>
                <w:lang w:eastAsia="zh-CN"/>
              </w:rPr>
              <w:t>TLC 2019</w:t>
            </w:r>
          </w:p>
        </w:tc>
        <w:tc>
          <w:tcPr>
            <w:tcW w:w="1553" w:type="dxa"/>
            <w:tcBorders>
              <w:top w:val="single" w:sz="4" w:space="0" w:color="auto"/>
              <w:left w:val="nil"/>
              <w:bottom w:val="single" w:sz="4" w:space="0" w:color="auto"/>
              <w:right w:val="single" w:sz="4" w:space="0" w:color="auto"/>
            </w:tcBorders>
            <w:shd w:val="clear" w:color="auto" w:fill="auto"/>
            <w:noWrap/>
          </w:tcPr>
          <w:p w14:paraId="363A8179"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p>
        </w:tc>
        <w:tc>
          <w:tcPr>
            <w:tcW w:w="2276" w:type="dxa"/>
            <w:tcBorders>
              <w:top w:val="single" w:sz="4" w:space="0" w:color="auto"/>
              <w:left w:val="nil"/>
              <w:bottom w:val="single" w:sz="4" w:space="0" w:color="auto"/>
              <w:right w:val="single" w:sz="4" w:space="0" w:color="auto"/>
            </w:tcBorders>
            <w:shd w:val="clear" w:color="auto" w:fill="auto"/>
            <w:noWrap/>
          </w:tcPr>
          <w:p w14:paraId="7D85BC78" w14:textId="77777777" w:rsidR="00862C6F" w:rsidRPr="00236418" w:rsidRDefault="00862C6F" w:rsidP="00862C6F">
            <w:pPr>
              <w:tabs>
                <w:tab w:val="clear" w:pos="567"/>
                <w:tab w:val="clear" w:pos="1134"/>
                <w:tab w:val="clear" w:pos="1701"/>
                <w:tab w:val="clear" w:pos="2268"/>
                <w:tab w:val="clear" w:pos="2835"/>
              </w:tabs>
              <w:spacing w:before="0"/>
              <w:rPr>
                <w:b/>
                <w:bCs/>
                <w:sz w:val="20"/>
                <w:lang w:eastAsia="zh-CN"/>
              </w:rPr>
            </w:pPr>
          </w:p>
        </w:tc>
        <w:tc>
          <w:tcPr>
            <w:tcW w:w="1844" w:type="dxa"/>
            <w:tcBorders>
              <w:top w:val="single" w:sz="4" w:space="0" w:color="auto"/>
              <w:left w:val="nil"/>
              <w:bottom w:val="single" w:sz="4" w:space="0" w:color="auto"/>
              <w:right w:val="single" w:sz="4" w:space="0" w:color="auto"/>
            </w:tcBorders>
            <w:shd w:val="clear" w:color="auto" w:fill="auto"/>
            <w:noWrap/>
          </w:tcPr>
          <w:p w14:paraId="0E9C4CAB"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1D360661"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p>
        </w:tc>
        <w:tc>
          <w:tcPr>
            <w:tcW w:w="1419" w:type="dxa"/>
            <w:tcBorders>
              <w:top w:val="single" w:sz="4" w:space="0" w:color="auto"/>
              <w:left w:val="nil"/>
              <w:bottom w:val="single" w:sz="4" w:space="0" w:color="auto"/>
              <w:right w:val="single" w:sz="4" w:space="0" w:color="auto"/>
            </w:tcBorders>
            <w:shd w:val="clear" w:color="auto" w:fill="auto"/>
            <w:noWrap/>
          </w:tcPr>
          <w:p w14:paraId="3C9F6AF0" w14:textId="77777777" w:rsidR="00862C6F" w:rsidRPr="00236418" w:rsidRDefault="00862C6F" w:rsidP="00862C6F">
            <w:pPr>
              <w:tabs>
                <w:tab w:val="clear" w:pos="567"/>
                <w:tab w:val="clear" w:pos="1134"/>
                <w:tab w:val="clear" w:pos="1701"/>
                <w:tab w:val="clear" w:pos="2268"/>
                <w:tab w:val="clear" w:pos="2835"/>
              </w:tabs>
              <w:spacing w:before="0"/>
              <w:jc w:val="right"/>
              <w:rPr>
                <w:b/>
                <w:bCs/>
                <w:sz w:val="20"/>
                <w:lang w:eastAsia="zh-CN"/>
              </w:rPr>
            </w:pPr>
            <w:r w:rsidRPr="00236418">
              <w:rPr>
                <w:b/>
                <w:bCs/>
                <w:sz w:val="20"/>
                <w:lang w:eastAsia="zh-CN"/>
              </w:rPr>
              <w:t>61 600,00</w:t>
            </w:r>
          </w:p>
        </w:tc>
      </w:tr>
    </w:tbl>
    <w:p w14:paraId="1D24AF3B" w14:textId="77777777" w:rsidR="00862C6F" w:rsidRPr="00236418" w:rsidRDefault="00862C6F" w:rsidP="00862C6F">
      <w:pPr>
        <w:spacing w:before="0"/>
      </w:pPr>
    </w:p>
    <w:tbl>
      <w:tblPr>
        <w:tblW w:w="4039" w:type="dxa"/>
        <w:tblInd w:w="-70" w:type="dxa"/>
        <w:tblLayout w:type="fixed"/>
        <w:tblLook w:val="04A0" w:firstRow="1" w:lastRow="0" w:firstColumn="1" w:lastColumn="0" w:noHBand="0" w:noVBand="1"/>
        <w:tblCaption w:val="E"/>
      </w:tblPr>
      <w:tblGrid>
        <w:gridCol w:w="2842"/>
        <w:gridCol w:w="1197"/>
      </w:tblGrid>
      <w:tr w:rsidR="00862C6F" w:rsidRPr="00236418" w14:paraId="67E4ED24" w14:textId="77777777" w:rsidTr="00620F53">
        <w:trPr>
          <w:trHeight w:val="300"/>
        </w:trPr>
        <w:tc>
          <w:tcPr>
            <w:tcW w:w="2842" w:type="dxa"/>
            <w:shd w:val="clear" w:color="auto" w:fill="auto"/>
            <w:noWrap/>
          </w:tcPr>
          <w:p w14:paraId="236339C9" w14:textId="77777777" w:rsidR="00862C6F" w:rsidRPr="00236418" w:rsidRDefault="00862C6F" w:rsidP="00862C6F">
            <w:pPr>
              <w:tabs>
                <w:tab w:val="clear" w:pos="567"/>
                <w:tab w:val="clear" w:pos="1134"/>
                <w:tab w:val="clear" w:pos="1701"/>
                <w:tab w:val="clear" w:pos="2268"/>
                <w:tab w:val="clear" w:pos="2835"/>
              </w:tabs>
              <w:spacing w:before="60" w:after="60"/>
              <w:rPr>
                <w:sz w:val="20"/>
                <w:lang w:eastAsia="zh-CN"/>
              </w:rPr>
            </w:pPr>
            <w:r w:rsidRPr="00236418">
              <w:rPr>
                <w:sz w:val="20"/>
                <w:lang w:eastAsia="zh-CN"/>
              </w:rPr>
              <w:t>Débiteurs ITU TELECOM World</w:t>
            </w:r>
          </w:p>
        </w:tc>
        <w:tc>
          <w:tcPr>
            <w:tcW w:w="1197" w:type="dxa"/>
            <w:shd w:val="clear" w:color="auto" w:fill="auto"/>
            <w:noWrap/>
            <w:vAlign w:val="center"/>
          </w:tcPr>
          <w:p w14:paraId="30AC9535"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lang w:eastAsia="zh-CN"/>
              </w:rPr>
            </w:pPr>
            <w:r w:rsidRPr="00236418">
              <w:rPr>
                <w:b/>
                <w:bCs/>
                <w:sz w:val="20"/>
                <w:lang w:eastAsia="zh-CN"/>
              </w:rPr>
              <w:t>561 525,91</w:t>
            </w:r>
          </w:p>
        </w:tc>
      </w:tr>
      <w:tr w:rsidR="00862C6F" w:rsidRPr="00236418" w14:paraId="1C0CFAE9" w14:textId="77777777" w:rsidTr="00620F53">
        <w:trPr>
          <w:trHeight w:val="300"/>
        </w:trPr>
        <w:tc>
          <w:tcPr>
            <w:tcW w:w="2842" w:type="dxa"/>
            <w:shd w:val="clear" w:color="auto" w:fill="auto"/>
            <w:noWrap/>
          </w:tcPr>
          <w:p w14:paraId="546A6494" w14:textId="77777777" w:rsidR="00862C6F" w:rsidRPr="00236418" w:rsidRDefault="00862C6F" w:rsidP="00862C6F">
            <w:pPr>
              <w:tabs>
                <w:tab w:val="clear" w:pos="567"/>
                <w:tab w:val="clear" w:pos="1134"/>
                <w:tab w:val="clear" w:pos="1701"/>
                <w:tab w:val="clear" w:pos="2268"/>
                <w:tab w:val="clear" w:pos="2835"/>
              </w:tabs>
              <w:spacing w:before="60" w:after="60"/>
              <w:rPr>
                <w:sz w:val="20"/>
                <w:lang w:eastAsia="zh-CN"/>
              </w:rPr>
            </w:pPr>
            <w:r w:rsidRPr="00236418">
              <w:rPr>
                <w:sz w:val="20"/>
                <w:lang w:eastAsia="zh-CN"/>
              </w:rPr>
              <w:t>Débiteurs ITU TELECOM Africa</w:t>
            </w:r>
          </w:p>
        </w:tc>
        <w:tc>
          <w:tcPr>
            <w:tcW w:w="1197" w:type="dxa"/>
            <w:shd w:val="clear" w:color="auto" w:fill="auto"/>
            <w:noWrap/>
            <w:vAlign w:val="center"/>
          </w:tcPr>
          <w:p w14:paraId="10A16E31"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lang w:eastAsia="zh-CN"/>
              </w:rPr>
            </w:pPr>
            <w:r w:rsidRPr="00236418">
              <w:rPr>
                <w:b/>
                <w:bCs/>
                <w:sz w:val="20"/>
                <w:lang w:eastAsia="zh-CN"/>
              </w:rPr>
              <w:t>40 480,00</w:t>
            </w:r>
          </w:p>
        </w:tc>
      </w:tr>
      <w:tr w:rsidR="00862C6F" w:rsidRPr="00236418" w14:paraId="549C18C0" w14:textId="77777777" w:rsidTr="00620F53">
        <w:trPr>
          <w:trHeight w:val="300"/>
        </w:trPr>
        <w:tc>
          <w:tcPr>
            <w:tcW w:w="2842" w:type="dxa"/>
            <w:shd w:val="clear" w:color="auto" w:fill="auto"/>
            <w:noWrap/>
          </w:tcPr>
          <w:p w14:paraId="39027D75" w14:textId="77777777" w:rsidR="00862C6F" w:rsidRPr="00236418" w:rsidRDefault="00862C6F" w:rsidP="00862C6F">
            <w:pPr>
              <w:tabs>
                <w:tab w:val="clear" w:pos="567"/>
                <w:tab w:val="clear" w:pos="1134"/>
                <w:tab w:val="clear" w:pos="1701"/>
                <w:tab w:val="clear" w:pos="2268"/>
                <w:tab w:val="clear" w:pos="2835"/>
              </w:tabs>
              <w:spacing w:before="60" w:after="60"/>
              <w:rPr>
                <w:sz w:val="20"/>
                <w:lang w:eastAsia="zh-CN"/>
              </w:rPr>
            </w:pPr>
            <w:r w:rsidRPr="00236418">
              <w:rPr>
                <w:b/>
                <w:bCs/>
                <w:sz w:val="20"/>
                <w:lang w:eastAsia="zh-CN"/>
              </w:rPr>
              <w:t>Total débiteurs</w:t>
            </w:r>
          </w:p>
        </w:tc>
        <w:tc>
          <w:tcPr>
            <w:tcW w:w="1197" w:type="dxa"/>
            <w:shd w:val="clear" w:color="auto" w:fill="auto"/>
            <w:noWrap/>
            <w:vAlign w:val="center"/>
          </w:tcPr>
          <w:p w14:paraId="2F93CFEA"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0"/>
                <w:lang w:eastAsia="zh-CN"/>
              </w:rPr>
            </w:pPr>
            <w:r w:rsidRPr="00236418">
              <w:rPr>
                <w:b/>
                <w:bCs/>
                <w:sz w:val="20"/>
                <w:lang w:eastAsia="zh-CN"/>
              </w:rPr>
              <w:t>602 005,91</w:t>
            </w:r>
          </w:p>
        </w:tc>
      </w:tr>
    </w:tbl>
    <w:p w14:paraId="036E684D" w14:textId="77777777" w:rsidR="00862C6F" w:rsidRPr="00236418" w:rsidRDefault="00862C6F" w:rsidP="00862C6F">
      <w:pPr>
        <w:spacing w:before="720"/>
        <w:jc w:val="center"/>
        <w:rPr>
          <w:caps/>
          <w:sz w:val="2"/>
          <w:szCs w:val="2"/>
        </w:rPr>
      </w:pPr>
      <w:bookmarkStart w:id="3003" w:name="_Toc305776656"/>
      <w:bookmarkStart w:id="3004" w:name="_Toc357006014"/>
      <w:bookmarkStart w:id="3005" w:name="_Toc452138681"/>
      <w:bookmarkStart w:id="3006" w:name="_Toc452139130"/>
      <w:bookmarkStart w:id="3007" w:name="_Toc482888059"/>
      <w:bookmarkStart w:id="3008" w:name="_Toc482888402"/>
      <w:bookmarkStart w:id="3009" w:name="_Toc511736697"/>
      <w:bookmarkStart w:id="3010" w:name="_Toc10450825"/>
    </w:p>
    <w:p w14:paraId="0861DA76" w14:textId="77777777" w:rsidR="004B4070" w:rsidRDefault="004B4070" w:rsidP="00CC3DB9">
      <w:pPr>
        <w:pStyle w:val="AnnexNo"/>
      </w:pPr>
      <w:bookmarkStart w:id="3011" w:name="_Toc41815011"/>
      <w:r>
        <w:br w:type="page"/>
      </w:r>
    </w:p>
    <w:p w14:paraId="3DA410B0" w14:textId="4609FDFE" w:rsidR="00862C6F" w:rsidRPr="00236418" w:rsidRDefault="00862C6F" w:rsidP="00CC3DB9">
      <w:pPr>
        <w:pStyle w:val="AnnexNo"/>
      </w:pPr>
      <w:r w:rsidRPr="00236418">
        <w:lastRenderedPageBreak/>
        <w:t xml:space="preserve">ANNEXE </w:t>
      </w:r>
      <w:bookmarkEnd w:id="3003"/>
      <w:bookmarkEnd w:id="3004"/>
      <w:bookmarkEnd w:id="3005"/>
      <w:bookmarkEnd w:id="3006"/>
      <w:bookmarkEnd w:id="3007"/>
      <w:bookmarkEnd w:id="3008"/>
      <w:bookmarkEnd w:id="3009"/>
      <w:r w:rsidRPr="00236418">
        <w:t>E</w:t>
      </w:r>
      <w:bookmarkEnd w:id="3010"/>
      <w:bookmarkEnd w:id="3011"/>
    </w:p>
    <w:p w14:paraId="5A210B0D" w14:textId="77777777" w:rsidR="00862C6F" w:rsidRPr="00236418" w:rsidRDefault="00862C6F" w:rsidP="00862C6F">
      <w:pPr>
        <w:spacing w:before="240" w:after="360"/>
        <w:jc w:val="center"/>
        <w:rPr>
          <w:b/>
          <w:sz w:val="28"/>
        </w:rPr>
      </w:pPr>
      <w:r w:rsidRPr="00236418">
        <w:rPr>
          <w:b/>
          <w:sz w:val="28"/>
        </w:rPr>
        <w:t>Liste des sponsors n'ayant pas réglé le solde dû au 31 décembre 2019</w:t>
      </w:r>
    </w:p>
    <w:tbl>
      <w:tblPr>
        <w:tblW w:w="10403" w:type="dxa"/>
        <w:jc w:val="center"/>
        <w:tblLook w:val="04A0" w:firstRow="1" w:lastRow="0" w:firstColumn="1" w:lastColumn="0" w:noHBand="0" w:noVBand="1"/>
      </w:tblPr>
      <w:tblGrid>
        <w:gridCol w:w="1389"/>
        <w:gridCol w:w="1583"/>
        <w:gridCol w:w="1559"/>
        <w:gridCol w:w="1560"/>
        <w:gridCol w:w="823"/>
        <w:gridCol w:w="1283"/>
        <w:gridCol w:w="823"/>
        <w:gridCol w:w="1383"/>
      </w:tblGrid>
      <w:tr w:rsidR="00862C6F" w:rsidRPr="00236418" w14:paraId="07DA19D6" w14:textId="77777777" w:rsidTr="00620F53">
        <w:trPr>
          <w:trHeight w:val="376"/>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hideMark/>
          </w:tcPr>
          <w:p w14:paraId="40B1C6C4"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bookmarkStart w:id="3012" w:name="_MON_1402743523"/>
            <w:bookmarkStart w:id="3013" w:name="_MON_1493037664"/>
            <w:bookmarkEnd w:id="3012"/>
            <w:bookmarkEnd w:id="3013"/>
            <w:r w:rsidRPr="00236418">
              <w:rPr>
                <w:b/>
                <w:sz w:val="22"/>
                <w:lang w:eastAsia="zh-CN"/>
              </w:rPr>
              <w:t>Élément WBS</w:t>
            </w:r>
          </w:p>
        </w:tc>
        <w:tc>
          <w:tcPr>
            <w:tcW w:w="1583" w:type="dxa"/>
            <w:tcBorders>
              <w:top w:val="single" w:sz="4" w:space="0" w:color="auto"/>
              <w:left w:val="nil"/>
              <w:bottom w:val="single" w:sz="4" w:space="0" w:color="auto"/>
              <w:right w:val="single" w:sz="4" w:space="0" w:color="auto"/>
            </w:tcBorders>
            <w:shd w:val="clear" w:color="auto" w:fill="auto"/>
            <w:noWrap/>
            <w:hideMark/>
          </w:tcPr>
          <w:p w14:paraId="7F232D42"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r w:rsidRPr="00236418">
              <w:rPr>
                <w:b/>
                <w:sz w:val="22"/>
                <w:lang w:eastAsia="zh-CN"/>
              </w:rPr>
              <w:t>Pays</w:t>
            </w:r>
          </w:p>
        </w:tc>
        <w:tc>
          <w:tcPr>
            <w:tcW w:w="1559" w:type="dxa"/>
            <w:tcBorders>
              <w:top w:val="single" w:sz="4" w:space="0" w:color="auto"/>
              <w:left w:val="nil"/>
              <w:bottom w:val="single" w:sz="4" w:space="0" w:color="auto"/>
              <w:right w:val="single" w:sz="4" w:space="0" w:color="auto"/>
            </w:tcBorders>
            <w:shd w:val="clear" w:color="auto" w:fill="auto"/>
            <w:noWrap/>
            <w:hideMark/>
          </w:tcPr>
          <w:p w14:paraId="038C37F0"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r w:rsidRPr="00236418">
              <w:rPr>
                <w:b/>
                <w:sz w:val="22"/>
                <w:lang w:eastAsia="zh-CN"/>
              </w:rPr>
              <w:t>Entité</w:t>
            </w:r>
          </w:p>
        </w:tc>
        <w:tc>
          <w:tcPr>
            <w:tcW w:w="1560" w:type="dxa"/>
            <w:tcBorders>
              <w:top w:val="single" w:sz="4" w:space="0" w:color="auto"/>
              <w:left w:val="nil"/>
              <w:bottom w:val="single" w:sz="4" w:space="0" w:color="auto"/>
              <w:right w:val="single" w:sz="4" w:space="0" w:color="auto"/>
            </w:tcBorders>
            <w:shd w:val="clear" w:color="auto" w:fill="auto"/>
            <w:noWrap/>
            <w:hideMark/>
          </w:tcPr>
          <w:p w14:paraId="354AA883"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r w:rsidRPr="00236418">
              <w:rPr>
                <w:b/>
                <w:sz w:val="22"/>
                <w:lang w:eastAsia="zh-CN"/>
              </w:rPr>
              <w:t>Montant facturé</w:t>
            </w:r>
          </w:p>
        </w:tc>
        <w:tc>
          <w:tcPr>
            <w:tcW w:w="823" w:type="dxa"/>
            <w:tcBorders>
              <w:top w:val="single" w:sz="4" w:space="0" w:color="auto"/>
              <w:left w:val="nil"/>
              <w:bottom w:val="single" w:sz="4" w:space="0" w:color="auto"/>
              <w:right w:val="single" w:sz="4" w:space="0" w:color="auto"/>
            </w:tcBorders>
            <w:shd w:val="clear" w:color="auto" w:fill="auto"/>
            <w:noWrap/>
            <w:hideMark/>
          </w:tcPr>
          <w:p w14:paraId="0C2F7785"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r w:rsidRPr="00236418">
              <w:rPr>
                <w:b/>
                <w:sz w:val="22"/>
                <w:lang w:eastAsia="zh-CN"/>
              </w:rPr>
              <w:t>Devise</w:t>
            </w:r>
          </w:p>
        </w:tc>
        <w:tc>
          <w:tcPr>
            <w:tcW w:w="1283" w:type="dxa"/>
            <w:tcBorders>
              <w:top w:val="single" w:sz="4" w:space="0" w:color="auto"/>
              <w:left w:val="nil"/>
              <w:bottom w:val="single" w:sz="4" w:space="0" w:color="auto"/>
              <w:right w:val="single" w:sz="4" w:space="0" w:color="auto"/>
            </w:tcBorders>
            <w:shd w:val="clear" w:color="auto" w:fill="auto"/>
            <w:noWrap/>
            <w:hideMark/>
          </w:tcPr>
          <w:p w14:paraId="1408D933"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r w:rsidRPr="00236418">
              <w:rPr>
                <w:b/>
                <w:sz w:val="22"/>
                <w:lang w:eastAsia="zh-CN"/>
              </w:rPr>
              <w:t>Solde dû</w:t>
            </w:r>
          </w:p>
        </w:tc>
        <w:tc>
          <w:tcPr>
            <w:tcW w:w="823" w:type="dxa"/>
            <w:tcBorders>
              <w:top w:val="single" w:sz="4" w:space="0" w:color="auto"/>
              <w:left w:val="nil"/>
              <w:bottom w:val="single" w:sz="4" w:space="0" w:color="auto"/>
              <w:right w:val="single" w:sz="4" w:space="0" w:color="auto"/>
            </w:tcBorders>
            <w:shd w:val="clear" w:color="auto" w:fill="auto"/>
            <w:noWrap/>
            <w:hideMark/>
          </w:tcPr>
          <w:p w14:paraId="32812FA0"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r w:rsidRPr="00236418">
              <w:rPr>
                <w:b/>
                <w:sz w:val="22"/>
                <w:lang w:eastAsia="zh-CN"/>
              </w:rPr>
              <w:t>Devise</w:t>
            </w:r>
          </w:p>
        </w:tc>
        <w:tc>
          <w:tcPr>
            <w:tcW w:w="1383" w:type="dxa"/>
            <w:tcBorders>
              <w:top w:val="single" w:sz="4" w:space="0" w:color="auto"/>
              <w:left w:val="nil"/>
              <w:bottom w:val="single" w:sz="4" w:space="0" w:color="auto"/>
              <w:right w:val="single" w:sz="4" w:space="0" w:color="auto"/>
            </w:tcBorders>
            <w:shd w:val="clear" w:color="auto" w:fill="auto"/>
            <w:noWrap/>
            <w:hideMark/>
          </w:tcPr>
          <w:p w14:paraId="210CEC83" w14:textId="77777777" w:rsidR="00862C6F" w:rsidRPr="00236418" w:rsidRDefault="00862C6F" w:rsidP="00862C6F">
            <w:pPr>
              <w:tabs>
                <w:tab w:val="clear" w:pos="567"/>
                <w:tab w:val="clear" w:pos="1134"/>
                <w:tab w:val="clear" w:pos="1701"/>
                <w:tab w:val="clear" w:pos="2268"/>
                <w:tab w:val="clear" w:pos="2835"/>
              </w:tabs>
              <w:spacing w:before="0"/>
              <w:jc w:val="center"/>
              <w:rPr>
                <w:b/>
                <w:sz w:val="22"/>
                <w:lang w:eastAsia="zh-CN"/>
              </w:rPr>
            </w:pPr>
            <w:r w:rsidRPr="00236418">
              <w:rPr>
                <w:b/>
                <w:sz w:val="22"/>
                <w:lang w:eastAsia="zh-CN"/>
              </w:rPr>
              <w:t>Équivalent CHF</w:t>
            </w:r>
          </w:p>
        </w:tc>
      </w:tr>
      <w:tr w:rsidR="00862C6F" w:rsidRPr="00236418" w14:paraId="7B107881"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551DDBB7"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P.30063.1.13</w:t>
            </w:r>
          </w:p>
        </w:tc>
        <w:tc>
          <w:tcPr>
            <w:tcW w:w="1583" w:type="dxa"/>
            <w:tcBorders>
              <w:top w:val="nil"/>
              <w:left w:val="nil"/>
              <w:bottom w:val="single" w:sz="4" w:space="0" w:color="auto"/>
              <w:right w:val="single" w:sz="4" w:space="0" w:color="auto"/>
            </w:tcBorders>
            <w:noWrap/>
          </w:tcPr>
          <w:p w14:paraId="7582E56D"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rFonts w:asciiTheme="minorHAnsi" w:hAnsiTheme="minorHAnsi" w:cstheme="minorHAnsi"/>
                <w:sz w:val="22"/>
                <w:szCs w:val="22"/>
                <w:lang w:eastAsia="en-GB"/>
              </w:rPr>
              <w:t>République de Corée</w:t>
            </w:r>
          </w:p>
        </w:tc>
        <w:tc>
          <w:tcPr>
            <w:tcW w:w="1559" w:type="dxa"/>
            <w:tcBorders>
              <w:top w:val="nil"/>
              <w:left w:val="nil"/>
              <w:bottom w:val="single" w:sz="4" w:space="0" w:color="auto"/>
              <w:right w:val="single" w:sz="4" w:space="0" w:color="auto"/>
            </w:tcBorders>
            <w:noWrap/>
          </w:tcPr>
          <w:p w14:paraId="39A880A8"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eastAsia="zh-CN"/>
              </w:rPr>
            </w:pPr>
            <w:r w:rsidRPr="00236418">
              <w:rPr>
                <w:rFonts w:asciiTheme="minorHAnsi" w:eastAsia="Batang" w:hAnsiTheme="minorHAnsi" w:cstheme="minorHAnsi"/>
                <w:sz w:val="22"/>
                <w:szCs w:val="22"/>
                <w:lang w:eastAsia="en-GB"/>
              </w:rPr>
              <w:t>MIND AI</w:t>
            </w:r>
          </w:p>
        </w:tc>
        <w:tc>
          <w:tcPr>
            <w:tcW w:w="1560" w:type="dxa"/>
            <w:tcBorders>
              <w:top w:val="nil"/>
              <w:left w:val="nil"/>
              <w:bottom w:val="single" w:sz="4" w:space="0" w:color="auto"/>
              <w:right w:val="single" w:sz="4" w:space="0" w:color="auto"/>
            </w:tcBorders>
            <w:noWrap/>
          </w:tcPr>
          <w:p w14:paraId="105C82D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60 000 </w:t>
            </w:r>
          </w:p>
        </w:tc>
        <w:tc>
          <w:tcPr>
            <w:tcW w:w="823" w:type="dxa"/>
            <w:tcBorders>
              <w:top w:val="nil"/>
              <w:left w:val="nil"/>
              <w:bottom w:val="single" w:sz="4" w:space="0" w:color="auto"/>
              <w:right w:val="single" w:sz="4" w:space="0" w:color="auto"/>
            </w:tcBorders>
            <w:noWrap/>
          </w:tcPr>
          <w:p w14:paraId="4813B1AB"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CHF </w:t>
            </w:r>
          </w:p>
        </w:tc>
        <w:tc>
          <w:tcPr>
            <w:tcW w:w="1283" w:type="dxa"/>
            <w:tcBorders>
              <w:top w:val="nil"/>
              <w:left w:val="nil"/>
              <w:bottom w:val="single" w:sz="4" w:space="0" w:color="auto"/>
              <w:right w:val="single" w:sz="4" w:space="0" w:color="auto"/>
            </w:tcBorders>
            <w:noWrap/>
          </w:tcPr>
          <w:p w14:paraId="3693BED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60 000</w:t>
            </w:r>
          </w:p>
        </w:tc>
        <w:tc>
          <w:tcPr>
            <w:tcW w:w="823" w:type="dxa"/>
            <w:tcBorders>
              <w:top w:val="nil"/>
              <w:left w:val="nil"/>
              <w:bottom w:val="single" w:sz="4" w:space="0" w:color="auto"/>
              <w:right w:val="single" w:sz="4" w:space="0" w:color="auto"/>
            </w:tcBorders>
            <w:noWrap/>
          </w:tcPr>
          <w:p w14:paraId="5D0E2B01"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CHF </w:t>
            </w:r>
          </w:p>
        </w:tc>
        <w:tc>
          <w:tcPr>
            <w:tcW w:w="1383" w:type="dxa"/>
            <w:tcBorders>
              <w:top w:val="nil"/>
              <w:left w:val="nil"/>
              <w:bottom w:val="single" w:sz="4" w:space="0" w:color="auto"/>
              <w:right w:val="single" w:sz="4" w:space="0" w:color="auto"/>
            </w:tcBorders>
            <w:noWrap/>
          </w:tcPr>
          <w:p w14:paraId="0394B5D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60 000 </w:t>
            </w:r>
          </w:p>
        </w:tc>
      </w:tr>
      <w:tr w:rsidR="00862C6F" w:rsidRPr="00236418" w14:paraId="24399FF2"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41EBDBA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P.40646.1.01</w:t>
            </w:r>
          </w:p>
        </w:tc>
        <w:tc>
          <w:tcPr>
            <w:tcW w:w="1583" w:type="dxa"/>
            <w:tcBorders>
              <w:top w:val="nil"/>
              <w:left w:val="nil"/>
              <w:bottom w:val="single" w:sz="4" w:space="0" w:color="auto"/>
              <w:right w:val="single" w:sz="4" w:space="0" w:color="auto"/>
            </w:tcBorders>
            <w:noWrap/>
          </w:tcPr>
          <w:p w14:paraId="105794EE"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rFonts w:asciiTheme="minorHAnsi" w:hAnsiTheme="minorHAnsi" w:cstheme="minorHAnsi"/>
                <w:sz w:val="22"/>
                <w:szCs w:val="22"/>
                <w:lang w:eastAsia="en-GB"/>
              </w:rPr>
              <w:t>Cameroun</w:t>
            </w:r>
          </w:p>
        </w:tc>
        <w:tc>
          <w:tcPr>
            <w:tcW w:w="1559" w:type="dxa"/>
            <w:tcBorders>
              <w:top w:val="nil"/>
              <w:left w:val="nil"/>
              <w:bottom w:val="single" w:sz="4" w:space="0" w:color="auto"/>
              <w:right w:val="single" w:sz="4" w:space="0" w:color="auto"/>
            </w:tcBorders>
            <w:noWrap/>
          </w:tcPr>
          <w:p w14:paraId="0AF92576"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eastAsia="zh-CN"/>
              </w:rPr>
            </w:pPr>
            <w:r w:rsidRPr="00236418">
              <w:rPr>
                <w:rFonts w:asciiTheme="minorHAnsi" w:eastAsia="Batang" w:hAnsiTheme="minorHAnsi" w:cstheme="minorHAnsi"/>
                <w:sz w:val="22"/>
                <w:szCs w:val="22"/>
                <w:lang w:eastAsia="en-GB"/>
              </w:rPr>
              <w:t>ANTIC</w:t>
            </w:r>
          </w:p>
        </w:tc>
        <w:tc>
          <w:tcPr>
            <w:tcW w:w="1560" w:type="dxa"/>
            <w:tcBorders>
              <w:top w:val="nil"/>
              <w:left w:val="nil"/>
              <w:bottom w:val="single" w:sz="4" w:space="0" w:color="auto"/>
              <w:right w:val="single" w:sz="4" w:space="0" w:color="auto"/>
            </w:tcBorders>
            <w:noWrap/>
          </w:tcPr>
          <w:p w14:paraId="131EDFC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16 500 </w:t>
            </w:r>
          </w:p>
        </w:tc>
        <w:tc>
          <w:tcPr>
            <w:tcW w:w="823" w:type="dxa"/>
            <w:tcBorders>
              <w:top w:val="nil"/>
              <w:left w:val="nil"/>
              <w:bottom w:val="single" w:sz="4" w:space="0" w:color="auto"/>
              <w:right w:val="single" w:sz="4" w:space="0" w:color="auto"/>
            </w:tcBorders>
            <w:noWrap/>
          </w:tcPr>
          <w:p w14:paraId="227BD32D"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283" w:type="dxa"/>
            <w:tcBorders>
              <w:top w:val="nil"/>
              <w:left w:val="nil"/>
              <w:bottom w:val="single" w:sz="4" w:space="0" w:color="auto"/>
              <w:right w:val="single" w:sz="4" w:space="0" w:color="auto"/>
            </w:tcBorders>
            <w:noWrap/>
          </w:tcPr>
          <w:p w14:paraId="03611ED2"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16 500</w:t>
            </w:r>
          </w:p>
        </w:tc>
        <w:tc>
          <w:tcPr>
            <w:tcW w:w="823" w:type="dxa"/>
            <w:tcBorders>
              <w:top w:val="nil"/>
              <w:left w:val="nil"/>
              <w:bottom w:val="single" w:sz="4" w:space="0" w:color="auto"/>
              <w:right w:val="single" w:sz="4" w:space="0" w:color="auto"/>
            </w:tcBorders>
            <w:noWrap/>
          </w:tcPr>
          <w:p w14:paraId="3FE81DF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383" w:type="dxa"/>
            <w:tcBorders>
              <w:top w:val="nil"/>
              <w:left w:val="nil"/>
              <w:bottom w:val="single" w:sz="4" w:space="0" w:color="auto"/>
              <w:right w:val="single" w:sz="4" w:space="0" w:color="auto"/>
            </w:tcBorders>
            <w:noWrap/>
          </w:tcPr>
          <w:p w14:paraId="46D2E8C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16 121 </w:t>
            </w:r>
          </w:p>
        </w:tc>
      </w:tr>
      <w:tr w:rsidR="00862C6F" w:rsidRPr="00236418" w14:paraId="07963766"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51B9C57A"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P.40739.1.01</w:t>
            </w:r>
          </w:p>
        </w:tc>
        <w:tc>
          <w:tcPr>
            <w:tcW w:w="1583" w:type="dxa"/>
            <w:tcBorders>
              <w:top w:val="nil"/>
              <w:left w:val="nil"/>
              <w:bottom w:val="single" w:sz="4" w:space="0" w:color="auto"/>
              <w:right w:val="single" w:sz="4" w:space="0" w:color="auto"/>
            </w:tcBorders>
            <w:noWrap/>
          </w:tcPr>
          <w:p w14:paraId="5ED9CCD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rFonts w:asciiTheme="minorHAnsi" w:hAnsiTheme="minorHAnsi" w:cstheme="minorHAnsi"/>
                <w:sz w:val="22"/>
                <w:szCs w:val="22"/>
                <w:lang w:eastAsia="en-GB"/>
              </w:rPr>
              <w:t>Royaume-Uni</w:t>
            </w:r>
          </w:p>
        </w:tc>
        <w:tc>
          <w:tcPr>
            <w:tcW w:w="1559" w:type="dxa"/>
            <w:tcBorders>
              <w:top w:val="nil"/>
              <w:left w:val="nil"/>
              <w:bottom w:val="single" w:sz="4" w:space="0" w:color="auto"/>
              <w:right w:val="single" w:sz="4" w:space="0" w:color="auto"/>
            </w:tcBorders>
            <w:noWrap/>
          </w:tcPr>
          <w:p w14:paraId="6494F135"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eastAsia="zh-CN"/>
              </w:rPr>
            </w:pPr>
            <w:r w:rsidRPr="00236418">
              <w:rPr>
                <w:rFonts w:asciiTheme="minorHAnsi" w:eastAsia="Batang" w:hAnsiTheme="minorHAnsi" w:cstheme="minorHAnsi"/>
                <w:sz w:val="22"/>
                <w:szCs w:val="22"/>
                <w:lang w:eastAsia="en-GB"/>
              </w:rPr>
              <w:t xml:space="preserve">Inmarsat </w:t>
            </w:r>
          </w:p>
        </w:tc>
        <w:tc>
          <w:tcPr>
            <w:tcW w:w="1560" w:type="dxa"/>
            <w:tcBorders>
              <w:top w:val="nil"/>
              <w:left w:val="nil"/>
              <w:bottom w:val="single" w:sz="4" w:space="0" w:color="auto"/>
              <w:right w:val="single" w:sz="4" w:space="0" w:color="auto"/>
            </w:tcBorders>
            <w:noWrap/>
          </w:tcPr>
          <w:p w14:paraId="40F65D90"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4 000 </w:t>
            </w:r>
          </w:p>
        </w:tc>
        <w:tc>
          <w:tcPr>
            <w:tcW w:w="823" w:type="dxa"/>
            <w:tcBorders>
              <w:top w:val="nil"/>
              <w:left w:val="nil"/>
              <w:bottom w:val="single" w:sz="4" w:space="0" w:color="auto"/>
              <w:right w:val="single" w:sz="4" w:space="0" w:color="auto"/>
            </w:tcBorders>
            <w:noWrap/>
          </w:tcPr>
          <w:p w14:paraId="467038F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283" w:type="dxa"/>
            <w:tcBorders>
              <w:top w:val="nil"/>
              <w:left w:val="nil"/>
              <w:bottom w:val="single" w:sz="4" w:space="0" w:color="auto"/>
              <w:right w:val="single" w:sz="4" w:space="0" w:color="auto"/>
            </w:tcBorders>
            <w:noWrap/>
          </w:tcPr>
          <w:p w14:paraId="5A45A1BC"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4 000</w:t>
            </w:r>
          </w:p>
        </w:tc>
        <w:tc>
          <w:tcPr>
            <w:tcW w:w="823" w:type="dxa"/>
            <w:tcBorders>
              <w:top w:val="nil"/>
              <w:left w:val="nil"/>
              <w:bottom w:val="single" w:sz="4" w:space="0" w:color="auto"/>
              <w:right w:val="single" w:sz="4" w:space="0" w:color="auto"/>
            </w:tcBorders>
            <w:noWrap/>
          </w:tcPr>
          <w:p w14:paraId="3C5A92D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383" w:type="dxa"/>
            <w:tcBorders>
              <w:top w:val="nil"/>
              <w:left w:val="nil"/>
              <w:bottom w:val="single" w:sz="4" w:space="0" w:color="auto"/>
              <w:right w:val="single" w:sz="4" w:space="0" w:color="auto"/>
            </w:tcBorders>
            <w:noWrap/>
          </w:tcPr>
          <w:p w14:paraId="79C14C3A"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3 976 </w:t>
            </w:r>
          </w:p>
        </w:tc>
      </w:tr>
      <w:tr w:rsidR="00862C6F" w:rsidRPr="00236418" w14:paraId="7A660609"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28D7EDF1"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P.10002.1.01</w:t>
            </w:r>
          </w:p>
        </w:tc>
        <w:tc>
          <w:tcPr>
            <w:tcW w:w="1583" w:type="dxa"/>
            <w:tcBorders>
              <w:top w:val="nil"/>
              <w:left w:val="nil"/>
              <w:bottom w:val="single" w:sz="4" w:space="0" w:color="auto"/>
              <w:right w:val="single" w:sz="4" w:space="0" w:color="auto"/>
            </w:tcBorders>
            <w:noWrap/>
          </w:tcPr>
          <w:p w14:paraId="7ECFFEA1"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rFonts w:asciiTheme="minorHAnsi" w:hAnsiTheme="minorHAnsi" w:cstheme="minorHAnsi"/>
                <w:sz w:val="22"/>
                <w:szCs w:val="22"/>
                <w:lang w:eastAsia="en-GB"/>
              </w:rPr>
              <w:t>Suisse</w:t>
            </w:r>
          </w:p>
        </w:tc>
        <w:tc>
          <w:tcPr>
            <w:tcW w:w="1559" w:type="dxa"/>
            <w:tcBorders>
              <w:top w:val="nil"/>
              <w:left w:val="nil"/>
              <w:bottom w:val="single" w:sz="4" w:space="0" w:color="auto"/>
              <w:right w:val="single" w:sz="4" w:space="0" w:color="auto"/>
            </w:tcBorders>
            <w:noWrap/>
          </w:tcPr>
          <w:p w14:paraId="0C685CA7"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eastAsia="zh-CN"/>
              </w:rPr>
            </w:pPr>
            <w:r w:rsidRPr="00236418">
              <w:rPr>
                <w:rFonts w:asciiTheme="minorHAnsi" w:eastAsia="Batang" w:hAnsiTheme="minorHAnsi" w:cstheme="minorHAnsi"/>
                <w:sz w:val="22"/>
                <w:szCs w:val="22"/>
                <w:lang w:eastAsia="en-GB"/>
              </w:rPr>
              <w:t>IGF</w:t>
            </w:r>
          </w:p>
        </w:tc>
        <w:tc>
          <w:tcPr>
            <w:tcW w:w="1560" w:type="dxa"/>
            <w:tcBorders>
              <w:top w:val="nil"/>
              <w:left w:val="nil"/>
              <w:bottom w:val="single" w:sz="4" w:space="0" w:color="auto"/>
              <w:right w:val="single" w:sz="4" w:space="0" w:color="auto"/>
            </w:tcBorders>
            <w:noWrap/>
          </w:tcPr>
          <w:p w14:paraId="1AB73761"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600 </w:t>
            </w:r>
          </w:p>
        </w:tc>
        <w:tc>
          <w:tcPr>
            <w:tcW w:w="823" w:type="dxa"/>
            <w:tcBorders>
              <w:top w:val="nil"/>
              <w:left w:val="nil"/>
              <w:bottom w:val="single" w:sz="4" w:space="0" w:color="auto"/>
              <w:right w:val="single" w:sz="4" w:space="0" w:color="auto"/>
            </w:tcBorders>
            <w:noWrap/>
          </w:tcPr>
          <w:p w14:paraId="01D44D5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CHF </w:t>
            </w:r>
          </w:p>
        </w:tc>
        <w:tc>
          <w:tcPr>
            <w:tcW w:w="1283" w:type="dxa"/>
            <w:tcBorders>
              <w:top w:val="nil"/>
              <w:left w:val="nil"/>
              <w:bottom w:val="single" w:sz="4" w:space="0" w:color="auto"/>
              <w:right w:val="single" w:sz="4" w:space="0" w:color="auto"/>
            </w:tcBorders>
            <w:noWrap/>
          </w:tcPr>
          <w:p w14:paraId="48A8F3C7"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 600</w:t>
            </w:r>
          </w:p>
        </w:tc>
        <w:tc>
          <w:tcPr>
            <w:tcW w:w="823" w:type="dxa"/>
            <w:tcBorders>
              <w:top w:val="nil"/>
              <w:left w:val="nil"/>
              <w:bottom w:val="single" w:sz="4" w:space="0" w:color="auto"/>
              <w:right w:val="single" w:sz="4" w:space="0" w:color="auto"/>
            </w:tcBorders>
            <w:noWrap/>
          </w:tcPr>
          <w:p w14:paraId="149CF0F7"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CHF </w:t>
            </w:r>
          </w:p>
        </w:tc>
        <w:tc>
          <w:tcPr>
            <w:tcW w:w="1383" w:type="dxa"/>
            <w:tcBorders>
              <w:top w:val="nil"/>
              <w:left w:val="nil"/>
              <w:bottom w:val="single" w:sz="4" w:space="0" w:color="auto"/>
              <w:right w:val="single" w:sz="4" w:space="0" w:color="auto"/>
            </w:tcBorders>
            <w:noWrap/>
          </w:tcPr>
          <w:p w14:paraId="63D4EBC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 600 </w:t>
            </w:r>
          </w:p>
        </w:tc>
      </w:tr>
      <w:tr w:rsidR="00862C6F" w:rsidRPr="00236418" w14:paraId="0F0D839D"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370271D2"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P.40545.1.01</w:t>
            </w:r>
          </w:p>
        </w:tc>
        <w:tc>
          <w:tcPr>
            <w:tcW w:w="1583" w:type="dxa"/>
            <w:tcBorders>
              <w:top w:val="nil"/>
              <w:left w:val="nil"/>
              <w:bottom w:val="single" w:sz="4" w:space="0" w:color="auto"/>
              <w:right w:val="single" w:sz="4" w:space="0" w:color="auto"/>
            </w:tcBorders>
            <w:noWrap/>
          </w:tcPr>
          <w:p w14:paraId="73D54427"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rFonts w:asciiTheme="minorHAnsi" w:hAnsiTheme="minorHAnsi" w:cstheme="minorHAnsi"/>
                <w:sz w:val="22"/>
                <w:szCs w:val="22"/>
                <w:lang w:eastAsia="en-GB"/>
              </w:rPr>
              <w:t>République sudafricaine</w:t>
            </w:r>
          </w:p>
        </w:tc>
        <w:tc>
          <w:tcPr>
            <w:tcW w:w="1559" w:type="dxa"/>
            <w:tcBorders>
              <w:top w:val="nil"/>
              <w:left w:val="nil"/>
              <w:bottom w:val="single" w:sz="4" w:space="0" w:color="auto"/>
              <w:right w:val="single" w:sz="4" w:space="0" w:color="auto"/>
            </w:tcBorders>
            <w:noWrap/>
          </w:tcPr>
          <w:p w14:paraId="57A47537"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eastAsia="zh-CN"/>
              </w:rPr>
            </w:pPr>
            <w:r w:rsidRPr="00236418">
              <w:rPr>
                <w:rFonts w:asciiTheme="minorHAnsi" w:eastAsia="Batang" w:hAnsiTheme="minorHAnsi" w:cstheme="minorHAnsi"/>
                <w:sz w:val="22"/>
                <w:szCs w:val="22"/>
                <w:lang w:eastAsia="en-GB"/>
              </w:rPr>
              <w:t>Discovery</w:t>
            </w:r>
          </w:p>
        </w:tc>
        <w:tc>
          <w:tcPr>
            <w:tcW w:w="1560" w:type="dxa"/>
            <w:tcBorders>
              <w:top w:val="nil"/>
              <w:left w:val="nil"/>
              <w:bottom w:val="single" w:sz="4" w:space="0" w:color="auto"/>
              <w:right w:val="single" w:sz="4" w:space="0" w:color="auto"/>
            </w:tcBorders>
            <w:noWrap/>
          </w:tcPr>
          <w:p w14:paraId="5B31B24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150 000 </w:t>
            </w:r>
          </w:p>
        </w:tc>
        <w:tc>
          <w:tcPr>
            <w:tcW w:w="823" w:type="dxa"/>
            <w:tcBorders>
              <w:top w:val="nil"/>
              <w:left w:val="nil"/>
              <w:bottom w:val="single" w:sz="4" w:space="0" w:color="auto"/>
              <w:right w:val="single" w:sz="4" w:space="0" w:color="auto"/>
            </w:tcBorders>
            <w:noWrap/>
          </w:tcPr>
          <w:p w14:paraId="1C91D5FE"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283" w:type="dxa"/>
            <w:tcBorders>
              <w:top w:val="nil"/>
              <w:left w:val="nil"/>
              <w:bottom w:val="single" w:sz="4" w:space="0" w:color="auto"/>
              <w:right w:val="single" w:sz="4" w:space="0" w:color="auto"/>
            </w:tcBorders>
            <w:noWrap/>
          </w:tcPr>
          <w:p w14:paraId="21CB3696"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150 000</w:t>
            </w:r>
          </w:p>
        </w:tc>
        <w:tc>
          <w:tcPr>
            <w:tcW w:w="823" w:type="dxa"/>
            <w:tcBorders>
              <w:top w:val="nil"/>
              <w:left w:val="nil"/>
              <w:bottom w:val="single" w:sz="4" w:space="0" w:color="auto"/>
              <w:right w:val="single" w:sz="4" w:space="0" w:color="auto"/>
            </w:tcBorders>
            <w:noWrap/>
          </w:tcPr>
          <w:p w14:paraId="0BF9CCA5"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383" w:type="dxa"/>
            <w:tcBorders>
              <w:top w:val="nil"/>
              <w:left w:val="nil"/>
              <w:bottom w:val="single" w:sz="4" w:space="0" w:color="auto"/>
              <w:right w:val="single" w:sz="4" w:space="0" w:color="auto"/>
            </w:tcBorders>
            <w:noWrap/>
          </w:tcPr>
          <w:p w14:paraId="092C999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149850</w:t>
            </w:r>
          </w:p>
        </w:tc>
      </w:tr>
      <w:tr w:rsidR="00862C6F" w:rsidRPr="00236418" w14:paraId="0E33520E"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147EC94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P.40685.1.01</w:t>
            </w:r>
          </w:p>
        </w:tc>
        <w:tc>
          <w:tcPr>
            <w:tcW w:w="1583" w:type="dxa"/>
            <w:tcBorders>
              <w:top w:val="nil"/>
              <w:left w:val="nil"/>
              <w:bottom w:val="single" w:sz="4" w:space="0" w:color="auto"/>
              <w:right w:val="single" w:sz="4" w:space="0" w:color="auto"/>
            </w:tcBorders>
            <w:noWrap/>
          </w:tcPr>
          <w:p w14:paraId="5EFC2E7C"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rFonts w:asciiTheme="minorHAnsi" w:hAnsiTheme="minorHAnsi" w:cstheme="minorHAnsi"/>
                <w:sz w:val="22"/>
                <w:szCs w:val="22"/>
                <w:lang w:eastAsia="en-GB"/>
              </w:rPr>
              <w:t>Zimbabwe</w:t>
            </w:r>
          </w:p>
        </w:tc>
        <w:tc>
          <w:tcPr>
            <w:tcW w:w="1559" w:type="dxa"/>
            <w:tcBorders>
              <w:top w:val="nil"/>
              <w:left w:val="nil"/>
              <w:bottom w:val="single" w:sz="4" w:space="0" w:color="auto"/>
              <w:right w:val="single" w:sz="4" w:space="0" w:color="auto"/>
            </w:tcBorders>
            <w:noWrap/>
          </w:tcPr>
          <w:p w14:paraId="0B9043C3"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eastAsia="zh-CN"/>
              </w:rPr>
            </w:pPr>
            <w:r w:rsidRPr="00236418">
              <w:rPr>
                <w:rFonts w:asciiTheme="minorHAnsi" w:eastAsia="Batang" w:hAnsiTheme="minorHAnsi" w:cstheme="minorHAnsi"/>
                <w:sz w:val="22"/>
                <w:szCs w:val="22"/>
                <w:lang w:eastAsia="en-GB"/>
              </w:rPr>
              <w:t>POTRAZ</w:t>
            </w:r>
          </w:p>
        </w:tc>
        <w:tc>
          <w:tcPr>
            <w:tcW w:w="1560" w:type="dxa"/>
            <w:tcBorders>
              <w:top w:val="nil"/>
              <w:left w:val="nil"/>
              <w:bottom w:val="single" w:sz="4" w:space="0" w:color="auto"/>
              <w:right w:val="single" w:sz="4" w:space="0" w:color="auto"/>
            </w:tcBorders>
            <w:noWrap/>
          </w:tcPr>
          <w:p w14:paraId="388434DB"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350 194 </w:t>
            </w:r>
          </w:p>
        </w:tc>
        <w:tc>
          <w:tcPr>
            <w:tcW w:w="823" w:type="dxa"/>
            <w:tcBorders>
              <w:top w:val="nil"/>
              <w:left w:val="nil"/>
              <w:bottom w:val="single" w:sz="4" w:space="0" w:color="auto"/>
              <w:right w:val="single" w:sz="4" w:space="0" w:color="auto"/>
            </w:tcBorders>
            <w:noWrap/>
          </w:tcPr>
          <w:p w14:paraId="42EC850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EUR </w:t>
            </w:r>
          </w:p>
        </w:tc>
        <w:tc>
          <w:tcPr>
            <w:tcW w:w="1283" w:type="dxa"/>
            <w:tcBorders>
              <w:top w:val="nil"/>
              <w:left w:val="nil"/>
              <w:bottom w:val="single" w:sz="4" w:space="0" w:color="auto"/>
              <w:right w:val="single" w:sz="4" w:space="0" w:color="auto"/>
            </w:tcBorders>
            <w:noWrap/>
          </w:tcPr>
          <w:p w14:paraId="06B95F94"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350 194</w:t>
            </w:r>
          </w:p>
        </w:tc>
        <w:tc>
          <w:tcPr>
            <w:tcW w:w="823" w:type="dxa"/>
            <w:tcBorders>
              <w:top w:val="nil"/>
              <w:left w:val="nil"/>
              <w:bottom w:val="single" w:sz="4" w:space="0" w:color="auto"/>
              <w:right w:val="single" w:sz="4" w:space="0" w:color="auto"/>
            </w:tcBorders>
            <w:noWrap/>
          </w:tcPr>
          <w:p w14:paraId="10945D0D"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EUR </w:t>
            </w:r>
          </w:p>
        </w:tc>
        <w:tc>
          <w:tcPr>
            <w:tcW w:w="1383" w:type="dxa"/>
            <w:tcBorders>
              <w:top w:val="nil"/>
              <w:left w:val="nil"/>
              <w:bottom w:val="single" w:sz="4" w:space="0" w:color="auto"/>
              <w:right w:val="single" w:sz="4" w:space="0" w:color="auto"/>
            </w:tcBorders>
            <w:noWrap/>
          </w:tcPr>
          <w:p w14:paraId="26C27C9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398 004 </w:t>
            </w:r>
          </w:p>
        </w:tc>
      </w:tr>
      <w:tr w:rsidR="00862C6F" w:rsidRPr="00236418" w14:paraId="361F8BDB"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61DF8D58"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P.40736.1.01</w:t>
            </w:r>
          </w:p>
        </w:tc>
        <w:tc>
          <w:tcPr>
            <w:tcW w:w="1583" w:type="dxa"/>
            <w:tcBorders>
              <w:top w:val="nil"/>
              <w:left w:val="nil"/>
              <w:bottom w:val="single" w:sz="4" w:space="0" w:color="auto"/>
              <w:right w:val="single" w:sz="4" w:space="0" w:color="auto"/>
            </w:tcBorders>
            <w:noWrap/>
          </w:tcPr>
          <w:p w14:paraId="583E53E4"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rFonts w:asciiTheme="minorHAnsi" w:hAnsiTheme="minorHAnsi" w:cstheme="minorHAnsi"/>
                <w:sz w:val="22"/>
                <w:szCs w:val="22"/>
                <w:lang w:eastAsia="en-GB"/>
              </w:rPr>
              <w:t>Brésil</w:t>
            </w:r>
          </w:p>
        </w:tc>
        <w:tc>
          <w:tcPr>
            <w:tcW w:w="1559" w:type="dxa"/>
            <w:tcBorders>
              <w:top w:val="nil"/>
              <w:left w:val="nil"/>
              <w:bottom w:val="single" w:sz="4" w:space="0" w:color="auto"/>
              <w:right w:val="single" w:sz="4" w:space="0" w:color="auto"/>
            </w:tcBorders>
            <w:noWrap/>
          </w:tcPr>
          <w:p w14:paraId="6A253362" w14:textId="77777777" w:rsidR="00862C6F" w:rsidRPr="00236418"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eastAsia="zh-CN"/>
              </w:rPr>
            </w:pPr>
            <w:r w:rsidRPr="00236418">
              <w:rPr>
                <w:rFonts w:asciiTheme="minorHAnsi" w:eastAsia="Batang" w:hAnsiTheme="minorHAnsi" w:cstheme="minorHAnsi"/>
                <w:sz w:val="22"/>
                <w:szCs w:val="22"/>
                <w:lang w:eastAsia="en-GB"/>
              </w:rPr>
              <w:t>ANATEL</w:t>
            </w:r>
          </w:p>
        </w:tc>
        <w:tc>
          <w:tcPr>
            <w:tcW w:w="1560" w:type="dxa"/>
            <w:tcBorders>
              <w:top w:val="nil"/>
              <w:left w:val="nil"/>
              <w:bottom w:val="single" w:sz="4" w:space="0" w:color="auto"/>
              <w:right w:val="single" w:sz="4" w:space="0" w:color="auto"/>
            </w:tcBorders>
            <w:noWrap/>
          </w:tcPr>
          <w:p w14:paraId="3031237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7 000 000 </w:t>
            </w:r>
          </w:p>
        </w:tc>
        <w:tc>
          <w:tcPr>
            <w:tcW w:w="823" w:type="dxa"/>
            <w:tcBorders>
              <w:top w:val="nil"/>
              <w:left w:val="nil"/>
              <w:bottom w:val="single" w:sz="4" w:space="0" w:color="auto"/>
              <w:right w:val="single" w:sz="4" w:space="0" w:color="auto"/>
            </w:tcBorders>
            <w:noWrap/>
          </w:tcPr>
          <w:p w14:paraId="682AAFD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283" w:type="dxa"/>
            <w:tcBorders>
              <w:top w:val="nil"/>
              <w:left w:val="nil"/>
              <w:bottom w:val="single" w:sz="4" w:space="0" w:color="auto"/>
              <w:right w:val="single" w:sz="4" w:space="0" w:color="auto"/>
            </w:tcBorders>
            <w:noWrap/>
          </w:tcPr>
          <w:p w14:paraId="48A9F2D3"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628 252</w:t>
            </w:r>
          </w:p>
        </w:tc>
        <w:tc>
          <w:tcPr>
            <w:tcW w:w="823" w:type="dxa"/>
            <w:tcBorders>
              <w:top w:val="nil"/>
              <w:left w:val="nil"/>
              <w:bottom w:val="single" w:sz="4" w:space="0" w:color="auto"/>
              <w:right w:val="single" w:sz="4" w:space="0" w:color="auto"/>
            </w:tcBorders>
            <w:noWrap/>
          </w:tcPr>
          <w:p w14:paraId="3AD5694F"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r w:rsidRPr="00236418">
              <w:rPr>
                <w:rFonts w:asciiTheme="minorHAnsi" w:hAnsiTheme="minorHAnsi" w:cstheme="minorHAnsi"/>
                <w:sz w:val="22"/>
                <w:szCs w:val="22"/>
                <w:lang w:eastAsia="en-GB"/>
              </w:rPr>
              <w:t xml:space="preserve">USD </w:t>
            </w:r>
          </w:p>
        </w:tc>
        <w:tc>
          <w:tcPr>
            <w:tcW w:w="1383" w:type="dxa"/>
            <w:tcBorders>
              <w:top w:val="nil"/>
              <w:left w:val="nil"/>
              <w:bottom w:val="single" w:sz="4" w:space="0" w:color="auto"/>
              <w:right w:val="single" w:sz="4" w:space="0" w:color="auto"/>
            </w:tcBorders>
            <w:noWrap/>
          </w:tcPr>
          <w:p w14:paraId="2835E1AE"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rFonts w:asciiTheme="minorHAnsi" w:hAnsiTheme="minorHAnsi" w:cstheme="minorHAnsi"/>
                <w:sz w:val="22"/>
                <w:szCs w:val="22"/>
                <w:lang w:eastAsia="en-GB"/>
              </w:rPr>
              <w:t xml:space="preserve">651 383 </w:t>
            </w:r>
          </w:p>
        </w:tc>
      </w:tr>
      <w:tr w:rsidR="00862C6F" w:rsidRPr="00236418" w14:paraId="2901B1BE" w14:textId="77777777" w:rsidTr="00620F53">
        <w:trPr>
          <w:trHeight w:val="376"/>
          <w:jc w:val="center"/>
        </w:trPr>
        <w:tc>
          <w:tcPr>
            <w:tcW w:w="1389" w:type="dxa"/>
            <w:tcBorders>
              <w:top w:val="nil"/>
              <w:left w:val="single" w:sz="4" w:space="0" w:color="auto"/>
              <w:bottom w:val="single" w:sz="4" w:space="0" w:color="auto"/>
              <w:right w:val="single" w:sz="4" w:space="0" w:color="auto"/>
            </w:tcBorders>
            <w:shd w:val="clear" w:color="auto" w:fill="auto"/>
            <w:noWrap/>
            <w:hideMark/>
          </w:tcPr>
          <w:p w14:paraId="73451A83"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p>
        </w:tc>
        <w:tc>
          <w:tcPr>
            <w:tcW w:w="1583" w:type="dxa"/>
            <w:tcBorders>
              <w:top w:val="nil"/>
              <w:left w:val="nil"/>
              <w:bottom w:val="single" w:sz="4" w:space="0" w:color="auto"/>
              <w:right w:val="single" w:sz="4" w:space="0" w:color="auto"/>
            </w:tcBorders>
            <w:shd w:val="clear" w:color="auto" w:fill="auto"/>
            <w:noWrap/>
            <w:hideMark/>
          </w:tcPr>
          <w:p w14:paraId="3D16F825"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 </w:t>
            </w:r>
          </w:p>
        </w:tc>
        <w:tc>
          <w:tcPr>
            <w:tcW w:w="1559" w:type="dxa"/>
            <w:tcBorders>
              <w:top w:val="nil"/>
              <w:left w:val="nil"/>
              <w:bottom w:val="single" w:sz="4" w:space="0" w:color="auto"/>
              <w:right w:val="single" w:sz="4" w:space="0" w:color="auto"/>
            </w:tcBorders>
            <w:shd w:val="clear" w:color="auto" w:fill="auto"/>
            <w:noWrap/>
            <w:hideMark/>
          </w:tcPr>
          <w:p w14:paraId="353A744A" w14:textId="77777777" w:rsidR="00862C6F" w:rsidRPr="00236418" w:rsidRDefault="00862C6F" w:rsidP="00862C6F">
            <w:pPr>
              <w:tabs>
                <w:tab w:val="clear" w:pos="567"/>
                <w:tab w:val="clear" w:pos="1134"/>
                <w:tab w:val="clear" w:pos="1701"/>
                <w:tab w:val="clear" w:pos="2268"/>
                <w:tab w:val="clear" w:pos="2835"/>
              </w:tabs>
              <w:spacing w:before="60" w:after="60"/>
              <w:rPr>
                <w:b/>
                <w:bCs/>
                <w:sz w:val="22"/>
              </w:rPr>
            </w:pPr>
            <w:r w:rsidRPr="00236418">
              <w:rPr>
                <w:b/>
                <w:bCs/>
                <w:sz w:val="22"/>
              </w:rPr>
              <w:t>TOTAL</w:t>
            </w:r>
          </w:p>
        </w:tc>
        <w:tc>
          <w:tcPr>
            <w:tcW w:w="1560" w:type="dxa"/>
            <w:tcBorders>
              <w:top w:val="nil"/>
              <w:left w:val="nil"/>
              <w:bottom w:val="single" w:sz="4" w:space="0" w:color="auto"/>
              <w:right w:val="single" w:sz="4" w:space="0" w:color="auto"/>
            </w:tcBorders>
            <w:shd w:val="clear" w:color="auto" w:fill="auto"/>
            <w:noWrap/>
            <w:hideMark/>
          </w:tcPr>
          <w:p w14:paraId="1E8C1459"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 </w:t>
            </w:r>
          </w:p>
        </w:tc>
        <w:tc>
          <w:tcPr>
            <w:tcW w:w="823" w:type="dxa"/>
            <w:tcBorders>
              <w:top w:val="nil"/>
              <w:left w:val="nil"/>
              <w:bottom w:val="single" w:sz="4" w:space="0" w:color="auto"/>
              <w:right w:val="single" w:sz="4" w:space="0" w:color="auto"/>
            </w:tcBorders>
            <w:shd w:val="clear" w:color="auto" w:fill="auto"/>
            <w:noWrap/>
            <w:hideMark/>
          </w:tcPr>
          <w:p w14:paraId="7EF56F86"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p>
        </w:tc>
        <w:tc>
          <w:tcPr>
            <w:tcW w:w="1283" w:type="dxa"/>
            <w:tcBorders>
              <w:top w:val="nil"/>
              <w:left w:val="nil"/>
              <w:bottom w:val="single" w:sz="4" w:space="0" w:color="auto"/>
              <w:right w:val="single" w:sz="4" w:space="0" w:color="auto"/>
            </w:tcBorders>
            <w:shd w:val="clear" w:color="auto" w:fill="auto"/>
            <w:noWrap/>
            <w:hideMark/>
          </w:tcPr>
          <w:p w14:paraId="28C455AD" w14:textId="77777777" w:rsidR="00862C6F" w:rsidRPr="00236418" w:rsidRDefault="00862C6F" w:rsidP="00862C6F">
            <w:pPr>
              <w:tabs>
                <w:tab w:val="clear" w:pos="567"/>
                <w:tab w:val="clear" w:pos="1134"/>
                <w:tab w:val="clear" w:pos="1701"/>
                <w:tab w:val="clear" w:pos="2268"/>
                <w:tab w:val="clear" w:pos="2835"/>
              </w:tabs>
              <w:spacing w:before="60" w:after="60"/>
              <w:jc w:val="right"/>
              <w:rPr>
                <w:sz w:val="22"/>
              </w:rPr>
            </w:pPr>
            <w:r w:rsidRPr="00236418">
              <w:rPr>
                <w:sz w:val="22"/>
              </w:rPr>
              <w:t> </w:t>
            </w:r>
          </w:p>
        </w:tc>
        <w:tc>
          <w:tcPr>
            <w:tcW w:w="823" w:type="dxa"/>
            <w:tcBorders>
              <w:top w:val="nil"/>
              <w:left w:val="nil"/>
              <w:bottom w:val="single" w:sz="4" w:space="0" w:color="auto"/>
              <w:right w:val="single" w:sz="4" w:space="0" w:color="auto"/>
            </w:tcBorders>
            <w:shd w:val="clear" w:color="auto" w:fill="auto"/>
            <w:noWrap/>
            <w:hideMark/>
          </w:tcPr>
          <w:p w14:paraId="0F179A34" w14:textId="77777777" w:rsidR="00862C6F" w:rsidRPr="00236418" w:rsidRDefault="00862C6F" w:rsidP="00862C6F">
            <w:pPr>
              <w:tabs>
                <w:tab w:val="clear" w:pos="567"/>
                <w:tab w:val="clear" w:pos="1134"/>
                <w:tab w:val="clear" w:pos="1701"/>
                <w:tab w:val="clear" w:pos="2268"/>
                <w:tab w:val="clear" w:pos="2835"/>
              </w:tabs>
              <w:spacing w:before="60" w:after="60"/>
              <w:jc w:val="center"/>
              <w:rPr>
                <w:sz w:val="22"/>
              </w:rPr>
            </w:pPr>
          </w:p>
        </w:tc>
        <w:tc>
          <w:tcPr>
            <w:tcW w:w="1383" w:type="dxa"/>
            <w:tcBorders>
              <w:top w:val="nil"/>
              <w:left w:val="nil"/>
              <w:bottom w:val="single" w:sz="4" w:space="0" w:color="auto"/>
              <w:right w:val="single" w:sz="4" w:space="0" w:color="auto"/>
            </w:tcBorders>
            <w:shd w:val="clear" w:color="auto" w:fill="auto"/>
            <w:noWrap/>
          </w:tcPr>
          <w:p w14:paraId="178373E4" w14:textId="77777777" w:rsidR="00862C6F" w:rsidRPr="00236418" w:rsidRDefault="00862C6F" w:rsidP="00862C6F">
            <w:pPr>
              <w:tabs>
                <w:tab w:val="clear" w:pos="567"/>
                <w:tab w:val="clear" w:pos="1134"/>
                <w:tab w:val="clear" w:pos="1701"/>
                <w:tab w:val="clear" w:pos="2268"/>
                <w:tab w:val="clear" w:pos="2835"/>
              </w:tabs>
              <w:spacing w:before="60" w:after="60"/>
              <w:jc w:val="right"/>
              <w:rPr>
                <w:b/>
                <w:bCs/>
                <w:sz w:val="22"/>
              </w:rPr>
            </w:pPr>
            <w:r w:rsidRPr="00236418">
              <w:rPr>
                <w:b/>
                <w:bCs/>
                <w:sz w:val="22"/>
              </w:rPr>
              <w:t>1 279 934</w:t>
            </w:r>
          </w:p>
        </w:tc>
      </w:tr>
    </w:tbl>
    <w:p w14:paraId="410C9D8A" w14:textId="77777777" w:rsidR="00862C6F" w:rsidRPr="00236418" w:rsidRDefault="00862C6F" w:rsidP="00862C6F">
      <w:pPr>
        <w:jc w:val="center"/>
      </w:pPr>
    </w:p>
    <w:p w14:paraId="1C0496F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tbl>
      <w:tblPr>
        <w:tblW w:w="10071"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4935"/>
        <w:gridCol w:w="2834"/>
      </w:tblGrid>
      <w:tr w:rsidR="00862C6F" w:rsidRPr="00236418" w14:paraId="6813CA32" w14:textId="77777777" w:rsidTr="00620F53">
        <w:trPr>
          <w:trHeight w:val="1203"/>
        </w:trPr>
        <w:tc>
          <w:tcPr>
            <w:tcW w:w="2302" w:type="dxa"/>
            <w:vAlign w:val="center"/>
          </w:tcPr>
          <w:p w14:paraId="772067C8" w14:textId="77777777" w:rsidR="00862C6F" w:rsidRPr="00236418" w:rsidRDefault="00862C6F" w:rsidP="00862C6F">
            <w:pPr>
              <w:tabs>
                <w:tab w:val="center" w:pos="4513"/>
                <w:tab w:val="right" w:pos="9026"/>
              </w:tabs>
              <w:ind w:right="-70"/>
              <w:jc w:val="center"/>
              <w:rPr>
                <w:sz w:val="48"/>
              </w:rPr>
            </w:pPr>
            <w:r w:rsidRPr="00236418">
              <w:rPr>
                <w:noProof/>
                <w:lang w:val="en-US"/>
              </w:rPr>
              <w:lastRenderedPageBreak/>
              <w:drawing>
                <wp:anchor distT="0" distB="0" distL="114300" distR="114300" simplePos="0" relativeHeight="251739136" behindDoc="0" locked="0" layoutInCell="1" allowOverlap="1" wp14:anchorId="22AF5F84" wp14:editId="3CF01728">
                  <wp:simplePos x="0" y="0"/>
                  <wp:positionH relativeFrom="column">
                    <wp:posOffset>149225</wp:posOffset>
                  </wp:positionH>
                  <wp:positionV relativeFrom="paragraph">
                    <wp:posOffset>-75565</wp:posOffset>
                  </wp:positionV>
                  <wp:extent cx="1190625" cy="919480"/>
                  <wp:effectExtent l="0" t="0" r="0" b="0"/>
                  <wp:wrapNone/>
                  <wp:docPr id="10" name="Picture 10" descr="C:\Users\ucar\Pictures\ITU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83580" name="Picture 10" descr="C:\Users\ucar\Pictures\ITU Logo (Black).PNG"/>
                          <pic:cNvPicPr>
                            <a:picLocks noChangeAspect="1" noChangeArrowheads="1"/>
                          </pic:cNvPicPr>
                        </pic:nvPicPr>
                        <pic:blipFill>
                          <a:blip r:embed="rId80"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190625" cy="919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35" w:type="dxa"/>
            <w:vAlign w:val="center"/>
          </w:tcPr>
          <w:p w14:paraId="313A4CA2" w14:textId="77777777" w:rsidR="00862C6F" w:rsidRPr="00236418" w:rsidRDefault="00862C6F" w:rsidP="00CC3DB9">
            <w:pPr>
              <w:pStyle w:val="AnnexNo"/>
              <w:spacing w:before="120"/>
            </w:pPr>
            <w:bookmarkStart w:id="3014" w:name="_Toc41815012"/>
            <w:r w:rsidRPr="00236418">
              <w:t>ANNEXE F</w:t>
            </w:r>
            <w:bookmarkEnd w:id="3014"/>
          </w:p>
          <w:p w14:paraId="249AA8C3" w14:textId="77777777" w:rsidR="00862C6F" w:rsidRPr="00236418" w:rsidRDefault="00862C6F" w:rsidP="00862C6F">
            <w:pPr>
              <w:jc w:val="center"/>
              <w:rPr>
                <w:b/>
                <w:caps/>
                <w:sz w:val="28"/>
              </w:rPr>
            </w:pPr>
            <w:r w:rsidRPr="00236418">
              <w:rPr>
                <w:caps/>
                <w:sz w:val="28"/>
              </w:rPr>
              <w:t>(</w:t>
            </w:r>
            <w:r w:rsidRPr="00236418">
              <w:rPr>
                <w:sz w:val="28"/>
              </w:rPr>
              <w:t>au 7 mai 2020</w:t>
            </w:r>
            <w:r w:rsidRPr="00236418">
              <w:rPr>
                <w:caps/>
                <w:sz w:val="28"/>
              </w:rPr>
              <w:t>)</w:t>
            </w:r>
          </w:p>
          <w:p w14:paraId="5C49065F" w14:textId="77777777" w:rsidR="00862C6F" w:rsidRPr="00236418" w:rsidRDefault="00862C6F" w:rsidP="00862C6F">
            <w:pPr>
              <w:tabs>
                <w:tab w:val="center" w:pos="4513"/>
                <w:tab w:val="right" w:pos="9026"/>
              </w:tabs>
              <w:spacing w:before="240"/>
              <w:jc w:val="center"/>
              <w:rPr>
                <w:rFonts w:ascii="Times New Roman" w:hAnsi="Times New Roman"/>
                <w:b/>
                <w:color w:val="FF0000"/>
                <w:sz w:val="32"/>
              </w:rPr>
            </w:pPr>
            <w:r w:rsidRPr="00236418">
              <w:rPr>
                <w:rFonts w:ascii="Times New Roman" w:hAnsi="Times New Roman"/>
                <w:b/>
                <w:color w:val="FF0000"/>
                <w:sz w:val="32"/>
              </w:rPr>
              <w:t>Planification en cas de pandémie</w:t>
            </w:r>
          </w:p>
          <w:p w14:paraId="788659ED" w14:textId="77777777" w:rsidR="00862C6F" w:rsidRPr="00236418" w:rsidRDefault="00862C6F" w:rsidP="00862C6F">
            <w:pPr>
              <w:tabs>
                <w:tab w:val="center" w:pos="4513"/>
                <w:tab w:val="right" w:pos="9026"/>
              </w:tabs>
              <w:spacing w:after="240"/>
              <w:jc w:val="center"/>
              <w:rPr>
                <w:rFonts w:ascii="Times New Roman" w:hAnsi="Times New Roman"/>
                <w:b/>
                <w:color w:val="000000"/>
                <w:sz w:val="32"/>
              </w:rPr>
            </w:pPr>
            <w:r w:rsidRPr="00236418">
              <w:rPr>
                <w:rFonts w:ascii="Times New Roman" w:hAnsi="Times New Roman"/>
                <w:b/>
                <w:color w:val="FF0000"/>
                <w:sz w:val="32"/>
              </w:rPr>
              <w:t>Procédure opérationnelle normalisée pour les interventions en cas d'urgence</w:t>
            </w:r>
          </w:p>
        </w:tc>
        <w:tc>
          <w:tcPr>
            <w:tcW w:w="2834" w:type="dxa"/>
            <w:vAlign w:val="center"/>
          </w:tcPr>
          <w:p w14:paraId="5534DD1F" w14:textId="77777777" w:rsidR="00862C6F" w:rsidRPr="00236418" w:rsidRDefault="00862C6F" w:rsidP="00862C6F">
            <w:pPr>
              <w:tabs>
                <w:tab w:val="center" w:pos="4513"/>
                <w:tab w:val="right" w:pos="9026"/>
              </w:tabs>
              <w:jc w:val="center"/>
              <w:rPr>
                <w:rFonts w:ascii="Times New Roman" w:hAnsi="Times New Roman"/>
                <w:color w:val="000000"/>
                <w:sz w:val="48"/>
              </w:rPr>
            </w:pPr>
            <w:r w:rsidRPr="00236418">
              <w:rPr>
                <w:rFonts w:ascii="Times New Roman" w:hAnsi="Times New Roman"/>
                <w:b/>
                <w:color w:val="2E74B5"/>
                <w:sz w:val="32"/>
              </w:rPr>
              <w:t>DIVISION DE LA SÛRETÉ ET DE LA SÉCURITÉ</w:t>
            </w:r>
          </w:p>
        </w:tc>
      </w:tr>
      <w:tr w:rsidR="00862C6F" w:rsidRPr="00236418" w14:paraId="0531703B" w14:textId="77777777" w:rsidTr="00620F53">
        <w:trPr>
          <w:trHeight w:val="485"/>
        </w:trPr>
        <w:tc>
          <w:tcPr>
            <w:tcW w:w="10071" w:type="dxa"/>
            <w:gridSpan w:val="3"/>
            <w:vAlign w:val="center"/>
          </w:tcPr>
          <w:p w14:paraId="5A40DB7F" w14:textId="77777777" w:rsidR="00862C6F" w:rsidRPr="00236418" w:rsidRDefault="00862C6F" w:rsidP="00862C6F">
            <w:pPr>
              <w:tabs>
                <w:tab w:val="center" w:pos="4513"/>
                <w:tab w:val="right" w:pos="9026"/>
              </w:tabs>
              <w:jc w:val="center"/>
              <w:rPr>
                <w:b/>
                <w:bCs/>
                <w:sz w:val="32"/>
              </w:rPr>
            </w:pPr>
            <w:r w:rsidRPr="00236418">
              <w:rPr>
                <w:b/>
                <w:bCs/>
                <w:color w:val="2E74B5"/>
                <w:szCs w:val="12"/>
              </w:rPr>
              <w:t xml:space="preserve">Union internationale des télécommunications (UIT), Place des Nations, 1211 Genève 20, Suisse </w:t>
            </w:r>
          </w:p>
        </w:tc>
      </w:tr>
    </w:tbl>
    <w:p w14:paraId="54AB39C9" w14:textId="77777777" w:rsidR="00862C6F" w:rsidRPr="00236418" w:rsidRDefault="00862C6F" w:rsidP="00862C6F">
      <w:pPr>
        <w:spacing w:before="240"/>
        <w:rPr>
          <w:rFonts w:eastAsia="SimSun" w:cs="Calibri"/>
          <w:u w:val="single"/>
          <w:lang w:eastAsia="zh-CN"/>
        </w:rPr>
      </w:pPr>
      <w:r w:rsidRPr="00236418">
        <w:rPr>
          <w:rFonts w:eastAsia="SimSun"/>
          <w:u w:val="single"/>
          <w:lang w:eastAsia="zh-CN"/>
        </w:rPr>
        <w:t>DESCRIPTION GÉNÉRALE</w:t>
      </w:r>
      <w:r w:rsidRPr="00236418">
        <w:rPr>
          <w:rFonts w:eastAsia="SimSun"/>
          <w:lang w:eastAsia="zh-CN"/>
        </w:rPr>
        <w:t>:</w:t>
      </w:r>
    </w:p>
    <w:p w14:paraId="47D4B042" w14:textId="77777777" w:rsidR="00862C6F" w:rsidRPr="00236418" w:rsidRDefault="00862C6F" w:rsidP="00862C6F">
      <w:pPr>
        <w:rPr>
          <w:rFonts w:eastAsia="SimSun"/>
          <w:lang w:eastAsia="zh-CN"/>
        </w:rPr>
      </w:pPr>
      <w:r w:rsidRPr="00236418">
        <w:rPr>
          <w:rFonts w:eastAsia="SimSun"/>
          <w:lang w:eastAsia="zh-CN"/>
        </w:rPr>
        <w:t xml:space="preserve">Le Plan de l'UIT en cas de pandémie décrit les mesures, politiques et procédures à mettre en œuvre à des fins de préparation, de prévention, d'intervention ou de rétablissement en cas de pandémie. Priorité est donnée à la sécurité et au bien-être du personnel, ainsi qu'aux </w:t>
      </w:r>
      <w:r w:rsidRPr="00236418">
        <w:rPr>
          <w:rFonts w:eastAsia="SimSun"/>
          <w:i/>
          <w:iCs/>
          <w:lang w:eastAsia="zh-CN"/>
        </w:rPr>
        <w:t>activités définies comme étant prioritaires</w:t>
      </w:r>
      <w:r w:rsidRPr="00236418">
        <w:rPr>
          <w:rFonts w:eastAsia="SimSun"/>
          <w:lang w:eastAsia="zh-CN"/>
        </w:rPr>
        <w:t xml:space="preserve"> par l'analyse SBIA de l'UIT (</w:t>
      </w:r>
      <w:r w:rsidRPr="00236418">
        <w:rPr>
          <w:rFonts w:eastAsia="SimSun"/>
          <w:i/>
          <w:iCs/>
          <w:lang w:eastAsia="zh-CN"/>
        </w:rPr>
        <w:t>analyse d'impact sur les activités stratégiques</w:t>
      </w:r>
      <w:r w:rsidRPr="00236418">
        <w:rPr>
          <w:rFonts w:eastAsia="SimSun"/>
          <w:lang w:eastAsia="zh-CN"/>
        </w:rPr>
        <w:t>) dans le cadre des fonctions essentielles de l'Organisation.</w:t>
      </w:r>
    </w:p>
    <w:p w14:paraId="457A9E75" w14:textId="77777777" w:rsidR="00862C6F" w:rsidRPr="00236418" w:rsidRDefault="00862C6F" w:rsidP="00862C6F">
      <w:pPr>
        <w:rPr>
          <w:rFonts w:eastAsia="SimSun"/>
          <w:lang w:eastAsia="zh-CN"/>
        </w:rPr>
      </w:pPr>
      <w:r w:rsidRPr="00236418">
        <w:rPr>
          <w:rFonts w:eastAsia="SimSun"/>
          <w:lang w:eastAsia="zh-CN"/>
        </w:rPr>
        <w:t>Ce Plan s'appuie sur les références suivantes:</w:t>
      </w:r>
    </w:p>
    <w:p w14:paraId="0C1DB71D"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les données d'expérience acquises et les enseignements tirés par l'UIT dans le cadre de l'élaboration du plan de préparation et d'intervention en cas de pandémie de 2006, visant à faire face au virus de la grippe aviaire (H5N1) apparu en 2006;</w:t>
      </w:r>
    </w:p>
    <w:p w14:paraId="6B068762"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le document "Influenza Pandemic Guideline" (Lignes directrices relatives à la pandémie de grippe) (mars 2019) des Directeurs des services médicaux des organismes des Nations Unies, élaboré avec la contribution technique de l'Organisation mondiale de la santé (OMS) et d'autres spécialistes de la santé publique et des maladies infectieuses;</w:t>
      </w:r>
    </w:p>
    <w:p w14:paraId="7484AF1D"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le document "Pandemic Planning and Preparedness Guidelines for the United Nations System" (Directives à l'intention des organismes des Nations Unies concernant la planification en cas de pandémie et les mesures de préparation) (2009).</w:t>
      </w:r>
    </w:p>
    <w:p w14:paraId="213ED6C2" w14:textId="77777777" w:rsidR="00862C6F" w:rsidRPr="00236418" w:rsidRDefault="00862C6F" w:rsidP="00862C6F">
      <w:pPr>
        <w:rPr>
          <w:rFonts w:eastAsia="SimSun"/>
          <w:lang w:eastAsia="zh-CN"/>
        </w:rPr>
      </w:pPr>
      <w:r w:rsidRPr="00236418">
        <w:rPr>
          <w:rFonts w:eastAsia="SimSun"/>
          <w:lang w:eastAsia="zh-CN"/>
        </w:rPr>
        <w:t>Il importe de noter que le Plan de l'UIT en cas de pandémie:</w:t>
      </w:r>
    </w:p>
    <w:p w14:paraId="02C1A79F"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s'articule autour des quatre [4] phases pandémiques définies par l'OMS et adaptées aux besoins et à la situation de l'UIT;</w:t>
      </w:r>
    </w:p>
    <w:p w14:paraId="5A483BC1"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est destiné à une application générale en cas de pandémie constituant un danger biologique;</w:t>
      </w:r>
    </w:p>
    <w:p w14:paraId="20292F6A"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tient compte de l'emplacement géographique du siège de l'UIT, de ses bureaux régionaux et de ses bureaux de zone;</w:t>
      </w:r>
    </w:p>
    <w:p w14:paraId="670CA6E2"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décrit les mesures de préparation à mettre en œuvre pour atténuer le risque de pandémie auquel sont exposés les fonctionnaires, les sous-traitants, les délégués et les visiteurs de l'UIT;</w:t>
      </w:r>
    </w:p>
    <w:p w14:paraId="6B6B20D6" w14:textId="77777777" w:rsidR="00862C6F" w:rsidRPr="00236418" w:rsidRDefault="00862C6F" w:rsidP="00862C6F">
      <w:pPr>
        <w:spacing w:before="86"/>
        <w:ind w:left="567" w:hanging="567"/>
        <w:rPr>
          <w:rFonts w:eastAsia="SimSun"/>
          <w:lang w:eastAsia="zh-CN"/>
        </w:rPr>
      </w:pPr>
      <w:r w:rsidRPr="00236418">
        <w:rPr>
          <w:rFonts w:eastAsia="SimSun"/>
          <w:lang w:eastAsia="zh-CN"/>
        </w:rPr>
        <w:t>•</w:t>
      </w:r>
      <w:r w:rsidRPr="00236418">
        <w:rPr>
          <w:rFonts w:eastAsia="SimSun"/>
          <w:lang w:eastAsia="zh-CN"/>
        </w:rPr>
        <w:tab/>
        <w:t>prévoit des mesures d'intervention éventuelles si des cas se déclarent parmi les fonctionnaires, les sous-traitants ou les délégués.</w:t>
      </w:r>
    </w:p>
    <w:p w14:paraId="07D7B1C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eastAsia="SimSun" w:cs="Calibri"/>
          <w:sz w:val="22"/>
          <w:szCs w:val="22"/>
          <w:lang w:eastAsia="zh-CN"/>
        </w:rPr>
      </w:pPr>
      <w:r w:rsidRPr="00236418">
        <w:rPr>
          <w:rFonts w:eastAsia="SimSun" w:cs="Calibri"/>
          <w:sz w:val="22"/>
          <w:szCs w:val="22"/>
          <w:lang w:eastAsia="zh-CN"/>
        </w:rPr>
        <w:br w:type="page"/>
      </w:r>
    </w:p>
    <w:tbl>
      <w:tblPr>
        <w:tblStyle w:val="TableGrid1"/>
        <w:tblW w:w="9776" w:type="dxa"/>
        <w:jc w:val="center"/>
        <w:tblLayout w:type="fixed"/>
        <w:tblLook w:val="04A0" w:firstRow="1" w:lastRow="0" w:firstColumn="1" w:lastColumn="0" w:noHBand="0" w:noVBand="1"/>
      </w:tblPr>
      <w:tblGrid>
        <w:gridCol w:w="1271"/>
        <w:gridCol w:w="1701"/>
        <w:gridCol w:w="2126"/>
        <w:gridCol w:w="4678"/>
      </w:tblGrid>
      <w:tr w:rsidR="00862C6F" w:rsidRPr="00236418" w14:paraId="5D92F9F8" w14:textId="77777777" w:rsidTr="00620F53">
        <w:trPr>
          <w:jc w:val="center"/>
        </w:trPr>
        <w:tc>
          <w:tcPr>
            <w:tcW w:w="9776" w:type="dxa"/>
            <w:gridSpan w:val="4"/>
          </w:tcPr>
          <w:p w14:paraId="78CCA2E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eastAsia="zh-CN"/>
              </w:rPr>
            </w:pPr>
            <w:r w:rsidRPr="00236418">
              <w:rPr>
                <w:rFonts w:cs="Calibri"/>
                <w:b/>
                <w:bCs/>
                <w:color w:val="FF0000"/>
                <w:sz w:val="20"/>
                <w:lang w:eastAsia="zh-CN"/>
              </w:rPr>
              <w:lastRenderedPageBreak/>
              <w:t>CHRONOLOGIE DE LA PANDÉMIE</w:t>
            </w:r>
          </w:p>
        </w:tc>
      </w:tr>
      <w:tr w:rsidR="00862C6F" w:rsidRPr="00236418" w14:paraId="2E80DA91" w14:textId="77777777" w:rsidTr="00620F53">
        <w:trPr>
          <w:jc w:val="center"/>
        </w:trPr>
        <w:tc>
          <w:tcPr>
            <w:tcW w:w="1271" w:type="dxa"/>
          </w:tcPr>
          <w:p w14:paraId="6A8C8EC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eastAsia="zh-CN"/>
              </w:rPr>
            </w:pPr>
            <w:r w:rsidRPr="00236418">
              <w:rPr>
                <w:rFonts w:cs="Calibri"/>
                <w:b/>
                <w:bCs/>
                <w:sz w:val="20"/>
                <w:lang w:eastAsia="zh-CN"/>
              </w:rPr>
              <w:t>Phases de la pandémie</w:t>
            </w:r>
          </w:p>
        </w:tc>
        <w:tc>
          <w:tcPr>
            <w:tcW w:w="1701" w:type="dxa"/>
          </w:tcPr>
          <w:p w14:paraId="2D4F94B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eastAsia="zh-CN"/>
              </w:rPr>
            </w:pPr>
            <w:r w:rsidRPr="00236418">
              <w:rPr>
                <w:rFonts w:cs="Calibri"/>
                <w:b/>
                <w:bCs/>
                <w:sz w:val="20"/>
                <w:lang w:eastAsia="zh-CN"/>
              </w:rPr>
              <w:t>Niveau d'intervention de l'UIT en fonction des phases</w:t>
            </w:r>
          </w:p>
        </w:tc>
        <w:tc>
          <w:tcPr>
            <w:tcW w:w="2126" w:type="dxa"/>
          </w:tcPr>
          <w:p w14:paraId="6109BB9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eastAsia="zh-CN"/>
              </w:rPr>
            </w:pPr>
            <w:r w:rsidRPr="00236418">
              <w:rPr>
                <w:rFonts w:cs="Calibri"/>
                <w:b/>
                <w:bCs/>
                <w:sz w:val="20"/>
                <w:lang w:eastAsia="zh-CN"/>
              </w:rPr>
              <w:t>Description</w:t>
            </w:r>
          </w:p>
        </w:tc>
        <w:tc>
          <w:tcPr>
            <w:tcW w:w="4678" w:type="dxa"/>
          </w:tcPr>
          <w:p w14:paraId="4D6ECB7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eastAsia="zh-CN"/>
              </w:rPr>
            </w:pPr>
            <w:r w:rsidRPr="00236418">
              <w:rPr>
                <w:rFonts w:cs="Calibri"/>
                <w:b/>
                <w:bCs/>
                <w:sz w:val="20"/>
                <w:lang w:eastAsia="zh-CN"/>
              </w:rPr>
              <w:t>Mesures d'intervention de l'UIT</w:t>
            </w:r>
          </w:p>
        </w:tc>
      </w:tr>
      <w:tr w:rsidR="00862C6F" w:rsidRPr="00236418" w14:paraId="4964F900" w14:textId="77777777" w:rsidTr="00620F53">
        <w:trPr>
          <w:jc w:val="center"/>
        </w:trPr>
        <w:tc>
          <w:tcPr>
            <w:tcW w:w="1271" w:type="dxa"/>
          </w:tcPr>
          <w:p w14:paraId="204DBE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sz w:val="20"/>
                <w:lang w:eastAsia="zh-CN"/>
              </w:rPr>
            </w:pPr>
            <w:r w:rsidRPr="00236418">
              <w:rPr>
                <w:rFonts w:cs="Calibri"/>
                <w:b/>
                <w:bCs/>
                <w:color w:val="70AD47"/>
                <w:sz w:val="20"/>
                <w:lang w:eastAsia="zh-CN"/>
              </w:rPr>
              <w:t>Période inter-pandémique</w:t>
            </w:r>
          </w:p>
        </w:tc>
        <w:tc>
          <w:tcPr>
            <w:tcW w:w="1701" w:type="dxa"/>
          </w:tcPr>
          <w:p w14:paraId="61A334A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sz w:val="20"/>
                <w:lang w:eastAsia="zh-CN"/>
              </w:rPr>
            </w:pPr>
          </w:p>
        </w:tc>
        <w:tc>
          <w:tcPr>
            <w:tcW w:w="2126" w:type="dxa"/>
          </w:tcPr>
          <w:p w14:paraId="4D29178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Pathogènes identifiés – Aucun cas ou cas isolés d'infection humaine (par exemple: transmission à l'homme de virus présents chez l'animal).</w:t>
            </w:r>
          </w:p>
        </w:tc>
        <w:tc>
          <w:tcPr>
            <w:tcW w:w="4678" w:type="dxa"/>
          </w:tcPr>
          <w:p w14:paraId="3C7997B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Suivre/solliciter les informations actualisées de l'OMS, des Directeurs des services médicaux des organismes des Nations Unies et du pays hôte.</w:t>
            </w:r>
          </w:p>
          <w:p w14:paraId="1FBD843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Suivre les déplacements du personnel et les manifestations au siège et dans les régions.</w:t>
            </w:r>
          </w:p>
          <w:p w14:paraId="448547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Suivre les rapports du Centre des Nations Unies pour les opérations et la gestion des crises.</w:t>
            </w:r>
          </w:p>
          <w:p w14:paraId="481ADB8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Continuer de tenir régulièrement à jour les plans concernant la gestion de crise, les communications et la continuité des activités.</w:t>
            </w:r>
          </w:p>
        </w:tc>
      </w:tr>
      <w:tr w:rsidR="00862C6F" w:rsidRPr="00236418" w14:paraId="2653B598" w14:textId="77777777" w:rsidTr="00620F53">
        <w:trPr>
          <w:jc w:val="center"/>
        </w:trPr>
        <w:tc>
          <w:tcPr>
            <w:tcW w:w="1271" w:type="dxa"/>
          </w:tcPr>
          <w:p w14:paraId="41B153D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C000"/>
                <w:sz w:val="20"/>
                <w:lang w:eastAsia="zh-CN"/>
              </w:rPr>
            </w:pPr>
            <w:r w:rsidRPr="00236418">
              <w:rPr>
                <w:rFonts w:cs="Calibri"/>
                <w:b/>
                <w:bCs/>
                <w:color w:val="FFC000"/>
                <w:sz w:val="20"/>
                <w:lang w:eastAsia="zh-CN"/>
              </w:rPr>
              <w:t>Période d'alerte à la pandémie</w:t>
            </w:r>
          </w:p>
        </w:tc>
        <w:tc>
          <w:tcPr>
            <w:tcW w:w="1701" w:type="dxa"/>
          </w:tcPr>
          <w:p w14:paraId="4AEAF71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C000"/>
                <w:sz w:val="20"/>
                <w:lang w:eastAsia="zh-CN"/>
              </w:rPr>
            </w:pPr>
            <w:r w:rsidRPr="00236418">
              <w:rPr>
                <w:rFonts w:cs="Calibri"/>
                <w:b/>
                <w:bCs/>
                <w:color w:val="FFC000"/>
                <w:sz w:val="20"/>
                <w:lang w:eastAsia="zh-CN"/>
              </w:rPr>
              <w:t>1</w:t>
            </w:r>
            <w:r w:rsidRPr="00236418">
              <w:rPr>
                <w:rFonts w:cs="Calibri"/>
                <w:b/>
                <w:bCs/>
                <w:color w:val="FFC000"/>
                <w:sz w:val="20"/>
                <w:lang w:eastAsia="zh-CN"/>
              </w:rPr>
              <w:br/>
              <w:t>Préparation:</w:t>
            </w:r>
            <w:r w:rsidRPr="00236418">
              <w:rPr>
                <w:rFonts w:cs="Calibri"/>
                <w:b/>
                <w:bCs/>
                <w:color w:val="FFC000"/>
                <w:sz w:val="20"/>
                <w:lang w:eastAsia="zh-CN"/>
              </w:rPr>
              <w:br/>
              <w:t>(état d'alerte)</w:t>
            </w:r>
          </w:p>
        </w:tc>
        <w:tc>
          <w:tcPr>
            <w:tcW w:w="2126" w:type="dxa"/>
          </w:tcPr>
          <w:p w14:paraId="3316E55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Groupes de cas sporadiques ou restreints d'infection humaine grave n'entraînant pas de transmission interhumaine suffisante pour provoquer une flambée épidémique au niveau communautaire.</w:t>
            </w:r>
          </w:p>
        </w:tc>
        <w:tc>
          <w:tcPr>
            <w:tcW w:w="4678" w:type="dxa"/>
          </w:tcPr>
          <w:p w14:paraId="1069BB6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Consulter l'OMS, les Directeurs des services médicaux des organismes des Nations Unies et le pays hôte.</w:t>
            </w:r>
          </w:p>
          <w:p w14:paraId="43468AF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Examiner/mettre à jour les plans spécifiques pour les interventions, les communications et la continuité des activités.</w:t>
            </w:r>
          </w:p>
          <w:p w14:paraId="044D58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Identifier les lacunes en matière de planification, d'équipement ou d'approvisionnement afin d'y remédier.</w:t>
            </w:r>
          </w:p>
        </w:tc>
      </w:tr>
      <w:tr w:rsidR="00862C6F" w:rsidRPr="00236418" w14:paraId="2A7DAC09" w14:textId="77777777" w:rsidTr="00620F53">
        <w:trPr>
          <w:jc w:val="center"/>
        </w:trPr>
        <w:tc>
          <w:tcPr>
            <w:tcW w:w="1271" w:type="dxa"/>
          </w:tcPr>
          <w:p w14:paraId="746A3F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ED7D31"/>
                <w:sz w:val="20"/>
                <w:lang w:eastAsia="zh-CN"/>
              </w:rPr>
            </w:pPr>
            <w:r w:rsidRPr="00236418">
              <w:rPr>
                <w:rFonts w:cs="Calibri"/>
                <w:b/>
                <w:bCs/>
                <w:color w:val="ED7D31"/>
                <w:sz w:val="20"/>
                <w:lang w:eastAsia="zh-CN"/>
              </w:rPr>
              <w:t>Période de flambée</w:t>
            </w:r>
          </w:p>
        </w:tc>
        <w:tc>
          <w:tcPr>
            <w:tcW w:w="1701" w:type="dxa"/>
          </w:tcPr>
          <w:p w14:paraId="2B21E61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ED7D31"/>
                <w:sz w:val="20"/>
                <w:lang w:eastAsia="zh-CN"/>
              </w:rPr>
            </w:pPr>
            <w:r w:rsidRPr="00236418">
              <w:rPr>
                <w:rFonts w:cs="Calibri"/>
                <w:b/>
                <w:bCs/>
                <w:color w:val="ED7D31"/>
                <w:sz w:val="20"/>
                <w:lang w:eastAsia="zh-CN"/>
              </w:rPr>
              <w:t>2</w:t>
            </w:r>
            <w:r w:rsidRPr="00236418">
              <w:rPr>
                <w:rFonts w:cs="Calibri"/>
                <w:b/>
                <w:bCs/>
                <w:color w:val="ED7D31"/>
                <w:sz w:val="20"/>
                <w:lang w:eastAsia="zh-CN"/>
              </w:rPr>
              <w:br/>
              <w:t>Préparation renforcée</w:t>
            </w:r>
            <w:r w:rsidRPr="00236418">
              <w:rPr>
                <w:rFonts w:cs="Calibri"/>
                <w:b/>
                <w:bCs/>
                <w:color w:val="ED7D31"/>
                <w:sz w:val="20"/>
                <w:lang w:eastAsia="zh-CN"/>
              </w:rPr>
              <w:br/>
              <w:t>(état d'alerte élevé)</w:t>
            </w:r>
          </w:p>
        </w:tc>
        <w:tc>
          <w:tcPr>
            <w:tcW w:w="2126" w:type="dxa"/>
          </w:tcPr>
          <w:p w14:paraId="4E84FFA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Confirmation que l'épidémie est causée par des pathogènes transmissibles d'homme à homme, entraînant une infection grave, et susceptibles de provoquer une flambée épidémique prolongée au sein de la population générale.</w:t>
            </w:r>
          </w:p>
          <w:p w14:paraId="5F50C12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L'OMS qualifie l'épidémie d'urgence de santé publique de portée internationale.</w:t>
            </w:r>
          </w:p>
          <w:p w14:paraId="380F99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Absence de cas au siège de l'UIT, présence possible dans les bureaux régionaux/bureaux de zone ou à d'autres endroits où l'UIT déploie des activités.</w:t>
            </w:r>
          </w:p>
          <w:p w14:paraId="497F33F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En présence de cas au siège de l'UIT, mettre en œuvre la phase 4 (flambée épidémique localisée).</w:t>
            </w:r>
          </w:p>
        </w:tc>
        <w:tc>
          <w:tcPr>
            <w:tcW w:w="4678" w:type="dxa"/>
          </w:tcPr>
          <w:p w14:paraId="2FF934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Consulter l'OMS, les Directeurs des services médicaux des organismes des Nations Unies et le pays hôte.</w:t>
            </w:r>
          </w:p>
          <w:p w14:paraId="064D5A8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Le cas échéant, contacter les bureaux régionaux et bureaux de zone touchés et fournir un appui sur le plan des procédures, des communications et du matériel.</w:t>
            </w:r>
          </w:p>
          <w:p w14:paraId="6096445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Annuler les déplacements vers des lieux signalés comme présentant un risque élevé ainsi que les réunions et les manifestations devant s'y dérouler.</w:t>
            </w:r>
          </w:p>
          <w:p w14:paraId="7FC93F0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Déployer des activités d'information/de sensibilisation à l'intention du personnel.</w:t>
            </w:r>
          </w:p>
          <w:p w14:paraId="668500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Mener des campagnes de vaccination (s'il y a lieu et si un vaccin existe).</w:t>
            </w:r>
          </w:p>
          <w:p w14:paraId="177BECD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Constituer des réserves d'équipements de protection individuelle (EPI) appropriés.</w:t>
            </w:r>
          </w:p>
          <w:p w14:paraId="083AF64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Constituer des réserves de médicaments adaptés disponibles.</w:t>
            </w:r>
          </w:p>
          <w:p w14:paraId="59072F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Préparer des installations médicales isolées, examiner/tester les procédures en cas d'événement médical sur place.</w:t>
            </w:r>
          </w:p>
          <w:p w14:paraId="03A6D77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Mettre en œuvre un suivi actif et des mesures de préparation et d'intervention renforcées pour les manifestations et les réunions.</w:t>
            </w:r>
          </w:p>
          <w:p w14:paraId="32A4634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Limiter les voyages officiels pour les missions aux voyages essentiels qui sont approuvés par le SG selon les besoins.</w:t>
            </w:r>
          </w:p>
          <w:p w14:paraId="678117A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lastRenderedPageBreak/>
              <w:t>•</w:t>
            </w:r>
            <w:r w:rsidRPr="00236418">
              <w:rPr>
                <w:sz w:val="20"/>
              </w:rPr>
              <w:tab/>
            </w:r>
            <w:r w:rsidRPr="00236418">
              <w:rPr>
                <w:sz w:val="20"/>
                <w:lang w:eastAsia="zh-CN"/>
              </w:rPr>
              <w:t>Convoquer une réunion de l'équipe de gestion de crise (CMT) pour examiner les mesures de préparation et d'intervention et résoudre les questions en suspens.</w:t>
            </w:r>
          </w:p>
          <w:p w14:paraId="5E74FD0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Convoquer une réunion de l'équipe de lutte opérationnelle (ORT) afin d'organiser les activités et de donner suite aux décisions transmises par l'équipe CMT.</w:t>
            </w:r>
          </w:p>
          <w:p w14:paraId="491B67C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Évaluer la disponibilité et l'état de préparation du personnel essentiel, en mettant particulièrement l'accent sur la capacité de télétravail.</w:t>
            </w:r>
          </w:p>
          <w:p w14:paraId="3B68472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Permettre et encourager la participation à distance, au siège et dans des pays tiers où sont organisées des réunions faisant intervenir des participants issus de zones touchées qui présentent un risque élevé.</w:t>
            </w:r>
          </w:p>
        </w:tc>
      </w:tr>
      <w:tr w:rsidR="00862C6F" w:rsidRPr="00236418" w14:paraId="39DBBEB4" w14:textId="77777777" w:rsidTr="00620F53">
        <w:trPr>
          <w:jc w:val="center"/>
        </w:trPr>
        <w:tc>
          <w:tcPr>
            <w:tcW w:w="1271" w:type="dxa"/>
          </w:tcPr>
          <w:p w14:paraId="323D901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eastAsia="zh-CN"/>
              </w:rPr>
            </w:pPr>
            <w:r w:rsidRPr="00236418">
              <w:rPr>
                <w:rFonts w:cs="Calibri"/>
                <w:b/>
                <w:bCs/>
                <w:color w:val="FF0000"/>
                <w:sz w:val="20"/>
                <w:lang w:eastAsia="zh-CN"/>
              </w:rPr>
              <w:lastRenderedPageBreak/>
              <w:t>Période de pandémie</w:t>
            </w:r>
          </w:p>
        </w:tc>
        <w:tc>
          <w:tcPr>
            <w:tcW w:w="1701" w:type="dxa"/>
          </w:tcPr>
          <w:p w14:paraId="7ECD8C6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eastAsia="zh-CN"/>
              </w:rPr>
            </w:pPr>
            <w:r w:rsidRPr="00236418">
              <w:rPr>
                <w:rFonts w:cs="Calibri"/>
                <w:b/>
                <w:bCs/>
                <w:color w:val="FF0000"/>
                <w:sz w:val="20"/>
                <w:lang w:eastAsia="zh-CN"/>
              </w:rPr>
              <w:t>3</w:t>
            </w:r>
            <w:r w:rsidRPr="00236418">
              <w:rPr>
                <w:rFonts w:cs="Calibri"/>
                <w:b/>
                <w:bCs/>
                <w:color w:val="FF0000"/>
                <w:sz w:val="20"/>
                <w:lang w:eastAsia="zh-CN"/>
              </w:rPr>
              <w:br/>
              <w:t xml:space="preserve">Pandémie </w:t>
            </w:r>
            <w:r w:rsidRPr="00236418">
              <w:rPr>
                <w:rFonts w:cs="Calibri"/>
                <w:b/>
                <w:bCs/>
                <w:color w:val="FF0000"/>
                <w:sz w:val="20"/>
                <w:lang w:eastAsia="zh-CN"/>
              </w:rPr>
              <w:br/>
              <w:t>(déclarée)</w:t>
            </w:r>
          </w:p>
        </w:tc>
        <w:tc>
          <w:tcPr>
            <w:tcW w:w="2126" w:type="dxa"/>
          </w:tcPr>
          <w:p w14:paraId="2E8F77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L'OMS qualifie l'épidémie de pandémie globale de portée internationale. Des orientations particulières seront données lors de cette annonce.</w:t>
            </w:r>
          </w:p>
          <w:p w14:paraId="50D9D34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Foyers de plus en plus nombreux et importants de cas de transmission interhumaine avec un risque concret/élevé de transmission communautaire dans les pays accueillant le siège de l'UIT ou ses bureaux régionaux ou bureaux de zone.</w:t>
            </w:r>
          </w:p>
        </w:tc>
        <w:tc>
          <w:tcPr>
            <w:tcW w:w="4678" w:type="dxa"/>
          </w:tcPr>
          <w:p w14:paraId="4F8B1DA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Suivre les lignes directrices de l'OMS, des Directeurs des services médicaux des organismes des Nations Unies, des responsables désignés par l'ONU et du pays hôte dans tous les lieux où sont situés le siège, les bureaux régionaux et les bureaux de zone.</w:t>
            </w:r>
          </w:p>
          <w:p w14:paraId="26FDD88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Convoquer une nouvelle réunion de l'équipe CMT pour examiner les mesures de préparation et d'intervention en cours de mise en œuvre.</w:t>
            </w:r>
          </w:p>
          <w:p w14:paraId="7369723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Organiser des réunions de l'équipe ORT afin de continuer de donner suite aux décisions transmises par l'équipe CMT.</w:t>
            </w:r>
          </w:p>
          <w:p w14:paraId="2F505F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Évaluer les incidences qu'aurait la déclaration officielle, par l'UIT, de la réduction de ses activités, en particulier sur les fonctions essentielles des Secteurs et des Départements et sur les priorités établies dans l'analyse SBIA.</w:t>
            </w:r>
          </w:p>
          <w:p w14:paraId="397C27B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Consulter les États Membres et d'autres parties prenantes, le cas échéant.</w:t>
            </w:r>
          </w:p>
          <w:p w14:paraId="6B0C688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Suivant les orientations associées à l'annonce de l'OMS, l'UIT prendra les mesures d'atténuation suivantes:</w:t>
            </w:r>
          </w:p>
          <w:p w14:paraId="5613D797" w14:textId="77777777" w:rsidR="00862C6F" w:rsidRPr="00236418"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eastAsia="zh-CN"/>
              </w:rPr>
            </w:pPr>
            <w:r w:rsidRPr="00236418">
              <w:rPr>
                <w:sz w:val="20"/>
                <w:lang w:eastAsia="zh-CN"/>
              </w:rPr>
              <w:t>–</w:t>
            </w:r>
            <w:r w:rsidRPr="00236418">
              <w:rPr>
                <w:sz w:val="20"/>
                <w:lang w:eastAsia="zh-CN"/>
              </w:rPr>
              <w:tab/>
              <w:t>suspension des voyages officiels pour les missions jusqu'à nouvel ordre;</w:t>
            </w:r>
          </w:p>
          <w:p w14:paraId="5242AB20" w14:textId="77777777" w:rsidR="00862C6F" w:rsidRPr="00236418"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eastAsia="zh-CN"/>
              </w:rPr>
            </w:pPr>
            <w:r w:rsidRPr="00236418">
              <w:rPr>
                <w:sz w:val="20"/>
                <w:lang w:eastAsia="zh-CN"/>
              </w:rPr>
              <w:t>–</w:t>
            </w:r>
            <w:r w:rsidRPr="00236418">
              <w:rPr>
                <w:sz w:val="20"/>
                <w:lang w:eastAsia="zh-CN"/>
              </w:rPr>
              <w:tab/>
              <w:t>annulation des réunions en présentiel dans les locaux du siège de l'UIT ou dans des pays tiers;</w:t>
            </w:r>
          </w:p>
          <w:p w14:paraId="62ABBA59" w14:textId="77777777" w:rsidR="00862C6F" w:rsidRPr="00236418"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eastAsia="zh-CN"/>
              </w:rPr>
            </w:pPr>
            <w:r w:rsidRPr="00236418">
              <w:rPr>
                <w:sz w:val="20"/>
                <w:lang w:eastAsia="zh-CN"/>
              </w:rPr>
              <w:t>–</w:t>
            </w:r>
            <w:r w:rsidRPr="00236418">
              <w:rPr>
                <w:sz w:val="20"/>
                <w:lang w:eastAsia="zh-CN"/>
              </w:rPr>
              <w:tab/>
              <w:t>évaluation du bien-être du personnel sur le lieu de travail;</w:t>
            </w:r>
          </w:p>
          <w:p w14:paraId="7118CC5C" w14:textId="77777777" w:rsidR="00862C6F" w:rsidRPr="00236418"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eastAsia="zh-CN"/>
              </w:rPr>
            </w:pPr>
            <w:r w:rsidRPr="00236418">
              <w:rPr>
                <w:sz w:val="20"/>
                <w:lang w:eastAsia="zh-CN"/>
              </w:rPr>
              <w:t>–</w:t>
            </w:r>
            <w:r w:rsidRPr="00236418">
              <w:rPr>
                <w:sz w:val="20"/>
                <w:lang w:eastAsia="zh-CN"/>
              </w:rPr>
              <w:tab/>
              <w:t>mise en œuvre des procédures de continuité des activités qui conviennent (par exemple, télétravail depuis le domicile si nécessaire);</w:t>
            </w:r>
          </w:p>
          <w:p w14:paraId="5F64D211" w14:textId="77777777" w:rsidR="00862C6F" w:rsidRPr="00236418"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eastAsia="zh-CN"/>
              </w:rPr>
            </w:pPr>
            <w:r w:rsidRPr="00236418">
              <w:rPr>
                <w:sz w:val="20"/>
                <w:lang w:eastAsia="zh-CN"/>
              </w:rPr>
              <w:t>–</w:t>
            </w:r>
            <w:r w:rsidRPr="00236418">
              <w:rPr>
                <w:sz w:val="20"/>
                <w:lang w:eastAsia="zh-CN"/>
              </w:rPr>
              <w:tab/>
              <w:t>recommandation faite aux fonctionnaires présentant des symptômes de se placer d'eux-mêmes en isolement.</w:t>
            </w:r>
          </w:p>
        </w:tc>
      </w:tr>
    </w:tbl>
    <w:p w14:paraId="3E2FC1C7" w14:textId="77777777" w:rsidR="00862C6F" w:rsidRPr="00236418" w:rsidRDefault="00862C6F" w:rsidP="00862C6F">
      <w:r w:rsidRPr="00236418">
        <w:br w:type="page"/>
      </w:r>
    </w:p>
    <w:tbl>
      <w:tblPr>
        <w:tblStyle w:val="TableGrid1"/>
        <w:tblW w:w="9776" w:type="dxa"/>
        <w:jc w:val="center"/>
        <w:tblLayout w:type="fixed"/>
        <w:tblLook w:val="04A0" w:firstRow="1" w:lastRow="0" w:firstColumn="1" w:lastColumn="0" w:noHBand="0" w:noVBand="1"/>
      </w:tblPr>
      <w:tblGrid>
        <w:gridCol w:w="1271"/>
        <w:gridCol w:w="1701"/>
        <w:gridCol w:w="2126"/>
        <w:gridCol w:w="4678"/>
      </w:tblGrid>
      <w:tr w:rsidR="00862C6F" w:rsidRPr="00236418" w14:paraId="4FA60A96" w14:textId="77777777" w:rsidTr="00620F53">
        <w:trPr>
          <w:jc w:val="center"/>
        </w:trPr>
        <w:tc>
          <w:tcPr>
            <w:tcW w:w="1271" w:type="dxa"/>
          </w:tcPr>
          <w:p w14:paraId="4929C69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eastAsia="zh-CN"/>
              </w:rPr>
            </w:pPr>
          </w:p>
        </w:tc>
        <w:tc>
          <w:tcPr>
            <w:tcW w:w="1701" w:type="dxa"/>
          </w:tcPr>
          <w:p w14:paraId="62B4336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eastAsia="zh-CN"/>
              </w:rPr>
            </w:pPr>
            <w:r w:rsidRPr="00236418">
              <w:rPr>
                <w:rFonts w:cs="Calibri"/>
                <w:b/>
                <w:bCs/>
                <w:color w:val="FF0000"/>
                <w:sz w:val="20"/>
                <w:lang w:eastAsia="zh-CN"/>
              </w:rPr>
              <w:t>4</w:t>
            </w:r>
            <w:r w:rsidRPr="00236418">
              <w:rPr>
                <w:rFonts w:cs="Calibri"/>
                <w:b/>
                <w:bCs/>
                <w:color w:val="FF0000"/>
                <w:sz w:val="20"/>
                <w:lang w:eastAsia="zh-CN"/>
              </w:rPr>
              <w:br/>
              <w:t xml:space="preserve">Pandémie </w:t>
            </w:r>
            <w:r w:rsidRPr="00236418">
              <w:rPr>
                <w:rFonts w:cs="Calibri"/>
                <w:b/>
                <w:bCs/>
                <w:color w:val="FF0000"/>
                <w:sz w:val="20"/>
                <w:lang w:eastAsia="zh-CN"/>
              </w:rPr>
              <w:br/>
              <w:t>(flambée épidémique localisée)</w:t>
            </w:r>
          </w:p>
        </w:tc>
        <w:tc>
          <w:tcPr>
            <w:tcW w:w="2126" w:type="dxa"/>
          </w:tcPr>
          <w:p w14:paraId="3625824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eastAsia="zh-CN"/>
              </w:rPr>
            </w:pPr>
            <w:r w:rsidRPr="00236418">
              <w:rPr>
                <w:sz w:val="20"/>
                <w:lang w:eastAsia="zh-CN"/>
              </w:rPr>
              <w:t>Transmission communautaire interhumaine accrue et durable dans les pays accueillant le siège de l'UIT ou ses bureaux régionaux ou bureaux de zone.</w:t>
            </w:r>
          </w:p>
        </w:tc>
        <w:tc>
          <w:tcPr>
            <w:tcW w:w="4678" w:type="dxa"/>
          </w:tcPr>
          <w:p w14:paraId="5804125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Suivre les lignes directrices de l'OMS, des Directeurs des services médicaux des organismes des Nations unies, des responsables désignés par l'ONU et du pays hôte (réunions et bureaux) dans tous les lieux, y compris au siège.</w:t>
            </w:r>
          </w:p>
          <w:p w14:paraId="2F4196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L'UIT déclare officiellement qu'elle reste ouverte mais que le travail se fait différemment, en tenant compte des incidences particulières sur ses fonctions opérationnelles essentielles.</w:t>
            </w:r>
          </w:p>
          <w:p w14:paraId="02473EA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Restreindre l'accès aux locaux pour toutes les personnes autres que les fonctionnaires ayant besoin d'effectuer des tâches officielles essentielles qui ne peuvent être effectuées à distance.</w:t>
            </w:r>
          </w:p>
          <w:p w14:paraId="023BC75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Annuler les voyages officiels.</w:t>
            </w:r>
          </w:p>
          <w:p w14:paraId="4A5A33D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Annuler toutes les réunions en présentiel dans les lieux d'affectation touchés.</w:t>
            </w:r>
          </w:p>
          <w:p w14:paraId="018284A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Les fonctionnaires de l'UIT sont en télétravail/restent à leur domicile jusqu'à nouvel ordre.</w:t>
            </w:r>
          </w:p>
          <w:p w14:paraId="0728DC6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Il est vivement recommandé au personnel de l'UIT de ne pas effectuer de voyages privés.</w:t>
            </w:r>
          </w:p>
          <w:p w14:paraId="459C496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Il est recommandé aux fonctionnaires présentant un risque élevé de se placer d'eux-mêmes en isolement.</w:t>
            </w:r>
          </w:p>
          <w:p w14:paraId="17B93F5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Mettre en œuvre les activités définies comme étant prioritaires par l'analyse SBIA pour assurer la continuité des activités de l'UIT.</w:t>
            </w:r>
          </w:p>
          <w:p w14:paraId="38C0987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eastAsia="zh-CN"/>
              </w:rPr>
            </w:pPr>
            <w:r w:rsidRPr="00236418">
              <w:rPr>
                <w:sz w:val="20"/>
              </w:rPr>
              <w:t>•</w:t>
            </w:r>
            <w:r w:rsidRPr="00236418">
              <w:rPr>
                <w:sz w:val="20"/>
              </w:rPr>
              <w:tab/>
            </w:r>
            <w:r w:rsidRPr="00236418">
              <w:rPr>
                <w:sz w:val="20"/>
                <w:lang w:eastAsia="zh-CN"/>
              </w:rPr>
              <w:t>Consulter et informer les États Membres et d'autres parties prenantes.</w:t>
            </w:r>
          </w:p>
        </w:tc>
      </w:tr>
    </w:tbl>
    <w:p w14:paraId="2FF0F1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lang w:eastAsia="zh-CN"/>
        </w:rPr>
      </w:pPr>
      <w:r w:rsidRPr="00236418">
        <w:rPr>
          <w:rFonts w:eastAsia="SimSun" w:cs="Calibri"/>
          <w:sz w:val="20"/>
          <w:lang w:eastAsia="zh-CN"/>
        </w:rPr>
        <w:br w:type="page"/>
      </w:r>
    </w:p>
    <w:tbl>
      <w:tblPr>
        <w:tblStyle w:val="TableGrid1"/>
        <w:tblW w:w="10060" w:type="dxa"/>
        <w:jc w:val="center"/>
        <w:tblLook w:val="04A0" w:firstRow="1" w:lastRow="0" w:firstColumn="1" w:lastColumn="0" w:noHBand="0" w:noVBand="1"/>
      </w:tblPr>
      <w:tblGrid>
        <w:gridCol w:w="1232"/>
        <w:gridCol w:w="1457"/>
        <w:gridCol w:w="2126"/>
        <w:gridCol w:w="5245"/>
      </w:tblGrid>
      <w:tr w:rsidR="00862C6F" w:rsidRPr="00236418" w14:paraId="68134F10" w14:textId="77777777" w:rsidTr="00620F53">
        <w:trPr>
          <w:jc w:val="center"/>
        </w:trPr>
        <w:tc>
          <w:tcPr>
            <w:tcW w:w="10060" w:type="dxa"/>
            <w:gridSpan w:val="4"/>
          </w:tcPr>
          <w:p w14:paraId="497D542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eastAsia="zh-CN"/>
              </w:rPr>
            </w:pPr>
            <w:r w:rsidRPr="00236418">
              <w:rPr>
                <w:rFonts w:cs="Calibri"/>
                <w:b/>
                <w:bCs/>
                <w:color w:val="FF0000"/>
                <w:sz w:val="20"/>
                <w:lang w:eastAsia="zh-CN"/>
              </w:rPr>
              <w:lastRenderedPageBreak/>
              <w:t>RÉTABLISSEMENT APRÈS LA FLAMBÉE ÉPIDÉMIQUE LOCALISÉE (Transmission communautaire interhumaine)</w:t>
            </w:r>
          </w:p>
        </w:tc>
      </w:tr>
      <w:tr w:rsidR="00862C6F" w:rsidRPr="00236418" w14:paraId="1F9BC2EB" w14:textId="77777777" w:rsidTr="00620F53">
        <w:trPr>
          <w:jc w:val="center"/>
        </w:trPr>
        <w:tc>
          <w:tcPr>
            <w:tcW w:w="1232" w:type="dxa"/>
            <w:vMerge w:val="restart"/>
          </w:tcPr>
          <w:p w14:paraId="47CCF74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60"/>
              <w:jc w:val="center"/>
              <w:textAlignment w:val="auto"/>
              <w:rPr>
                <w:rFonts w:cs="Calibri"/>
                <w:b/>
                <w:bCs/>
                <w:sz w:val="20"/>
                <w:lang w:eastAsia="zh-CN"/>
              </w:rPr>
            </w:pPr>
            <w:r w:rsidRPr="00236418">
              <w:rPr>
                <w:rFonts w:cs="Calibri"/>
                <w:b/>
                <w:bCs/>
                <w:noProof/>
                <w:sz w:val="20"/>
                <w:lang w:val="en-US"/>
              </w:rPr>
              <mc:AlternateContent>
                <mc:Choice Requires="wps">
                  <w:drawing>
                    <wp:anchor distT="0" distB="0" distL="114300" distR="114300" simplePos="0" relativeHeight="251740160" behindDoc="0" locked="0" layoutInCell="1" allowOverlap="1" wp14:anchorId="61B528F4" wp14:editId="7DF10728">
                      <wp:simplePos x="0" y="0"/>
                      <wp:positionH relativeFrom="column">
                        <wp:posOffset>-55148</wp:posOffset>
                      </wp:positionH>
                      <wp:positionV relativeFrom="paragraph">
                        <wp:posOffset>43496</wp:posOffset>
                      </wp:positionV>
                      <wp:extent cx="593891" cy="4875395"/>
                      <wp:effectExtent l="19050" t="0" r="34925" b="40005"/>
                      <wp:wrapNone/>
                      <wp:docPr id="6" name="Arrow: Down 6"/>
                      <wp:cNvGraphicFramePr/>
                      <a:graphic xmlns:a="http://schemas.openxmlformats.org/drawingml/2006/main">
                        <a:graphicData uri="http://schemas.microsoft.com/office/word/2010/wordprocessingShape">
                          <wps:wsp>
                            <wps:cNvSpPr/>
                            <wps:spPr>
                              <a:xfrm>
                                <a:off x="0" y="0"/>
                                <a:ext cx="593891" cy="4875395"/>
                              </a:xfrm>
                              <a:prstGeom prst="downArrow">
                                <a:avLst/>
                              </a:prstGeom>
                              <a:gradFill rotWithShape="1">
                                <a:gsLst>
                                  <a:gs pos="0">
                                    <a:srgbClr val="FF0000"/>
                                  </a:gs>
                                  <a:gs pos="29000">
                                    <a:srgbClr val="F6BE19"/>
                                  </a:gs>
                                  <a:gs pos="67000">
                                    <a:srgbClr val="FFFF00"/>
                                  </a:gs>
                                  <a:gs pos="99065">
                                    <a:srgbClr val="70AD47"/>
                                  </a:gs>
                                </a:gsLst>
                                <a:path path="circle">
                                  <a:fillToRect r="100000" b="100000"/>
                                </a:path>
                                <a:tileRect l="-100000" t="-100000"/>
                              </a:gra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C9BCB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4.35pt;margin-top:3.4pt;width:46.75pt;height:38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8J3wIAAA0GAAAOAAAAZHJzL2Uyb0RvYy54bWysVE1T2zAQvXem/0GjO9gJJMQeHCaQphem&#10;MIUOZyHLsWZkS5VEHPrr+yQ7IUBOnfogr7Rf2qe3e3m1bRTZCOukbgs6Ok0pES3XpWzXBf31uDqZ&#10;UeI8a0umdCsK+iocvZp//XLZmVyMda1VKSxBkNblnSlo7b3Jk8TxWjTMnWojWigrbRvmsbXrpLSs&#10;Q/RGJeM0nSadtqWxmgvncLrslXQe41eV4P6uqpzwRBUUd/NxtXF9Dmsyv2T52jJTSz5cg/3DLRom&#10;WyTdh1oyz8iLlZ9CNZJb7XTlT7luEl1VkotYA6oZpR+qeaiZEbEWgOPMHib3/8LyH5t7S2RZ0Ckl&#10;LWvwRAtrdZeTpe5aMg0AdcblsHsw93bYOYih2m1lm/BHHWQbQX3dgyq2nnAcTrKzWTaihEN1PruY&#10;nGWTEDR58zbW+e9CNyQIBS2RON4hAso2t8739ju7AedyJZUiVvsn6esIFQjYP4KDT7RyxGiglcZj&#10;Z9fPN8qSDQMZVqsU33CTtTu0HmdBE07ee0yvv42yox7Ti+Meq5DlqEeWpdPJ5xwX6WJ5fnHgAZjW&#10;u2oM8zUJS0G5tFwFarC8AgqP+ieYTsDrUagKRAe5B3HADm7B2ksloi0gONkZA/Sd3FujISK6wUO1&#10;pEOwMUrEIzL0aKWYh9gYsMa1a0qYWqP5ubd9QVrJvfc7BCfX2fVyqLpmpehfYhJv3CcezCM93GGc&#10;8PZL5ureJaoCSixvpMcAUbIp6KyvvY+k2qAVcQQMDAo87pkbpGddvoL64E8krjN8JZHkljl/zyyG&#10;AMrFYPN3WCqlgYEeJEpqbf8cOw/26E1oKekwVIDP7xdmBVrrpbnRwByNgExRRHzr1U6srG6eMMsW&#10;IQJUrOWI06M6bG489lBhGnKxWEQZUwSMuG0fDA/BQ80BqsftE7NmaCiPVvyhd8OE5R9aqrcF5G+o&#10;DBvMnPgSw3wMQ+1wH63epvj8LwAAAP//AwBQSwMEFAAGAAgAAAAhAMA9vvLdAAAABwEAAA8AAABk&#10;cnMvZG93bnJldi54bWxMj8FqwzAQRO+F/oPYQm+JnJLaxvU6hEB7LXUCpTfFUmw30spYcuL8fben&#10;9jQsM8y8LTezs+JixtB7QlgtExCGGq97ahEO+9dFDiJERVpZTwbhZgJsqvu7UhXaX+nDXOrYCi6h&#10;UCiELsahkDI0nXEqLP1giL2TH52KfI6t1KO6crmz8ilJUulUT7zQqcHsOtOc68khTPXen2L//N3K&#10;w9Ymb1+7/P3zhvj4MG9fQEQzx78w/OIzOlTMdPQT6SAswiLPOImQ8gNs52vWI0KWrVOQVSn/81c/&#10;AAAA//8DAFBLAQItABQABgAIAAAAIQC2gziS/gAAAOEBAAATAAAAAAAAAAAAAAAAAAAAAABbQ29u&#10;dGVudF9UeXBlc10ueG1sUEsBAi0AFAAGAAgAAAAhADj9If/WAAAAlAEAAAsAAAAAAAAAAAAAAAAA&#10;LwEAAF9yZWxzLy5yZWxzUEsBAi0AFAAGAAgAAAAhAMgOjwnfAgAADQYAAA4AAAAAAAAAAAAAAAAA&#10;LgIAAGRycy9lMm9Eb2MueG1sUEsBAi0AFAAGAAgAAAAhAMA9vvLdAAAABwEAAA8AAAAAAAAAAAAA&#10;AAAAOQUAAGRycy9kb3ducmV2LnhtbFBLBQYAAAAABAAEAPMAAABDBgAAAAA=&#10;" adj="20284" fillcolor="red" strokecolor="#41719c" strokeweight="1pt">
                      <v:fill color2="#70ad47" rotate="t" colors="0 red;19005f #f6be19;43909f yellow;64923f #70ad47" focus="100%" type="gradientRadial"/>
                    </v:shape>
                  </w:pict>
                </mc:Fallback>
              </mc:AlternateContent>
            </w:r>
          </w:p>
        </w:tc>
        <w:tc>
          <w:tcPr>
            <w:tcW w:w="1457" w:type="dxa"/>
          </w:tcPr>
          <w:p w14:paraId="1D37FA5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eastAsia="zh-CN"/>
              </w:rPr>
            </w:pPr>
            <w:r w:rsidRPr="00236418">
              <w:rPr>
                <w:rFonts w:cs="Calibri"/>
                <w:b/>
                <w:bCs/>
                <w:sz w:val="20"/>
                <w:lang w:eastAsia="zh-CN"/>
              </w:rPr>
              <w:t>Phases</w:t>
            </w:r>
          </w:p>
        </w:tc>
        <w:tc>
          <w:tcPr>
            <w:tcW w:w="2126" w:type="dxa"/>
          </w:tcPr>
          <w:p w14:paraId="078B023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eastAsia="zh-CN"/>
              </w:rPr>
            </w:pPr>
            <w:r w:rsidRPr="00236418">
              <w:rPr>
                <w:rFonts w:cs="Calibri"/>
                <w:b/>
                <w:bCs/>
                <w:sz w:val="20"/>
                <w:lang w:eastAsia="zh-CN"/>
              </w:rPr>
              <w:t>Description</w:t>
            </w:r>
          </w:p>
        </w:tc>
        <w:tc>
          <w:tcPr>
            <w:tcW w:w="5245" w:type="dxa"/>
          </w:tcPr>
          <w:p w14:paraId="7AE0DD6E"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eastAsia="zh-CN"/>
              </w:rPr>
            </w:pPr>
            <w:r w:rsidRPr="00236418">
              <w:rPr>
                <w:rFonts w:cs="Calibri"/>
                <w:b/>
                <w:bCs/>
                <w:sz w:val="20"/>
                <w:lang w:eastAsia="zh-CN"/>
              </w:rPr>
              <w:t>Mesures d'intervention de l'UIT</w:t>
            </w:r>
          </w:p>
        </w:tc>
      </w:tr>
      <w:tr w:rsidR="00862C6F" w:rsidRPr="00236418" w14:paraId="11F48B11" w14:textId="77777777" w:rsidTr="00620F53">
        <w:trPr>
          <w:jc w:val="center"/>
        </w:trPr>
        <w:tc>
          <w:tcPr>
            <w:tcW w:w="1232" w:type="dxa"/>
            <w:vMerge/>
          </w:tcPr>
          <w:p w14:paraId="359171E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60"/>
              <w:jc w:val="center"/>
              <w:textAlignment w:val="auto"/>
              <w:rPr>
                <w:rFonts w:cs="Calibri"/>
                <w:sz w:val="20"/>
                <w:lang w:eastAsia="zh-CN"/>
              </w:rPr>
            </w:pPr>
          </w:p>
        </w:tc>
        <w:tc>
          <w:tcPr>
            <w:tcW w:w="1457" w:type="dxa"/>
          </w:tcPr>
          <w:p w14:paraId="27CAD40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FF0000"/>
                <w:sz w:val="20"/>
                <w:lang w:eastAsia="zh-CN"/>
              </w:rPr>
            </w:pPr>
            <w:r w:rsidRPr="00236418">
              <w:rPr>
                <w:rFonts w:cs="Calibri"/>
                <w:b/>
                <w:bCs/>
                <w:color w:val="FF0000"/>
                <w:sz w:val="20"/>
                <w:lang w:eastAsia="zh-CN"/>
              </w:rPr>
              <w:t xml:space="preserve">Phase </w:t>
            </w:r>
            <w:r w:rsidRPr="00236418">
              <w:rPr>
                <w:rFonts w:cs="Calibri"/>
                <w:b/>
                <w:bCs/>
                <w:color w:val="FF0000"/>
                <w:sz w:val="20"/>
                <w:lang w:eastAsia="zh-CN"/>
              </w:rPr>
              <w:br/>
              <w:t>suivant le pic</w:t>
            </w:r>
            <w:r w:rsidRPr="00236418">
              <w:rPr>
                <w:rFonts w:cs="Calibri"/>
                <w:b/>
                <w:bCs/>
                <w:color w:val="FF0000"/>
                <w:sz w:val="20"/>
                <w:lang w:eastAsia="zh-CN"/>
              </w:rPr>
              <w:br/>
              <w:t>de la pandémie</w:t>
            </w:r>
          </w:p>
        </w:tc>
        <w:tc>
          <w:tcPr>
            <w:tcW w:w="2126" w:type="dxa"/>
          </w:tcPr>
          <w:p w14:paraId="2B33E93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60"/>
              <w:textAlignment w:val="auto"/>
              <w:rPr>
                <w:rFonts w:cs="Calibri"/>
                <w:sz w:val="20"/>
                <w:lang w:eastAsia="zh-CN"/>
              </w:rPr>
            </w:pPr>
            <w:r w:rsidRPr="00236418">
              <w:rPr>
                <w:rFonts w:cs="Calibri"/>
                <w:sz w:val="20"/>
                <w:lang w:eastAsia="zh-CN"/>
              </w:rPr>
              <w:t>Le nombre de cas d'infection pandémique et le taux de transmission communautaire interhumaine ont chuté au-dessous des niveaux observés lors du pic.</w:t>
            </w:r>
          </w:p>
        </w:tc>
        <w:tc>
          <w:tcPr>
            <w:tcW w:w="5245" w:type="dxa"/>
          </w:tcPr>
          <w:p w14:paraId="01873F2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ind w:left="312" w:hanging="312"/>
              <w:jc w:val="center"/>
              <w:textAlignment w:val="auto"/>
              <w:rPr>
                <w:b/>
                <w:sz w:val="20"/>
              </w:rPr>
            </w:pPr>
            <w:r w:rsidRPr="00236418">
              <w:rPr>
                <w:b/>
                <w:sz w:val="20"/>
              </w:rPr>
              <w:t>L'équipe ORT dirige les interventions</w:t>
            </w:r>
          </w:p>
          <w:p w14:paraId="3C8D551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20"/>
              <w:ind w:left="312" w:hanging="312"/>
              <w:jc w:val="center"/>
              <w:textAlignment w:val="auto"/>
              <w:rPr>
                <w:b/>
                <w:sz w:val="20"/>
              </w:rPr>
            </w:pPr>
            <w:r w:rsidRPr="00236418">
              <w:rPr>
                <w:b/>
                <w:sz w:val="20"/>
              </w:rPr>
              <w:t>L'équipe CMT est tenue informée</w:t>
            </w:r>
          </w:p>
          <w:p w14:paraId="150527A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Consulter l'OMS, les Directeurs des services médicaux des organismes des Nations Unies, le pays hôte et les responsables désignés par l'ONU, et agir en collaboration avec ceux-ci.</w:t>
            </w:r>
          </w:p>
          <w:p w14:paraId="01CDD7C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Consulter et informer les États Membres et les autres parties prenantes.</w:t>
            </w:r>
          </w:p>
          <w:p w14:paraId="50DBBF0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Suivre la situation; une décision prise par le SG de l'UIT au niveau interne en vue d'un retour sur le lieu de travail devrait reposer sur un juste équilibre entre les risques pour la sécurité et la santé (fonctionnaires, délégués, sous-traitants et visiteurs) et les risques pour la continuité des activités (de l'Union).</w:t>
            </w:r>
          </w:p>
          <w:p w14:paraId="193CC2F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Planifier la levée progressive des restrictions d'accès aux locaux de l'UIT, après décontamination, selon les besoins.</w:t>
            </w:r>
          </w:p>
          <w:p w14:paraId="4B116B6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Les questions dont il faudra tenir compte pour préparer le retour sur le lieu de travail (RTO) sont les suivantes: besoin d'entrer dans les locaux, maintien des mesures barrières (distanciation sociale, lavage des mains, etc.), application d'horaires de travail souples, mesures de nettoyage de l'environnement, fourniture aux fonctionnaires de masques non médicaux lavables à porter dans les locaux et les transports publics et octroi d'une certaine souplesse selon la situation personnelle de chaque fonctionnaire.</w:t>
            </w:r>
          </w:p>
          <w:p w14:paraId="765151A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Installer des stations de prise de température par caméra thermique à Montbrillant (1), à la Tour (1) et, lorsque nécessaire pour les manifestations, à la Porte Rouge (1).</w:t>
            </w:r>
          </w:p>
          <w:p w14:paraId="28B6B00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Installer des tentes temporaires de triage et d'isolement aux points d'entrée désignés de Montbrillant et de la Tour (également Porte Rouge lors des manifestations).</w:t>
            </w:r>
          </w:p>
          <w:p w14:paraId="038C3BF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Poursuivre les activités de sensibilisation et d'appui à l'intention du personnel infecté/touché et du personnel présentant un risque élevé.</w:t>
            </w:r>
          </w:p>
          <w:p w14:paraId="35E60F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Maintenir la suspension des missions officielles.</w:t>
            </w:r>
          </w:p>
          <w:p w14:paraId="55FD1D8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Les réunions physique au siège de l'UIT ou dans d'autres pays sont toujours suspendues et sont tenues via la participation à distance.</w:t>
            </w:r>
          </w:p>
          <w:p w14:paraId="6A63CE7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Continuer de recommander aux fonctionnaires de l'UIT de ne pas effectuer de voyages privés.</w:t>
            </w:r>
          </w:p>
        </w:tc>
      </w:tr>
    </w:tbl>
    <w:p w14:paraId="6D87CADD" w14:textId="77777777" w:rsidR="00862C6F" w:rsidRPr="00236418" w:rsidRDefault="00862C6F" w:rsidP="00862C6F">
      <w:r w:rsidRPr="00236418">
        <w:br w:type="page"/>
      </w:r>
    </w:p>
    <w:tbl>
      <w:tblPr>
        <w:tblStyle w:val="TableGrid1"/>
        <w:tblW w:w="9776" w:type="dxa"/>
        <w:jc w:val="center"/>
        <w:tblLook w:val="04A0" w:firstRow="1" w:lastRow="0" w:firstColumn="1" w:lastColumn="0" w:noHBand="0" w:noVBand="1"/>
      </w:tblPr>
      <w:tblGrid>
        <w:gridCol w:w="1232"/>
        <w:gridCol w:w="1457"/>
        <w:gridCol w:w="2126"/>
        <w:gridCol w:w="4961"/>
      </w:tblGrid>
      <w:tr w:rsidR="00862C6F" w:rsidRPr="00236418" w14:paraId="1177B29C" w14:textId="77777777" w:rsidTr="00620F53">
        <w:trPr>
          <w:jc w:val="center"/>
        </w:trPr>
        <w:tc>
          <w:tcPr>
            <w:tcW w:w="1232" w:type="dxa"/>
            <w:vMerge w:val="restart"/>
          </w:tcPr>
          <w:p w14:paraId="0D7E694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cs="Calibri"/>
                <w:sz w:val="20"/>
                <w:lang w:eastAsia="zh-CN"/>
              </w:rPr>
            </w:pPr>
          </w:p>
        </w:tc>
        <w:tc>
          <w:tcPr>
            <w:tcW w:w="1457" w:type="dxa"/>
          </w:tcPr>
          <w:p w14:paraId="4598F53F"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ED7D31"/>
                <w:sz w:val="20"/>
                <w:lang w:eastAsia="zh-CN"/>
              </w:rPr>
            </w:pPr>
            <w:r w:rsidRPr="00236418">
              <w:rPr>
                <w:rFonts w:cs="Calibri"/>
                <w:b/>
                <w:bCs/>
                <w:color w:val="ED7D31"/>
                <w:sz w:val="20"/>
                <w:lang w:eastAsia="zh-CN"/>
              </w:rPr>
              <w:t>Phase</w:t>
            </w:r>
            <w:r w:rsidRPr="00236418">
              <w:rPr>
                <w:rFonts w:cs="Calibri"/>
                <w:b/>
                <w:bCs/>
                <w:color w:val="ED7D31"/>
                <w:sz w:val="20"/>
                <w:lang w:eastAsia="zh-CN"/>
              </w:rPr>
              <w:br/>
              <w:t>post-pandémique</w:t>
            </w:r>
          </w:p>
        </w:tc>
        <w:tc>
          <w:tcPr>
            <w:tcW w:w="2126" w:type="dxa"/>
          </w:tcPr>
          <w:p w14:paraId="18055DC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60"/>
              <w:textAlignment w:val="auto"/>
              <w:rPr>
                <w:rFonts w:cs="Calibri"/>
                <w:sz w:val="20"/>
                <w:lang w:eastAsia="zh-CN"/>
              </w:rPr>
            </w:pPr>
            <w:r w:rsidRPr="00236418">
              <w:rPr>
                <w:rFonts w:cs="Calibri"/>
                <w:sz w:val="20"/>
                <w:lang w:eastAsia="zh-CN"/>
              </w:rPr>
              <w:t>Le niveau et le taux d'infection ont chuté considérablement et les systèmes de santé sont capables de gérer efficacement les flambées localisées restantes.</w:t>
            </w:r>
          </w:p>
        </w:tc>
        <w:tc>
          <w:tcPr>
            <w:tcW w:w="4961" w:type="dxa"/>
          </w:tcPr>
          <w:p w14:paraId="20EBB11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jc w:val="center"/>
              <w:textAlignment w:val="auto"/>
              <w:rPr>
                <w:rFonts w:cs="Calibri"/>
                <w:b/>
                <w:bCs/>
                <w:sz w:val="20"/>
                <w:lang w:eastAsia="zh-CN"/>
              </w:rPr>
            </w:pPr>
            <w:r w:rsidRPr="00236418">
              <w:rPr>
                <w:rFonts w:cs="Calibri"/>
                <w:b/>
                <w:bCs/>
                <w:sz w:val="20"/>
                <w:lang w:eastAsia="zh-CN"/>
              </w:rPr>
              <w:t>L'équipe ORT dirige les interventions</w:t>
            </w:r>
          </w:p>
          <w:p w14:paraId="0CF5039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zh-CN"/>
              </w:rPr>
            </w:pPr>
            <w:r w:rsidRPr="00236418">
              <w:rPr>
                <w:rFonts w:cs="Calibri"/>
                <w:b/>
                <w:bCs/>
                <w:sz w:val="20"/>
                <w:lang w:eastAsia="zh-CN"/>
              </w:rPr>
              <w:t>L'équipe CMT est tenue informée</w:t>
            </w:r>
          </w:p>
          <w:p w14:paraId="2E96871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40"/>
              <w:ind w:left="312" w:hanging="312"/>
              <w:textAlignment w:val="auto"/>
              <w:rPr>
                <w:sz w:val="20"/>
              </w:rPr>
            </w:pPr>
            <w:r w:rsidRPr="00236418">
              <w:rPr>
                <w:sz w:val="20"/>
              </w:rPr>
              <w:t>•</w:t>
            </w:r>
            <w:r w:rsidRPr="00236418">
              <w:rPr>
                <w:sz w:val="20"/>
              </w:rPr>
              <w:tab/>
              <w:t>Consulter l'OMS, les Directeurs des services médicaux des organismes des Nations Unies, le pays hôte et les responsables désignés par l'ONU, et agir en collaboration avec ceux-ci.</w:t>
            </w:r>
          </w:p>
          <w:p w14:paraId="5FC9B77A"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Consulter et informer les États Membres et les autres parties prenantes.</w:t>
            </w:r>
          </w:p>
          <w:p w14:paraId="5890A4A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Examiner les plans de rétablissement en accordant la priorité aux fonctions essentielles.</w:t>
            </w:r>
          </w:p>
          <w:p w14:paraId="400972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La plupart du personnel essentiel et des autres fonctionnaires poursuivent leurs activités en télétravail.</w:t>
            </w:r>
          </w:p>
          <w:p w14:paraId="457F942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Évaluer l'organisation de voyages et de réunions (approbation au cas par cas).</w:t>
            </w:r>
          </w:p>
          <w:p w14:paraId="4A62A9AD"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Lever progressivement les restrictions d'accès aux locaux de l'UIT.</w:t>
            </w:r>
          </w:p>
          <w:p w14:paraId="46143D1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rFonts w:cs="Calibri"/>
                <w:sz w:val="20"/>
                <w:lang w:eastAsia="zh-CN"/>
              </w:rPr>
            </w:pPr>
            <w:r w:rsidRPr="00236418">
              <w:rPr>
                <w:sz w:val="20"/>
              </w:rPr>
              <w:t>•</w:t>
            </w:r>
            <w:r w:rsidRPr="00236418">
              <w:rPr>
                <w:sz w:val="20"/>
              </w:rPr>
              <w:tab/>
              <w:t>Poursuivre les activités de sensibilisation et d'appui</w:t>
            </w:r>
            <w:r w:rsidRPr="00236418">
              <w:rPr>
                <w:rFonts w:cs="Calibri"/>
                <w:sz w:val="20"/>
                <w:lang w:eastAsia="zh-CN"/>
              </w:rPr>
              <w:t xml:space="preserve"> au personnel infecté/touché et à haut risque.</w:t>
            </w:r>
          </w:p>
        </w:tc>
      </w:tr>
      <w:tr w:rsidR="00862C6F" w:rsidRPr="00236418" w14:paraId="16B4BDF8" w14:textId="77777777" w:rsidTr="00620F53">
        <w:trPr>
          <w:jc w:val="center"/>
        </w:trPr>
        <w:tc>
          <w:tcPr>
            <w:tcW w:w="1232" w:type="dxa"/>
            <w:vMerge/>
          </w:tcPr>
          <w:p w14:paraId="380BC0B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cs="Calibri"/>
                <w:sz w:val="20"/>
                <w:lang w:eastAsia="zh-CN"/>
              </w:rPr>
            </w:pPr>
          </w:p>
        </w:tc>
        <w:tc>
          <w:tcPr>
            <w:tcW w:w="1457" w:type="dxa"/>
          </w:tcPr>
          <w:p w14:paraId="35EC4515" w14:textId="77777777" w:rsidR="00862C6F" w:rsidRPr="00236418" w:rsidRDefault="00862C6F" w:rsidP="00862C6F">
            <w:pPr>
              <w:keepNext/>
              <w:keepLines/>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FFC000"/>
                <w:sz w:val="20"/>
                <w:lang w:eastAsia="zh-CN"/>
              </w:rPr>
            </w:pPr>
            <w:r w:rsidRPr="00236418">
              <w:rPr>
                <w:rFonts w:cs="Calibri"/>
                <w:b/>
                <w:bCs/>
                <w:color w:val="FFC000"/>
                <w:sz w:val="20"/>
                <w:lang w:eastAsia="zh-CN"/>
              </w:rPr>
              <w:t xml:space="preserve">Phase de </w:t>
            </w:r>
            <w:r w:rsidRPr="00236418">
              <w:rPr>
                <w:rFonts w:cs="Calibri"/>
                <w:b/>
                <w:bCs/>
                <w:color w:val="FFC000"/>
                <w:sz w:val="20"/>
                <w:lang w:eastAsia="zh-CN"/>
              </w:rPr>
              <w:br/>
              <w:t>normalisation</w:t>
            </w:r>
          </w:p>
        </w:tc>
        <w:tc>
          <w:tcPr>
            <w:tcW w:w="2126" w:type="dxa"/>
          </w:tcPr>
          <w:p w14:paraId="4422F6FE" w14:textId="77777777" w:rsidR="00862C6F" w:rsidRPr="00236418" w:rsidRDefault="00862C6F" w:rsidP="00862C6F">
            <w:pPr>
              <w:keepNext/>
              <w:keepLines/>
              <w:tabs>
                <w:tab w:val="clear" w:pos="567"/>
                <w:tab w:val="clear" w:pos="1134"/>
                <w:tab w:val="clear" w:pos="1701"/>
                <w:tab w:val="clear" w:pos="2268"/>
                <w:tab w:val="clear" w:pos="2835"/>
              </w:tabs>
              <w:overflowPunct/>
              <w:autoSpaceDE/>
              <w:autoSpaceDN/>
              <w:adjustRightInd/>
              <w:spacing w:after="160"/>
              <w:textAlignment w:val="auto"/>
              <w:rPr>
                <w:rFonts w:cs="Calibri"/>
                <w:sz w:val="20"/>
                <w:lang w:eastAsia="zh-CN"/>
              </w:rPr>
            </w:pPr>
            <w:r w:rsidRPr="00236418">
              <w:rPr>
                <w:rFonts w:cs="Calibri"/>
                <w:sz w:val="20"/>
                <w:lang w:eastAsia="zh-CN"/>
              </w:rPr>
              <w:t>Vagues épidémiques périodiques d'intensité limitée alternant avec des périodes avec un faible niveau de transmission dans des pays accueillant les bureaux de l'UIT.</w:t>
            </w:r>
          </w:p>
        </w:tc>
        <w:tc>
          <w:tcPr>
            <w:tcW w:w="4961" w:type="dxa"/>
          </w:tcPr>
          <w:p w14:paraId="0C6A493D" w14:textId="77777777" w:rsidR="00862C6F" w:rsidRPr="00236418" w:rsidRDefault="00862C6F" w:rsidP="00862C6F">
            <w:pPr>
              <w:keepNext/>
              <w:keepLines/>
              <w:tabs>
                <w:tab w:val="clear" w:pos="567"/>
                <w:tab w:val="clear" w:pos="1134"/>
                <w:tab w:val="clear" w:pos="1701"/>
                <w:tab w:val="clear" w:pos="2268"/>
                <w:tab w:val="clear" w:pos="2835"/>
              </w:tabs>
              <w:overflowPunct/>
              <w:autoSpaceDE/>
              <w:autoSpaceDN/>
              <w:adjustRightInd/>
              <w:jc w:val="center"/>
              <w:textAlignment w:val="auto"/>
              <w:rPr>
                <w:rFonts w:cs="Calibri"/>
                <w:b/>
                <w:bCs/>
                <w:sz w:val="20"/>
                <w:lang w:eastAsia="zh-CN"/>
              </w:rPr>
            </w:pPr>
            <w:r w:rsidRPr="00236418">
              <w:rPr>
                <w:rFonts w:cs="Calibri"/>
                <w:b/>
                <w:bCs/>
                <w:sz w:val="20"/>
                <w:lang w:eastAsia="zh-CN"/>
              </w:rPr>
              <w:t>L'équipe ORT dirige les interventions</w:t>
            </w:r>
          </w:p>
          <w:p w14:paraId="64887044" w14:textId="77777777" w:rsidR="00862C6F" w:rsidRPr="00236418" w:rsidRDefault="00862C6F" w:rsidP="00862C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zh-CN"/>
              </w:rPr>
            </w:pPr>
            <w:r w:rsidRPr="00236418">
              <w:rPr>
                <w:rFonts w:cs="Calibri"/>
                <w:b/>
                <w:bCs/>
                <w:sz w:val="20"/>
                <w:lang w:eastAsia="zh-CN"/>
              </w:rPr>
              <w:t>L'équipe CMT est tenue informée</w:t>
            </w:r>
          </w:p>
          <w:p w14:paraId="6147C9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40"/>
              <w:ind w:left="312" w:hanging="312"/>
              <w:textAlignment w:val="auto"/>
              <w:rPr>
                <w:sz w:val="20"/>
              </w:rPr>
            </w:pPr>
            <w:r w:rsidRPr="00236418">
              <w:rPr>
                <w:sz w:val="20"/>
              </w:rPr>
              <w:t>•</w:t>
            </w:r>
            <w:r w:rsidRPr="00236418">
              <w:rPr>
                <w:sz w:val="20"/>
              </w:rPr>
              <w:tab/>
              <w:t>Consulter l'OMS, les Directeurs des services médicaux des organismes des Nations Unies, le pays hôte et les responsables désignés par l'ONU.</w:t>
            </w:r>
          </w:p>
          <w:p w14:paraId="19F6FF3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Consulter et informer les États Membres et les autres parties prenantes.</w:t>
            </w:r>
          </w:p>
          <w:p w14:paraId="33A977E9"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Retour progressif et échelonné sur le lieu de travail pour tout le personnel.</w:t>
            </w:r>
          </w:p>
          <w:p w14:paraId="0769EF74"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Le reste du personnel continue de télétravailler.</w:t>
            </w:r>
          </w:p>
          <w:p w14:paraId="0613E56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Certains fonctionnaires présentant un risque élevé peuvent continuer à télétravailler depuis leur domicile.</w:t>
            </w:r>
          </w:p>
          <w:p w14:paraId="44542CA2"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Reprise des voyages officiels pour les missions prioritaires.</w:t>
            </w:r>
          </w:p>
          <w:p w14:paraId="6C410DA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rFonts w:cs="Calibri"/>
                <w:sz w:val="20"/>
                <w:lang w:eastAsia="zh-CN"/>
              </w:rPr>
            </w:pPr>
            <w:r w:rsidRPr="00236418">
              <w:rPr>
                <w:sz w:val="20"/>
              </w:rPr>
              <w:t>•</w:t>
            </w:r>
            <w:r w:rsidRPr="00236418">
              <w:rPr>
                <w:sz w:val="20"/>
              </w:rPr>
              <w:tab/>
              <w:t>Des réunions et manifestations sont de nouveau organisées mais certaines continuent de se tenir sous forme virtuelle.</w:t>
            </w:r>
          </w:p>
        </w:tc>
      </w:tr>
      <w:tr w:rsidR="00862C6F" w:rsidRPr="00236418" w14:paraId="0940FE08" w14:textId="77777777" w:rsidTr="00620F53">
        <w:trPr>
          <w:jc w:val="center"/>
        </w:trPr>
        <w:tc>
          <w:tcPr>
            <w:tcW w:w="1232" w:type="dxa"/>
          </w:tcPr>
          <w:p w14:paraId="2EE89CE6"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cs="Calibri"/>
                <w:sz w:val="20"/>
                <w:lang w:eastAsia="zh-CN"/>
              </w:rPr>
            </w:pPr>
          </w:p>
        </w:tc>
        <w:tc>
          <w:tcPr>
            <w:tcW w:w="1457" w:type="dxa"/>
          </w:tcPr>
          <w:p w14:paraId="2CD7FA2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70AD47"/>
                <w:sz w:val="20"/>
                <w:lang w:eastAsia="zh-CN"/>
              </w:rPr>
            </w:pPr>
            <w:r w:rsidRPr="00236418">
              <w:rPr>
                <w:rFonts w:cs="Calibri"/>
                <w:b/>
                <w:bCs/>
                <w:color w:val="70AD47"/>
                <w:sz w:val="20"/>
                <w:lang w:eastAsia="zh-CN"/>
              </w:rPr>
              <w:t>Phase de</w:t>
            </w:r>
            <w:r w:rsidRPr="00236418">
              <w:rPr>
                <w:rFonts w:cs="Calibri"/>
                <w:b/>
                <w:bCs/>
                <w:color w:val="70AD47"/>
                <w:sz w:val="20"/>
                <w:lang w:eastAsia="zh-CN"/>
              </w:rPr>
              <w:br/>
              <w:t xml:space="preserve">retour à la </w:t>
            </w:r>
            <w:r w:rsidRPr="00236418">
              <w:rPr>
                <w:rFonts w:cs="Calibri"/>
                <w:b/>
                <w:bCs/>
                <w:color w:val="70AD47"/>
                <w:sz w:val="20"/>
                <w:lang w:eastAsia="zh-CN"/>
              </w:rPr>
              <w:br/>
              <w:t>normale</w:t>
            </w:r>
          </w:p>
        </w:tc>
        <w:tc>
          <w:tcPr>
            <w:tcW w:w="2126" w:type="dxa"/>
          </w:tcPr>
          <w:p w14:paraId="74A542EC"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20"/>
              <w:textAlignment w:val="auto"/>
              <w:rPr>
                <w:rFonts w:cs="Calibri"/>
                <w:sz w:val="20"/>
                <w:lang w:eastAsia="zh-CN"/>
              </w:rPr>
            </w:pPr>
            <w:r w:rsidRPr="00236418">
              <w:rPr>
                <w:rFonts w:cs="Calibri"/>
                <w:sz w:val="20"/>
                <w:lang w:eastAsia="zh-CN"/>
              </w:rPr>
              <w:t>Vagues épidémiques périodiques d'intensité limitée alternant avec des périodes avec un faible niveau de transmission dans des pays accueillant les bureaux de l'UIT.</w:t>
            </w:r>
          </w:p>
          <w:p w14:paraId="030548E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120"/>
              <w:textAlignment w:val="auto"/>
              <w:rPr>
                <w:rFonts w:cs="Calibri"/>
                <w:sz w:val="20"/>
                <w:lang w:eastAsia="zh-CN"/>
              </w:rPr>
            </w:pPr>
            <w:r w:rsidRPr="00236418">
              <w:rPr>
                <w:rFonts w:cs="Calibri"/>
                <w:sz w:val="20"/>
                <w:lang w:eastAsia="zh-CN"/>
              </w:rPr>
              <w:t>Dans certains pays, interruption complète de la transmission interhumaine.</w:t>
            </w:r>
          </w:p>
        </w:tc>
        <w:tc>
          <w:tcPr>
            <w:tcW w:w="4961" w:type="dxa"/>
          </w:tcPr>
          <w:p w14:paraId="7CC99E0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ind w:left="289" w:hanging="289"/>
              <w:jc w:val="center"/>
              <w:textAlignment w:val="auto"/>
              <w:rPr>
                <w:rFonts w:cs="Calibri"/>
                <w:b/>
                <w:bCs/>
                <w:sz w:val="20"/>
                <w:lang w:eastAsia="zh-CN"/>
              </w:rPr>
            </w:pPr>
            <w:r w:rsidRPr="00236418">
              <w:rPr>
                <w:rFonts w:cs="Calibri"/>
                <w:b/>
                <w:bCs/>
                <w:sz w:val="20"/>
                <w:lang w:eastAsia="zh-CN"/>
              </w:rPr>
              <w:t>L'équipe ORT dirige les interventions</w:t>
            </w:r>
          </w:p>
          <w:p w14:paraId="5DBF6408"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20"/>
              <w:ind w:left="292" w:hanging="292"/>
              <w:jc w:val="center"/>
              <w:textAlignment w:val="auto"/>
              <w:rPr>
                <w:rFonts w:cs="Calibri"/>
                <w:b/>
                <w:bCs/>
                <w:sz w:val="20"/>
                <w:lang w:eastAsia="zh-CN"/>
              </w:rPr>
            </w:pPr>
            <w:r w:rsidRPr="00236418">
              <w:rPr>
                <w:rFonts w:cs="Calibri"/>
                <w:b/>
                <w:bCs/>
                <w:sz w:val="20"/>
                <w:lang w:eastAsia="zh-CN"/>
              </w:rPr>
              <w:t>L'équipe CMT est tenue informée</w:t>
            </w:r>
          </w:p>
          <w:p w14:paraId="126D6565"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after="40"/>
              <w:ind w:left="312" w:hanging="312"/>
              <w:textAlignment w:val="auto"/>
              <w:rPr>
                <w:sz w:val="20"/>
              </w:rPr>
            </w:pPr>
            <w:r w:rsidRPr="00236418">
              <w:rPr>
                <w:sz w:val="20"/>
              </w:rPr>
              <w:t>•</w:t>
            </w:r>
            <w:r w:rsidRPr="00236418">
              <w:rPr>
                <w:sz w:val="20"/>
              </w:rPr>
              <w:tab/>
              <w:t>Consulter l'OMS, les Directeurs des services médicaux des organismes des Nations Unies et le pays hôte; les responsables désignés par l'ONU sont informés.</w:t>
            </w:r>
          </w:p>
          <w:p w14:paraId="09D7890B"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Reprise complète de toutes les activités quotidiennes compte tenu des enseignements tirés.</w:t>
            </w:r>
          </w:p>
          <w:p w14:paraId="2CB12B10"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Certains fonctionnaires présentant un risque élevé peuvent continuer à télétravailler depuis leur domicile.</w:t>
            </w:r>
          </w:p>
          <w:p w14:paraId="23CDC3E7"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rPr>
            </w:pPr>
            <w:r w:rsidRPr="00236418">
              <w:rPr>
                <w:sz w:val="20"/>
              </w:rPr>
              <w:t>•</w:t>
            </w:r>
            <w:r w:rsidRPr="00236418">
              <w:rPr>
                <w:sz w:val="20"/>
              </w:rPr>
              <w:tab/>
              <w:t>Actualiser le Plan en cas de pandémie à partir des enseignements tirés.</w:t>
            </w:r>
          </w:p>
          <w:p w14:paraId="27E14C83"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after="120"/>
              <w:ind w:left="292" w:hanging="292"/>
              <w:contextualSpacing/>
              <w:textAlignment w:val="auto"/>
              <w:rPr>
                <w:rFonts w:cs="Calibri"/>
                <w:sz w:val="20"/>
                <w:lang w:eastAsia="zh-CN"/>
              </w:rPr>
            </w:pPr>
            <w:r w:rsidRPr="00236418">
              <w:rPr>
                <w:sz w:val="20"/>
              </w:rPr>
              <w:t>•</w:t>
            </w:r>
            <w:r w:rsidRPr="00236418">
              <w:rPr>
                <w:sz w:val="20"/>
              </w:rPr>
              <w:tab/>
              <w:t>Évaluer l'efficacité et la mise en œuvre des plans de rétablissement, en les mettant à jour selon qu'il convient.</w:t>
            </w:r>
          </w:p>
        </w:tc>
      </w:tr>
    </w:tbl>
    <w:p w14:paraId="1D5E347A" w14:textId="77777777" w:rsidR="00862C6F" w:rsidRPr="00236418" w:rsidRDefault="00862C6F" w:rsidP="00862C6F">
      <w:pPr>
        <w:spacing w:before="240" w:after="240"/>
        <w:jc w:val="center"/>
        <w:rPr>
          <w:b/>
          <w:sz w:val="28"/>
        </w:rPr>
      </w:pPr>
      <w:r w:rsidRPr="00236418">
        <w:rPr>
          <w:b/>
          <w:sz w:val="28"/>
        </w:rPr>
        <w:lastRenderedPageBreak/>
        <w:t xml:space="preserve">Mesures d'atténuation des risques opérationnels en vue </w:t>
      </w:r>
      <w:r w:rsidRPr="00236418">
        <w:rPr>
          <w:b/>
          <w:sz w:val="28"/>
        </w:rPr>
        <w:br/>
        <w:t>d'un retour sur le lieu de travail (RTO)</w:t>
      </w:r>
    </w:p>
    <w:tbl>
      <w:tblPr>
        <w:tblStyle w:val="GridTable4-Accent3"/>
        <w:tblW w:w="9776" w:type="dxa"/>
        <w:tblLook w:val="04A0" w:firstRow="1" w:lastRow="0" w:firstColumn="1" w:lastColumn="0" w:noHBand="0" w:noVBand="1"/>
      </w:tblPr>
      <w:tblGrid>
        <w:gridCol w:w="1894"/>
        <w:gridCol w:w="6039"/>
        <w:gridCol w:w="1843"/>
      </w:tblGrid>
      <w:tr w:rsidR="00862C6F" w:rsidRPr="00236418" w14:paraId="372CD48F" w14:textId="77777777" w:rsidTr="00620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420FEF4E" w14:textId="77777777" w:rsidR="00862C6F" w:rsidRPr="00236418" w:rsidRDefault="00862C6F" w:rsidP="00862C6F">
            <w:pPr>
              <w:tabs>
                <w:tab w:val="clear" w:pos="567"/>
                <w:tab w:val="clear" w:pos="1134"/>
                <w:tab w:val="clear" w:pos="1701"/>
                <w:tab w:val="clear" w:pos="2268"/>
                <w:tab w:val="clear" w:pos="2835"/>
              </w:tabs>
              <w:spacing w:after="120"/>
              <w:jc w:val="center"/>
              <w:rPr>
                <w:szCs w:val="24"/>
              </w:rPr>
            </w:pPr>
            <w:r w:rsidRPr="00236418">
              <w:rPr>
                <w:szCs w:val="24"/>
              </w:rPr>
              <w:t>Domaine</w:t>
            </w:r>
          </w:p>
        </w:tc>
        <w:tc>
          <w:tcPr>
            <w:tcW w:w="6039" w:type="dxa"/>
          </w:tcPr>
          <w:p w14:paraId="785C6C02" w14:textId="77777777" w:rsidR="00862C6F" w:rsidRPr="00236418" w:rsidRDefault="00862C6F" w:rsidP="00862C6F">
            <w:pPr>
              <w:tabs>
                <w:tab w:val="clear" w:pos="567"/>
                <w:tab w:val="clear" w:pos="1134"/>
                <w:tab w:val="clear" w:pos="1701"/>
                <w:tab w:val="clear" w:pos="2268"/>
                <w:tab w:val="clear" w:pos="2835"/>
              </w:tabs>
              <w:spacing w:after="120"/>
              <w:jc w:val="center"/>
              <w:cnfStyle w:val="100000000000" w:firstRow="1" w:lastRow="0" w:firstColumn="0" w:lastColumn="0" w:oddVBand="0" w:evenVBand="0" w:oddHBand="0" w:evenHBand="0" w:firstRowFirstColumn="0" w:firstRowLastColumn="0" w:lastRowFirstColumn="0" w:lastRowLastColumn="0"/>
              <w:rPr>
                <w:szCs w:val="24"/>
              </w:rPr>
            </w:pPr>
            <w:r w:rsidRPr="00236418">
              <w:rPr>
                <w:szCs w:val="24"/>
              </w:rPr>
              <w:t>Commentaires/Actions</w:t>
            </w:r>
          </w:p>
        </w:tc>
        <w:tc>
          <w:tcPr>
            <w:tcW w:w="1843" w:type="dxa"/>
          </w:tcPr>
          <w:p w14:paraId="0CA87F6B" w14:textId="77777777" w:rsidR="00862C6F" w:rsidRPr="00236418" w:rsidRDefault="00862C6F" w:rsidP="00862C6F">
            <w:pPr>
              <w:tabs>
                <w:tab w:val="clear" w:pos="567"/>
                <w:tab w:val="clear" w:pos="1134"/>
                <w:tab w:val="clear" w:pos="1701"/>
                <w:tab w:val="clear" w:pos="2268"/>
                <w:tab w:val="clear" w:pos="2835"/>
              </w:tabs>
              <w:spacing w:after="120"/>
              <w:jc w:val="center"/>
              <w:cnfStyle w:val="100000000000" w:firstRow="1" w:lastRow="0" w:firstColumn="0" w:lastColumn="0" w:oddVBand="0" w:evenVBand="0" w:oddHBand="0" w:evenHBand="0" w:firstRowFirstColumn="0" w:firstRowLastColumn="0" w:lastRowFirstColumn="0" w:lastRowLastColumn="0"/>
              <w:rPr>
                <w:szCs w:val="24"/>
              </w:rPr>
            </w:pPr>
          </w:p>
        </w:tc>
      </w:tr>
      <w:tr w:rsidR="00862C6F" w:rsidRPr="00236418" w14:paraId="03E8583C" w14:textId="77777777" w:rsidTr="00620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4DE33DA0" w14:textId="77777777" w:rsidR="00862C6F" w:rsidRPr="00236418" w:rsidRDefault="00862C6F" w:rsidP="00862C6F">
            <w:pPr>
              <w:rPr>
                <w:szCs w:val="24"/>
              </w:rPr>
            </w:pPr>
            <w:r w:rsidRPr="00236418">
              <w:rPr>
                <w:szCs w:val="24"/>
              </w:rPr>
              <w:t>Gouvernance et conformité</w:t>
            </w:r>
          </w:p>
        </w:tc>
        <w:tc>
          <w:tcPr>
            <w:tcW w:w="6039" w:type="dxa"/>
          </w:tcPr>
          <w:p w14:paraId="21C00E80"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Les membres de l'équipe CMT supervisent et encadrent les différentes mesures RTO relatives à la gestion de risques liés au Covid-19.</w:t>
            </w:r>
          </w:p>
          <w:p w14:paraId="5FF90323"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Les Directeurs des Bureaux et les Chefs de Département détermineront la nécessité de la présence, dans les locaux du siège, des bureaux régionaux, des bureaux de zone et du bureau de liaison, de fonctionnaires de leur Secteur/Département essentiels pour les activités et établiront la liste correspondante.</w:t>
            </w:r>
          </w:p>
          <w:p w14:paraId="6EFA5038"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Lignes directrices relatives aux exigences pour les personnes ayant besoin d'entrer dans les locaux (par exemple, fonctionnaires, délégués, autres fonctionnaires du système des Nations Unies, sous</w:t>
            </w:r>
            <w:r w:rsidRPr="00236418">
              <w:rPr>
                <w:szCs w:val="24"/>
              </w:rPr>
              <w:noBreakHyphen/>
              <w:t>traitants, retraités de l'UIT, membres des clubs de l'UIT, visiteurs, etc.).</w:t>
            </w:r>
          </w:p>
          <w:p w14:paraId="13E473E0"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Procédure stricte de suivi des fonctionnaires présentant des symptômes pour lesquels une contamination est suspectée ou confirmée ou ayant été en contact avec des personnes contaminées.</w:t>
            </w:r>
          </w:p>
          <w:p w14:paraId="3E3E11D8"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Maintien des mesures de sensibilisation et d'appui à l'intention des fonctionnaires contaminés/touchés et des fonctionnaires présentant un risque élevé.</w:t>
            </w:r>
          </w:p>
          <w:p w14:paraId="6E3F7185"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 xml:space="preserve">Lignes directrices à l'intention du personnel concernant la distanciation sociale, le lavage des mains, etc. </w:t>
            </w:r>
          </w:p>
          <w:p w14:paraId="12F2E44B"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Suivi permanent des recommandations et avis publiés par l'OMS, les Directeurs des services médicaux des organismes des Nations Unies, le pays hôte et les responsables désignés par l'ONU.</w:t>
            </w:r>
          </w:p>
          <w:p w14:paraId="0B2CD728"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Avis juridique concernant le devoir de protection au cas où le retour à l'UIT se ferait de façon prématurée et des fonctionnaires seraient contaminés?</w:t>
            </w:r>
          </w:p>
        </w:tc>
        <w:tc>
          <w:tcPr>
            <w:tcW w:w="1843" w:type="dxa"/>
          </w:tcPr>
          <w:p w14:paraId="5246DF10" w14:textId="77777777" w:rsidR="00862C6F" w:rsidRPr="00236418" w:rsidRDefault="00862C6F" w:rsidP="00862C6F">
            <w:pPr>
              <w:cnfStyle w:val="000000100000" w:firstRow="0" w:lastRow="0" w:firstColumn="0" w:lastColumn="0" w:oddVBand="0" w:evenVBand="0" w:oddHBand="1" w:evenHBand="0" w:firstRowFirstColumn="0" w:firstRowLastColumn="0" w:lastRowFirstColumn="0" w:lastRowLastColumn="0"/>
              <w:rPr>
                <w:szCs w:val="24"/>
              </w:rPr>
            </w:pPr>
          </w:p>
        </w:tc>
      </w:tr>
      <w:tr w:rsidR="00862C6F" w:rsidRPr="00236418" w14:paraId="7AD1D7A8" w14:textId="77777777" w:rsidTr="00620F53">
        <w:tc>
          <w:tcPr>
            <w:cnfStyle w:val="001000000000" w:firstRow="0" w:lastRow="0" w:firstColumn="1" w:lastColumn="0" w:oddVBand="0" w:evenVBand="0" w:oddHBand="0" w:evenHBand="0" w:firstRowFirstColumn="0" w:firstRowLastColumn="0" w:lastRowFirstColumn="0" w:lastRowLastColumn="0"/>
            <w:tcW w:w="1894" w:type="dxa"/>
          </w:tcPr>
          <w:p w14:paraId="038DAD19" w14:textId="77777777" w:rsidR="00862C6F" w:rsidRPr="00236418" w:rsidRDefault="00862C6F" w:rsidP="00862C6F">
            <w:pPr>
              <w:spacing w:before="86"/>
              <w:rPr>
                <w:szCs w:val="24"/>
              </w:rPr>
            </w:pPr>
            <w:r w:rsidRPr="00236418">
              <w:rPr>
                <w:szCs w:val="24"/>
              </w:rPr>
              <w:t>Mesures d'atténuation</w:t>
            </w:r>
          </w:p>
        </w:tc>
        <w:tc>
          <w:tcPr>
            <w:tcW w:w="6039" w:type="dxa"/>
          </w:tcPr>
          <w:p w14:paraId="6D364D81"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Permettre aux fonctionnaires de travailler selon des horaires souples, y compris de poursuivre le télétravail selon les besoins.</w:t>
            </w:r>
          </w:p>
          <w:p w14:paraId="57483B42"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Prévoir des mesures afin de réduire les risques pour les fonctionnaires en leur permettant de ne pas utiliser les transports publics et d'autres moyens de transports collectifs aux heures de pointe.</w:t>
            </w:r>
          </w:p>
          <w:p w14:paraId="09163450"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lastRenderedPageBreak/>
              <w:t>•</w:t>
            </w:r>
            <w:r w:rsidRPr="00236418">
              <w:rPr>
                <w:szCs w:val="24"/>
              </w:rPr>
              <w:tab/>
              <w:t>Assurer un devoir de protection pour fournir à tous les fonctionnaires des masques non médicaux lavables à porter dans les locaux ou dans les transports publics.</w:t>
            </w:r>
          </w:p>
          <w:p w14:paraId="33E192AB"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Mesures détaillées concernant un protocole de nettoyage renforcé des locaux (par exemple, après une réunion, à la cafétéria, dans les toilettes, dans les bureaux, dans la salle de sport, dans les espaces communs).</w:t>
            </w:r>
          </w:p>
          <w:p w14:paraId="6FC46709"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Considérations environnementales liées au système de chauffage et de climatisation/de ventilation des bâtiments.</w:t>
            </w:r>
          </w:p>
          <w:p w14:paraId="5CB1B7F5"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Décision concernant la réouverture partielle de la cafétéria (par exemple, délai d'au minimum 6 jours nécessaire), avec, dans un premier temps, une offre de repas froids (sandwich, salades), puis une offre de repas chauds lors de la phase suivante. Mesures visant à empêcher les regroupements (nécessité de déterminer le nombre de places/tables avec un espacement d'au moins 2 mètres entre chaque).</w:t>
            </w:r>
          </w:p>
          <w:p w14:paraId="28EB1D3A"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Respect des lignes directrices relatives à la distanciation sociale dans les salles de réunion physiques et organisation des espaces de travail partagés afin de garantir une distance physique d'au moins 2 mètres entre les personnes (suppression de chaises, marquage, etc.); pas de configuration où des personnes sont face à face.</w:t>
            </w:r>
          </w:p>
          <w:p w14:paraId="5ECD1123"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Dans toute la mesure possible, essayer de faire en sorte que les bureaux partagés ne soient occupés que par une personne à la fois grâce à des arrangements souples permettant d'alterner les jours de travail sur place, etc.</w:t>
            </w:r>
          </w:p>
          <w:p w14:paraId="7C174819"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Mesures de protection spéciales et équipements de protection individuelle pour les fonctionnaires et le personnel des sous-traitants qui pourraient être exposés au virus (par exemple, Division SSD, Service médical, Division FMD, Protectas, TopNet – vitres de protection en plexiglas aux bureaux d'information/de retrait des badges – à la librairie – comptoir du service d'assistance informatique – réception de la Tour, gants, gel hydroalcoolique et masques, etc.).</w:t>
            </w:r>
          </w:p>
          <w:p w14:paraId="2435E5DD"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Mise en place de sens de circulation différenciés (une personne/ascenseur, cages d'escalier, couloirs, cafétéria, points d'accès [entrée/sortie à des points d'accès différents], bureau de retrait des badges, etc.).</w:t>
            </w:r>
          </w:p>
          <w:p w14:paraId="42C00FA6"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lastRenderedPageBreak/>
              <w:t>•</w:t>
            </w:r>
            <w:r w:rsidRPr="00236418">
              <w:rPr>
                <w:szCs w:val="24"/>
              </w:rPr>
              <w:tab/>
              <w:t>Zone d'attente visuelle pour entrer dans les locaux et/ou en sortir.</w:t>
            </w:r>
          </w:p>
          <w:p w14:paraId="5D252E44"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Fermeture du cybercafé jusqu'à la "Phase de retour à la normale".</w:t>
            </w:r>
          </w:p>
          <w:p w14:paraId="766CD42C" w14:textId="77777777" w:rsidR="00862C6F" w:rsidRPr="00236418" w:rsidRDefault="00862C6F" w:rsidP="00862C6F">
            <w:pPr>
              <w:keepLines/>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 xml:space="preserve">Fermeture de tous les espaces communs (par exemple, cafétéria du 15ème étage et restaurant le Satellite de la Tour, halls situés au –2 à l'extérieur des salles de réunion, espace au rez-de-chaussée de Montbrillant, hall de Varembé) jusqu'à la "Phase de retour à la normale". </w:t>
            </w:r>
          </w:p>
          <w:p w14:paraId="48148449"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Mise à disposition de lingettes nettoyantes pour chaque bureau/poste de travail (nettoyage des claviers, etc.).</w:t>
            </w:r>
          </w:p>
          <w:p w14:paraId="5623B85D"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Fourniture de matériels de nettoyage pour les boutons des ascenseurs, les poignées de porte, etc. et de dispositifs pour maintenir les portes ouvertes.</w:t>
            </w:r>
          </w:p>
          <w:p w14:paraId="3364AB71"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Distribution de masques aux visiteurs et aux autres membres du personnel à leur arrivée aux points d'accès (masques non médicaux jetables).</w:t>
            </w:r>
          </w:p>
          <w:p w14:paraId="3811D7DB"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Fermeture des sas de Varembé (Entrée/sortie) jusqu'à nouvel ordre.</w:t>
            </w:r>
          </w:p>
          <w:p w14:paraId="1F92C32E"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Dans toute la mesure possible, supprimer ou mettre à l'écart les objets fréquemment touchés.</w:t>
            </w:r>
          </w:p>
        </w:tc>
        <w:tc>
          <w:tcPr>
            <w:tcW w:w="1843" w:type="dxa"/>
          </w:tcPr>
          <w:p w14:paraId="5C566E49"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p>
        </w:tc>
      </w:tr>
      <w:tr w:rsidR="00862C6F" w:rsidRPr="00236418" w14:paraId="783918D5" w14:textId="77777777" w:rsidTr="00620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5F4B52DF" w14:textId="77777777" w:rsidR="00862C6F" w:rsidRPr="00236418" w:rsidRDefault="00862C6F" w:rsidP="00862C6F">
            <w:pPr>
              <w:spacing w:before="86"/>
              <w:rPr>
                <w:szCs w:val="24"/>
              </w:rPr>
            </w:pPr>
            <w:r w:rsidRPr="00236418">
              <w:rPr>
                <w:szCs w:val="24"/>
              </w:rPr>
              <w:lastRenderedPageBreak/>
              <w:t>Technologie et moyens informatiques</w:t>
            </w:r>
          </w:p>
        </w:tc>
        <w:tc>
          <w:tcPr>
            <w:tcW w:w="6039" w:type="dxa"/>
          </w:tcPr>
          <w:p w14:paraId="67B7252D"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Avant le retour sur le lieu de travail, lancement/test/examen des moyens technologiques nécessaires (écrans, WiFi, systèmes de gestion des bâtiments, contrôle d'accès, salles de réunion, etc.).</w:t>
            </w:r>
          </w:p>
          <w:p w14:paraId="781A2C53"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Réouverture du service d'assistance informatique: définir la procédure pour ne recevoir qu'une personne à la fois au comptoir et éviter les files d'attente. La disponibilité de désinfectant pour les mains et le nettoyage des claviers sont essentiels.</w:t>
            </w:r>
          </w:p>
          <w:p w14:paraId="1F236B75"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Équipe du service d'assistance informatique: fournir l'appui selon les besoins via des tickets d'incident ou par téléphone – limiter les interactions avec les personnes – La disponibilité de désinfectants, de gants et de matériel de nettoyage des claviers est essentielle.</w:t>
            </w:r>
          </w:p>
          <w:p w14:paraId="2CDE325C"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Remise d'équipements TIC: Les équipements peuvent être récupérés au bureau du service d'assistance informatique tous les jours, uniquement dans une tranche horaire définie et sur rendez-vous pour éviter les files d'attente. La disponibilité de désinfectants, de gants et de matériel de nettoyage des claviers est essentielle.</w:t>
            </w:r>
          </w:p>
        </w:tc>
        <w:tc>
          <w:tcPr>
            <w:tcW w:w="1843" w:type="dxa"/>
          </w:tcPr>
          <w:p w14:paraId="633EB881"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p>
        </w:tc>
      </w:tr>
      <w:tr w:rsidR="00862C6F" w:rsidRPr="00236418" w14:paraId="4FF516B4" w14:textId="77777777" w:rsidTr="00620F53">
        <w:tc>
          <w:tcPr>
            <w:cnfStyle w:val="001000000000" w:firstRow="0" w:lastRow="0" w:firstColumn="1" w:lastColumn="0" w:oddVBand="0" w:evenVBand="0" w:oddHBand="0" w:evenHBand="0" w:firstRowFirstColumn="0" w:firstRowLastColumn="0" w:lastRowFirstColumn="0" w:lastRowLastColumn="0"/>
            <w:tcW w:w="1894" w:type="dxa"/>
            <w:tcBorders>
              <w:bottom w:val="single" w:sz="4" w:space="0" w:color="9BBB59" w:themeColor="accent3"/>
            </w:tcBorders>
          </w:tcPr>
          <w:p w14:paraId="417A99C4" w14:textId="77777777" w:rsidR="00862C6F" w:rsidRPr="00236418" w:rsidRDefault="00862C6F" w:rsidP="00862C6F">
            <w:pPr>
              <w:spacing w:before="86"/>
              <w:rPr>
                <w:szCs w:val="24"/>
              </w:rPr>
            </w:pPr>
            <w:r w:rsidRPr="00236418">
              <w:rPr>
                <w:szCs w:val="24"/>
              </w:rPr>
              <w:lastRenderedPageBreak/>
              <w:t>Communications et formation</w:t>
            </w:r>
          </w:p>
        </w:tc>
        <w:tc>
          <w:tcPr>
            <w:tcW w:w="6039" w:type="dxa"/>
          </w:tcPr>
          <w:p w14:paraId="1769CDBF"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Instructions et lignes directrices claires à l'intention du personnel concernant les mesures de distanciation sociale et les mesures d'hygiène sur le lieu de travail.</w:t>
            </w:r>
          </w:p>
          <w:p w14:paraId="5106CE2F"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Signalétique, marquage au sol, cordons de sécurité dans les halls, dans les couloirs, à la cafétéria et dans les autres espaces communs où le personnel fait la queue.</w:t>
            </w:r>
          </w:p>
          <w:p w14:paraId="0D20CAF4"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 xml:space="preserve">Rappel des informations concernant la signalétique et des communications à l'intention du personnel sur les écrans LCD. </w:t>
            </w:r>
          </w:p>
          <w:p w14:paraId="3E169901"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Obligation pour les fonctionnaires de suivre une formation avant leur retour sur leur lieu de travail.</w:t>
            </w:r>
          </w:p>
          <w:p w14:paraId="03F89535"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r w:rsidRPr="00236418">
              <w:rPr>
                <w:szCs w:val="24"/>
              </w:rPr>
              <w:t>•</w:t>
            </w:r>
            <w:r w:rsidRPr="00236418">
              <w:rPr>
                <w:szCs w:val="24"/>
              </w:rPr>
              <w:tab/>
              <w:t>Communication de la politique pour garantir des bureaux propres.</w:t>
            </w:r>
          </w:p>
        </w:tc>
        <w:tc>
          <w:tcPr>
            <w:tcW w:w="1843" w:type="dxa"/>
          </w:tcPr>
          <w:p w14:paraId="7280BD8F" w14:textId="77777777" w:rsidR="00862C6F" w:rsidRPr="00236418"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rPr>
            </w:pPr>
          </w:p>
        </w:tc>
      </w:tr>
      <w:tr w:rsidR="00862C6F" w:rsidRPr="00236418" w14:paraId="54D7CBA7" w14:textId="77777777" w:rsidTr="00620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0874C5B2" w14:textId="77777777" w:rsidR="00862C6F" w:rsidRPr="00236418" w:rsidRDefault="00862C6F" w:rsidP="00862C6F">
            <w:pPr>
              <w:spacing w:before="86"/>
              <w:rPr>
                <w:szCs w:val="24"/>
              </w:rPr>
            </w:pPr>
            <w:r w:rsidRPr="00236418">
              <w:rPr>
                <w:szCs w:val="24"/>
              </w:rPr>
              <w:t>Accès et Contrôles</w:t>
            </w:r>
          </w:p>
        </w:tc>
        <w:tc>
          <w:tcPr>
            <w:tcW w:w="6039" w:type="dxa"/>
          </w:tcPr>
          <w:p w14:paraId="02D0EA07"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Stations de prise de température par caméra thermique à Montbrillant (1), à la Tour (1) et, lorsque nécessaire pour les manifestations, à la Porte Rouge (1).</w:t>
            </w:r>
          </w:p>
          <w:p w14:paraId="23AEB00A"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Installation de tentes temporaires de triage et d'isolement aux points d'entrée désignés de Montbrillant et de la Tour (également Porte Rouge lors des manifestations) où le Service médical pourra procéder à une évaluation individuelle de l'état de santé des personnes ayant déclenché une alerte à leur passage devant les caméras thermiques.</w:t>
            </w:r>
          </w:p>
          <w:p w14:paraId="7FA42A86"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Rondes de surveillance régulières de la Division SSD pour vérifier la bonne application des mesures de distanciation sociale, etc.</w:t>
            </w:r>
          </w:p>
          <w:p w14:paraId="5800650B"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r w:rsidRPr="00236418">
              <w:rPr>
                <w:szCs w:val="24"/>
              </w:rPr>
              <w:t>•</w:t>
            </w:r>
            <w:r w:rsidRPr="00236418">
              <w:rPr>
                <w:szCs w:val="24"/>
              </w:rPr>
              <w:tab/>
              <w:t>Observation visuelle pour repérer les personnes symptomatiques.</w:t>
            </w:r>
          </w:p>
        </w:tc>
        <w:tc>
          <w:tcPr>
            <w:tcW w:w="1843" w:type="dxa"/>
          </w:tcPr>
          <w:p w14:paraId="22313555" w14:textId="77777777" w:rsidR="00862C6F" w:rsidRPr="00236418"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rPr>
            </w:pPr>
          </w:p>
        </w:tc>
      </w:tr>
    </w:tbl>
    <w:p w14:paraId="75ACB456" w14:textId="77777777" w:rsidR="00862C6F" w:rsidRPr="00236418" w:rsidRDefault="00862C6F" w:rsidP="00862C6F">
      <w:pPr>
        <w:spacing w:before="86"/>
        <w:ind w:left="567" w:hanging="567"/>
      </w:pPr>
    </w:p>
    <w:p w14:paraId="7D8F2BF1" w14:textId="77777777" w:rsidR="00862C6F" w:rsidRPr="00236418" w:rsidRDefault="00862C6F" w:rsidP="00862C6F">
      <w:pPr>
        <w:tabs>
          <w:tab w:val="clear" w:pos="567"/>
          <w:tab w:val="clear" w:pos="1134"/>
          <w:tab w:val="clear" w:pos="1701"/>
          <w:tab w:val="clear" w:pos="2268"/>
          <w:tab w:val="clear" w:pos="2835"/>
        </w:tabs>
        <w:overflowPunct/>
        <w:autoSpaceDE/>
        <w:autoSpaceDN/>
        <w:adjustRightInd/>
        <w:spacing w:before="0"/>
        <w:textAlignment w:val="auto"/>
      </w:pPr>
      <w:r w:rsidRPr="00236418">
        <w:br w:type="page"/>
      </w:r>
    </w:p>
    <w:p w14:paraId="7895C18C" w14:textId="77777777" w:rsidR="00862C6F" w:rsidRPr="00236418" w:rsidRDefault="00862C6F" w:rsidP="00862C6F">
      <w:pPr>
        <w:spacing w:before="240" w:after="360"/>
        <w:jc w:val="center"/>
        <w:rPr>
          <w:b/>
          <w:sz w:val="28"/>
        </w:rPr>
      </w:pPr>
      <w:r w:rsidRPr="00236418">
        <w:rPr>
          <w:b/>
          <w:sz w:val="28"/>
        </w:rPr>
        <w:lastRenderedPageBreak/>
        <w:t>Situation de l'UIT concernant le rétablissement au siège sur la base des conditions pour la sécurité et la santé ainsi que de la continuité des activités (réunions)</w:t>
      </w:r>
    </w:p>
    <w:tbl>
      <w:tblPr>
        <w:tblStyle w:val="TableGrid5"/>
        <w:tblW w:w="10207" w:type="dxa"/>
        <w:tblLook w:val="04A0" w:firstRow="1" w:lastRow="0" w:firstColumn="1" w:lastColumn="0" w:noHBand="0" w:noVBand="1"/>
      </w:tblPr>
      <w:tblGrid>
        <w:gridCol w:w="1572"/>
        <w:gridCol w:w="2677"/>
        <w:gridCol w:w="3047"/>
        <w:gridCol w:w="2911"/>
      </w:tblGrid>
      <w:tr w:rsidR="00862C6F" w:rsidRPr="00236418" w14:paraId="66455143" w14:textId="77777777" w:rsidTr="00620F53">
        <w:tc>
          <w:tcPr>
            <w:tcW w:w="1572" w:type="dxa"/>
            <w:hideMark/>
          </w:tcPr>
          <w:p w14:paraId="242F0196"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Juridiction</w:t>
            </w:r>
          </w:p>
        </w:tc>
        <w:tc>
          <w:tcPr>
            <w:tcW w:w="2677" w:type="dxa"/>
            <w:hideMark/>
          </w:tcPr>
          <w:p w14:paraId="3A5C965C"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Restrictions</w:t>
            </w:r>
          </w:p>
        </w:tc>
        <w:tc>
          <w:tcPr>
            <w:tcW w:w="3047" w:type="dxa"/>
            <w:hideMark/>
          </w:tcPr>
          <w:p w14:paraId="0D010A1D"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Date</w:t>
            </w:r>
          </w:p>
        </w:tc>
        <w:tc>
          <w:tcPr>
            <w:tcW w:w="2911" w:type="dxa"/>
            <w:hideMark/>
          </w:tcPr>
          <w:p w14:paraId="7BEDA0F8" w14:textId="77777777" w:rsidR="00862C6F" w:rsidRPr="00236418" w:rsidRDefault="00862C6F" w:rsidP="00862C6F">
            <w:pPr>
              <w:tabs>
                <w:tab w:val="clear" w:pos="567"/>
                <w:tab w:val="clear" w:pos="1134"/>
                <w:tab w:val="clear" w:pos="1701"/>
                <w:tab w:val="clear" w:pos="2268"/>
                <w:tab w:val="clear" w:pos="2835"/>
              </w:tabs>
              <w:spacing w:after="120"/>
              <w:jc w:val="center"/>
              <w:rPr>
                <w:b/>
                <w:sz w:val="22"/>
                <w:lang w:eastAsia="zh-CN"/>
              </w:rPr>
            </w:pPr>
            <w:r w:rsidRPr="00236418">
              <w:rPr>
                <w:b/>
                <w:sz w:val="22"/>
                <w:lang w:eastAsia="zh-CN"/>
              </w:rPr>
              <w:t>Mesures prises par l'UIT</w:t>
            </w:r>
          </w:p>
        </w:tc>
      </w:tr>
      <w:tr w:rsidR="00862C6F" w:rsidRPr="00236418" w14:paraId="54FAD81B" w14:textId="77777777" w:rsidTr="00620F53">
        <w:tc>
          <w:tcPr>
            <w:tcW w:w="1572" w:type="dxa"/>
            <w:vMerge w:val="restart"/>
            <w:hideMark/>
          </w:tcPr>
          <w:p w14:paraId="0C4B6B42"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Parlement suisse</w:t>
            </w:r>
          </w:p>
        </w:tc>
        <w:tc>
          <w:tcPr>
            <w:tcW w:w="2677" w:type="dxa"/>
            <w:hideMark/>
          </w:tcPr>
          <w:p w14:paraId="445E7661"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À l'échelle de la Suisse pays hôte (fermeture des écoles et des frontières, limitation des rassemblements, etc.)</w:t>
            </w:r>
          </w:p>
        </w:tc>
        <w:tc>
          <w:tcPr>
            <w:tcW w:w="3047" w:type="dxa"/>
            <w:hideMark/>
          </w:tcPr>
          <w:p w14:paraId="76F031F0"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highlight w:val="red"/>
                <w:lang w:eastAsia="zh-CN"/>
              </w:rPr>
              <w:t>11 mai 2020</w:t>
            </w:r>
          </w:p>
        </w:tc>
        <w:tc>
          <w:tcPr>
            <w:tcW w:w="2911" w:type="dxa"/>
          </w:tcPr>
          <w:p w14:paraId="77B8C80F"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Tous les fonctionnaires en télétravail jusqu'à la fin du mois de mai 2020.</w:t>
            </w:r>
          </w:p>
          <w:p w14:paraId="06DFDBAB"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Poursuite de l'annulation des réunions physiques (réunions virtuelles uniquement).</w:t>
            </w:r>
          </w:p>
        </w:tc>
      </w:tr>
      <w:tr w:rsidR="00862C6F" w:rsidRPr="00236418" w14:paraId="26936391" w14:textId="77777777" w:rsidTr="00620F53">
        <w:tc>
          <w:tcPr>
            <w:tcW w:w="0" w:type="auto"/>
            <w:vMerge/>
            <w:hideMark/>
          </w:tcPr>
          <w:p w14:paraId="36416B5C"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p>
        </w:tc>
        <w:tc>
          <w:tcPr>
            <w:tcW w:w="2677" w:type="dxa"/>
            <w:hideMark/>
          </w:tcPr>
          <w:p w14:paraId="06C08350"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À l'échelle de la Suisse pays hôte, levée du confinement, ouverture des écoles mais les frontières restent fermées et les restrictions applicables aux rassemblements sont toujours en vigueur.</w:t>
            </w:r>
          </w:p>
        </w:tc>
        <w:tc>
          <w:tcPr>
            <w:tcW w:w="3047" w:type="dxa"/>
            <w:hideMark/>
          </w:tcPr>
          <w:p w14:paraId="227A5434"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highlight w:val="red"/>
                <w:lang w:eastAsia="zh-CN"/>
              </w:rPr>
              <w:t>11 mai 2020</w:t>
            </w:r>
            <w:r w:rsidRPr="00236418">
              <w:rPr>
                <w:sz w:val="22"/>
                <w:lang w:eastAsia="zh-CN"/>
              </w:rPr>
              <w:t xml:space="preserve"> – </w:t>
            </w:r>
            <w:r w:rsidRPr="00236418">
              <w:rPr>
                <w:sz w:val="22"/>
                <w:highlight w:val="yellow"/>
                <w:lang w:eastAsia="zh-CN"/>
              </w:rPr>
              <w:t>8 juin 2020</w:t>
            </w:r>
            <w:r w:rsidRPr="00236418">
              <w:rPr>
                <w:sz w:val="22"/>
                <w:lang w:eastAsia="zh-CN"/>
              </w:rPr>
              <w:t>?</w:t>
            </w:r>
          </w:p>
        </w:tc>
        <w:tc>
          <w:tcPr>
            <w:tcW w:w="2911" w:type="dxa"/>
          </w:tcPr>
          <w:p w14:paraId="49FD14F3"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Tous les fonctionnaires non essentiels et essentiels dont la présence est nécessaire dans les locaux continuent de télétravailler.</w:t>
            </w:r>
          </w:p>
          <w:p w14:paraId="0D1981C0"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Les réunions virtuelles continuent avec tous les délégués à distance.</w:t>
            </w:r>
          </w:p>
        </w:tc>
      </w:tr>
      <w:tr w:rsidR="00862C6F" w:rsidRPr="00236418" w14:paraId="3A9CF9D2" w14:textId="77777777" w:rsidTr="00620F53">
        <w:tc>
          <w:tcPr>
            <w:tcW w:w="1572" w:type="dxa"/>
            <w:vMerge w:val="restart"/>
            <w:hideMark/>
          </w:tcPr>
          <w:p w14:paraId="7F5F69B8"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Restrictions internationales</w:t>
            </w:r>
          </w:p>
        </w:tc>
        <w:tc>
          <w:tcPr>
            <w:tcW w:w="2677" w:type="dxa"/>
          </w:tcPr>
          <w:p w14:paraId="0A67B2F4"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Réouverture des frontières suisses?</w:t>
            </w:r>
          </w:p>
          <w:p w14:paraId="4748FEE6"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Levée de l'interdiction de voyage/d'entrée sur le territoire suisse pour les ressortissants de certains pays.</w:t>
            </w:r>
          </w:p>
          <w:p w14:paraId="5667A99A"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Maintien des mesures de distanciation sociale et d'autres mesures de précaution pour empêcher la propagation du virus.</w:t>
            </w:r>
          </w:p>
        </w:tc>
        <w:tc>
          <w:tcPr>
            <w:tcW w:w="3047" w:type="dxa"/>
            <w:hideMark/>
          </w:tcPr>
          <w:p w14:paraId="61E24FEF"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highlight w:val="yellow"/>
                <w:lang w:eastAsia="zh-CN"/>
              </w:rPr>
              <w:t>JJ.juin.2020</w:t>
            </w:r>
            <w:r w:rsidRPr="00236418">
              <w:rPr>
                <w:sz w:val="22"/>
                <w:lang w:eastAsia="zh-CN"/>
              </w:rPr>
              <w:t xml:space="preserve"> – </w:t>
            </w:r>
            <w:r w:rsidRPr="00236418">
              <w:rPr>
                <w:sz w:val="22"/>
                <w:highlight w:val="green"/>
                <w:lang w:eastAsia="zh-CN"/>
              </w:rPr>
              <w:t>JJ.MMM.2021</w:t>
            </w:r>
          </w:p>
        </w:tc>
        <w:tc>
          <w:tcPr>
            <w:tcW w:w="2911" w:type="dxa"/>
          </w:tcPr>
          <w:p w14:paraId="42217F9B" w14:textId="77777777" w:rsidR="00862C6F" w:rsidRPr="00236418" w:rsidRDefault="00862C6F" w:rsidP="00862C6F">
            <w:pPr>
              <w:tabs>
                <w:tab w:val="clear" w:pos="567"/>
                <w:tab w:val="clear" w:pos="1134"/>
                <w:tab w:val="clear" w:pos="1701"/>
                <w:tab w:val="clear" w:pos="2268"/>
                <w:tab w:val="clear" w:pos="2835"/>
              </w:tabs>
              <w:spacing w:before="60" w:after="60"/>
              <w:rPr>
                <w:sz w:val="22"/>
              </w:rPr>
            </w:pPr>
            <w:r w:rsidRPr="00236418">
              <w:rPr>
                <w:sz w:val="22"/>
              </w:rPr>
              <w:t>La plupart des fonctionnaires en télétravail.</w:t>
            </w:r>
          </w:p>
          <w:p w14:paraId="1A2939D9"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Les réunions virtuelles continuent avec tous les délégués à distance.</w:t>
            </w:r>
          </w:p>
        </w:tc>
      </w:tr>
      <w:tr w:rsidR="00862C6F" w:rsidRPr="00236418" w14:paraId="6E8ABEC1" w14:textId="77777777" w:rsidTr="00620F53">
        <w:tc>
          <w:tcPr>
            <w:tcW w:w="0" w:type="auto"/>
            <w:vMerge/>
            <w:hideMark/>
          </w:tcPr>
          <w:p w14:paraId="3328CBC6"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p>
        </w:tc>
        <w:tc>
          <w:tcPr>
            <w:tcW w:w="2677" w:type="dxa"/>
            <w:hideMark/>
          </w:tcPr>
          <w:p w14:paraId="3F1E46A4"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Levée de toutes les restrictions nationales concernant les voyages.</w:t>
            </w:r>
          </w:p>
          <w:p w14:paraId="0788E802"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Aucun pays soumis à des restrictions (Convention 1946/47).</w:t>
            </w:r>
          </w:p>
        </w:tc>
        <w:tc>
          <w:tcPr>
            <w:tcW w:w="3047" w:type="dxa"/>
            <w:hideMark/>
          </w:tcPr>
          <w:p w14:paraId="2A3953D1"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highlight w:val="green"/>
                <w:lang w:eastAsia="zh-CN"/>
              </w:rPr>
              <w:t>JJ.MMM.2021</w:t>
            </w:r>
            <w:r w:rsidRPr="00236418">
              <w:rPr>
                <w:sz w:val="22"/>
                <w:lang w:eastAsia="zh-CN"/>
              </w:rPr>
              <w:t xml:space="preserve"> – JJ.MMM.AAAA</w:t>
            </w:r>
          </w:p>
        </w:tc>
        <w:tc>
          <w:tcPr>
            <w:tcW w:w="2911" w:type="dxa"/>
            <w:hideMark/>
          </w:tcPr>
          <w:p w14:paraId="74515084" w14:textId="77777777" w:rsidR="00862C6F" w:rsidRPr="00236418" w:rsidRDefault="00862C6F" w:rsidP="00862C6F">
            <w:pPr>
              <w:tabs>
                <w:tab w:val="clear" w:pos="567"/>
                <w:tab w:val="clear" w:pos="1134"/>
                <w:tab w:val="clear" w:pos="1701"/>
                <w:tab w:val="clear" w:pos="2268"/>
                <w:tab w:val="clear" w:pos="2835"/>
              </w:tabs>
              <w:spacing w:before="60" w:after="60"/>
              <w:rPr>
                <w:sz w:val="22"/>
                <w:lang w:eastAsia="zh-CN"/>
              </w:rPr>
            </w:pPr>
            <w:r w:rsidRPr="00236418">
              <w:rPr>
                <w:sz w:val="22"/>
                <w:lang w:eastAsia="zh-CN"/>
              </w:rPr>
              <w:t>Les réunions physiques peuvent reprendre avec l'application des mêmes conditions pour tous les États Membres.</w:t>
            </w:r>
          </w:p>
        </w:tc>
      </w:tr>
    </w:tbl>
    <w:p w14:paraId="5BC4D40B" w14:textId="77777777" w:rsidR="00862C6F" w:rsidRPr="00236418" w:rsidRDefault="00862C6F" w:rsidP="00862C6F"/>
    <w:p w14:paraId="57E503B6" w14:textId="7563DAA7" w:rsidR="00862C6F" w:rsidRPr="00236418" w:rsidRDefault="00862C6F" w:rsidP="00C5703C">
      <w:pPr>
        <w:jc w:val="center"/>
      </w:pPr>
      <w:r w:rsidRPr="00236418">
        <w:t>______________</w:t>
      </w:r>
    </w:p>
    <w:p w14:paraId="70BCC099" w14:textId="77777777" w:rsidR="00DF6159" w:rsidRPr="00236418" w:rsidRDefault="00DF6159" w:rsidP="009B3D24">
      <w:pPr>
        <w:rPr>
          <w:sz w:val="2"/>
          <w:szCs w:val="2"/>
        </w:rPr>
      </w:pPr>
    </w:p>
    <w:sectPr w:rsidR="00DF6159" w:rsidRPr="00236418" w:rsidSect="00990BF1">
      <w:headerReference w:type="even" r:id="rId81"/>
      <w:headerReference w:type="default" r:id="rId82"/>
      <w:footerReference w:type="even" r:id="rId83"/>
      <w:footerReference w:type="default" r:id="rId84"/>
      <w:footerReference w:type="first" r:id="rId85"/>
      <w:pgSz w:w="11907" w:h="16840" w:code="9"/>
      <w:pgMar w:top="1077" w:right="1134" w:bottom="107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2528" w14:textId="77777777" w:rsidR="00596807" w:rsidRDefault="00596807">
      <w:r>
        <w:separator/>
      </w:r>
    </w:p>
  </w:endnote>
  <w:endnote w:type="continuationSeparator" w:id="0">
    <w:p w14:paraId="13C68B19" w14:textId="77777777" w:rsidR="00596807" w:rsidRDefault="0059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FoundryMonoline-Medium">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14A3" w14:textId="59350AE0" w:rsidR="00596807" w:rsidRPr="005658D0" w:rsidRDefault="00596807">
    <w:pPr>
      <w:pStyle w:val="Footer"/>
      <w:rPr>
        <w:lang w:val="fr-CH"/>
      </w:rPr>
    </w:pPr>
    <w:r>
      <w:fldChar w:fldCharType="begin"/>
    </w:r>
    <w:r w:rsidRPr="005658D0">
      <w:rPr>
        <w:lang w:val="fr-CH"/>
      </w:rPr>
      <w:instrText xml:space="preserve"> FILENAME \p \* MERGEFORMAT </w:instrText>
    </w:r>
    <w:r>
      <w:fldChar w:fldCharType="separate"/>
    </w:r>
    <w:r>
      <w:rPr>
        <w:lang w:val="fr-CH"/>
      </w:rPr>
      <w:t>P:\FRA\SG\CONSEIL\C20\000\042F.docx</w:t>
    </w:r>
    <w:r>
      <w:fldChar w:fldCharType="end"/>
    </w:r>
    <w:r w:rsidRPr="005658D0">
      <w:rPr>
        <w:lang w:val="fr-CH"/>
      </w:rPr>
      <w:tab/>
    </w:r>
    <w:r>
      <w:fldChar w:fldCharType="begin"/>
    </w:r>
    <w:r>
      <w:instrText xml:space="preserve"> savedate \@ dd.MM.yy </w:instrText>
    </w:r>
    <w:r>
      <w:fldChar w:fldCharType="separate"/>
    </w:r>
    <w:r w:rsidR="004D4A9B">
      <w:t>04.11.20</w:t>
    </w:r>
    <w:r>
      <w:fldChar w:fldCharType="end"/>
    </w:r>
    <w:r w:rsidRPr="005658D0">
      <w:rPr>
        <w:lang w:val="fr-CH"/>
      </w:rPr>
      <w:tab/>
    </w:r>
    <w:r>
      <w:fldChar w:fldCharType="begin"/>
    </w:r>
    <w:r>
      <w:instrText xml:space="preserve"> printdate \@ dd.MM.yy </w:instrText>
    </w:r>
    <w:r>
      <w:fldChar w:fldCharType="separate"/>
    </w:r>
    <w:r>
      <w:t>18.07.00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060" w14:textId="77777777" w:rsidR="00596807" w:rsidRDefault="00596807">
    <w:pPr>
      <w:spacing w:after="120"/>
      <w:jc w:val="center"/>
    </w:pPr>
    <w:r>
      <w:t xml:space="preserve">• </w:t>
    </w:r>
    <w:hyperlink r:id="rId1" w:history="1">
      <w:r>
        <w:rPr>
          <w:rStyle w:val="Hyperlink"/>
        </w:rPr>
        <w:t>http://www.itu.int/council</w:t>
      </w:r>
    </w:hyperlink>
    <w:r>
      <w:t xml:space="preserve"> •</w:t>
    </w:r>
  </w:p>
  <w:p w14:paraId="039CBA93" w14:textId="1CA7E2FF" w:rsidR="00596807" w:rsidRDefault="00927AB5">
    <w:pPr>
      <w:pStyle w:val="Footer"/>
    </w:pPr>
    <w:fldSimple w:instr=" FILENAME \p \* MERGEFORMAT ">
      <w:r w:rsidR="00596807">
        <w:t>P:\FRA\SG\CONSEIL\C20\000\042F.docx</w:t>
      </w:r>
    </w:fldSimple>
    <w:r w:rsidR="00596807">
      <w:tab/>
    </w:r>
    <w:r w:rsidR="00596807">
      <w:fldChar w:fldCharType="begin"/>
    </w:r>
    <w:r w:rsidR="00596807">
      <w:instrText xml:space="preserve"> savedate \@ dd.MM.yy </w:instrText>
    </w:r>
    <w:r w:rsidR="00596807">
      <w:fldChar w:fldCharType="separate"/>
    </w:r>
    <w:r w:rsidR="004D4A9B">
      <w:t>04.11.20</w:t>
    </w:r>
    <w:r w:rsidR="00596807">
      <w:fldChar w:fldCharType="end"/>
    </w:r>
    <w:r w:rsidR="00596807">
      <w:tab/>
    </w:r>
    <w:r w:rsidR="00596807">
      <w:fldChar w:fldCharType="begin"/>
    </w:r>
    <w:r w:rsidR="00596807">
      <w:instrText xml:space="preserve"> printdate \@ dd.MM.yy </w:instrText>
    </w:r>
    <w:r w:rsidR="00596807">
      <w:fldChar w:fldCharType="separate"/>
    </w:r>
    <w:r w:rsidR="00596807">
      <w:t>18.07.00</w:t>
    </w:r>
    <w:r w:rsidR="005968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255C" w14:textId="47917BC3" w:rsidR="00596807" w:rsidRPr="00B35C37" w:rsidRDefault="00927AB5" w:rsidP="00B35C37">
    <w:pPr>
      <w:pStyle w:val="Footer"/>
    </w:pPr>
    <w:fldSimple w:instr=" FILENAME \p  \* MERGEFORMAT ">
      <w:r w:rsidR="00596807">
        <w:t>P:\FRA\SG\CONSEIL\C20\000\042REV1F.docx</w:t>
      </w:r>
    </w:fldSimple>
    <w:r w:rsidR="00596807" w:rsidRPr="00B35C37">
      <w:t xml:space="preserve"> (</w:t>
    </w:r>
    <w:r w:rsidR="00596807">
      <w:t>479650</w:t>
    </w:r>
    <w:r w:rsidR="00596807" w:rsidRPr="00B35C3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89C5" w14:textId="77777777" w:rsidR="00596807" w:rsidRDefault="00596807" w:rsidP="006538EB">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3189" w14:textId="77777777" w:rsidR="00596807" w:rsidRPr="00B35C37" w:rsidRDefault="00927AB5" w:rsidP="00236418">
    <w:pPr>
      <w:pStyle w:val="Footer"/>
    </w:pPr>
    <w:fldSimple w:instr=" FILENAME \p  \* MERGEFORMAT ">
      <w:r w:rsidR="00596807">
        <w:t>P:\FRA\SG\CONSEIL\C20\000\042REV1F.docx</w:t>
      </w:r>
    </w:fldSimple>
    <w:r w:rsidR="00596807" w:rsidRPr="00B35C37">
      <w:t xml:space="preserve"> (</w:t>
    </w:r>
    <w:r w:rsidR="00596807">
      <w:t>479650</w:t>
    </w:r>
    <w:r w:rsidR="00596807" w:rsidRPr="00B35C37">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8D5B" w14:textId="49C90EF3" w:rsidR="00596807" w:rsidRPr="00E55BC6" w:rsidRDefault="00927AB5" w:rsidP="006538EB">
    <w:pPr>
      <w:pStyle w:val="Footer"/>
    </w:pPr>
    <w:fldSimple w:instr=" FILENAME \p  \* MERGEFORMAT ">
      <w:r w:rsidR="00596807">
        <w:t>P:\FRA\SG\CONSEIL\C20\000\042F.docx</w:t>
      </w:r>
    </w:fldSimple>
    <w:r w:rsidR="00596807">
      <w:t xml:space="preserve"> (429725)</w:t>
    </w:r>
    <w:r w:rsidR="00596807" w:rsidRPr="00E55BC6">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9481" w14:textId="77777777" w:rsidR="00596807" w:rsidRPr="00B35C37" w:rsidRDefault="00927AB5" w:rsidP="00236418">
    <w:pPr>
      <w:pStyle w:val="Footer"/>
    </w:pPr>
    <w:fldSimple w:instr=" FILENAME \p  \* MERGEFORMAT ">
      <w:r w:rsidR="00596807">
        <w:t>P:\FRA\SG\CONSEIL\C20\000\042REV1F.docx</w:t>
      </w:r>
    </w:fldSimple>
    <w:r w:rsidR="00596807" w:rsidRPr="00B35C37">
      <w:t xml:space="preserve"> (</w:t>
    </w:r>
    <w:r w:rsidR="00596807">
      <w:t>479650</w:t>
    </w:r>
    <w:r w:rsidR="00596807" w:rsidRPr="00B35C37">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E464" w14:textId="77777777" w:rsidR="00596807" w:rsidRPr="00B35C37" w:rsidRDefault="00927AB5" w:rsidP="00236418">
    <w:pPr>
      <w:pStyle w:val="Footer"/>
    </w:pPr>
    <w:fldSimple w:instr=" FILENAME \p  \* MERGEFORMAT ">
      <w:r w:rsidR="00596807">
        <w:t>P:\FRA\SG\CONSEIL\C20\000\042REV1F.docx</w:t>
      </w:r>
    </w:fldSimple>
    <w:r w:rsidR="00596807" w:rsidRPr="00B35C37">
      <w:t xml:space="preserve"> (</w:t>
    </w:r>
    <w:r w:rsidR="00596807">
      <w:t>479650</w:t>
    </w:r>
    <w:r w:rsidR="00596807" w:rsidRPr="00B35C37">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F900" w14:textId="3F87DD87" w:rsidR="00596807" w:rsidRDefault="00927AB5">
    <w:pPr>
      <w:pStyle w:val="Footer"/>
    </w:pPr>
    <w:fldSimple w:instr=" FILENAME \p \* MERGEFORMAT ">
      <w:r w:rsidR="00596807">
        <w:t>P:\FRA\SG\CONSEIL\C20\000\042F.docx</w:t>
      </w:r>
    </w:fldSimple>
    <w:r w:rsidR="00596807">
      <w:tab/>
    </w:r>
    <w:r w:rsidR="00596807">
      <w:fldChar w:fldCharType="begin"/>
    </w:r>
    <w:r w:rsidR="00596807">
      <w:instrText xml:space="preserve"> savedate \@ dd.MM.yy </w:instrText>
    </w:r>
    <w:r w:rsidR="00596807">
      <w:fldChar w:fldCharType="separate"/>
    </w:r>
    <w:r w:rsidR="004D4A9B">
      <w:t>04.11.20</w:t>
    </w:r>
    <w:r w:rsidR="00596807">
      <w:fldChar w:fldCharType="end"/>
    </w:r>
    <w:r w:rsidR="00596807">
      <w:tab/>
    </w:r>
    <w:r w:rsidR="00596807">
      <w:fldChar w:fldCharType="begin"/>
    </w:r>
    <w:r w:rsidR="00596807">
      <w:instrText xml:space="preserve"> printdate \@ dd.MM.yy </w:instrText>
    </w:r>
    <w:r w:rsidR="00596807">
      <w:fldChar w:fldCharType="separate"/>
    </w:r>
    <w:r w:rsidR="00596807">
      <w:t>18.07.00</w:t>
    </w:r>
    <w:r w:rsidR="00596807">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FF16" w14:textId="77777777" w:rsidR="00596807" w:rsidRPr="00B35C37" w:rsidRDefault="00927AB5" w:rsidP="00236418">
    <w:pPr>
      <w:pStyle w:val="Footer"/>
    </w:pPr>
    <w:fldSimple w:instr=" FILENAME \p  \* MERGEFORMAT ">
      <w:r w:rsidR="00596807">
        <w:t>P:\FRA\SG\CONSEIL\C20\000\042REV1F.docx</w:t>
      </w:r>
    </w:fldSimple>
    <w:r w:rsidR="00596807" w:rsidRPr="00B35C37">
      <w:t xml:space="preserve"> (</w:t>
    </w:r>
    <w:r w:rsidR="00596807">
      <w:t>479650</w:t>
    </w:r>
    <w:r w:rsidR="00596807" w:rsidRPr="00B35C3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61B8" w14:textId="77777777" w:rsidR="00596807" w:rsidRDefault="00596807">
      <w:r>
        <w:t>____________________</w:t>
      </w:r>
    </w:p>
  </w:footnote>
  <w:footnote w:type="continuationSeparator" w:id="0">
    <w:p w14:paraId="59D35856" w14:textId="77777777" w:rsidR="00596807" w:rsidRDefault="0059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AC3" w14:textId="77777777" w:rsidR="00596807" w:rsidRDefault="00596807">
    <w:pPr>
      <w:pStyle w:val="Header"/>
    </w:pPr>
    <w:r>
      <w:t xml:space="preserve">– </w:t>
    </w:r>
    <w:r>
      <w:fldChar w:fldCharType="begin"/>
    </w:r>
    <w:r>
      <w:instrText>PAGE</w:instrText>
    </w:r>
    <w:r>
      <w:fldChar w:fldCharType="separate"/>
    </w:r>
    <w:r>
      <w:rPr>
        <w:noProof/>
      </w:rPr>
      <w:t>111</w:t>
    </w:r>
    <w:r>
      <w:rPr>
        <w:noProof/>
      </w:rPr>
      <w:fldChar w:fldCharType="end"/>
    </w:r>
    <w:r>
      <w:t xml:space="preserve"> –</w:t>
    </w:r>
  </w:p>
  <w:p w14:paraId="29AF55CF" w14:textId="77777777" w:rsidR="00596807" w:rsidRDefault="0059680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348A" w14:textId="7A661E5B" w:rsidR="00596807" w:rsidRDefault="00596807" w:rsidP="006538EB">
    <w:pPr>
      <w:pStyle w:val="Header"/>
    </w:pPr>
    <w:r>
      <w:fldChar w:fldCharType="begin"/>
    </w:r>
    <w:r>
      <w:instrText>PAGE</w:instrText>
    </w:r>
    <w:r>
      <w:fldChar w:fldCharType="separate"/>
    </w:r>
    <w:r w:rsidR="00C5703C">
      <w:rPr>
        <w:noProof/>
      </w:rPr>
      <w:t>56</w:t>
    </w:r>
    <w:r>
      <w:rPr>
        <w:noProof/>
      </w:rPr>
      <w:fldChar w:fldCharType="end"/>
    </w:r>
  </w:p>
  <w:p w14:paraId="3E5B5F76" w14:textId="06225C3C" w:rsidR="00596807" w:rsidRDefault="00596807" w:rsidP="006538EB">
    <w:pPr>
      <w:pStyle w:val="Header"/>
    </w:pPr>
    <w:r>
      <w:t>C20/42(Rév.1)-F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DBCA" w14:textId="77777777" w:rsidR="00596807" w:rsidRDefault="00596807" w:rsidP="006538EB">
    <w:pPr>
      <w:pStyle w:val="Header"/>
    </w:pPr>
    <w:r>
      <w:fldChar w:fldCharType="begin"/>
    </w:r>
    <w:r>
      <w:instrText>PAGE</w:instrText>
    </w:r>
    <w:r>
      <w:fldChar w:fldCharType="separate"/>
    </w:r>
    <w:r>
      <w:rPr>
        <w:noProof/>
      </w:rPr>
      <w:t>68</w:t>
    </w:r>
    <w:r>
      <w:rPr>
        <w:noProof/>
      </w:rPr>
      <w:fldChar w:fldCharType="end"/>
    </w:r>
  </w:p>
  <w:p w14:paraId="13EE81DE" w14:textId="77777777" w:rsidR="00596807" w:rsidRDefault="00596807" w:rsidP="006538EB">
    <w:pPr>
      <w:pStyle w:val="Header"/>
    </w:pPr>
    <w:r>
      <w:t>C18/43–F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B461" w14:textId="178EAE28" w:rsidR="00596807" w:rsidRDefault="00596807" w:rsidP="00236418">
    <w:pPr>
      <w:pStyle w:val="Header"/>
    </w:pPr>
    <w:r>
      <w:fldChar w:fldCharType="begin"/>
    </w:r>
    <w:r>
      <w:instrText>PAGE</w:instrText>
    </w:r>
    <w:r>
      <w:fldChar w:fldCharType="separate"/>
    </w:r>
    <w:r w:rsidR="00C5703C">
      <w:rPr>
        <w:noProof/>
      </w:rPr>
      <w:t>86</w:t>
    </w:r>
    <w:r>
      <w:rPr>
        <w:noProof/>
      </w:rPr>
      <w:fldChar w:fldCharType="end"/>
    </w:r>
  </w:p>
  <w:p w14:paraId="0312E7FA" w14:textId="77777777" w:rsidR="00596807" w:rsidRDefault="00596807" w:rsidP="00236418">
    <w:pPr>
      <w:pStyle w:val="Header"/>
    </w:pPr>
    <w:r>
      <w:t>C20/42(Rév.1)-F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7F9F" w14:textId="77777777" w:rsidR="00596807" w:rsidRDefault="00596807" w:rsidP="00620F53">
    <w:pPr>
      <w:pStyle w:val="Header"/>
      <w:rPr>
        <w:noProof/>
      </w:rPr>
    </w:pPr>
    <w:r>
      <w:fldChar w:fldCharType="begin"/>
    </w:r>
    <w:r>
      <w:instrText>PAGE</w:instrText>
    </w:r>
    <w:r>
      <w:fldChar w:fldCharType="separate"/>
    </w:r>
    <w:r>
      <w:rPr>
        <w:noProof/>
      </w:rPr>
      <w:t>44</w:t>
    </w:r>
    <w:r>
      <w:rPr>
        <w:noProof/>
      </w:rPr>
      <w:fldChar w:fldCharType="end"/>
    </w:r>
  </w:p>
  <w:p w14:paraId="77BAFB15" w14:textId="77777777" w:rsidR="00596807" w:rsidRDefault="00596807" w:rsidP="00620F53">
    <w:pPr>
      <w:pStyle w:val="Header"/>
    </w:pPr>
    <w:r>
      <w:t>C18/42-F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F553" w14:textId="17FA53C1" w:rsidR="00596807" w:rsidRDefault="00596807" w:rsidP="00236418">
    <w:pPr>
      <w:pStyle w:val="Header"/>
    </w:pPr>
    <w:r>
      <w:fldChar w:fldCharType="begin"/>
    </w:r>
    <w:r>
      <w:instrText>PAGE</w:instrText>
    </w:r>
    <w:r>
      <w:fldChar w:fldCharType="separate"/>
    </w:r>
    <w:r w:rsidR="00C5703C">
      <w:rPr>
        <w:noProof/>
      </w:rPr>
      <w:t>115</w:t>
    </w:r>
    <w:r>
      <w:rPr>
        <w:noProof/>
      </w:rPr>
      <w:fldChar w:fldCharType="end"/>
    </w:r>
  </w:p>
  <w:p w14:paraId="1AF932C8" w14:textId="77777777" w:rsidR="00596807" w:rsidRDefault="00596807" w:rsidP="00236418">
    <w:pPr>
      <w:pStyle w:val="Header"/>
    </w:pPr>
    <w:r>
      <w:t>C20/42(Rév.1)-F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741A" w14:textId="77777777" w:rsidR="00596807" w:rsidRDefault="0059680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B39E5AE" w14:textId="77777777" w:rsidR="00596807" w:rsidRDefault="00596807">
    <w:pPr>
      <w:pStyle w:val="Header"/>
    </w:pPr>
    <w:r>
      <w:t>C2001/#-F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22D8" w14:textId="50C15FB9" w:rsidR="00596807" w:rsidRDefault="00596807" w:rsidP="00475FB3">
    <w:pPr>
      <w:pStyle w:val="Header"/>
    </w:pPr>
    <w:r>
      <w:fldChar w:fldCharType="begin"/>
    </w:r>
    <w:r>
      <w:instrText>PAGE</w:instrText>
    </w:r>
    <w:r>
      <w:fldChar w:fldCharType="separate"/>
    </w:r>
    <w:r w:rsidR="00C5703C">
      <w:rPr>
        <w:noProof/>
      </w:rPr>
      <w:t>132</w:t>
    </w:r>
    <w:r>
      <w:rPr>
        <w:noProof/>
      </w:rPr>
      <w:fldChar w:fldCharType="end"/>
    </w:r>
  </w:p>
  <w:p w14:paraId="529A7A41" w14:textId="261E3D83" w:rsidR="00596807" w:rsidRDefault="00596807" w:rsidP="00106B19">
    <w:pPr>
      <w:pStyle w:val="Header"/>
    </w:pPr>
    <w:r>
      <w:t>C20/42(Rév.1)-F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7E255E"/>
    <w:multiLevelType w:val="hybridMultilevel"/>
    <w:tmpl w:val="6A48D462"/>
    <w:styleLink w:val="Style11"/>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73351AB"/>
    <w:multiLevelType w:val="hybridMultilevel"/>
    <w:tmpl w:val="5A34FE9E"/>
    <w:styleLink w:val="Style31"/>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B25785"/>
    <w:multiLevelType w:val="hybridMultilevel"/>
    <w:tmpl w:val="20D2722E"/>
    <w:lvl w:ilvl="0" w:tplc="B60454D8">
      <w:start w:val="1"/>
      <w:numFmt w:val="bullet"/>
      <w:pStyle w:val="Enum"/>
      <w:lvlText w:val=""/>
      <w:lvlJc w:val="left"/>
      <w:pPr>
        <w:ind w:left="360" w:hanging="360"/>
      </w:pPr>
      <w:rPr>
        <w:rFonts w:ascii="Symbol" w:hAnsi="Symbol" w:hint="default"/>
      </w:rPr>
    </w:lvl>
    <w:lvl w:ilvl="1" w:tplc="9864D072" w:tentative="1">
      <w:start w:val="1"/>
      <w:numFmt w:val="bullet"/>
      <w:lvlText w:val="o"/>
      <w:lvlJc w:val="left"/>
      <w:pPr>
        <w:ind w:left="1080" w:hanging="360"/>
      </w:pPr>
      <w:rPr>
        <w:rFonts w:ascii="Courier New" w:hAnsi="Courier New" w:cs="Courier New" w:hint="default"/>
      </w:rPr>
    </w:lvl>
    <w:lvl w:ilvl="2" w:tplc="643CCA48" w:tentative="1">
      <w:start w:val="1"/>
      <w:numFmt w:val="bullet"/>
      <w:lvlText w:val=""/>
      <w:lvlJc w:val="left"/>
      <w:pPr>
        <w:ind w:left="1800" w:hanging="360"/>
      </w:pPr>
      <w:rPr>
        <w:rFonts w:ascii="Wingdings" w:hAnsi="Wingdings" w:hint="default"/>
      </w:rPr>
    </w:lvl>
    <w:lvl w:ilvl="3" w:tplc="E4C850F6" w:tentative="1">
      <w:start w:val="1"/>
      <w:numFmt w:val="bullet"/>
      <w:lvlText w:val=""/>
      <w:lvlJc w:val="left"/>
      <w:pPr>
        <w:ind w:left="2520" w:hanging="360"/>
      </w:pPr>
      <w:rPr>
        <w:rFonts w:ascii="Symbol" w:hAnsi="Symbol" w:hint="default"/>
      </w:rPr>
    </w:lvl>
    <w:lvl w:ilvl="4" w:tplc="688063FA" w:tentative="1">
      <w:start w:val="1"/>
      <w:numFmt w:val="bullet"/>
      <w:lvlText w:val="o"/>
      <w:lvlJc w:val="left"/>
      <w:pPr>
        <w:ind w:left="3240" w:hanging="360"/>
      </w:pPr>
      <w:rPr>
        <w:rFonts w:ascii="Courier New" w:hAnsi="Courier New" w:cs="Courier New" w:hint="default"/>
      </w:rPr>
    </w:lvl>
    <w:lvl w:ilvl="5" w:tplc="C82AA1A0" w:tentative="1">
      <w:start w:val="1"/>
      <w:numFmt w:val="bullet"/>
      <w:lvlText w:val=""/>
      <w:lvlJc w:val="left"/>
      <w:pPr>
        <w:ind w:left="3960" w:hanging="360"/>
      </w:pPr>
      <w:rPr>
        <w:rFonts w:ascii="Wingdings" w:hAnsi="Wingdings" w:hint="default"/>
      </w:rPr>
    </w:lvl>
    <w:lvl w:ilvl="6" w:tplc="E7EAB430" w:tentative="1">
      <w:start w:val="1"/>
      <w:numFmt w:val="bullet"/>
      <w:lvlText w:val=""/>
      <w:lvlJc w:val="left"/>
      <w:pPr>
        <w:ind w:left="4680" w:hanging="360"/>
      </w:pPr>
      <w:rPr>
        <w:rFonts w:ascii="Symbol" w:hAnsi="Symbol" w:hint="default"/>
      </w:rPr>
    </w:lvl>
    <w:lvl w:ilvl="7" w:tplc="3F5E4718" w:tentative="1">
      <w:start w:val="1"/>
      <w:numFmt w:val="bullet"/>
      <w:lvlText w:val="o"/>
      <w:lvlJc w:val="left"/>
      <w:pPr>
        <w:ind w:left="5400" w:hanging="360"/>
      </w:pPr>
      <w:rPr>
        <w:rFonts w:ascii="Courier New" w:hAnsi="Courier New" w:cs="Courier New" w:hint="default"/>
      </w:rPr>
    </w:lvl>
    <w:lvl w:ilvl="8" w:tplc="BDDC58A0" w:tentative="1">
      <w:start w:val="1"/>
      <w:numFmt w:val="bullet"/>
      <w:lvlText w:val=""/>
      <w:lvlJc w:val="left"/>
      <w:pPr>
        <w:ind w:left="6120" w:hanging="360"/>
      </w:pPr>
      <w:rPr>
        <w:rFonts w:ascii="Wingdings" w:hAnsi="Wingdings" w:hint="default"/>
      </w:rPr>
    </w:lvl>
  </w:abstractNum>
  <w:abstractNum w:abstractNumId="5" w15:restartNumberingAfterBreak="0">
    <w:nsid w:val="595C6177"/>
    <w:multiLevelType w:val="hybridMultilevel"/>
    <w:tmpl w:val="9B768D2C"/>
    <w:styleLink w:val="Style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5418875">
    <w:abstractNumId w:val="1"/>
  </w:num>
  <w:num w:numId="2" w16cid:durableId="1371765105">
    <w:abstractNumId w:val="5"/>
  </w:num>
  <w:num w:numId="3" w16cid:durableId="1320499890">
    <w:abstractNumId w:val="3"/>
  </w:num>
  <w:num w:numId="4" w16cid:durableId="436676386">
    <w:abstractNumId w:val="0"/>
  </w:num>
  <w:num w:numId="5" w16cid:durableId="945698657">
    <w:abstractNumId w:val="7"/>
  </w:num>
  <w:num w:numId="6" w16cid:durableId="1906258546">
    <w:abstractNumId w:val="2"/>
  </w:num>
  <w:num w:numId="7" w16cid:durableId="230779493">
    <w:abstractNumId w:val="6"/>
  </w:num>
  <w:num w:numId="8" w16cid:durableId="174556470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24"/>
    <w:rsid w:val="000172A4"/>
    <w:rsid w:val="0002196B"/>
    <w:rsid w:val="0004000E"/>
    <w:rsid w:val="000406A5"/>
    <w:rsid w:val="00053383"/>
    <w:rsid w:val="000544F9"/>
    <w:rsid w:val="00060478"/>
    <w:rsid w:val="00067DAB"/>
    <w:rsid w:val="00070753"/>
    <w:rsid w:val="00070C13"/>
    <w:rsid w:val="00070D13"/>
    <w:rsid w:val="00081C96"/>
    <w:rsid w:val="00083799"/>
    <w:rsid w:val="000C0CC6"/>
    <w:rsid w:val="000C29F4"/>
    <w:rsid w:val="000C6946"/>
    <w:rsid w:val="000D0D0A"/>
    <w:rsid w:val="000E3616"/>
    <w:rsid w:val="000E7708"/>
    <w:rsid w:val="001019AA"/>
    <w:rsid w:val="00103163"/>
    <w:rsid w:val="00103C80"/>
    <w:rsid w:val="00106B19"/>
    <w:rsid w:val="0011471D"/>
    <w:rsid w:val="00115D93"/>
    <w:rsid w:val="00116ADE"/>
    <w:rsid w:val="001247A8"/>
    <w:rsid w:val="00134B2F"/>
    <w:rsid w:val="001378C0"/>
    <w:rsid w:val="001439AA"/>
    <w:rsid w:val="00143E76"/>
    <w:rsid w:val="00155B3B"/>
    <w:rsid w:val="00156AA4"/>
    <w:rsid w:val="00157620"/>
    <w:rsid w:val="0017723F"/>
    <w:rsid w:val="0018694A"/>
    <w:rsid w:val="001908F2"/>
    <w:rsid w:val="0019179B"/>
    <w:rsid w:val="0019727B"/>
    <w:rsid w:val="001A3287"/>
    <w:rsid w:val="001A6508"/>
    <w:rsid w:val="001B4A19"/>
    <w:rsid w:val="001C2740"/>
    <w:rsid w:val="001C2D0D"/>
    <w:rsid w:val="001C662D"/>
    <w:rsid w:val="001D3C28"/>
    <w:rsid w:val="001D4C31"/>
    <w:rsid w:val="001E4D21"/>
    <w:rsid w:val="001E56FC"/>
    <w:rsid w:val="001E65DF"/>
    <w:rsid w:val="001F644C"/>
    <w:rsid w:val="00201DC9"/>
    <w:rsid w:val="00202734"/>
    <w:rsid w:val="0020662C"/>
    <w:rsid w:val="00207CD1"/>
    <w:rsid w:val="00211526"/>
    <w:rsid w:val="002129DC"/>
    <w:rsid w:val="002168B6"/>
    <w:rsid w:val="002175A9"/>
    <w:rsid w:val="00226A19"/>
    <w:rsid w:val="002277FF"/>
    <w:rsid w:val="0023260B"/>
    <w:rsid w:val="002331F8"/>
    <w:rsid w:val="00236418"/>
    <w:rsid w:val="002405FE"/>
    <w:rsid w:val="00245ECD"/>
    <w:rsid w:val="002461C9"/>
    <w:rsid w:val="002477A2"/>
    <w:rsid w:val="002551DA"/>
    <w:rsid w:val="002613AD"/>
    <w:rsid w:val="00263A51"/>
    <w:rsid w:val="00265224"/>
    <w:rsid w:val="00267740"/>
    <w:rsid w:val="00267E02"/>
    <w:rsid w:val="0027033C"/>
    <w:rsid w:val="00282DA2"/>
    <w:rsid w:val="002A3521"/>
    <w:rsid w:val="002A5D44"/>
    <w:rsid w:val="002B585A"/>
    <w:rsid w:val="002D6995"/>
    <w:rsid w:val="002E0BC4"/>
    <w:rsid w:val="002E54DE"/>
    <w:rsid w:val="002F1B76"/>
    <w:rsid w:val="002F1ECB"/>
    <w:rsid w:val="002F3F33"/>
    <w:rsid w:val="0031403B"/>
    <w:rsid w:val="003145C3"/>
    <w:rsid w:val="003152BE"/>
    <w:rsid w:val="0033568E"/>
    <w:rsid w:val="0034590E"/>
    <w:rsid w:val="00345C4D"/>
    <w:rsid w:val="0035257F"/>
    <w:rsid w:val="00355FF5"/>
    <w:rsid w:val="00356CB6"/>
    <w:rsid w:val="00361350"/>
    <w:rsid w:val="00381337"/>
    <w:rsid w:val="00382EE8"/>
    <w:rsid w:val="003834EA"/>
    <w:rsid w:val="00385528"/>
    <w:rsid w:val="003945D5"/>
    <w:rsid w:val="003B33DE"/>
    <w:rsid w:val="003B694B"/>
    <w:rsid w:val="003C3D16"/>
    <w:rsid w:val="003C3FAE"/>
    <w:rsid w:val="003D4243"/>
    <w:rsid w:val="003D539C"/>
    <w:rsid w:val="004013A8"/>
    <w:rsid w:val="004038CB"/>
    <w:rsid w:val="0040468D"/>
    <w:rsid w:val="0040546F"/>
    <w:rsid w:val="004074A4"/>
    <w:rsid w:val="00412FA6"/>
    <w:rsid w:val="00415F4C"/>
    <w:rsid w:val="00416481"/>
    <w:rsid w:val="004234B2"/>
    <w:rsid w:val="0042404A"/>
    <w:rsid w:val="004249BA"/>
    <w:rsid w:val="00437361"/>
    <w:rsid w:val="00443D99"/>
    <w:rsid w:val="0044618F"/>
    <w:rsid w:val="0046001B"/>
    <w:rsid w:val="004658F8"/>
    <w:rsid w:val="0046769A"/>
    <w:rsid w:val="004713A0"/>
    <w:rsid w:val="004746F5"/>
    <w:rsid w:val="00475FB3"/>
    <w:rsid w:val="00485119"/>
    <w:rsid w:val="00492F57"/>
    <w:rsid w:val="004A51D4"/>
    <w:rsid w:val="004A5AAC"/>
    <w:rsid w:val="004B0EB7"/>
    <w:rsid w:val="004B4070"/>
    <w:rsid w:val="004B6E22"/>
    <w:rsid w:val="004C0AEF"/>
    <w:rsid w:val="004C37A9"/>
    <w:rsid w:val="004D0058"/>
    <w:rsid w:val="004D361C"/>
    <w:rsid w:val="004D4A9B"/>
    <w:rsid w:val="004D63AA"/>
    <w:rsid w:val="004D7611"/>
    <w:rsid w:val="004E06E1"/>
    <w:rsid w:val="004F259E"/>
    <w:rsid w:val="004F264B"/>
    <w:rsid w:val="0050145B"/>
    <w:rsid w:val="005015AE"/>
    <w:rsid w:val="005029A7"/>
    <w:rsid w:val="00511467"/>
    <w:rsid w:val="00511F1D"/>
    <w:rsid w:val="00516A59"/>
    <w:rsid w:val="00520F36"/>
    <w:rsid w:val="00531B4B"/>
    <w:rsid w:val="00540615"/>
    <w:rsid w:val="00540A6D"/>
    <w:rsid w:val="00541313"/>
    <w:rsid w:val="00541717"/>
    <w:rsid w:val="00543B7E"/>
    <w:rsid w:val="00544572"/>
    <w:rsid w:val="0055770B"/>
    <w:rsid w:val="00571EEA"/>
    <w:rsid w:val="00575417"/>
    <w:rsid w:val="005768E1"/>
    <w:rsid w:val="005845AA"/>
    <w:rsid w:val="00596807"/>
    <w:rsid w:val="005A01EC"/>
    <w:rsid w:val="005A0FC9"/>
    <w:rsid w:val="005A4F57"/>
    <w:rsid w:val="005A5186"/>
    <w:rsid w:val="005B1938"/>
    <w:rsid w:val="005B38A8"/>
    <w:rsid w:val="005C0761"/>
    <w:rsid w:val="005C34CD"/>
    <w:rsid w:val="005C3890"/>
    <w:rsid w:val="005C4D13"/>
    <w:rsid w:val="005C70A0"/>
    <w:rsid w:val="005D2A0B"/>
    <w:rsid w:val="005D502D"/>
    <w:rsid w:val="005D77FE"/>
    <w:rsid w:val="005E1AB1"/>
    <w:rsid w:val="005E2A89"/>
    <w:rsid w:val="005E4926"/>
    <w:rsid w:val="005E6E8B"/>
    <w:rsid w:val="005F3271"/>
    <w:rsid w:val="005F44E3"/>
    <w:rsid w:val="005F4C4E"/>
    <w:rsid w:val="005F6166"/>
    <w:rsid w:val="005F7BFE"/>
    <w:rsid w:val="00600017"/>
    <w:rsid w:val="00612B31"/>
    <w:rsid w:val="00613FB7"/>
    <w:rsid w:val="00620F53"/>
    <w:rsid w:val="006235CA"/>
    <w:rsid w:val="006350DF"/>
    <w:rsid w:val="00644396"/>
    <w:rsid w:val="00645922"/>
    <w:rsid w:val="00646FC2"/>
    <w:rsid w:val="006538EB"/>
    <w:rsid w:val="006549D9"/>
    <w:rsid w:val="00657416"/>
    <w:rsid w:val="00657EF6"/>
    <w:rsid w:val="006643AB"/>
    <w:rsid w:val="00666D2E"/>
    <w:rsid w:val="00675012"/>
    <w:rsid w:val="00676F11"/>
    <w:rsid w:val="00681263"/>
    <w:rsid w:val="00687551"/>
    <w:rsid w:val="00687749"/>
    <w:rsid w:val="00692A90"/>
    <w:rsid w:val="006A4196"/>
    <w:rsid w:val="006A5A07"/>
    <w:rsid w:val="006B40D0"/>
    <w:rsid w:val="006C275C"/>
    <w:rsid w:val="006D07E2"/>
    <w:rsid w:val="006E3E4B"/>
    <w:rsid w:val="00705C34"/>
    <w:rsid w:val="00710592"/>
    <w:rsid w:val="007123F8"/>
    <w:rsid w:val="007161BD"/>
    <w:rsid w:val="007210CD"/>
    <w:rsid w:val="00724325"/>
    <w:rsid w:val="00732045"/>
    <w:rsid w:val="007334B9"/>
    <w:rsid w:val="00734A2D"/>
    <w:rsid w:val="007369DB"/>
    <w:rsid w:val="00751459"/>
    <w:rsid w:val="00754067"/>
    <w:rsid w:val="007567ED"/>
    <w:rsid w:val="0075692D"/>
    <w:rsid w:val="00760E92"/>
    <w:rsid w:val="007613EF"/>
    <w:rsid w:val="007733F6"/>
    <w:rsid w:val="00774EFC"/>
    <w:rsid w:val="00792999"/>
    <w:rsid w:val="007951F4"/>
    <w:rsid w:val="007956C2"/>
    <w:rsid w:val="00795E97"/>
    <w:rsid w:val="00796F70"/>
    <w:rsid w:val="007A0694"/>
    <w:rsid w:val="007A187E"/>
    <w:rsid w:val="007B49DD"/>
    <w:rsid w:val="007C72C2"/>
    <w:rsid w:val="007C7E1C"/>
    <w:rsid w:val="007D3133"/>
    <w:rsid w:val="007D4436"/>
    <w:rsid w:val="007D7DA1"/>
    <w:rsid w:val="007E1904"/>
    <w:rsid w:val="007E3309"/>
    <w:rsid w:val="007F257A"/>
    <w:rsid w:val="007F2CF4"/>
    <w:rsid w:val="007F3665"/>
    <w:rsid w:val="00800037"/>
    <w:rsid w:val="00811E74"/>
    <w:rsid w:val="008129B1"/>
    <w:rsid w:val="00833950"/>
    <w:rsid w:val="00836425"/>
    <w:rsid w:val="00843C41"/>
    <w:rsid w:val="00844170"/>
    <w:rsid w:val="00846AEB"/>
    <w:rsid w:val="00852F38"/>
    <w:rsid w:val="00861126"/>
    <w:rsid w:val="00861D73"/>
    <w:rsid w:val="00862C6F"/>
    <w:rsid w:val="00864640"/>
    <w:rsid w:val="00871CB3"/>
    <w:rsid w:val="00874DE5"/>
    <w:rsid w:val="00876480"/>
    <w:rsid w:val="0089780D"/>
    <w:rsid w:val="008A2AD3"/>
    <w:rsid w:val="008A4E87"/>
    <w:rsid w:val="008B0064"/>
    <w:rsid w:val="008B59DE"/>
    <w:rsid w:val="008C5719"/>
    <w:rsid w:val="008C6828"/>
    <w:rsid w:val="008D1135"/>
    <w:rsid w:val="008D76E6"/>
    <w:rsid w:val="008E4F9C"/>
    <w:rsid w:val="008E6F93"/>
    <w:rsid w:val="008F0534"/>
    <w:rsid w:val="008F3967"/>
    <w:rsid w:val="009010B4"/>
    <w:rsid w:val="00902C90"/>
    <w:rsid w:val="00906980"/>
    <w:rsid w:val="00910C10"/>
    <w:rsid w:val="0091355E"/>
    <w:rsid w:val="00922A12"/>
    <w:rsid w:val="0092392D"/>
    <w:rsid w:val="00927001"/>
    <w:rsid w:val="00927AB5"/>
    <w:rsid w:val="0093234A"/>
    <w:rsid w:val="00933B0F"/>
    <w:rsid w:val="00935164"/>
    <w:rsid w:val="00941ED9"/>
    <w:rsid w:val="009507DC"/>
    <w:rsid w:val="00952C15"/>
    <w:rsid w:val="0096585F"/>
    <w:rsid w:val="0097476C"/>
    <w:rsid w:val="0098205B"/>
    <w:rsid w:val="00990BF1"/>
    <w:rsid w:val="00992D58"/>
    <w:rsid w:val="009A423B"/>
    <w:rsid w:val="009B3D24"/>
    <w:rsid w:val="009B4B07"/>
    <w:rsid w:val="009B5A8C"/>
    <w:rsid w:val="009C307F"/>
    <w:rsid w:val="009C353C"/>
    <w:rsid w:val="009D1F20"/>
    <w:rsid w:val="009E21AB"/>
    <w:rsid w:val="009E4DF2"/>
    <w:rsid w:val="009F07D7"/>
    <w:rsid w:val="009F1D9E"/>
    <w:rsid w:val="009F2896"/>
    <w:rsid w:val="00A0337E"/>
    <w:rsid w:val="00A03A89"/>
    <w:rsid w:val="00A1438E"/>
    <w:rsid w:val="00A1751E"/>
    <w:rsid w:val="00A210BB"/>
    <w:rsid w:val="00A2113E"/>
    <w:rsid w:val="00A23775"/>
    <w:rsid w:val="00A23A51"/>
    <w:rsid w:val="00A24607"/>
    <w:rsid w:val="00A25CD3"/>
    <w:rsid w:val="00A31506"/>
    <w:rsid w:val="00A35BC2"/>
    <w:rsid w:val="00A3701F"/>
    <w:rsid w:val="00A430B8"/>
    <w:rsid w:val="00A444C8"/>
    <w:rsid w:val="00A63494"/>
    <w:rsid w:val="00A67EC6"/>
    <w:rsid w:val="00A82302"/>
    <w:rsid w:val="00A82767"/>
    <w:rsid w:val="00A964D0"/>
    <w:rsid w:val="00A976C2"/>
    <w:rsid w:val="00AA332F"/>
    <w:rsid w:val="00AA3CBC"/>
    <w:rsid w:val="00AA5101"/>
    <w:rsid w:val="00AA7BBB"/>
    <w:rsid w:val="00AB1B0A"/>
    <w:rsid w:val="00AB2E88"/>
    <w:rsid w:val="00AB64A8"/>
    <w:rsid w:val="00AC0266"/>
    <w:rsid w:val="00AC2C0F"/>
    <w:rsid w:val="00AC2D92"/>
    <w:rsid w:val="00AD24EC"/>
    <w:rsid w:val="00B0319E"/>
    <w:rsid w:val="00B07E17"/>
    <w:rsid w:val="00B20F08"/>
    <w:rsid w:val="00B309F9"/>
    <w:rsid w:val="00B32B60"/>
    <w:rsid w:val="00B35C37"/>
    <w:rsid w:val="00B37F28"/>
    <w:rsid w:val="00B55A89"/>
    <w:rsid w:val="00B61619"/>
    <w:rsid w:val="00B61DB6"/>
    <w:rsid w:val="00B71E47"/>
    <w:rsid w:val="00B80E0F"/>
    <w:rsid w:val="00B8350F"/>
    <w:rsid w:val="00B95685"/>
    <w:rsid w:val="00BA1B94"/>
    <w:rsid w:val="00BB1FA5"/>
    <w:rsid w:val="00BB4545"/>
    <w:rsid w:val="00BB62C6"/>
    <w:rsid w:val="00BC5CA5"/>
    <w:rsid w:val="00BD5873"/>
    <w:rsid w:val="00BD7E0C"/>
    <w:rsid w:val="00BE2C89"/>
    <w:rsid w:val="00BF0C77"/>
    <w:rsid w:val="00BF2819"/>
    <w:rsid w:val="00C04BE3"/>
    <w:rsid w:val="00C07BBD"/>
    <w:rsid w:val="00C15424"/>
    <w:rsid w:val="00C1697F"/>
    <w:rsid w:val="00C1741E"/>
    <w:rsid w:val="00C20A3A"/>
    <w:rsid w:val="00C21AC1"/>
    <w:rsid w:val="00C25D29"/>
    <w:rsid w:val="00C27A7C"/>
    <w:rsid w:val="00C32C70"/>
    <w:rsid w:val="00C37903"/>
    <w:rsid w:val="00C44C28"/>
    <w:rsid w:val="00C468CA"/>
    <w:rsid w:val="00C5703C"/>
    <w:rsid w:val="00C95CAD"/>
    <w:rsid w:val="00CA08ED"/>
    <w:rsid w:val="00CB1A41"/>
    <w:rsid w:val="00CC3DB9"/>
    <w:rsid w:val="00CC5F77"/>
    <w:rsid w:val="00CD3717"/>
    <w:rsid w:val="00CE5F33"/>
    <w:rsid w:val="00CE5FA0"/>
    <w:rsid w:val="00CF0C9A"/>
    <w:rsid w:val="00CF183B"/>
    <w:rsid w:val="00CF2AB9"/>
    <w:rsid w:val="00CF5869"/>
    <w:rsid w:val="00D00A1F"/>
    <w:rsid w:val="00D07D3D"/>
    <w:rsid w:val="00D11498"/>
    <w:rsid w:val="00D17547"/>
    <w:rsid w:val="00D26A64"/>
    <w:rsid w:val="00D272A6"/>
    <w:rsid w:val="00D32B3C"/>
    <w:rsid w:val="00D35282"/>
    <w:rsid w:val="00D36A18"/>
    <w:rsid w:val="00D375CD"/>
    <w:rsid w:val="00D401F6"/>
    <w:rsid w:val="00D54D37"/>
    <w:rsid w:val="00D553A2"/>
    <w:rsid w:val="00D56FC4"/>
    <w:rsid w:val="00D631AB"/>
    <w:rsid w:val="00D77053"/>
    <w:rsid w:val="00D774D3"/>
    <w:rsid w:val="00D82645"/>
    <w:rsid w:val="00D83818"/>
    <w:rsid w:val="00D904E8"/>
    <w:rsid w:val="00D94E06"/>
    <w:rsid w:val="00DA08C3"/>
    <w:rsid w:val="00DA2839"/>
    <w:rsid w:val="00DA7C2B"/>
    <w:rsid w:val="00DB3509"/>
    <w:rsid w:val="00DB35DC"/>
    <w:rsid w:val="00DB5A3E"/>
    <w:rsid w:val="00DC0009"/>
    <w:rsid w:val="00DC087C"/>
    <w:rsid w:val="00DC22AA"/>
    <w:rsid w:val="00DD27ED"/>
    <w:rsid w:val="00DE2E13"/>
    <w:rsid w:val="00DE3195"/>
    <w:rsid w:val="00DE472F"/>
    <w:rsid w:val="00DF6159"/>
    <w:rsid w:val="00DF74DD"/>
    <w:rsid w:val="00E05A86"/>
    <w:rsid w:val="00E10F27"/>
    <w:rsid w:val="00E1454F"/>
    <w:rsid w:val="00E200E4"/>
    <w:rsid w:val="00E25AD0"/>
    <w:rsid w:val="00E26EBA"/>
    <w:rsid w:val="00E275BF"/>
    <w:rsid w:val="00E354EE"/>
    <w:rsid w:val="00E36002"/>
    <w:rsid w:val="00E45388"/>
    <w:rsid w:val="00E47974"/>
    <w:rsid w:val="00E52355"/>
    <w:rsid w:val="00E53A00"/>
    <w:rsid w:val="00E5416F"/>
    <w:rsid w:val="00E5783D"/>
    <w:rsid w:val="00E638EA"/>
    <w:rsid w:val="00E72BD9"/>
    <w:rsid w:val="00E72C69"/>
    <w:rsid w:val="00E84291"/>
    <w:rsid w:val="00E95B5A"/>
    <w:rsid w:val="00EA0876"/>
    <w:rsid w:val="00EA1E46"/>
    <w:rsid w:val="00EB3373"/>
    <w:rsid w:val="00EB53D7"/>
    <w:rsid w:val="00EB6350"/>
    <w:rsid w:val="00EC390E"/>
    <w:rsid w:val="00EC64ED"/>
    <w:rsid w:val="00ED3E13"/>
    <w:rsid w:val="00EF73AF"/>
    <w:rsid w:val="00F00FEC"/>
    <w:rsid w:val="00F01BC1"/>
    <w:rsid w:val="00F07330"/>
    <w:rsid w:val="00F14866"/>
    <w:rsid w:val="00F15B57"/>
    <w:rsid w:val="00F209CD"/>
    <w:rsid w:val="00F32C06"/>
    <w:rsid w:val="00F336D0"/>
    <w:rsid w:val="00F36F54"/>
    <w:rsid w:val="00F40F3C"/>
    <w:rsid w:val="00F424BA"/>
    <w:rsid w:val="00F427DB"/>
    <w:rsid w:val="00F54734"/>
    <w:rsid w:val="00F5690D"/>
    <w:rsid w:val="00F66B2A"/>
    <w:rsid w:val="00F67A61"/>
    <w:rsid w:val="00F72E4B"/>
    <w:rsid w:val="00F8005E"/>
    <w:rsid w:val="00F831C1"/>
    <w:rsid w:val="00F85D56"/>
    <w:rsid w:val="00F954AC"/>
    <w:rsid w:val="00FA47FC"/>
    <w:rsid w:val="00FA5EB1"/>
    <w:rsid w:val="00FA7439"/>
    <w:rsid w:val="00FC04EF"/>
    <w:rsid w:val="00FC47EC"/>
    <w:rsid w:val="00FC4EC0"/>
    <w:rsid w:val="00FC5872"/>
    <w:rsid w:val="00FD4AB6"/>
    <w:rsid w:val="00FD545F"/>
    <w:rsid w:val="00FE10EE"/>
    <w:rsid w:val="00FE36B9"/>
    <w:rsid w:val="00FF0181"/>
    <w:rsid w:val="00FF026C"/>
    <w:rsid w:val="00FF1955"/>
    <w:rsid w:val="00FF60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EFFF35"/>
  <w15:docId w15:val="{722E126C-4231-4B46-BC52-B80242E9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265224"/>
    <w:rPr>
      <w:color w:val="605E5C"/>
      <w:shd w:val="clear" w:color="auto" w:fill="E1DFDD"/>
    </w:rPr>
  </w:style>
  <w:style w:type="character" w:customStyle="1" w:styleId="enumlev1Char">
    <w:name w:val="enumlev1 Char"/>
    <w:basedOn w:val="DefaultParagraphFont"/>
    <w:link w:val="enumlev1"/>
    <w:rsid w:val="00265224"/>
    <w:rPr>
      <w:rFonts w:ascii="Calibri" w:hAnsi="Calibri"/>
      <w:sz w:val="24"/>
      <w:lang w:val="fr-FR" w:eastAsia="en-US"/>
    </w:rPr>
  </w:style>
  <w:style w:type="paragraph" w:styleId="Title">
    <w:name w:val="Title"/>
    <w:basedOn w:val="Normal"/>
    <w:link w:val="TitleChar"/>
    <w:qFormat/>
    <w:rsid w:val="0026522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265224"/>
    <w:rPr>
      <w:rFonts w:ascii="Arial" w:eastAsia="SimSun" w:hAnsi="Arial"/>
      <w:b/>
      <w:bCs/>
      <w:sz w:val="22"/>
      <w:szCs w:val="24"/>
      <w:lang w:val="fr-FR"/>
    </w:rPr>
  </w:style>
  <w:style w:type="paragraph" w:styleId="BalloonText">
    <w:name w:val="Balloon Text"/>
    <w:basedOn w:val="Normal"/>
    <w:link w:val="BalloonTextChar"/>
    <w:uiPriority w:val="99"/>
    <w:unhideWhenUsed/>
    <w:rsid w:val="00D401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D401F6"/>
    <w:rPr>
      <w:rFonts w:ascii="Segoe UI" w:hAnsi="Segoe UI" w:cs="Segoe UI"/>
      <w:sz w:val="18"/>
      <w:szCs w:val="18"/>
      <w:lang w:val="fr-FR" w:eastAsia="en-US"/>
    </w:rPr>
  </w:style>
  <w:style w:type="character" w:customStyle="1" w:styleId="Heading1Char">
    <w:name w:val="Heading 1 Char"/>
    <w:basedOn w:val="DefaultParagraphFont"/>
    <w:link w:val="Heading1"/>
    <w:rsid w:val="00DF6159"/>
    <w:rPr>
      <w:rFonts w:ascii="Calibri" w:hAnsi="Calibri"/>
      <w:b/>
      <w:sz w:val="28"/>
      <w:lang w:val="fr-FR" w:eastAsia="en-US"/>
    </w:rPr>
  </w:style>
  <w:style w:type="paragraph" w:customStyle="1" w:styleId="docnoted">
    <w:name w:val="docnoted"/>
    <w:basedOn w:val="Normal"/>
    <w:rsid w:val="00DF6159"/>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DF6159"/>
    <w:rPr>
      <w:vertAlign w:val="superscript"/>
    </w:rPr>
  </w:style>
  <w:style w:type="paragraph" w:styleId="ListParagraph">
    <w:name w:val="List Paragraph"/>
    <w:aliases w:val="List Paragraph1,Recommendation,List Paragraph11"/>
    <w:basedOn w:val="Normal"/>
    <w:link w:val="ListParagraphChar"/>
    <w:uiPriority w:val="34"/>
    <w:qFormat/>
    <w:rsid w:val="00DF6159"/>
    <w:pPr>
      <w:ind w:left="720"/>
      <w:contextualSpacing/>
    </w:pPr>
    <w:rPr>
      <w:rFonts w:eastAsia="Batang"/>
      <w:lang w:val="en-GB"/>
    </w:rPr>
  </w:style>
  <w:style w:type="character" w:customStyle="1" w:styleId="FootnoteTextChar">
    <w:name w:val="Footnote Text Char"/>
    <w:basedOn w:val="DefaultParagraphFont"/>
    <w:link w:val="FootnoteText"/>
    <w:rsid w:val="00DF6159"/>
    <w:rPr>
      <w:rFonts w:ascii="Calibri" w:hAnsi="Calibri"/>
      <w:sz w:val="24"/>
      <w:lang w:val="fr-FR" w:eastAsia="en-US"/>
    </w:rPr>
  </w:style>
  <w:style w:type="paragraph" w:customStyle="1" w:styleId="Default">
    <w:name w:val="Default"/>
    <w:rsid w:val="00DF6159"/>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DF6159"/>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DF6159"/>
    <w:rPr>
      <w:rFonts w:ascii="Calibri" w:hAnsi="Calibri"/>
      <w:sz w:val="24"/>
      <w:lang w:val="fr-FR" w:eastAsia="en-US"/>
    </w:rPr>
  </w:style>
  <w:style w:type="table" w:styleId="TableGrid">
    <w:name w:val="Table Grid"/>
    <w:basedOn w:val="TableNormal"/>
    <w:rsid w:val="00DF61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uiPriority w:val="99"/>
    <w:rsid w:val="00DF6159"/>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rsid w:val="00DF6159"/>
    <w:rPr>
      <w:rFonts w:ascii="Calibri" w:hAnsi="Calibri"/>
      <w:b/>
      <w:sz w:val="24"/>
      <w:lang w:val="fr-FR" w:eastAsia="en-US"/>
    </w:rPr>
  </w:style>
  <w:style w:type="paragraph" w:styleId="TOCHeading">
    <w:name w:val="TOC Heading"/>
    <w:basedOn w:val="Heading1"/>
    <w:next w:val="Normal"/>
    <w:uiPriority w:val="39"/>
    <w:semiHidden/>
    <w:unhideWhenUsed/>
    <w:qFormat/>
    <w:rsid w:val="00DF6159"/>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DF6159"/>
    <w:rPr>
      <w:rFonts w:ascii="Calibri" w:hAnsi="Calibri"/>
      <w:b/>
      <w:sz w:val="24"/>
      <w:lang w:val="fr-FR" w:eastAsia="en-US"/>
    </w:rPr>
  </w:style>
  <w:style w:type="character" w:customStyle="1" w:styleId="Heading2Char">
    <w:name w:val="Heading 2 Char"/>
    <w:basedOn w:val="DefaultParagraphFont"/>
    <w:link w:val="Heading2"/>
    <w:rsid w:val="00DF6159"/>
    <w:rPr>
      <w:rFonts w:ascii="Calibri" w:hAnsi="Calibri"/>
      <w:b/>
      <w:sz w:val="24"/>
      <w:lang w:val="fr-FR" w:eastAsia="en-US"/>
    </w:rPr>
  </w:style>
  <w:style w:type="character" w:customStyle="1" w:styleId="Heading4Char">
    <w:name w:val="Heading 4 Char"/>
    <w:basedOn w:val="DefaultParagraphFont"/>
    <w:link w:val="Heading4"/>
    <w:rsid w:val="00DF6159"/>
    <w:rPr>
      <w:rFonts w:ascii="Calibri" w:hAnsi="Calibri"/>
      <w:b/>
      <w:sz w:val="24"/>
      <w:lang w:val="fr-FR" w:eastAsia="en-US"/>
    </w:rPr>
  </w:style>
  <w:style w:type="character" w:customStyle="1" w:styleId="Heading5Char">
    <w:name w:val="Heading 5 Char"/>
    <w:basedOn w:val="DefaultParagraphFont"/>
    <w:link w:val="Heading5"/>
    <w:rsid w:val="00DF6159"/>
    <w:rPr>
      <w:rFonts w:ascii="Calibri" w:hAnsi="Calibri"/>
      <w:b/>
      <w:sz w:val="24"/>
      <w:lang w:val="fr-FR" w:eastAsia="en-US"/>
    </w:rPr>
  </w:style>
  <w:style w:type="character" w:customStyle="1" w:styleId="Heading6Char">
    <w:name w:val="Heading 6 Char"/>
    <w:basedOn w:val="DefaultParagraphFont"/>
    <w:link w:val="Heading6"/>
    <w:rsid w:val="00DF6159"/>
    <w:rPr>
      <w:rFonts w:ascii="Calibri" w:hAnsi="Calibri"/>
      <w:b/>
      <w:sz w:val="24"/>
      <w:lang w:val="fr-FR" w:eastAsia="en-US"/>
    </w:rPr>
  </w:style>
  <w:style w:type="character" w:customStyle="1" w:styleId="Heading7Char">
    <w:name w:val="Heading 7 Char"/>
    <w:basedOn w:val="DefaultParagraphFont"/>
    <w:link w:val="Heading7"/>
    <w:rsid w:val="00DF6159"/>
    <w:rPr>
      <w:rFonts w:ascii="Calibri" w:hAnsi="Calibri"/>
      <w:b/>
      <w:sz w:val="24"/>
      <w:lang w:val="fr-FR" w:eastAsia="en-US"/>
    </w:rPr>
  </w:style>
  <w:style w:type="character" w:customStyle="1" w:styleId="Heading8Char">
    <w:name w:val="Heading 8 Char"/>
    <w:basedOn w:val="DefaultParagraphFont"/>
    <w:link w:val="Heading8"/>
    <w:rsid w:val="00DF6159"/>
    <w:rPr>
      <w:rFonts w:ascii="Calibri" w:hAnsi="Calibri"/>
      <w:b/>
      <w:sz w:val="24"/>
      <w:lang w:val="fr-FR" w:eastAsia="en-US"/>
    </w:rPr>
  </w:style>
  <w:style w:type="character" w:customStyle="1" w:styleId="FooterChar">
    <w:name w:val="Footer Char"/>
    <w:basedOn w:val="DefaultParagraphFont"/>
    <w:link w:val="Footer"/>
    <w:rsid w:val="00DF6159"/>
    <w:rPr>
      <w:rFonts w:ascii="Calibri" w:hAnsi="Calibri"/>
      <w:caps/>
      <w:noProof/>
      <w:sz w:val="16"/>
      <w:lang w:val="fr-FR" w:eastAsia="en-US"/>
    </w:rPr>
  </w:style>
  <w:style w:type="character" w:customStyle="1" w:styleId="HeaderChar">
    <w:name w:val="Header Char"/>
    <w:basedOn w:val="DefaultParagraphFont"/>
    <w:link w:val="Header"/>
    <w:rsid w:val="00DF6159"/>
    <w:rPr>
      <w:rFonts w:ascii="Calibri" w:hAnsi="Calibri"/>
      <w:sz w:val="18"/>
      <w:lang w:val="fr-FR" w:eastAsia="en-US"/>
    </w:rPr>
  </w:style>
  <w:style w:type="character" w:customStyle="1" w:styleId="CallChar">
    <w:name w:val="Call Char"/>
    <w:basedOn w:val="DefaultParagraphFont"/>
    <w:link w:val="Call"/>
    <w:rsid w:val="00DF6159"/>
    <w:rPr>
      <w:rFonts w:ascii="Calibri" w:hAnsi="Calibri"/>
      <w:i/>
      <w:sz w:val="24"/>
      <w:lang w:val="fr-FR" w:eastAsia="en-US"/>
    </w:rPr>
  </w:style>
  <w:style w:type="paragraph" w:styleId="BodyTextIndent3">
    <w:name w:val="Body Text Indent 3"/>
    <w:basedOn w:val="Normal"/>
    <w:link w:val="BodyTextIndent3Char"/>
    <w:rsid w:val="00DF6159"/>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DF6159"/>
    <w:rPr>
      <w:rFonts w:ascii="Times New Roman" w:eastAsia="Batang" w:hAnsi="Times New Roman"/>
      <w:sz w:val="24"/>
      <w:lang w:val="fr-FR" w:eastAsia="en-US"/>
    </w:rPr>
  </w:style>
  <w:style w:type="paragraph" w:customStyle="1" w:styleId="nlist">
    <w:name w:val="nlist"/>
    <w:basedOn w:val="Normal"/>
    <w:uiPriority w:val="99"/>
    <w:rsid w:val="00DF615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DF6159"/>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DF6159"/>
    <w:rPr>
      <w:rFonts w:ascii="Times New Roman" w:eastAsiaTheme="minorEastAsia" w:hAnsi="Times New Roman"/>
      <w:sz w:val="24"/>
      <w:szCs w:val="24"/>
    </w:rPr>
  </w:style>
  <w:style w:type="paragraph" w:styleId="BodyText3">
    <w:name w:val="Body Text 3"/>
    <w:basedOn w:val="Normal"/>
    <w:link w:val="BodyText3Char"/>
    <w:uiPriority w:val="99"/>
    <w:unhideWhenUsed/>
    <w:rsid w:val="00DF615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DF6159"/>
    <w:rPr>
      <w:rFonts w:ascii="Times New Roman" w:eastAsiaTheme="minorEastAsia" w:hAnsi="Times New Roman"/>
      <w:sz w:val="16"/>
      <w:szCs w:val="16"/>
    </w:rPr>
  </w:style>
  <w:style w:type="character" w:styleId="Strong">
    <w:name w:val="Strong"/>
    <w:basedOn w:val="DefaultParagraphFont"/>
    <w:uiPriority w:val="22"/>
    <w:qFormat/>
    <w:rsid w:val="00DF6159"/>
    <w:rPr>
      <w:b/>
      <w:bCs/>
    </w:rPr>
  </w:style>
  <w:style w:type="character" w:styleId="CommentReference">
    <w:name w:val="annotation reference"/>
    <w:basedOn w:val="DefaultParagraphFont"/>
    <w:uiPriority w:val="99"/>
    <w:unhideWhenUsed/>
    <w:rsid w:val="00DF6159"/>
    <w:rPr>
      <w:sz w:val="16"/>
      <w:szCs w:val="16"/>
    </w:rPr>
  </w:style>
  <w:style w:type="paragraph" w:styleId="CommentText">
    <w:name w:val="annotation text"/>
    <w:basedOn w:val="Normal"/>
    <w:link w:val="CommentTextChar"/>
    <w:uiPriority w:val="99"/>
    <w:unhideWhenUsed/>
    <w:rsid w:val="00DF6159"/>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DF6159"/>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DF6159"/>
    <w:rPr>
      <w:bCs/>
    </w:rPr>
  </w:style>
  <w:style w:type="character" w:customStyle="1" w:styleId="CommentSubjectChar">
    <w:name w:val="Comment Subject Char"/>
    <w:basedOn w:val="CommentTextChar"/>
    <w:link w:val="CommentSubject"/>
    <w:uiPriority w:val="99"/>
    <w:rsid w:val="00DF6159"/>
    <w:rPr>
      <w:rFonts w:ascii="Times New Roman" w:eastAsia="MS Mincho" w:hAnsi="Times New Roman" w:cs="Arial"/>
      <w:b/>
      <w:bCs/>
      <w:lang w:val="fr-FR" w:eastAsia="fr-FR"/>
    </w:rPr>
  </w:style>
  <w:style w:type="paragraph" w:styleId="Revision">
    <w:name w:val="Revision"/>
    <w:hidden/>
    <w:uiPriority w:val="99"/>
    <w:semiHidden/>
    <w:rsid w:val="00DF6159"/>
    <w:rPr>
      <w:rFonts w:ascii="Times New Roman" w:eastAsiaTheme="minorEastAsia" w:hAnsi="Times New Roman"/>
      <w:sz w:val="24"/>
      <w:szCs w:val="24"/>
    </w:rPr>
  </w:style>
  <w:style w:type="paragraph" w:styleId="Caption">
    <w:name w:val="caption"/>
    <w:basedOn w:val="Normal"/>
    <w:next w:val="Normal"/>
    <w:uiPriority w:val="35"/>
    <w:unhideWhenUsed/>
    <w:qFormat/>
    <w:rsid w:val="00DF6159"/>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DF6159"/>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DF6159"/>
    <w:pPr>
      <w:spacing w:after="120"/>
      <w:ind w:left="283"/>
    </w:pPr>
    <w:rPr>
      <w:rFonts w:eastAsia="Batang"/>
    </w:rPr>
  </w:style>
  <w:style w:type="character" w:customStyle="1" w:styleId="BodyTextIndentChar">
    <w:name w:val="Body Text Indent Char"/>
    <w:basedOn w:val="DefaultParagraphFont"/>
    <w:link w:val="BodyTextIndent"/>
    <w:rsid w:val="00DF6159"/>
    <w:rPr>
      <w:rFonts w:ascii="Calibri" w:eastAsia="Batang" w:hAnsi="Calibri"/>
      <w:sz w:val="24"/>
      <w:lang w:val="fr-FR" w:eastAsia="en-US"/>
    </w:rPr>
  </w:style>
  <w:style w:type="paragraph" w:styleId="BodyText">
    <w:name w:val="Body Text"/>
    <w:basedOn w:val="Normal"/>
    <w:link w:val="BodyTextChar"/>
    <w:uiPriority w:val="99"/>
    <w:unhideWhenUsed/>
    <w:rsid w:val="00DF615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DF6159"/>
    <w:rPr>
      <w:rFonts w:ascii="Times New Roman" w:eastAsiaTheme="minorEastAsia" w:hAnsi="Times New Roman"/>
      <w:sz w:val="24"/>
      <w:szCs w:val="24"/>
    </w:rPr>
  </w:style>
  <w:style w:type="paragraph" w:customStyle="1" w:styleId="Style7">
    <w:name w:val="Style7"/>
    <w:basedOn w:val="Normal"/>
    <w:uiPriority w:val="99"/>
    <w:rsid w:val="00DF6159"/>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DF6159"/>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DF6159"/>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DF6159"/>
    <w:pPr>
      <w:keepNext/>
      <w:spacing w:before="480" w:after="0"/>
      <w:jc w:val="center"/>
    </w:pPr>
    <w:rPr>
      <w:b/>
    </w:rPr>
  </w:style>
  <w:style w:type="paragraph" w:customStyle="1" w:styleId="P2">
    <w:name w:val="P2"/>
    <w:basedOn w:val="Normal"/>
    <w:uiPriority w:val="99"/>
    <w:rsid w:val="00DF6159"/>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DF615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DF615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DF6159"/>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DF6159"/>
    <w:pPr>
      <w:numPr>
        <w:numId w:val="4"/>
      </w:numPr>
    </w:pPr>
  </w:style>
  <w:style w:type="numbering" w:customStyle="1" w:styleId="Style2">
    <w:name w:val="Style2"/>
    <w:uiPriority w:val="99"/>
    <w:rsid w:val="00DF6159"/>
    <w:pPr>
      <w:numPr>
        <w:numId w:val="5"/>
      </w:numPr>
    </w:pPr>
  </w:style>
  <w:style w:type="numbering" w:customStyle="1" w:styleId="Style3">
    <w:name w:val="Style3"/>
    <w:uiPriority w:val="99"/>
    <w:rsid w:val="00DF6159"/>
    <w:pPr>
      <w:numPr>
        <w:numId w:val="6"/>
      </w:numPr>
    </w:pPr>
  </w:style>
  <w:style w:type="paragraph" w:customStyle="1" w:styleId="plist">
    <w:name w:val="plist"/>
    <w:basedOn w:val="Normal"/>
    <w:uiPriority w:val="99"/>
    <w:rsid w:val="00DF615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DF6159"/>
  </w:style>
  <w:style w:type="paragraph" w:customStyle="1" w:styleId="aatinBodyCalibri">
    <w:name w:val="aatin) +Body (Calibri)"/>
    <w:aliases w:val="14 pt,Centered"/>
    <w:basedOn w:val="Normal"/>
    <w:rsid w:val="00DF6159"/>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DF6159"/>
  </w:style>
  <w:style w:type="numbering" w:customStyle="1" w:styleId="NoList1">
    <w:name w:val="No List1"/>
    <w:next w:val="NoList"/>
    <w:uiPriority w:val="99"/>
    <w:semiHidden/>
    <w:unhideWhenUsed/>
    <w:rsid w:val="00DF6159"/>
  </w:style>
  <w:style w:type="numbering" w:customStyle="1" w:styleId="NoList2">
    <w:name w:val="No List2"/>
    <w:next w:val="NoList"/>
    <w:uiPriority w:val="99"/>
    <w:semiHidden/>
    <w:unhideWhenUsed/>
    <w:rsid w:val="00DF6159"/>
  </w:style>
  <w:style w:type="paragraph" w:customStyle="1" w:styleId="xl80">
    <w:name w:val="xl80"/>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DF615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DF615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DF615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DF615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DF615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DF6159"/>
    <w:rPr>
      <w:rFonts w:ascii="Tahoma" w:eastAsiaTheme="minorEastAsia" w:hAnsi="Tahoma" w:cs="Tahoma"/>
      <w:sz w:val="16"/>
      <w:szCs w:val="16"/>
    </w:rPr>
  </w:style>
  <w:style w:type="paragraph" w:customStyle="1" w:styleId="Tt">
    <w:name w:val="Tt"/>
    <w:basedOn w:val="Annextitle"/>
    <w:rsid w:val="00DF6159"/>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DF6159"/>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DF6159"/>
    <w:rPr>
      <w:i/>
      <w:iCs/>
    </w:rPr>
  </w:style>
  <w:style w:type="character" w:customStyle="1" w:styleId="intro">
    <w:name w:val="intro"/>
    <w:basedOn w:val="DefaultParagraphFont"/>
    <w:rsid w:val="00DF6159"/>
  </w:style>
  <w:style w:type="character" w:customStyle="1" w:styleId="TabletextChar">
    <w:name w:val="Table_text Char"/>
    <w:link w:val="Tabletext"/>
    <w:locked/>
    <w:rsid w:val="00DF6159"/>
    <w:rPr>
      <w:rFonts w:ascii="Calibri" w:hAnsi="Calibri"/>
      <w:sz w:val="22"/>
      <w:lang w:val="fr-FR" w:eastAsia="en-US"/>
    </w:rPr>
  </w:style>
  <w:style w:type="paragraph" w:customStyle="1" w:styleId="elencopuntato1">
    <w:name w:val="elenco puntato 1"/>
    <w:basedOn w:val="ListParagraph"/>
    <w:qFormat/>
    <w:rsid w:val="00DF6159"/>
    <w:pPr>
      <w:numPr>
        <w:numId w:val="7"/>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DF6159"/>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DF6159"/>
    <w:rPr>
      <w:rFonts w:ascii="Consolas" w:hAnsi="Consolas" w:cs="Consolas"/>
      <w:lang w:val="fr-FR"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DF6159"/>
    <w:rPr>
      <w:rFonts w:ascii="Calibri" w:eastAsia="Batang" w:hAnsi="Calibri"/>
      <w:sz w:val="24"/>
      <w:lang w:val="en-GB" w:eastAsia="en-US"/>
    </w:rPr>
  </w:style>
  <w:style w:type="numbering" w:customStyle="1" w:styleId="ListNo">
    <w:name w:val="List No"/>
    <w:uiPriority w:val="99"/>
    <w:semiHidden/>
    <w:unhideWhenUsed/>
    <w:rsid w:val="00862C6F"/>
  </w:style>
  <w:style w:type="paragraph" w:customStyle="1" w:styleId="FooterSpecial">
    <w:name w:val="Footer Special"/>
    <w:basedOn w:val="Footer"/>
    <w:rsid w:val="00862C6F"/>
    <w:pPr>
      <w:tabs>
        <w:tab w:val="left" w:pos="567"/>
        <w:tab w:val="left" w:pos="1134"/>
        <w:tab w:val="left" w:pos="1701"/>
        <w:tab w:val="left" w:pos="2268"/>
        <w:tab w:val="left" w:pos="2835"/>
      </w:tabs>
      <w:jc w:val="both"/>
    </w:pPr>
    <w:rPr>
      <w:caps w:val="0"/>
      <w:noProof w:val="0"/>
    </w:rPr>
  </w:style>
  <w:style w:type="numbering" w:customStyle="1" w:styleId="Style11">
    <w:name w:val="Style11"/>
    <w:uiPriority w:val="99"/>
    <w:rsid w:val="00862C6F"/>
    <w:pPr>
      <w:numPr>
        <w:numId w:val="1"/>
      </w:numPr>
    </w:pPr>
  </w:style>
  <w:style w:type="numbering" w:customStyle="1" w:styleId="Style21">
    <w:name w:val="Style21"/>
    <w:uiPriority w:val="99"/>
    <w:rsid w:val="00862C6F"/>
    <w:pPr>
      <w:numPr>
        <w:numId w:val="2"/>
      </w:numPr>
    </w:pPr>
  </w:style>
  <w:style w:type="numbering" w:customStyle="1" w:styleId="Style31">
    <w:name w:val="Style31"/>
    <w:uiPriority w:val="99"/>
    <w:rsid w:val="00862C6F"/>
    <w:pPr>
      <w:numPr>
        <w:numId w:val="3"/>
      </w:numPr>
    </w:pPr>
  </w:style>
  <w:style w:type="character" w:customStyle="1" w:styleId="UnresolvedMention10">
    <w:name w:val="Unresolved Mention1"/>
    <w:basedOn w:val="DefaultParagraphFont"/>
    <w:uiPriority w:val="99"/>
    <w:semiHidden/>
    <w:unhideWhenUsed/>
    <w:rsid w:val="00862C6F"/>
    <w:rPr>
      <w:color w:val="605E5C"/>
      <w:shd w:val="clear" w:color="auto" w:fill="E1DFDD"/>
    </w:rPr>
  </w:style>
  <w:style w:type="table" w:customStyle="1" w:styleId="TableGrid1">
    <w:name w:val="Table Grid1"/>
    <w:basedOn w:val="TableNormal"/>
    <w:next w:val="TableGrid"/>
    <w:uiPriority w:val="39"/>
    <w:rsid w:val="00862C6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ListParagraph"/>
    <w:rsid w:val="00862C6F"/>
    <w:pPr>
      <w:numPr>
        <w:numId w:val="8"/>
      </w:numPr>
      <w:tabs>
        <w:tab w:val="clear" w:pos="567"/>
        <w:tab w:val="clear" w:pos="1134"/>
        <w:tab w:val="clear" w:pos="1701"/>
        <w:tab w:val="clear" w:pos="2268"/>
        <w:tab w:val="clear" w:pos="2835"/>
      </w:tabs>
      <w:overflowPunct/>
      <w:autoSpaceDE/>
      <w:autoSpaceDN/>
      <w:adjustRightInd/>
      <w:spacing w:before="0" w:after="160" w:line="480" w:lineRule="auto"/>
      <w:ind w:left="927"/>
      <w:textAlignment w:val="auto"/>
    </w:pPr>
    <w:rPr>
      <w:rFonts w:eastAsia="SimSun" w:cs="Calibri"/>
      <w:sz w:val="22"/>
      <w:szCs w:val="22"/>
      <w:lang w:val="fr-FR" w:eastAsia="zh-CN"/>
    </w:rPr>
  </w:style>
  <w:style w:type="table" w:styleId="GridTable4-Accent3">
    <w:name w:val="Grid Table 4 Accent 3"/>
    <w:basedOn w:val="TableNormal"/>
    <w:uiPriority w:val="49"/>
    <w:rsid w:val="00862C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5">
    <w:name w:val="Table Grid5"/>
    <w:basedOn w:val="TableNormal"/>
    <w:next w:val="TableGrid"/>
    <w:uiPriority w:val="39"/>
    <w:rsid w:val="00862C6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emf"/><Relationship Id="rId42" Type="http://schemas.openxmlformats.org/officeDocument/2006/relationships/hyperlink" Target="http://www.itu.int/ITU-R/index.asp?category=conferences&amp;link=rrb&amp;lang=en" TargetMode="External"/><Relationship Id="rId47" Type="http://schemas.openxmlformats.org/officeDocument/2006/relationships/footer" Target="footer1.xml"/><Relationship Id="rId63" Type="http://schemas.openxmlformats.org/officeDocument/2006/relationships/image" Target="media/image14.emf"/><Relationship Id="rId68" Type="http://schemas.openxmlformats.org/officeDocument/2006/relationships/image" Target="media/image19.emf"/><Relationship Id="rId84" Type="http://schemas.openxmlformats.org/officeDocument/2006/relationships/footer" Target="footer9.xml"/><Relationship Id="rId16" Type="http://schemas.openxmlformats.org/officeDocument/2006/relationships/chart" Target="charts/chart3.xml"/><Relationship Id="rId11" Type="http://schemas.openxmlformats.org/officeDocument/2006/relationships/image" Target="media/image2.png"/><Relationship Id="rId32" Type="http://schemas.openxmlformats.org/officeDocument/2006/relationships/hyperlink" Target="https://www.itu.int/fr/ITU-T/Pages/default.aspx" TargetMode="External"/><Relationship Id="rId37" Type="http://schemas.openxmlformats.org/officeDocument/2006/relationships/hyperlink" Target="http://www.itu.int/online/mm/scripts/gensel11?lang=fr&amp;_memb=S" TargetMode="External"/><Relationship Id="rId53" Type="http://schemas.openxmlformats.org/officeDocument/2006/relationships/hyperlink" Target="https://www.itu.int/md/S20-CL-C-0063/en" TargetMode="External"/><Relationship Id="rId58" Type="http://schemas.openxmlformats.org/officeDocument/2006/relationships/hyperlink" Target="http://www.itu.int/md/S20-CL-C-0040/en" TargetMode="External"/><Relationship Id="rId74" Type="http://schemas.openxmlformats.org/officeDocument/2006/relationships/image" Target="media/image25.emf"/><Relationship Id="rId79" Type="http://schemas.openxmlformats.org/officeDocument/2006/relationships/footer" Target="footer7.xml"/><Relationship Id="rId5" Type="http://schemas.openxmlformats.org/officeDocument/2006/relationships/webSettings" Target="webSettings.xm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hyperlink" Target="http://www.unsystem.org/fr/content/bienvenue" TargetMode="External"/><Relationship Id="rId35" Type="http://schemas.openxmlformats.org/officeDocument/2006/relationships/hyperlink" Target="https://www.itu.int/fr/about/Pages/default.aspx" TargetMode="External"/><Relationship Id="rId43" Type="http://schemas.openxmlformats.org/officeDocument/2006/relationships/hyperlink" Target="https://www.itu.int/md/S16-CL-C-0124/en" TargetMode="External"/><Relationship Id="rId48" Type="http://schemas.openxmlformats.org/officeDocument/2006/relationships/footer" Target="footer2.xml"/><Relationship Id="rId56" Type="http://schemas.openxmlformats.org/officeDocument/2006/relationships/hyperlink" Target="https://www.itu.int/en/council/Documents/basic-texts/Convention-F.pdf" TargetMode="External"/><Relationship Id="rId64" Type="http://schemas.openxmlformats.org/officeDocument/2006/relationships/image" Target="media/image15.emf"/><Relationship Id="rId69" Type="http://schemas.openxmlformats.org/officeDocument/2006/relationships/image" Target="media/image20.emf"/><Relationship Id="rId77" Type="http://schemas.openxmlformats.org/officeDocument/2006/relationships/image" Target="media/image28.emf"/><Relationship Id="rId8" Type="http://schemas.openxmlformats.org/officeDocument/2006/relationships/image" Target="media/image1.jpeg"/><Relationship Id="rId51" Type="http://schemas.openxmlformats.org/officeDocument/2006/relationships/header" Target="header3.xml"/><Relationship Id="rId72" Type="http://schemas.openxmlformats.org/officeDocument/2006/relationships/image" Target="media/image23.emf"/><Relationship Id="rId80" Type="http://schemas.openxmlformats.org/officeDocument/2006/relationships/image" Target="media/image29.png"/><Relationship Id="rId85"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www.itu.int/en/ITU-D/Emergency-Telecommunications/Pages/Events/2019/GET-2019/default.aspx" TargetMode="External"/><Relationship Id="rId17" Type="http://schemas.openxmlformats.org/officeDocument/2006/relationships/chart" Target="charts/chart4.xml"/><Relationship Id="rId25" Type="http://schemas.openxmlformats.org/officeDocument/2006/relationships/image" Target="media/image9.emf"/><Relationship Id="rId33" Type="http://schemas.openxmlformats.org/officeDocument/2006/relationships/hyperlink" Target="http://www.itu.int/net/ITU-D/index-fr.aspx" TargetMode="External"/><Relationship Id="rId38" Type="http://schemas.openxmlformats.org/officeDocument/2006/relationships/hyperlink" Target="http://www.itu.int/online/mm/scripts/gensel11?lang=fr&amp;_memb=A" TargetMode="External"/><Relationship Id="rId46" Type="http://schemas.openxmlformats.org/officeDocument/2006/relationships/header" Target="header2.xml"/><Relationship Id="rId59" Type="http://schemas.openxmlformats.org/officeDocument/2006/relationships/hyperlink" Target="https://www.itu.int/md/S20-CL-C-0042/en" TargetMode="External"/><Relationship Id="rId67" Type="http://schemas.openxmlformats.org/officeDocument/2006/relationships/image" Target="media/image18.emf"/><Relationship Id="rId20" Type="http://schemas.openxmlformats.org/officeDocument/2006/relationships/image" Target="media/image4.emf"/><Relationship Id="rId41" Type="http://schemas.openxmlformats.org/officeDocument/2006/relationships/hyperlink" Target="https://www.itu.int/fr/ITU-R/conferences/RRB/Pages/default.aspx" TargetMode="External"/><Relationship Id="rId54" Type="http://schemas.openxmlformats.org/officeDocument/2006/relationships/hyperlink" Target="https://www.itu.int/md/S20-CL-C-0050/en" TargetMode="External"/><Relationship Id="rId62" Type="http://schemas.openxmlformats.org/officeDocument/2006/relationships/header" Target="header5.xml"/><Relationship Id="rId70" Type="http://schemas.openxmlformats.org/officeDocument/2006/relationships/image" Target="media/image21.emf"/><Relationship Id="rId75" Type="http://schemas.openxmlformats.org/officeDocument/2006/relationships/image" Target="media/image26.emf"/><Relationship Id="rId83"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hyperlink" Target="https://www.itu.int/online/mm/scripts/gensel8?lang=?lang=fr" TargetMode="External"/><Relationship Id="rId49" Type="http://schemas.openxmlformats.org/officeDocument/2006/relationships/footer" Target="footer3.xml"/><Relationship Id="rId57" Type="http://schemas.openxmlformats.org/officeDocument/2006/relationships/hyperlink" Target="https://www.itu.int/en/council/Documents/Financial-Regulations/S-GEN-REG_RGTFIN-2018-PDF-F.pdf" TargetMode="External"/><Relationship Id="rId10" Type="http://schemas.openxmlformats.org/officeDocument/2006/relationships/hyperlink" Target="https://www.itu.int/en/council/Documents/Financial-Regulations/S-GEN-REG_RGTFIN-2018-PDF-F.pdf" TargetMode="External"/><Relationship Id="rId31" Type="http://schemas.openxmlformats.org/officeDocument/2006/relationships/hyperlink" Target="http://www.itu.int/ITU-R/index.asp?category=information&amp;link=rhome&amp;lang=fr" TargetMode="External"/><Relationship Id="rId44" Type="http://schemas.openxmlformats.org/officeDocument/2006/relationships/hyperlink" Target="https://www.unjspf.org/fr/" TargetMode="External"/><Relationship Id="rId52" Type="http://schemas.openxmlformats.org/officeDocument/2006/relationships/footer" Target="footer5.xml"/><Relationship Id="rId60" Type="http://schemas.openxmlformats.org/officeDocument/2006/relationships/header" Target="header4.xml"/><Relationship Id="rId65" Type="http://schemas.openxmlformats.org/officeDocument/2006/relationships/image" Target="media/image16.emf"/><Relationship Id="rId73" Type="http://schemas.openxmlformats.org/officeDocument/2006/relationships/image" Target="media/image24.emf"/><Relationship Id="rId78" Type="http://schemas.openxmlformats.org/officeDocument/2006/relationships/header" Target="header6.xml"/><Relationship Id="rId81" Type="http://schemas.openxmlformats.org/officeDocument/2006/relationships/header" Target="header7.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3" Type="http://schemas.openxmlformats.org/officeDocument/2006/relationships/image" Target="media/image3.png"/><Relationship Id="rId18" Type="http://schemas.openxmlformats.org/officeDocument/2006/relationships/chart" Target="charts/chart5.xml"/><Relationship Id="rId39" Type="http://schemas.openxmlformats.org/officeDocument/2006/relationships/hyperlink" Target="http://www.itu.int/online/mm/scripts/gensel11?lang=fr&amp;_memb=U" TargetMode="External"/><Relationship Id="rId34" Type="http://schemas.openxmlformats.org/officeDocument/2006/relationships/hyperlink" Target="http://www.itu.int/ITUTELECOM/index-fr.html" TargetMode="External"/><Relationship Id="rId50" Type="http://schemas.openxmlformats.org/officeDocument/2006/relationships/footer" Target="footer4.xml"/><Relationship Id="rId55" Type="http://schemas.openxmlformats.org/officeDocument/2006/relationships/chart" Target="charts/chart7.xml"/><Relationship Id="rId76" Type="http://schemas.openxmlformats.org/officeDocument/2006/relationships/image" Target="media/image27.emf"/><Relationship Id="rId7" Type="http://schemas.openxmlformats.org/officeDocument/2006/relationships/endnotes" Target="endnotes.xml"/><Relationship Id="rId71" Type="http://schemas.openxmlformats.org/officeDocument/2006/relationships/image" Target="media/image22.emf"/><Relationship Id="rId2" Type="http://schemas.openxmlformats.org/officeDocument/2006/relationships/numbering" Target="numbering.xml"/><Relationship Id="rId29" Type="http://schemas.openxmlformats.org/officeDocument/2006/relationships/image" Target="media/image13.emf"/><Relationship Id="rId24" Type="http://schemas.openxmlformats.org/officeDocument/2006/relationships/image" Target="media/image8.emf"/><Relationship Id="rId40" Type="http://schemas.openxmlformats.org/officeDocument/2006/relationships/hyperlink" Target="http://www.itu.int/council/index-en.html" TargetMode="External"/><Relationship Id="rId45" Type="http://schemas.openxmlformats.org/officeDocument/2006/relationships/header" Target="header1.xml"/><Relationship Id="rId66" Type="http://schemas.openxmlformats.org/officeDocument/2006/relationships/image" Target="media/image17.emf"/><Relationship Id="rId87" Type="http://schemas.openxmlformats.org/officeDocument/2006/relationships/theme" Target="theme/theme1.xml"/><Relationship Id="rId61" Type="http://schemas.openxmlformats.org/officeDocument/2006/relationships/footer" Target="footer6.xml"/><Relationship Id="rId82" Type="http://schemas.openxmlformats.org/officeDocument/2006/relationships/header" Target="header8.xml"/></Relationships>
</file>

<file path=word/_rels/footer10.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COMPTA%20GENERALE\BOUCLEMENT\2019\MAQUETTE%20BOUCLEMENT%202019-claire.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9\Boursiers%20maquette%20201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66180808814E-2"/>
          <c:y val="0.15469177628760794"/>
          <c:w val="0.79346940818316303"/>
          <c:h val="0.7850258183602421"/>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EF0F-48A8-918E-B600F829C4B6}"/>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EF0F-48A8-918E-B600F829C4B6}"/>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EF0F-48A8-918E-B600F829C4B6}"/>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EF0F-48A8-918E-B600F829C4B6}"/>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EF0F-48A8-918E-B600F829C4B6}"/>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EF0F-48A8-918E-B600F829C4B6}"/>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EF0F-48A8-918E-B600F829C4B6}"/>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EF0F-48A8-918E-B600F829C4B6}"/>
              </c:ext>
            </c:extLst>
          </c:dPt>
          <c:dLbls>
            <c:dLbl>
              <c:idx val="0"/>
              <c:tx>
                <c:rich>
                  <a:bodyPr/>
                  <a:lstStyle/>
                  <a:p>
                    <a:r>
                      <a:rPr lang="en-US" sz="900" b="0" i="0" u="none" strike="noStrike" kern="1200" baseline="0">
                        <a:solidFill>
                          <a:schemeClr val="bg1"/>
                        </a:solidFill>
                      </a:rPr>
                      <a:t>Contributions mises en recouvrement
68%</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F0F-48A8-918E-B600F829C4B6}"/>
                </c:ext>
              </c:extLst>
            </c:dLbl>
            <c:dLbl>
              <c:idx val="1"/>
              <c:layout>
                <c:manualLayout>
                  <c:x val="-4.5951165441787366E-2"/>
                  <c:y val="-4.9419172921856103E-2"/>
                </c:manualLayout>
              </c:layout>
              <c:tx>
                <c:rich>
                  <a:bodyPr/>
                  <a:lstStyle/>
                  <a:p>
                    <a:r>
                      <a:rPr lang="en-US" sz="900" b="0" i="0" u="none" strike="noStrike" kern="1200" baseline="0">
                        <a:solidFill>
                          <a:sysClr val="windowText" lastClr="000000"/>
                        </a:solidFill>
                      </a:rPr>
                      <a:t>Contributions volontaires
6%</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F0F-48A8-918E-B600F829C4B6}"/>
                </c:ext>
              </c:extLst>
            </c:dLbl>
            <c:dLbl>
              <c:idx val="2"/>
              <c:layout>
                <c:manualLayout>
                  <c:x val="9.322162131868747E-3"/>
                  <c:y val="-2.1066804803912001E-2"/>
                </c:manualLayout>
              </c:layout>
              <c:tx>
                <c:rich>
                  <a:bodyPr/>
                  <a:lstStyle/>
                  <a:p>
                    <a:r>
                      <a:rPr lang="en-US" baseline="0"/>
                      <a:t>Produits financiers
</a:t>
                    </a:r>
                    <a:fld id="{D900AFA3-FD32-4828-94E6-5E04E6EAE70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0F-48A8-918E-B600F829C4B6}"/>
                </c:ext>
              </c:extLst>
            </c:dLbl>
            <c:dLbl>
              <c:idx val="3"/>
              <c:layout>
                <c:manualLayout>
                  <c:x val="-0.11719030170733609"/>
                  <c:y val="-1.9207613885059621E-2"/>
                </c:manualLayout>
              </c:layout>
              <c:tx>
                <c:rich>
                  <a:bodyPr/>
                  <a:lstStyle/>
                  <a:p>
                    <a:r>
                      <a:rPr lang="en-US" sz="900" b="0" i="0" u="none" strike="noStrike" kern="1200" baseline="0">
                        <a:solidFill>
                          <a:sysClr val="windowText" lastClr="000000"/>
                        </a:solidFill>
                      </a:rPr>
                      <a:t>Produits extrabudgétaires
4%</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F0F-48A8-918E-B600F829C4B6}"/>
                </c:ext>
              </c:extLst>
            </c:dLbl>
            <c:dLbl>
              <c:idx val="4"/>
              <c:layout>
                <c:manualLayout>
                  <c:x val="-0.14270091926078007"/>
                  <c:y val="8.4927217925651749E-3"/>
                </c:manualLayout>
              </c:layout>
              <c:tx>
                <c:rich>
                  <a:bodyPr/>
                  <a:lstStyle/>
                  <a:p>
                    <a:r>
                      <a:rPr lang="en-US" sz="900" b="0" i="0" u="none" strike="noStrike" kern="1200" baseline="0">
                        <a:solidFill>
                          <a:sysClr val="windowText" lastClr="000000"/>
                        </a:solidFill>
                      </a:rPr>
                      <a:t>Ventes des publications
</a:t>
                    </a:r>
                    <a:fld id="{40080558-E188-47BC-80DA-26363D321F24}" type="PERCENTAGE">
                      <a:rPr lang="en-US" sz="900" b="0" i="0" u="none" strike="noStrike" kern="1200" baseline="0">
                        <a:solidFill>
                          <a:sysClr val="windowText" lastClr="000000"/>
                        </a:solidFill>
                      </a:rPr>
                      <a:pPr/>
                      <a:t>[PERCENTAGE]</a:t>
                    </a:fld>
                    <a:endParaRPr lang="en-US" sz="900" b="0" i="0" u="none" strike="noStrike" kern="1200"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F0F-48A8-918E-B600F829C4B6}"/>
                </c:ext>
              </c:extLst>
            </c:dLbl>
            <c:dLbl>
              <c:idx val="5"/>
              <c:layout>
                <c:manualLayout>
                  <c:x val="-8.243789383312794E-2"/>
                  <c:y val="1.0109270465820852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en-US" sz="900" b="0" i="0" u="none" strike="noStrike" kern="1200" baseline="0">
                        <a:solidFill>
                          <a:sysClr val="windowText" lastClr="000000"/>
                        </a:solidFill>
                      </a:rPr>
                      <a:t>Fiches de notification des réseaux à satellite</a:t>
                    </a:r>
                    <a:r>
                      <a:rPr lang="en-US" baseline="0">
                        <a:solidFill>
                          <a:sysClr val="windowText" lastClr="000000"/>
                        </a:solidFill>
                      </a:rPr>
                      <a:t>
</a:t>
                    </a:r>
                    <a:fld id="{4CD826DB-FB31-4D72-BBBE-EA4D273362D5}" type="PERCENTAGE">
                      <a:rPr lang="en-US" baseline="0">
                        <a:solidFill>
                          <a:sysClr val="windowText" lastClr="000000"/>
                        </a:solidFill>
                      </a:rPr>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21311565977245145"/>
                      <c:h val="0.14636323278581276"/>
                    </c:manualLayout>
                  </c15:layout>
                  <c15:dlblFieldTable/>
                  <c15:showDataLabelsRange val="0"/>
                </c:ext>
                <c:ext xmlns:c16="http://schemas.microsoft.com/office/drawing/2014/chart" uri="{C3380CC4-5D6E-409C-BE32-E72D297353CC}">
                  <c16:uniqueId val="{0000000B-EF0F-48A8-918E-B600F829C4B6}"/>
                </c:ext>
              </c:extLst>
            </c:dLbl>
            <c:dLbl>
              <c:idx val="6"/>
              <c:layout>
                <c:manualLayout>
                  <c:x val="-0.11544331161025113"/>
                  <c:y val="5.3411528306736136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900" b="0" i="0" u="none" strike="noStrike" kern="1200" baseline="0">
                        <a:solidFill>
                          <a:sysClr val="windowText" lastClr="000000"/>
                        </a:solidFill>
                      </a:rPr>
                      <a:t>Autres produits d'exploitation</a:t>
                    </a:r>
                  </a:p>
                  <a:p>
                    <a:pPr>
                      <a:defRPr>
                        <a:solidFill>
                          <a:sysClr val="windowText" lastClr="000000"/>
                        </a:solidFill>
                      </a:defRPr>
                    </a:pPr>
                    <a:r>
                      <a:rPr lang="en-US" sz="900" b="0" i="0" u="none" strike="noStrike" kern="1200" baseline="0">
                        <a:solidFill>
                          <a:sysClr val="windowText" lastClr="000000"/>
                        </a:solidFill>
                      </a:rPr>
                      <a:t>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7312466724577574"/>
                      <c:h val="0.19654397600955001"/>
                    </c:manualLayout>
                  </c15:layout>
                  <c15:showDataLabelsRange val="0"/>
                </c:ext>
                <c:ext xmlns:c16="http://schemas.microsoft.com/office/drawing/2014/chart" uri="{C3380CC4-5D6E-409C-BE32-E72D297353CC}">
                  <c16:uniqueId val="{0000000D-EF0F-48A8-918E-B600F829C4B6}"/>
                </c:ext>
              </c:extLst>
            </c:dLbl>
            <c:dLbl>
              <c:idx val="7"/>
              <c:layout>
                <c:manualLayout>
                  <c:x val="-0.16374886207469616"/>
                  <c:y val="7.9242118384640192E-3"/>
                </c:manualLayout>
              </c:layout>
              <c:tx>
                <c:rich>
                  <a:bodyPr/>
                  <a:lstStyle/>
                  <a:p>
                    <a:r>
                      <a:rPr lang="en-US" sz="900" b="0" i="0" u="none" strike="noStrike" kern="1200" baseline="0">
                        <a:solidFill>
                          <a:sysClr val="windowText" lastClr="000000"/>
                        </a:solidFill>
                      </a:rPr>
                      <a:t>Produits d'exploitation</a:t>
                    </a:r>
                  </a:p>
                  <a:p>
                    <a:r>
                      <a:rPr lang="en-US" sz="900" b="0" i="0" u="none" strike="noStrike" kern="1200" baseline="0">
                        <a:solidFill>
                          <a:schemeClr val="bg1"/>
                        </a:solidFill>
                      </a:rPr>
                      <a:t>
</a:t>
                    </a:r>
                    <a:r>
                      <a:rPr lang="en-US" sz="900" b="0" i="0" u="none" strike="noStrike" kern="1200" baseline="0">
                        <a:solidFill>
                          <a:sysClr val="windowText" lastClr="000000"/>
                        </a:solidFill>
                      </a:rPr>
                      <a:t>21%</a:t>
                    </a:r>
                    <a:endParaRPr lang="en-US" sz="900" b="0" i="0" u="none" strike="noStrike" kern="1200" baseline="0">
                      <a:solidFill>
                        <a:schemeClr val="bg1"/>
                      </a:solidFill>
                    </a:endParaRPr>
                  </a:p>
                  <a:p>
                    <a:endParaRPr 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EF0F-48A8-918E-B600F829C4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126485</c:v>
                </c:pt>
                <c:pt idx="1">
                  <c:v>10455.592999999997</c:v>
                </c:pt>
                <c:pt idx="2">
                  <c:v>10029.649999999998</c:v>
                </c:pt>
                <c:pt idx="3">
                  <c:v>7181.39</c:v>
                </c:pt>
                <c:pt idx="4">
                  <c:v>15614.13</c:v>
                </c:pt>
                <c:pt idx="5">
                  <c:v>12083.23</c:v>
                </c:pt>
                <c:pt idx="6" formatCode="General">
                  <c:v>4478.38</c:v>
                </c:pt>
              </c:numCache>
            </c:numRef>
          </c:val>
          <c:extLst>
            <c:ext xmlns:c16="http://schemas.microsoft.com/office/drawing/2014/chart" uri="{C3380CC4-5D6E-409C-BE32-E72D297353CC}">
              <c16:uniqueId val="{00000010-EF0F-48A8-918E-B600F829C4B6}"/>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203,942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B9E-4052-B5FF-33D256F56B8C}"/>
                </c:ext>
              </c:extLst>
            </c:dLbl>
            <c:dLbl>
              <c:idx val="1"/>
              <c:tx>
                <c:rich>
                  <a:bodyPr/>
                  <a:lstStyle/>
                  <a:p>
                    <a:r>
                      <a:rPr lang="en-US"/>
                      <a:t>7,767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B9E-4052-B5FF-33D256F56B8C}"/>
                </c:ext>
              </c:extLst>
            </c:dLbl>
            <c:dLbl>
              <c:idx val="2"/>
              <c:tx>
                <c:rich>
                  <a:bodyPr/>
                  <a:lstStyle/>
                  <a:p>
                    <a:r>
                      <a:rPr lang="en-US"/>
                      <a:t>13,821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B9E-4052-B5FF-33D256F56B8C}"/>
                </c:ext>
              </c:extLst>
            </c:dLbl>
            <c:dLbl>
              <c:idx val="3"/>
              <c:tx>
                <c:rich>
                  <a:bodyPr/>
                  <a:lstStyle/>
                  <a:p>
                    <a:r>
                      <a:rPr lang="en-US"/>
                      <a:t>4,175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B9E-4052-B5FF-33D256F56B8C}"/>
                </c:ext>
              </c:extLst>
            </c:dLbl>
            <c:dLbl>
              <c:idx val="4"/>
              <c:tx>
                <c:rich>
                  <a:bodyPr/>
                  <a:lstStyle/>
                  <a:p>
                    <a:r>
                      <a:rPr lang="en-US"/>
                      <a:t>3,815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B9E-4052-B5FF-33D256F56B8C}"/>
                </c:ext>
              </c:extLst>
            </c:dLbl>
            <c:dLbl>
              <c:idx val="5"/>
              <c:tx>
                <c:rich>
                  <a:bodyPr/>
                  <a:lstStyle/>
                  <a:p>
                    <a:r>
                      <a:rPr lang="en-US"/>
                      <a:t>4,570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B9E-4052-B5FF-33D256F56B8C}"/>
                </c:ext>
              </c:extLst>
            </c:dLbl>
            <c:dLbl>
              <c:idx val="6"/>
              <c:tx>
                <c:rich>
                  <a:bodyPr/>
                  <a:lstStyle/>
                  <a:p>
                    <a:r>
                      <a:rPr lang="en-US"/>
                      <a:t>1,619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B9E-4052-B5FF-33D256F56B8C}"/>
                </c:ext>
              </c:extLst>
            </c:dLbl>
            <c:dLbl>
              <c:idx val="7"/>
              <c:layout>
                <c:manualLayout>
                  <c:x val="-9.5521793219556159E-3"/>
                  <c:y val="-7.5156064429144423E-3"/>
                </c:manualLayout>
              </c:layout>
              <c:tx>
                <c:rich>
                  <a:bodyPr/>
                  <a:lstStyle/>
                  <a:p>
                    <a:r>
                      <a:rPr lang="en-US"/>
                      <a:t>1,252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B9E-4052-B5FF-33D256F56B8C}"/>
                </c:ext>
              </c:extLst>
            </c:dLbl>
            <c:dLbl>
              <c:idx val="8"/>
              <c:tx>
                <c:rich>
                  <a:bodyPr/>
                  <a:lstStyle/>
                  <a:p>
                    <a:r>
                      <a:rPr lang="en-US"/>
                      <a:t>3,679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B9E-4052-B5FF-33D256F56B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203941.81204000016</c:v>
                </c:pt>
                <c:pt idx="1">
                  <c:v>7767.4450299999953</c:v>
                </c:pt>
                <c:pt idx="2">
                  <c:v>13821.417080000003</c:v>
                </c:pt>
                <c:pt idx="3">
                  <c:v>4174.7541200000005</c:v>
                </c:pt>
                <c:pt idx="4">
                  <c:v>3815.313279999998</c:v>
                </c:pt>
                <c:pt idx="5">
                  <c:v>4569.6743400000005</c:v>
                </c:pt>
                <c:pt idx="6">
                  <c:v>1618.9439600000001</c:v>
                </c:pt>
                <c:pt idx="7">
                  <c:v>1251.8150899999994</c:v>
                </c:pt>
                <c:pt idx="8" formatCode="0">
                  <c:v>3678.74</c:v>
                </c:pt>
              </c:numCache>
            </c:numRef>
          </c:val>
          <c:extLst>
            <c:ext xmlns:c16="http://schemas.microsoft.com/office/drawing/2014/chart" uri="{C3380CC4-5D6E-409C-BE32-E72D297353CC}">
              <c16:uniqueId val="{00000009-EB9E-4052-B5FF-33D256F56B8C}"/>
            </c:ext>
          </c:extLst>
        </c:ser>
        <c:ser>
          <c:idx val="1"/>
          <c:order val="1"/>
          <c:tx>
            <c:strRef>
              <c:f>'Financial Highlights'!$D$73</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EB9E-4052-B5FF-33D256F56B8C}"/>
              </c:ext>
            </c:extLst>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148806.27000000002</c:v>
                </c:pt>
                <c:pt idx="1">
                  <c:v>6701.5699999999988</c:v>
                </c:pt>
                <c:pt idx="2">
                  <c:v>12691.439999999999</c:v>
                </c:pt>
                <c:pt idx="3">
                  <c:v>3971.2299999999996</c:v>
                </c:pt>
                <c:pt idx="4">
                  <c:v>4509.1679999999988</c:v>
                </c:pt>
                <c:pt idx="5">
                  <c:v>4496.8999999999996</c:v>
                </c:pt>
                <c:pt idx="6">
                  <c:v>1771.92</c:v>
                </c:pt>
                <c:pt idx="7">
                  <c:v>795</c:v>
                </c:pt>
                <c:pt idx="8" formatCode="0">
                  <c:v>621.21</c:v>
                </c:pt>
              </c:numCache>
            </c:numRef>
          </c:val>
          <c:extLst>
            <c:ext xmlns:c16="http://schemas.microsoft.com/office/drawing/2014/chart" uri="{C3380CC4-5D6E-409C-BE32-E72D297353CC}">
              <c16:uniqueId val="{0000000C-EB9E-4052-B5FF-33D256F56B8C}"/>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8000744"/>
        <c:crosses val="autoZero"/>
        <c:auto val="1"/>
        <c:lblAlgn val="ctr"/>
        <c:lblOffset val="100"/>
        <c:noMultiLvlLbl val="0"/>
      </c:catAx>
      <c:valAx>
        <c:axId val="42800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2513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40A-4488-8820-DE57588F68F0}"/>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40A-4488-8820-DE57588F68F0}"/>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40A-4488-8820-DE57588F68F0}"/>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40A-4488-8820-DE57588F68F0}"/>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40A-4488-8820-DE57588F68F0}"/>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40A-4488-8820-DE57588F68F0}"/>
              </c:ext>
            </c:extLst>
          </c:dPt>
          <c:dLbls>
            <c:dLbl>
              <c:idx val="0"/>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Trésorerie et équivalents de trésorerie</a:t>
                    </a:r>
                    <a:r>
                      <a:rPr lang="en-US" baseline="0"/>
                      <a:t>
</a:t>
                    </a:r>
                    <a:fld id="{8818B418-1D69-4A3D-AB6F-831D4D2C8956}"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0A-4488-8820-DE57588F68F0}"/>
                </c:ext>
              </c:extLst>
            </c:dLbl>
            <c:dLbl>
              <c:idx val="1"/>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Placements</a:t>
                    </a:r>
                    <a:r>
                      <a:rPr lang="en-US" baseline="0"/>
                      <a:t>
</a:t>
                    </a:r>
                    <a:fld id="{22CB436C-04AB-4682-A635-9648A1969089}"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40A-4488-8820-DE57588F68F0}"/>
                </c:ext>
              </c:extLst>
            </c:dLbl>
            <c:dLbl>
              <c:idx val="2"/>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Créances</a:t>
                    </a:r>
                    <a:r>
                      <a:rPr lang="en-US" baseline="0"/>
                      <a:t>
</a:t>
                    </a:r>
                    <a:fld id="{901F4530-9540-48F8-9726-1AE5A6AF55CB}"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40A-4488-8820-DE57588F68F0}"/>
                </c:ext>
              </c:extLst>
            </c:dLbl>
            <c:dLbl>
              <c:idx val="3"/>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a:t>
                    </a:r>
                    <a:br>
                      <a:rPr lang="en-US" sz="1000" b="1" i="0" u="none" strike="noStrike" kern="1200" spc="0" baseline="0">
                        <a:solidFill>
                          <a:sysClr val="windowText" lastClr="000000"/>
                        </a:solidFill>
                      </a:rPr>
                    </a:br>
                    <a:r>
                      <a:rPr lang="en-US" sz="1000" b="1" i="0" u="none" strike="noStrike" kern="1200" spc="0" baseline="0">
                        <a:solidFill>
                          <a:sysClr val="windowText" lastClr="000000"/>
                        </a:solidFill>
                      </a:rPr>
                      <a:t>créances</a:t>
                    </a:r>
                    <a:r>
                      <a:rPr lang="en-US" baseline="0"/>
                      <a:t>
</a:t>
                    </a:r>
                    <a:fld id="{0114603B-6C80-4538-8037-7EFD2684DEBC}"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40A-4488-8820-DE57588F68F0}"/>
                </c:ext>
              </c:extLst>
            </c:dLbl>
            <c:dLbl>
              <c:idx val="4"/>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Immobilisations corporelles</a:t>
                    </a:r>
                    <a:r>
                      <a:rPr lang="en-US" baseline="0"/>
                      <a:t>
</a:t>
                    </a:r>
                    <a:fld id="{745DE287-A34C-4567-9DB7-53D98997F34C}"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40A-4488-8820-DE57588F68F0}"/>
                </c:ext>
              </c:extLst>
            </c:dLbl>
            <c:dLbl>
              <c:idx val="5"/>
              <c:layout>
                <c:manualLayout>
                  <c:x val="-1.6666666666666691E-2"/>
                  <c:y val="-0.102418192386108"/>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actifs</a:t>
                    </a:r>
                    <a:r>
                      <a:rPr lang="en-US" baseline="0"/>
                      <a:t>
</a:t>
                    </a:r>
                    <a:fld id="{B1706639-3A58-4942-8558-F68712032407}"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40A-4488-8820-DE57588F68F0}"/>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640A-4488-8820-DE57588F68F0}"/>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D-640A-4488-8820-DE57588F68F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'Financial Highlights'!$C$98:$C$99</c:f>
              <c:strCache>
                <c:ptCount val="2"/>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0-FBB0-4C10-9210-2AE3CBD9B09B}"/>
            </c:ext>
          </c:extLst>
        </c:ser>
        <c:ser>
          <c:idx val="1"/>
          <c:order val="1"/>
          <c:tx>
            <c:strRef>
              <c:f>'Financial Highlights'!$D$98:$D$99</c:f>
              <c:strCache>
                <c:ptCount val="2"/>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161825.62705000001</c:v>
                </c:pt>
                <c:pt idx="1">
                  <c:v>48995.95</c:v>
                </c:pt>
                <c:pt idx="2">
                  <c:v>90762.82</c:v>
                </c:pt>
                <c:pt idx="3">
                  <c:v>6982.9307300000009</c:v>
                </c:pt>
                <c:pt idx="4">
                  <c:v>95624.710000000021</c:v>
                </c:pt>
                <c:pt idx="5">
                  <c:v>4367.55</c:v>
                </c:pt>
              </c:numCache>
            </c:numRef>
          </c:val>
          <c:extLst>
            <c:ext xmlns:c16="http://schemas.microsoft.com/office/drawing/2014/chart" uri="{C3380CC4-5D6E-409C-BE32-E72D297353CC}">
              <c16:uniqueId val="{00000001-FBB0-4C10-9210-2AE3CBD9B09B}"/>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474-4FD5-8D45-7AFC5EE17AD0}"/>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474-4FD5-8D45-7AFC5EE17AD0}"/>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474-4FD5-8D45-7AFC5EE17AD0}"/>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474-4FD5-8D45-7AFC5EE17AD0}"/>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474-4FD5-8D45-7AFC5EE17AD0}"/>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474-4FD5-8D45-7AFC5EE17AD0}"/>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474-4FD5-8D45-7AFC5EE17AD0}"/>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F474-4FD5-8D45-7AFC5EE17AD0}"/>
              </c:ext>
            </c:extLst>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Dettes et créances</a:t>
                    </a:r>
                    <a:r>
                      <a:rPr lang="en-US" baseline="0"/>
                      <a:t>
</a:t>
                    </a:r>
                    <a:fld id="{6ECE98F3-C8E3-4D4E-AA2B-CD01E9BEA772}"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74-4FD5-8D45-7AFC5EE17AD0}"/>
                </c:ext>
              </c:extLst>
            </c:dLbl>
            <c:dLbl>
              <c:idx val="1"/>
              <c:layout>
                <c:manualLayout>
                  <c:x val="-8.0555555555555561E-2"/>
                  <c:y val="-3.268539473340412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Produits différés</a:t>
                    </a:r>
                    <a:r>
                      <a:rPr lang="en-US" baseline="0"/>
                      <a:t>
</a:t>
                    </a:r>
                    <a:fld id="{DB588A48-9B6D-4788-97DD-62F4999FA0E8}"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74-4FD5-8D45-7AFC5EE17AD0}"/>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passifs</a:t>
                    </a:r>
                    <a:r>
                      <a:rPr lang="en-US" sz="1000" baseline="0"/>
                      <a:t>
</a:t>
                    </a:r>
                    <a:fld id="{DD44D1F9-B82D-49EA-AA88-628C4A21FFCF}" type="PERCENTAGE">
                      <a:rPr lang="en-US" sz="1000" baseline="0"/>
                      <a:pPr>
                        <a:defRPr>
                          <a:solidFill>
                            <a:sysClr val="windowText" lastClr="000000"/>
                          </a:solidFill>
                        </a:defRPr>
                      </a:pPr>
                      <a:t>[PERCENTAGE]</a:t>
                    </a:fld>
                    <a:endParaRPr lang="en-US" sz="1000"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74-4FD5-8D45-7AFC5EE17AD0}"/>
                </c:ext>
              </c:extLst>
            </c:dLbl>
            <c:dLbl>
              <c:idx val="3"/>
              <c:layout>
                <c:manualLayout>
                  <c:x val="2.9337051618547581E-2"/>
                  <c:y val="-2.946223223521831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Emprunts</a:t>
                    </a:r>
                    <a:r>
                      <a:rPr lang="en-US" baseline="0"/>
                      <a:t>
</a:t>
                    </a:r>
                    <a:fld id="{7E593877-3B2C-4718-B619-10F882899F09}"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474-4FD5-8D45-7AFC5EE17AD0}"/>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Avantages accordés au personnel
</a:t>
                    </a:r>
                    <a:fld id="{05102AF5-EEEA-4117-82C8-9C61996C28C1}" type="PERCENTAGE">
                      <a:rPr lang="en-US" sz="1000" b="1" i="0" u="none" strike="noStrike" kern="1200" spc="0" baseline="0">
                        <a:solidFill>
                          <a:sysClr val="windowText" lastClr="000000"/>
                        </a:solidFill>
                      </a:rPr>
                      <a:pPr>
                        <a:defRPr>
                          <a:solidFill>
                            <a:sysClr val="windowText" lastClr="000000"/>
                          </a:solidFill>
                        </a:defRPr>
                      </a:pPr>
                      <a:t>[PERCENTAGE]</a:t>
                    </a:fld>
                    <a:endParaRPr lang="en-US" sz="1000" b="1" i="0" u="none" strike="noStrike" kern="1200" spc="0" baseline="0">
                      <a:solidFill>
                        <a:sysClr val="windowText" lastClr="000000"/>
                      </a:solidFill>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474-4FD5-8D45-7AFC5EE17AD0}"/>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Fonds de tiers</a:t>
                    </a:r>
                    <a:r>
                      <a:rPr lang="en-US" baseline="0"/>
                      <a:t>
</a:t>
                    </a:r>
                    <a:fld id="{039B3696-78C3-468D-8A44-D83737DB211B}"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474-4FD5-8D45-7AFC5EE17AD0}"/>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474-4FD5-8D45-7AFC5EE17AD0}"/>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474-4FD5-8D45-7AFC5EE17AD0}"/>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F474-4FD5-8D45-7AFC5EE17AD0}"/>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11-F474-4FD5-8D45-7AFC5EE17AD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00-C8E9-4C46-BEDE-9B684FB3F2DC}"/>
            </c:ext>
          </c:extLst>
        </c:ser>
        <c:ser>
          <c:idx val="1"/>
          <c:order val="1"/>
          <c:tx>
            <c:strRef>
              <c:f>'Financial Highlights'!$E$120</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15737.582000000002</c:v>
                </c:pt>
                <c:pt idx="1">
                  <c:v>136273.18852</c:v>
                </c:pt>
                <c:pt idx="2">
                  <c:v>1644.4217500000002</c:v>
                </c:pt>
                <c:pt idx="3">
                  <c:v>43192.15</c:v>
                </c:pt>
                <c:pt idx="4">
                  <c:v>573599.74</c:v>
                </c:pt>
                <c:pt idx="5">
                  <c:v>33824</c:v>
                </c:pt>
              </c:numCache>
            </c:numRef>
          </c:val>
          <c:extLst>
            <c:ext xmlns:c16="http://schemas.microsoft.com/office/drawing/2014/chart" uri="{C3380CC4-5D6E-409C-BE32-E72D297353CC}">
              <c16:uniqueId val="{00000001-C8E9-4C46-BEDE-9B684FB3F2DC}"/>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4A7-4F81-A3EA-2A8344F108A9}"/>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4A7-4F81-A3EA-2A8344F108A9}"/>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4A7-4F81-A3EA-2A8344F108A9}"/>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4A7-4F81-A3EA-2A8344F108A9}"/>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4A7-4F81-A3EA-2A8344F108A9}"/>
              </c:ext>
            </c:extLst>
          </c:dPt>
          <c:dLbls>
            <c:dLbl>
              <c:idx val="0"/>
              <c:layout>
                <c:manualLayout>
                  <c:x val="-3.6111111111111108E-2"/>
                  <c:y val="-4.364430646275958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A</a:t>
                    </a:r>
                    <a:r>
                      <a:rPr lang="en-US" baseline="0"/>
                      <a:t>
</a:t>
                    </a:r>
                    <a:fld id="{F65AFD62-A6F9-4B2E-AD75-C42FB0267E98}"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A7-4F81-A3EA-2A8344F108A9}"/>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B</a:t>
                    </a:r>
                    <a:r>
                      <a:rPr lang="en-US" baseline="0"/>
                      <a:t>
</a:t>
                    </a:r>
                    <a:fld id="{AB42AB31-BC3C-4846-8B88-7713A9CC626E}"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4A7-4F81-A3EA-2A8344F108A9}"/>
                </c:ext>
              </c:extLst>
            </c:dLbl>
            <c:dLbl>
              <c:idx val="2"/>
              <c:layout>
                <c:manualLayout>
                  <c:x val="-1.0185067526415994E-16"/>
                  <c:y val="9.259259259259258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C</a:t>
                    </a:r>
                    <a:r>
                      <a:rPr lang="en-US" baseline="0"/>
                      <a:t>
</a:t>
                    </a:r>
                    <a:fld id="{547C173B-9C03-4F5F-8E66-A5F05EE5C7BA}"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4A7-4F81-A3EA-2A8344F108A9}"/>
                </c:ext>
              </c:extLst>
            </c:dLbl>
            <c:dLbl>
              <c:idx val="3"/>
              <c:layout>
                <c:manualLayout>
                  <c:x val="-0.2388888888888889"/>
                  <c:y val="-0.3011457145930409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a:t>
                    </a:r>
                    <a:r>
                      <a:rPr lang="en-US" baseline="0"/>
                      <a:t> D
</a:t>
                    </a:r>
                    <a:fld id="{2D50FC0F-D62F-40DE-8E32-F405CE64048A}"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4A7-4F81-A3EA-2A8344F108A9}"/>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E</a:t>
                    </a:r>
                    <a:r>
                      <a:rPr lang="en-US" baseline="0"/>
                      <a:t>
</a:t>
                    </a:r>
                    <a:fld id="{02FBFACB-B30C-4A30-A7D2-7E24AEF8DF61}"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4A7-4F81-A3EA-2A8344F108A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'Representaion geographique'!$A$14:$A$18</c:f>
              <c:strCache>
                <c:ptCount val="5"/>
                <c:pt idx="0">
                  <c:v>Region A</c:v>
                </c:pt>
                <c:pt idx="1">
                  <c:v>Region B</c:v>
                </c:pt>
                <c:pt idx="2">
                  <c:v>Region C</c:v>
                </c:pt>
                <c:pt idx="3">
                  <c:v>Region D</c:v>
                </c:pt>
                <c:pt idx="4">
                  <c:v>Region E</c:v>
                </c:pt>
              </c:strCache>
            </c:strRef>
          </c:cat>
          <c:val>
            <c:numRef>
              <c:f>'Representaion geographique'!$B$14:$B$18</c:f>
              <c:numCache>
                <c:formatCode>0%</c:formatCode>
                <c:ptCount val="5"/>
                <c:pt idx="0">
                  <c:v>3.8901601830663615E-2</c:v>
                </c:pt>
                <c:pt idx="1">
                  <c:v>3.8901601830663615E-2</c:v>
                </c:pt>
                <c:pt idx="2">
                  <c:v>9.6109839816933634E-2</c:v>
                </c:pt>
                <c:pt idx="3">
                  <c:v>0.69336384439359267</c:v>
                </c:pt>
                <c:pt idx="4">
                  <c:v>0.13272311212814644</c:v>
                </c:pt>
              </c:numCache>
            </c:numRef>
          </c:val>
          <c:extLst>
            <c:ext xmlns:c16="http://schemas.microsoft.com/office/drawing/2014/chart" uri="{C3380CC4-5D6E-409C-BE32-E72D297353CC}">
              <c16:uniqueId val="{0000000A-C4A7-4F81-A3EA-2A8344F108A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726F0-D3EE-4672-8579-5032E457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3</TotalTime>
  <Pages>133</Pages>
  <Words>40752</Words>
  <Characters>224140</Characters>
  <Application>Microsoft Office Word</Application>
  <DocSecurity>0</DocSecurity>
  <Lines>1867</Lines>
  <Paragraphs>528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264364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French</cp:lastModifiedBy>
  <cp:revision>3</cp:revision>
  <cp:lastPrinted>2000-07-18T08:55:00Z</cp:lastPrinted>
  <dcterms:created xsi:type="dcterms:W3CDTF">2023-04-20T12:55:00Z</dcterms:created>
  <dcterms:modified xsi:type="dcterms:W3CDTF">2023-04-20T12:59:00Z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