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F833B4" w14:paraId="70365641" w14:textId="77777777">
        <w:trPr>
          <w:cantSplit/>
        </w:trPr>
        <w:tc>
          <w:tcPr>
            <w:tcW w:w="6911" w:type="dxa"/>
          </w:tcPr>
          <w:p w14:paraId="1CD1F0C5" w14:textId="77777777" w:rsidR="00BC7BC0" w:rsidRPr="00F833B4" w:rsidRDefault="000569B4" w:rsidP="00EE3530">
            <w:pPr>
              <w:spacing w:before="360" w:after="48"/>
              <w:rPr>
                <w:position w:val="6"/>
                <w:szCs w:val="22"/>
                <w:lang w:val="ru-RU"/>
              </w:rPr>
            </w:pPr>
            <w:r w:rsidRPr="00F833B4">
              <w:rPr>
                <w:b/>
                <w:smallCaps/>
                <w:sz w:val="28"/>
                <w:szCs w:val="28"/>
                <w:lang w:val="ru-RU"/>
              </w:rPr>
              <w:t>СОВЕТ 20</w:t>
            </w:r>
            <w:r w:rsidR="00EE3530" w:rsidRPr="00F833B4">
              <w:rPr>
                <w:b/>
                <w:smallCaps/>
                <w:sz w:val="28"/>
                <w:szCs w:val="28"/>
                <w:lang w:val="ru-RU"/>
              </w:rPr>
              <w:t>20</w:t>
            </w:r>
          </w:p>
        </w:tc>
        <w:tc>
          <w:tcPr>
            <w:tcW w:w="3120" w:type="dxa"/>
          </w:tcPr>
          <w:p w14:paraId="3D0E7F4C" w14:textId="77777777" w:rsidR="00BC7BC0" w:rsidRPr="00F833B4" w:rsidRDefault="00EE3530" w:rsidP="00EE3530">
            <w:pPr>
              <w:spacing w:before="0" w:line="240" w:lineRule="atLeast"/>
              <w:rPr>
                <w:szCs w:val="22"/>
                <w:lang w:val="ru-RU"/>
              </w:rPr>
            </w:pPr>
            <w:bookmarkStart w:id="0" w:name="ditulogo"/>
            <w:bookmarkEnd w:id="0"/>
            <w:r w:rsidRPr="00F833B4">
              <w:rPr>
                <w:noProof/>
                <w:szCs w:val="22"/>
                <w:lang w:val="ru-RU" w:eastAsia="ru-RU"/>
              </w:rPr>
              <w:drawing>
                <wp:inline distT="0" distB="0" distL="0" distR="0" wp14:anchorId="117AB546" wp14:editId="2B88F042">
                  <wp:extent cx="682625" cy="71945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719455"/>
                          </a:xfrm>
                          <a:prstGeom prst="rect">
                            <a:avLst/>
                          </a:prstGeom>
                          <a:noFill/>
                        </pic:spPr>
                      </pic:pic>
                    </a:graphicData>
                  </a:graphic>
                </wp:inline>
              </w:drawing>
            </w:r>
          </w:p>
        </w:tc>
      </w:tr>
      <w:tr w:rsidR="00BC7BC0" w:rsidRPr="00F833B4" w14:paraId="24DB1A17" w14:textId="77777777">
        <w:trPr>
          <w:cantSplit/>
        </w:trPr>
        <w:tc>
          <w:tcPr>
            <w:tcW w:w="6911" w:type="dxa"/>
            <w:tcBorders>
              <w:bottom w:val="single" w:sz="12" w:space="0" w:color="auto"/>
            </w:tcBorders>
          </w:tcPr>
          <w:p w14:paraId="6F97FF09" w14:textId="77777777" w:rsidR="00BC7BC0" w:rsidRPr="00F833B4" w:rsidRDefault="00BC7BC0" w:rsidP="00BC7BC0">
            <w:pPr>
              <w:spacing w:before="0" w:after="48" w:line="240" w:lineRule="atLeast"/>
              <w:rPr>
                <w:b/>
                <w:smallCaps/>
                <w:szCs w:val="22"/>
                <w:lang w:val="ru-RU"/>
              </w:rPr>
            </w:pPr>
          </w:p>
        </w:tc>
        <w:tc>
          <w:tcPr>
            <w:tcW w:w="3120" w:type="dxa"/>
            <w:tcBorders>
              <w:bottom w:val="single" w:sz="12" w:space="0" w:color="auto"/>
            </w:tcBorders>
          </w:tcPr>
          <w:p w14:paraId="351FED30" w14:textId="77777777" w:rsidR="00BC7BC0" w:rsidRPr="00F833B4" w:rsidRDefault="00BC7BC0" w:rsidP="00BC7BC0">
            <w:pPr>
              <w:spacing w:before="0" w:line="240" w:lineRule="atLeast"/>
              <w:rPr>
                <w:szCs w:val="22"/>
                <w:lang w:val="ru-RU"/>
              </w:rPr>
            </w:pPr>
          </w:p>
        </w:tc>
      </w:tr>
      <w:tr w:rsidR="00BC7BC0" w:rsidRPr="00F833B4" w14:paraId="3CC6CD69" w14:textId="77777777">
        <w:trPr>
          <w:cantSplit/>
        </w:trPr>
        <w:tc>
          <w:tcPr>
            <w:tcW w:w="6911" w:type="dxa"/>
            <w:tcBorders>
              <w:top w:val="single" w:sz="12" w:space="0" w:color="auto"/>
            </w:tcBorders>
          </w:tcPr>
          <w:p w14:paraId="04849B0F" w14:textId="77777777" w:rsidR="00BC7BC0" w:rsidRPr="00F833B4" w:rsidRDefault="00BC7BC0" w:rsidP="004D0129">
            <w:pPr>
              <w:spacing w:before="0" w:line="240" w:lineRule="atLeast"/>
              <w:rPr>
                <w:b/>
                <w:smallCaps/>
                <w:szCs w:val="22"/>
                <w:lang w:val="ru-RU"/>
              </w:rPr>
            </w:pPr>
          </w:p>
        </w:tc>
        <w:tc>
          <w:tcPr>
            <w:tcW w:w="3120" w:type="dxa"/>
            <w:tcBorders>
              <w:top w:val="single" w:sz="12" w:space="0" w:color="auto"/>
            </w:tcBorders>
          </w:tcPr>
          <w:p w14:paraId="6E3D327D" w14:textId="77777777" w:rsidR="00BC7BC0" w:rsidRPr="00F833B4" w:rsidRDefault="00BC7BC0" w:rsidP="004D0129">
            <w:pPr>
              <w:spacing w:before="0" w:line="240" w:lineRule="atLeast"/>
              <w:rPr>
                <w:szCs w:val="22"/>
                <w:lang w:val="ru-RU"/>
              </w:rPr>
            </w:pPr>
          </w:p>
        </w:tc>
      </w:tr>
      <w:tr w:rsidR="00BC7BC0" w:rsidRPr="00F833B4" w14:paraId="5C902E2C" w14:textId="77777777">
        <w:trPr>
          <w:cantSplit/>
          <w:trHeight w:val="23"/>
        </w:trPr>
        <w:tc>
          <w:tcPr>
            <w:tcW w:w="6911" w:type="dxa"/>
            <w:vMerge w:val="restart"/>
          </w:tcPr>
          <w:p w14:paraId="31C3137B" w14:textId="77777777" w:rsidR="00BC7BC0" w:rsidRPr="00F833B4" w:rsidRDefault="00BC7BC0" w:rsidP="00EE3530">
            <w:pPr>
              <w:tabs>
                <w:tab w:val="left" w:pos="851"/>
              </w:tabs>
              <w:spacing w:before="0" w:line="240" w:lineRule="atLeast"/>
              <w:rPr>
                <w:b/>
                <w:szCs w:val="22"/>
                <w:lang w:val="ru-RU"/>
              </w:rPr>
            </w:pPr>
            <w:r w:rsidRPr="00F833B4">
              <w:rPr>
                <w:b/>
                <w:bCs/>
                <w:szCs w:val="22"/>
                <w:lang w:val="ru-RU"/>
              </w:rPr>
              <w:t>Пункт повестки дня:</w:t>
            </w:r>
            <w:r w:rsidRPr="00F833B4">
              <w:rPr>
                <w:b/>
                <w:bCs/>
                <w:caps/>
                <w:szCs w:val="22"/>
                <w:lang w:val="ru-RU"/>
              </w:rPr>
              <w:t xml:space="preserve"> </w:t>
            </w:r>
            <w:r w:rsidR="00CE0E84" w:rsidRPr="00F833B4">
              <w:rPr>
                <w:b/>
                <w:bCs/>
                <w:caps/>
                <w:color w:val="000000"/>
                <w:szCs w:val="22"/>
                <w:lang w:val="ru-RU"/>
              </w:rPr>
              <w:t>ADM 1</w:t>
            </w:r>
            <w:r w:rsidR="00EE3530" w:rsidRPr="00F833B4">
              <w:rPr>
                <w:b/>
                <w:bCs/>
                <w:caps/>
                <w:color w:val="000000"/>
                <w:szCs w:val="22"/>
                <w:lang w:val="ru-RU"/>
              </w:rPr>
              <w:t>6</w:t>
            </w:r>
          </w:p>
        </w:tc>
        <w:tc>
          <w:tcPr>
            <w:tcW w:w="3120" w:type="dxa"/>
          </w:tcPr>
          <w:p w14:paraId="23CF2376" w14:textId="77777777" w:rsidR="00BC7BC0" w:rsidRPr="00F833B4" w:rsidRDefault="00BC7BC0" w:rsidP="00EE3530">
            <w:pPr>
              <w:tabs>
                <w:tab w:val="left" w:pos="851"/>
              </w:tabs>
              <w:spacing w:before="0" w:line="240" w:lineRule="atLeast"/>
              <w:rPr>
                <w:b/>
                <w:bCs/>
                <w:szCs w:val="22"/>
                <w:lang w:val="ru-RU"/>
              </w:rPr>
            </w:pPr>
            <w:r w:rsidRPr="00F833B4">
              <w:rPr>
                <w:b/>
                <w:bCs/>
                <w:szCs w:val="22"/>
                <w:lang w:val="ru-RU"/>
              </w:rPr>
              <w:t>Документ C</w:t>
            </w:r>
            <w:r w:rsidR="00EE3530" w:rsidRPr="00F833B4">
              <w:rPr>
                <w:b/>
                <w:bCs/>
                <w:szCs w:val="22"/>
                <w:lang w:val="ru-RU"/>
              </w:rPr>
              <w:t>20</w:t>
            </w:r>
            <w:r w:rsidRPr="00F833B4">
              <w:rPr>
                <w:b/>
                <w:bCs/>
                <w:szCs w:val="22"/>
                <w:lang w:val="ru-RU"/>
              </w:rPr>
              <w:t>/</w:t>
            </w:r>
            <w:r w:rsidR="00CE0E84" w:rsidRPr="00F833B4">
              <w:rPr>
                <w:b/>
                <w:bCs/>
                <w:szCs w:val="22"/>
                <w:lang w:val="ru-RU"/>
              </w:rPr>
              <w:t>40</w:t>
            </w:r>
            <w:r w:rsidRPr="00F833B4">
              <w:rPr>
                <w:b/>
                <w:bCs/>
                <w:szCs w:val="22"/>
                <w:lang w:val="ru-RU"/>
              </w:rPr>
              <w:t>-R</w:t>
            </w:r>
          </w:p>
        </w:tc>
      </w:tr>
      <w:tr w:rsidR="00BC7BC0" w:rsidRPr="00F833B4" w14:paraId="513192B0" w14:textId="77777777">
        <w:trPr>
          <w:cantSplit/>
          <w:trHeight w:val="23"/>
        </w:trPr>
        <w:tc>
          <w:tcPr>
            <w:tcW w:w="6911" w:type="dxa"/>
            <w:vMerge/>
          </w:tcPr>
          <w:p w14:paraId="224832B1" w14:textId="77777777" w:rsidR="00BC7BC0" w:rsidRPr="00F833B4" w:rsidRDefault="00BC7BC0" w:rsidP="00BC7BC0">
            <w:pPr>
              <w:tabs>
                <w:tab w:val="left" w:pos="851"/>
              </w:tabs>
              <w:spacing w:line="240" w:lineRule="atLeast"/>
              <w:rPr>
                <w:b/>
                <w:szCs w:val="22"/>
                <w:lang w:val="ru-RU"/>
              </w:rPr>
            </w:pPr>
          </w:p>
        </w:tc>
        <w:tc>
          <w:tcPr>
            <w:tcW w:w="3120" w:type="dxa"/>
          </w:tcPr>
          <w:p w14:paraId="46CD6892" w14:textId="50060D5A" w:rsidR="00BC7BC0" w:rsidRPr="00F833B4" w:rsidRDefault="005A19D5" w:rsidP="00EE3530">
            <w:pPr>
              <w:tabs>
                <w:tab w:val="left" w:pos="993"/>
              </w:tabs>
              <w:spacing w:before="0"/>
              <w:rPr>
                <w:b/>
                <w:bCs/>
                <w:szCs w:val="22"/>
                <w:lang w:val="ru-RU"/>
              </w:rPr>
            </w:pPr>
            <w:r w:rsidRPr="00F833B4">
              <w:rPr>
                <w:b/>
                <w:bCs/>
                <w:szCs w:val="22"/>
                <w:lang w:val="ru-RU"/>
              </w:rPr>
              <w:t>4 ноября</w:t>
            </w:r>
            <w:r w:rsidR="00EB4FCB" w:rsidRPr="00F833B4">
              <w:rPr>
                <w:b/>
                <w:bCs/>
                <w:szCs w:val="22"/>
                <w:lang w:val="ru-RU"/>
              </w:rPr>
              <w:t xml:space="preserve"> </w:t>
            </w:r>
            <w:r w:rsidR="00BC7BC0" w:rsidRPr="00F833B4">
              <w:rPr>
                <w:b/>
                <w:bCs/>
                <w:szCs w:val="22"/>
                <w:lang w:val="ru-RU"/>
              </w:rPr>
              <w:t>20</w:t>
            </w:r>
            <w:r w:rsidR="00EE3530" w:rsidRPr="00F833B4">
              <w:rPr>
                <w:b/>
                <w:bCs/>
                <w:szCs w:val="22"/>
                <w:lang w:val="ru-RU"/>
              </w:rPr>
              <w:t>20</w:t>
            </w:r>
            <w:r w:rsidR="00BC7BC0" w:rsidRPr="00F833B4">
              <w:rPr>
                <w:b/>
                <w:bCs/>
                <w:szCs w:val="22"/>
                <w:lang w:val="ru-RU"/>
              </w:rPr>
              <w:t xml:space="preserve"> года</w:t>
            </w:r>
          </w:p>
        </w:tc>
      </w:tr>
      <w:tr w:rsidR="00BC7BC0" w:rsidRPr="00F833B4" w14:paraId="3DBDACC7" w14:textId="77777777">
        <w:trPr>
          <w:cantSplit/>
          <w:trHeight w:val="23"/>
        </w:trPr>
        <w:tc>
          <w:tcPr>
            <w:tcW w:w="6911" w:type="dxa"/>
            <w:vMerge/>
          </w:tcPr>
          <w:p w14:paraId="75D5481F" w14:textId="77777777" w:rsidR="00BC7BC0" w:rsidRPr="00F833B4" w:rsidRDefault="00BC7BC0" w:rsidP="00BC7BC0">
            <w:pPr>
              <w:tabs>
                <w:tab w:val="left" w:pos="851"/>
              </w:tabs>
              <w:spacing w:line="240" w:lineRule="atLeast"/>
              <w:rPr>
                <w:b/>
                <w:szCs w:val="22"/>
                <w:lang w:val="ru-RU"/>
              </w:rPr>
            </w:pPr>
          </w:p>
        </w:tc>
        <w:tc>
          <w:tcPr>
            <w:tcW w:w="3120" w:type="dxa"/>
          </w:tcPr>
          <w:p w14:paraId="123CB378" w14:textId="77777777" w:rsidR="00BC7BC0" w:rsidRPr="00F833B4" w:rsidRDefault="00BC7BC0" w:rsidP="00BC7BC0">
            <w:pPr>
              <w:tabs>
                <w:tab w:val="left" w:pos="993"/>
              </w:tabs>
              <w:spacing w:before="0"/>
              <w:rPr>
                <w:b/>
                <w:bCs/>
                <w:szCs w:val="22"/>
                <w:lang w:val="ru-RU"/>
              </w:rPr>
            </w:pPr>
            <w:r w:rsidRPr="00F833B4">
              <w:rPr>
                <w:b/>
                <w:bCs/>
                <w:szCs w:val="22"/>
                <w:lang w:val="ru-RU"/>
              </w:rPr>
              <w:t>Оригинал: английский</w:t>
            </w:r>
          </w:p>
        </w:tc>
      </w:tr>
      <w:tr w:rsidR="00BC7BC0" w:rsidRPr="00F833B4" w14:paraId="26868091" w14:textId="77777777">
        <w:trPr>
          <w:cantSplit/>
        </w:trPr>
        <w:tc>
          <w:tcPr>
            <w:tcW w:w="10031" w:type="dxa"/>
            <w:gridSpan w:val="2"/>
          </w:tcPr>
          <w:p w14:paraId="309A3240" w14:textId="77777777" w:rsidR="00BC7BC0" w:rsidRPr="00F833B4" w:rsidRDefault="00BC7BC0" w:rsidP="00CE0E84">
            <w:pPr>
              <w:pStyle w:val="Source"/>
              <w:rPr>
                <w:szCs w:val="22"/>
                <w:lang w:val="ru-RU"/>
              </w:rPr>
            </w:pPr>
            <w:bookmarkStart w:id="1" w:name="dtitle2" w:colFirst="0" w:colLast="0"/>
            <w:r w:rsidRPr="00F833B4">
              <w:rPr>
                <w:lang w:val="ru-RU"/>
              </w:rPr>
              <w:t>Отчет Генерального секретаря</w:t>
            </w:r>
          </w:p>
        </w:tc>
      </w:tr>
      <w:tr w:rsidR="00BC7BC0" w:rsidRPr="00F833B4" w14:paraId="21CEDFA4" w14:textId="77777777">
        <w:trPr>
          <w:cantSplit/>
        </w:trPr>
        <w:tc>
          <w:tcPr>
            <w:tcW w:w="10031" w:type="dxa"/>
            <w:gridSpan w:val="2"/>
          </w:tcPr>
          <w:p w14:paraId="10FF00D0" w14:textId="77777777" w:rsidR="00BC7BC0" w:rsidRPr="00F833B4" w:rsidRDefault="00CE0E84" w:rsidP="00A71773">
            <w:pPr>
              <w:pStyle w:val="Title1"/>
              <w:rPr>
                <w:szCs w:val="22"/>
                <w:lang w:val="ru-RU"/>
              </w:rPr>
            </w:pPr>
            <w:bookmarkStart w:id="2" w:name="dtitle3" w:colFirst="0" w:colLast="0"/>
            <w:bookmarkEnd w:id="1"/>
            <w:r w:rsidRPr="00F833B4">
              <w:rPr>
                <w:lang w:val="ru-RU"/>
              </w:rPr>
              <w:t>ВНЕШНЯЯ АУДИТОРСКАЯ проверка</w:t>
            </w:r>
          </w:p>
        </w:tc>
      </w:tr>
      <w:bookmarkEnd w:id="2"/>
    </w:tbl>
    <w:p w14:paraId="18665346" w14:textId="77777777" w:rsidR="002D2F57" w:rsidRPr="00F833B4" w:rsidRDefault="002D2F57" w:rsidP="00474CF2">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FE280E" w14:paraId="7EFDAD9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8955CDA" w14:textId="77777777" w:rsidR="00CE0E84" w:rsidRPr="00F833B4" w:rsidRDefault="00CE0E84" w:rsidP="00CE0E84">
            <w:pPr>
              <w:pStyle w:val="Headingb"/>
              <w:rPr>
                <w:lang w:val="ru-RU"/>
              </w:rPr>
            </w:pPr>
            <w:bookmarkStart w:id="3" w:name="_Toc358196984"/>
            <w:bookmarkStart w:id="4" w:name="_Toc358197245"/>
            <w:bookmarkStart w:id="5" w:name="_Toc399768422"/>
            <w:bookmarkStart w:id="6" w:name="_Toc399768566"/>
            <w:bookmarkStart w:id="7" w:name="_Toc452123325"/>
            <w:bookmarkStart w:id="8" w:name="_Toc452157285"/>
            <w:bookmarkStart w:id="9" w:name="_Toc452158608"/>
            <w:bookmarkStart w:id="10" w:name="_Toc482995152"/>
            <w:r w:rsidRPr="00F833B4">
              <w:rPr>
                <w:lang w:val="ru-RU"/>
              </w:rPr>
              <w:t>Резюме</w:t>
            </w:r>
            <w:bookmarkEnd w:id="3"/>
            <w:bookmarkEnd w:id="4"/>
            <w:bookmarkEnd w:id="5"/>
            <w:bookmarkEnd w:id="6"/>
            <w:bookmarkEnd w:id="7"/>
            <w:bookmarkEnd w:id="8"/>
            <w:bookmarkEnd w:id="9"/>
            <w:bookmarkEnd w:id="10"/>
          </w:p>
          <w:p w14:paraId="0517E86C" w14:textId="77777777" w:rsidR="00CE0E84" w:rsidRPr="00F833B4" w:rsidRDefault="00CE0E84" w:rsidP="00CE0E84">
            <w:pPr>
              <w:rPr>
                <w:lang w:val="ru-RU"/>
              </w:rPr>
            </w:pPr>
            <w:r w:rsidRPr="00F833B4">
              <w:rPr>
                <w:lang w:val="ru-RU"/>
              </w:rPr>
              <w:t>Отчет Внешнего аудитора касается аудита финансовой отчетности за 201</w:t>
            </w:r>
            <w:r w:rsidR="00D2474B" w:rsidRPr="00F833B4">
              <w:rPr>
                <w:lang w:val="ru-RU"/>
              </w:rPr>
              <w:t>9</w:t>
            </w:r>
            <w:r w:rsidR="004D2F49" w:rsidRPr="00F833B4">
              <w:rPr>
                <w:lang w:val="ru-RU"/>
              </w:rPr>
              <w:t> год</w:t>
            </w:r>
            <w:r w:rsidRPr="00F833B4">
              <w:rPr>
                <w:lang w:val="ru-RU"/>
              </w:rPr>
              <w:t>.</w:t>
            </w:r>
          </w:p>
          <w:p w14:paraId="013C26D1" w14:textId="77777777" w:rsidR="00CE0E84" w:rsidRPr="00F833B4" w:rsidRDefault="00CE0E84" w:rsidP="00CE0E84">
            <w:pPr>
              <w:pStyle w:val="Headingb"/>
              <w:rPr>
                <w:lang w:val="ru-RU"/>
              </w:rPr>
            </w:pPr>
            <w:bookmarkStart w:id="11" w:name="_Toc358196985"/>
            <w:bookmarkStart w:id="12" w:name="_Toc358197246"/>
            <w:bookmarkStart w:id="13" w:name="_Toc399768423"/>
            <w:bookmarkStart w:id="14" w:name="_Toc399768567"/>
            <w:bookmarkStart w:id="15" w:name="_Toc452123326"/>
            <w:bookmarkStart w:id="16" w:name="_Toc452157286"/>
            <w:bookmarkStart w:id="17" w:name="_Toc452158609"/>
            <w:bookmarkStart w:id="18" w:name="_Toc482995153"/>
            <w:r w:rsidRPr="00F833B4">
              <w:rPr>
                <w:lang w:val="ru-RU"/>
              </w:rPr>
              <w:t>Необходимые действия</w:t>
            </w:r>
            <w:bookmarkEnd w:id="11"/>
            <w:bookmarkEnd w:id="12"/>
            <w:bookmarkEnd w:id="13"/>
            <w:bookmarkEnd w:id="14"/>
            <w:bookmarkEnd w:id="15"/>
            <w:bookmarkEnd w:id="16"/>
            <w:bookmarkEnd w:id="17"/>
            <w:bookmarkEnd w:id="18"/>
          </w:p>
          <w:p w14:paraId="7BA9E083" w14:textId="77777777" w:rsidR="00CE0E84" w:rsidRPr="00F833B4" w:rsidRDefault="00CE0E84" w:rsidP="00CE0E84">
            <w:pPr>
              <w:rPr>
                <w:lang w:val="ru-RU"/>
              </w:rPr>
            </w:pPr>
            <w:r w:rsidRPr="00F833B4">
              <w:rPr>
                <w:lang w:val="ru-RU"/>
              </w:rPr>
              <w:t>Совету предлагается рассмотреть отчет Внешнего аудитора по счетам за 201</w:t>
            </w:r>
            <w:r w:rsidR="00D2474B" w:rsidRPr="00F833B4">
              <w:rPr>
                <w:lang w:val="ru-RU"/>
              </w:rPr>
              <w:t>9</w:t>
            </w:r>
            <w:r w:rsidR="004D2F49" w:rsidRPr="00F833B4">
              <w:rPr>
                <w:lang w:val="ru-RU"/>
              </w:rPr>
              <w:t> год</w:t>
            </w:r>
            <w:r w:rsidRPr="00F833B4">
              <w:rPr>
                <w:lang w:val="ru-RU"/>
              </w:rPr>
              <w:t xml:space="preserve"> и </w:t>
            </w:r>
            <w:r w:rsidRPr="00F833B4">
              <w:rPr>
                <w:b/>
                <w:bCs/>
                <w:lang w:val="ru-RU"/>
              </w:rPr>
              <w:t>утвердить</w:t>
            </w:r>
            <w:r w:rsidRPr="00F833B4">
              <w:rPr>
                <w:lang w:val="ru-RU"/>
              </w:rPr>
              <w:t xml:space="preserve"> счета в том виде, в каком они были проверены</w:t>
            </w:r>
            <w:r w:rsidRPr="00F833B4">
              <w:rPr>
                <w:szCs w:val="22"/>
                <w:lang w:val="ru-RU"/>
              </w:rPr>
              <w:t>.</w:t>
            </w:r>
          </w:p>
          <w:p w14:paraId="3F16F176" w14:textId="77777777" w:rsidR="00CE0E84" w:rsidRPr="00F833B4" w:rsidRDefault="00CE0E84" w:rsidP="00CE0E84">
            <w:pPr>
              <w:spacing w:before="240"/>
              <w:jc w:val="center"/>
              <w:rPr>
                <w:caps/>
                <w:szCs w:val="22"/>
                <w:lang w:val="ru-RU"/>
              </w:rPr>
            </w:pPr>
            <w:r w:rsidRPr="00F833B4">
              <w:rPr>
                <w:caps/>
                <w:szCs w:val="22"/>
                <w:lang w:val="ru-RU"/>
              </w:rPr>
              <w:t>____________</w:t>
            </w:r>
          </w:p>
          <w:p w14:paraId="6E3A0239" w14:textId="77777777" w:rsidR="00CE0E84" w:rsidRPr="00F833B4" w:rsidRDefault="00CE0E84" w:rsidP="00CE0E84">
            <w:pPr>
              <w:pStyle w:val="Headingb"/>
              <w:rPr>
                <w:lang w:val="ru-RU"/>
              </w:rPr>
            </w:pPr>
            <w:bookmarkStart w:id="19" w:name="_Toc358196986"/>
            <w:bookmarkStart w:id="20" w:name="_Toc358197247"/>
            <w:bookmarkStart w:id="21" w:name="_Toc399768424"/>
            <w:bookmarkStart w:id="22" w:name="_Toc399768568"/>
            <w:bookmarkStart w:id="23" w:name="_Toc452123327"/>
            <w:bookmarkStart w:id="24" w:name="_Toc452157287"/>
            <w:bookmarkStart w:id="25" w:name="_Toc452158610"/>
            <w:bookmarkStart w:id="26" w:name="_Toc482995154"/>
            <w:r w:rsidRPr="00F833B4">
              <w:rPr>
                <w:lang w:val="ru-RU"/>
              </w:rPr>
              <w:t>Справочные материалы</w:t>
            </w:r>
            <w:bookmarkEnd w:id="19"/>
            <w:bookmarkEnd w:id="20"/>
            <w:bookmarkEnd w:id="21"/>
            <w:bookmarkEnd w:id="22"/>
            <w:bookmarkEnd w:id="23"/>
            <w:bookmarkEnd w:id="24"/>
            <w:bookmarkEnd w:id="25"/>
            <w:bookmarkEnd w:id="26"/>
          </w:p>
          <w:p w14:paraId="4274340D" w14:textId="7C37CCEE" w:rsidR="002D2F57" w:rsidRPr="00F833B4" w:rsidRDefault="00FE280E" w:rsidP="00CE0E84">
            <w:pPr>
              <w:spacing w:after="120"/>
              <w:rPr>
                <w:i/>
                <w:iCs/>
                <w:lang w:val="ru-RU"/>
              </w:rPr>
            </w:pPr>
            <w:r>
              <w:fldChar w:fldCharType="begin"/>
            </w:r>
            <w:r w:rsidRPr="00FE280E">
              <w:rPr>
                <w:lang w:val="ru-RU"/>
              </w:rPr>
              <w:instrText xml:space="preserve"> </w:instrText>
            </w:r>
            <w:r>
              <w:instrText>HYPERLINK</w:instrText>
            </w:r>
            <w:r w:rsidRPr="00FE280E">
              <w:rPr>
                <w:lang w:val="ru-RU"/>
              </w:rPr>
              <w:instrText xml:space="preserve"> "</w:instrText>
            </w:r>
            <w:r>
              <w:instrText>https</w:instrText>
            </w:r>
            <w:r w:rsidRPr="00FE280E">
              <w:rPr>
                <w:lang w:val="ru-RU"/>
              </w:rPr>
              <w:instrText>://</w:instrText>
            </w:r>
            <w:r>
              <w:instrText>www</w:instrText>
            </w:r>
            <w:r w:rsidRPr="00FE280E">
              <w:rPr>
                <w:lang w:val="ru-RU"/>
              </w:rPr>
              <w:instrText>.</w:instrText>
            </w:r>
            <w:r>
              <w:instrText>itu</w:instrText>
            </w:r>
            <w:r w:rsidRPr="00FE280E">
              <w:rPr>
                <w:lang w:val="ru-RU"/>
              </w:rPr>
              <w:instrText>.</w:instrText>
            </w:r>
            <w:r>
              <w:instrText>int</w:instrText>
            </w:r>
            <w:r w:rsidRPr="00FE280E">
              <w:rPr>
                <w:lang w:val="ru-RU"/>
              </w:rPr>
              <w:instrText>/</w:instrText>
            </w:r>
            <w:r>
              <w:instrText>en</w:instrText>
            </w:r>
            <w:r w:rsidRPr="00FE280E">
              <w:rPr>
                <w:lang w:val="ru-RU"/>
              </w:rPr>
              <w:instrText>/</w:instrText>
            </w:r>
            <w:r>
              <w:instrText>coun</w:instrText>
            </w:r>
            <w:r>
              <w:instrText>cil</w:instrText>
            </w:r>
            <w:r w:rsidRPr="00FE280E">
              <w:rPr>
                <w:lang w:val="ru-RU"/>
              </w:rPr>
              <w:instrText>/</w:instrText>
            </w:r>
            <w:r>
              <w:instrText>Documents</w:instrText>
            </w:r>
            <w:r w:rsidRPr="00FE280E">
              <w:rPr>
                <w:lang w:val="ru-RU"/>
              </w:rPr>
              <w:instrText>/</w:instrText>
            </w:r>
            <w:r>
              <w:instrText>Financial</w:instrText>
            </w:r>
            <w:r w:rsidRPr="00FE280E">
              <w:rPr>
                <w:lang w:val="ru-RU"/>
              </w:rPr>
              <w:instrText>-</w:instrText>
            </w:r>
            <w:r>
              <w:instrText>Regulations</w:instrText>
            </w:r>
            <w:r w:rsidRPr="00FE280E">
              <w:rPr>
                <w:lang w:val="ru-RU"/>
              </w:rPr>
              <w:instrText>/</w:instrText>
            </w:r>
            <w:r>
              <w:instrText>S</w:instrText>
            </w:r>
            <w:r w:rsidRPr="00FE280E">
              <w:rPr>
                <w:lang w:val="ru-RU"/>
              </w:rPr>
              <w:instrText>-</w:instrText>
            </w:r>
            <w:r>
              <w:instrText>GEN</w:instrText>
            </w:r>
            <w:r w:rsidRPr="00FE280E">
              <w:rPr>
                <w:lang w:val="ru-RU"/>
              </w:rPr>
              <w:instrText>-</w:instrText>
            </w:r>
            <w:r>
              <w:instrText>REG</w:instrText>
            </w:r>
            <w:r w:rsidRPr="00FE280E">
              <w:rPr>
                <w:lang w:val="ru-RU"/>
              </w:rPr>
              <w:instrText>_</w:instrText>
            </w:r>
            <w:r>
              <w:instrText>RGTFIN</w:instrText>
            </w:r>
            <w:r w:rsidRPr="00FE280E">
              <w:rPr>
                <w:lang w:val="ru-RU"/>
              </w:rPr>
              <w:instrText>-2018-</w:instrText>
            </w:r>
            <w:r>
              <w:instrText>PDF</w:instrText>
            </w:r>
            <w:r w:rsidRPr="00FE280E">
              <w:rPr>
                <w:lang w:val="ru-RU"/>
              </w:rPr>
              <w:instrText>-</w:instrText>
            </w:r>
            <w:r>
              <w:instrText>E</w:instrText>
            </w:r>
            <w:r w:rsidRPr="00FE280E">
              <w:rPr>
                <w:lang w:val="ru-RU"/>
              </w:rPr>
              <w:instrText>.</w:instrText>
            </w:r>
            <w:r>
              <w:instrText>pdf</w:instrText>
            </w:r>
            <w:r w:rsidRPr="00FE280E">
              <w:rPr>
                <w:lang w:val="ru-RU"/>
              </w:rPr>
              <w:instrText xml:space="preserve">" </w:instrText>
            </w:r>
            <w:r>
              <w:fldChar w:fldCharType="separate"/>
            </w:r>
            <w:r w:rsidR="00CE0E84" w:rsidRPr="00F833B4">
              <w:rPr>
                <w:rStyle w:val="Hyperlink"/>
                <w:i/>
                <w:iCs/>
                <w:lang w:val="ru-RU"/>
              </w:rPr>
              <w:t>Финансовый регламент (издание 201</w:t>
            </w:r>
            <w:r w:rsidR="00DD34D2" w:rsidRPr="00F833B4">
              <w:rPr>
                <w:rStyle w:val="Hyperlink"/>
                <w:i/>
                <w:iCs/>
                <w:lang w:val="ru-RU"/>
              </w:rPr>
              <w:t>8</w:t>
            </w:r>
            <w:r w:rsidR="00CE0E84" w:rsidRPr="00F833B4">
              <w:rPr>
                <w:rStyle w:val="Hyperlink"/>
                <w:i/>
                <w:iCs/>
                <w:lang w:val="ru-RU"/>
              </w:rPr>
              <w:t xml:space="preserve"> г.)</w:t>
            </w:r>
            <w:r>
              <w:rPr>
                <w:rStyle w:val="Hyperlink"/>
                <w:i/>
                <w:iCs/>
                <w:lang w:val="ru-RU"/>
              </w:rPr>
              <w:fldChar w:fldCharType="end"/>
            </w:r>
            <w:r w:rsidR="00CE0E84" w:rsidRPr="00F833B4">
              <w:rPr>
                <w:i/>
                <w:iCs/>
                <w:lang w:val="ru-RU"/>
              </w:rPr>
              <w:t>: Статья 28 и Дополнительные полномочия</w:t>
            </w:r>
          </w:p>
        </w:tc>
      </w:tr>
    </w:tbl>
    <w:p w14:paraId="64F85B28" w14:textId="77777777" w:rsidR="00E47BD4" w:rsidRPr="00F833B4" w:rsidRDefault="00E47BD4" w:rsidP="00E47BD4">
      <w:pPr>
        <w:rPr>
          <w:lang w:val="ru-RU"/>
        </w:rPr>
      </w:pPr>
      <w:r w:rsidRPr="00F833B4">
        <w:rPr>
          <w:lang w:val="ru-RU"/>
        </w:rPr>
        <w:br w:type="page"/>
      </w:r>
    </w:p>
    <w:p w14:paraId="26CDF276" w14:textId="77777777" w:rsidR="00CE0E84" w:rsidRPr="00F833B4" w:rsidRDefault="00CE0E84" w:rsidP="00E47BD4">
      <w:pPr>
        <w:spacing w:before="4000"/>
        <w:ind w:right="108"/>
        <w:jc w:val="center"/>
        <w:rPr>
          <w:lang w:val="ru-RU"/>
        </w:rPr>
      </w:pPr>
      <w:bookmarkStart w:id="27" w:name="_Toc358129144"/>
      <w:bookmarkStart w:id="28" w:name="_Toc358192649"/>
      <w:bookmarkStart w:id="29" w:name="_Toc358192810"/>
      <w:bookmarkStart w:id="30" w:name="_Toc398125295"/>
      <w:bookmarkStart w:id="31" w:name="_Toc398125774"/>
      <w:r w:rsidRPr="00F833B4">
        <w:rPr>
          <w:noProof/>
          <w:lang w:val="ru-RU" w:eastAsia="ru-RU"/>
        </w:rPr>
        <w:lastRenderedPageBreak/>
        <w:drawing>
          <wp:inline distT="0" distB="0" distL="0" distR="0" wp14:anchorId="3F75E5CC" wp14:editId="28FDAA70">
            <wp:extent cx="796060" cy="895082"/>
            <wp:effectExtent l="0" t="0" r="4445" b="635"/>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14:paraId="45DB660B" w14:textId="77777777" w:rsidR="00CE0E84" w:rsidRPr="00F833B4" w:rsidRDefault="00CE0E84" w:rsidP="00CE0E84">
      <w:pPr>
        <w:ind w:right="107"/>
        <w:jc w:val="center"/>
        <w:rPr>
          <w:lang w:val="ru-RU"/>
        </w:rPr>
      </w:pPr>
      <w:proofErr w:type="spellStart"/>
      <w:r w:rsidRPr="00F833B4">
        <w:rPr>
          <w:rFonts w:ascii="Kunstler Script" w:hAnsi="Kunstler Script"/>
          <w:sz w:val="72"/>
          <w:szCs w:val="72"/>
          <w:lang w:val="ru-RU"/>
        </w:rPr>
        <w:t>Corte</w:t>
      </w:r>
      <w:proofErr w:type="spellEnd"/>
      <w:r w:rsidRPr="00F833B4">
        <w:rPr>
          <w:rFonts w:ascii="Kunstler Script" w:hAnsi="Kunstler Script"/>
          <w:sz w:val="72"/>
          <w:szCs w:val="72"/>
          <w:lang w:val="ru-RU"/>
        </w:rPr>
        <w:t xml:space="preserve"> </w:t>
      </w:r>
      <w:proofErr w:type="spellStart"/>
      <w:r w:rsidRPr="00F833B4">
        <w:rPr>
          <w:rFonts w:ascii="Kunstler Script" w:hAnsi="Kunstler Script"/>
          <w:sz w:val="72"/>
          <w:szCs w:val="72"/>
          <w:lang w:val="ru-RU"/>
        </w:rPr>
        <w:t>dei</w:t>
      </w:r>
      <w:proofErr w:type="spellEnd"/>
      <w:r w:rsidRPr="00F833B4">
        <w:rPr>
          <w:rFonts w:ascii="Kunstler Script" w:hAnsi="Kunstler Script"/>
          <w:sz w:val="72"/>
          <w:szCs w:val="72"/>
          <w:lang w:val="ru-RU"/>
        </w:rPr>
        <w:t xml:space="preserve"> </w:t>
      </w:r>
      <w:proofErr w:type="spellStart"/>
      <w:r w:rsidRPr="00F833B4">
        <w:rPr>
          <w:rFonts w:ascii="Kunstler Script" w:hAnsi="Kunstler Script"/>
          <w:sz w:val="72"/>
          <w:szCs w:val="72"/>
          <w:lang w:val="ru-RU"/>
        </w:rPr>
        <w:t>conti</w:t>
      </w:r>
      <w:proofErr w:type="spellEnd"/>
    </w:p>
    <w:p w14:paraId="0CE69149" w14:textId="77777777" w:rsidR="00CE0E84" w:rsidRPr="00F833B4" w:rsidRDefault="00CE0E84" w:rsidP="00CE0E84">
      <w:pPr>
        <w:jc w:val="center"/>
        <w:rPr>
          <w:lang w:val="ru-RU"/>
        </w:rPr>
      </w:pPr>
      <w:r w:rsidRPr="00F833B4">
        <w:rPr>
          <w:lang w:val="ru-RU"/>
        </w:rPr>
        <w:t>Государственная счетная палата Италии</w:t>
      </w:r>
    </w:p>
    <w:p w14:paraId="04605678" w14:textId="77777777" w:rsidR="00CE0E84" w:rsidRPr="00F833B4" w:rsidRDefault="00CE0E84" w:rsidP="00CE0E84">
      <w:pPr>
        <w:spacing w:before="3360"/>
        <w:jc w:val="center"/>
        <w:rPr>
          <w:sz w:val="26"/>
          <w:szCs w:val="26"/>
          <w:lang w:val="ru-RU"/>
        </w:rPr>
      </w:pPr>
      <w:r w:rsidRPr="00F833B4">
        <w:rPr>
          <w:sz w:val="26"/>
          <w:szCs w:val="26"/>
          <w:lang w:val="ru-RU"/>
        </w:rPr>
        <w:t>ОТЧЕТ ВНЕШНЕГО АУДИТОРА</w:t>
      </w:r>
    </w:p>
    <w:bookmarkEnd w:id="27"/>
    <w:bookmarkEnd w:id="28"/>
    <w:bookmarkEnd w:id="29"/>
    <w:bookmarkEnd w:id="30"/>
    <w:bookmarkEnd w:id="31"/>
    <w:p w14:paraId="7EE1EEDD" w14:textId="77777777" w:rsidR="00CE0E84" w:rsidRPr="00F833B4" w:rsidRDefault="00CE0E84" w:rsidP="00CE0E84">
      <w:pPr>
        <w:spacing w:before="1440"/>
        <w:jc w:val="center"/>
        <w:rPr>
          <w:b/>
          <w:bCs/>
          <w:sz w:val="26"/>
          <w:szCs w:val="26"/>
          <w:lang w:val="ru-RU"/>
        </w:rPr>
      </w:pPr>
      <w:r w:rsidRPr="00F833B4">
        <w:rPr>
          <w:b/>
          <w:bCs/>
          <w:sz w:val="26"/>
          <w:szCs w:val="26"/>
          <w:lang w:val="ru-RU"/>
        </w:rPr>
        <w:t>МЕЖДУНАРОДНЫЙ СОЮЗ ЭЛЕКТРОСВЯЗИ</w:t>
      </w:r>
      <w:r w:rsidRPr="00F833B4">
        <w:rPr>
          <w:b/>
          <w:bCs/>
          <w:sz w:val="26"/>
          <w:szCs w:val="26"/>
          <w:lang w:val="ru-RU"/>
        </w:rPr>
        <w:br/>
        <w:t>(МСЭ)</w:t>
      </w:r>
    </w:p>
    <w:p w14:paraId="3C959A1C" w14:textId="77777777" w:rsidR="00CE0E84" w:rsidRPr="00F833B4" w:rsidRDefault="00CE0E84" w:rsidP="00CE0E84">
      <w:pPr>
        <w:jc w:val="center"/>
        <w:rPr>
          <w:b/>
          <w:bCs/>
          <w:lang w:val="ru-RU"/>
        </w:rPr>
      </w:pPr>
      <w:r w:rsidRPr="00F833B4">
        <w:rPr>
          <w:b/>
          <w:bCs/>
          <w:lang w:val="ru-RU"/>
        </w:rPr>
        <w:t>Аудиторская проверка финансовой отчетности за 201</w:t>
      </w:r>
      <w:r w:rsidR="00D2474B" w:rsidRPr="00F833B4">
        <w:rPr>
          <w:b/>
          <w:bCs/>
          <w:lang w:val="ru-RU"/>
        </w:rPr>
        <w:t>9</w:t>
      </w:r>
      <w:r w:rsidR="004D2F49" w:rsidRPr="00F833B4">
        <w:rPr>
          <w:b/>
          <w:bCs/>
          <w:lang w:val="ru-RU"/>
        </w:rPr>
        <w:t> год</w:t>
      </w:r>
    </w:p>
    <w:p w14:paraId="5245E788" w14:textId="043E767B" w:rsidR="00E47BD4" w:rsidRPr="00F833B4" w:rsidRDefault="005A19D5" w:rsidP="00CE0E84">
      <w:pPr>
        <w:spacing w:before="4200"/>
        <w:jc w:val="center"/>
        <w:rPr>
          <w:lang w:val="ru-RU"/>
        </w:rPr>
      </w:pPr>
      <w:r w:rsidRPr="00F833B4">
        <w:rPr>
          <w:lang w:val="ru-RU"/>
        </w:rPr>
        <w:t>3 ноября</w:t>
      </w:r>
      <w:r w:rsidR="00CE0E84" w:rsidRPr="00F833B4">
        <w:rPr>
          <w:lang w:val="ru-RU"/>
        </w:rPr>
        <w:t xml:space="preserve"> 20</w:t>
      </w:r>
      <w:r w:rsidR="00D2474B" w:rsidRPr="00F833B4">
        <w:rPr>
          <w:lang w:val="ru-RU"/>
        </w:rPr>
        <w:t>20</w:t>
      </w:r>
      <w:r w:rsidR="004D2F49" w:rsidRPr="00F833B4">
        <w:rPr>
          <w:lang w:val="ru-RU"/>
        </w:rPr>
        <w:t> год</w:t>
      </w:r>
      <w:r w:rsidR="00CE0E84" w:rsidRPr="00F833B4">
        <w:rPr>
          <w:lang w:val="ru-RU"/>
        </w:rPr>
        <w:t>а</w:t>
      </w:r>
    </w:p>
    <w:p w14:paraId="5ED0318F" w14:textId="77777777" w:rsidR="00CE0E84" w:rsidRPr="00F833B4" w:rsidRDefault="00CE0E84" w:rsidP="00E47BD4">
      <w:pPr>
        <w:rPr>
          <w:lang w:val="ru-RU"/>
        </w:rPr>
      </w:pPr>
      <w:r w:rsidRPr="00F833B4">
        <w:rPr>
          <w:lang w:val="ru-RU"/>
        </w:rPr>
        <w:br w:type="page"/>
      </w:r>
    </w:p>
    <w:p w14:paraId="740A1D07" w14:textId="77777777" w:rsidR="00CE0E84" w:rsidRPr="00F833B4" w:rsidRDefault="00CE0E84" w:rsidP="00CE0E84">
      <w:pPr>
        <w:tabs>
          <w:tab w:val="clear" w:pos="794"/>
          <w:tab w:val="clear" w:pos="1191"/>
          <w:tab w:val="clear" w:pos="1588"/>
          <w:tab w:val="clear" w:pos="1985"/>
        </w:tabs>
        <w:overflowPunct/>
        <w:autoSpaceDE/>
        <w:autoSpaceDN/>
        <w:adjustRightInd/>
        <w:spacing w:before="0"/>
        <w:jc w:val="center"/>
        <w:textAlignment w:val="auto"/>
        <w:rPr>
          <w:szCs w:val="22"/>
          <w:lang w:val="ru-RU"/>
        </w:rPr>
      </w:pPr>
      <w:r w:rsidRPr="00F833B4">
        <w:rPr>
          <w:szCs w:val="22"/>
          <w:lang w:val="ru-RU"/>
        </w:rPr>
        <w:lastRenderedPageBreak/>
        <w:t>СОДЕРЖАНИЕ</w:t>
      </w:r>
    </w:p>
    <w:p w14:paraId="43088CD4" w14:textId="29F3070A" w:rsidR="00CE0E84" w:rsidRPr="00F833B4" w:rsidRDefault="00CE0E84" w:rsidP="00CE0E84">
      <w:pPr>
        <w:tabs>
          <w:tab w:val="clear" w:pos="794"/>
          <w:tab w:val="clear" w:pos="1191"/>
          <w:tab w:val="clear" w:pos="1588"/>
          <w:tab w:val="clear" w:pos="1985"/>
        </w:tabs>
        <w:overflowPunct/>
        <w:autoSpaceDE/>
        <w:autoSpaceDN/>
        <w:adjustRightInd/>
        <w:jc w:val="right"/>
        <w:textAlignment w:val="auto"/>
        <w:rPr>
          <w:lang w:val="ru-RU"/>
        </w:rPr>
      </w:pPr>
      <w:r w:rsidRPr="00F833B4">
        <w:rPr>
          <w:b/>
          <w:bCs/>
          <w:lang w:val="ru-RU"/>
        </w:rPr>
        <w:t>Стр</w:t>
      </w:r>
      <w:r w:rsidRPr="00F833B4">
        <w:rPr>
          <w:lang w:val="ru-RU"/>
        </w:rPr>
        <w:t>.</w:t>
      </w:r>
    </w:p>
    <w:p w14:paraId="0A297A36" w14:textId="088C29E3" w:rsidR="00E31350" w:rsidRPr="00E31350" w:rsidRDefault="00E31350"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r>
        <w:rPr>
          <w:lang w:val="ru-RU"/>
        </w:rPr>
        <w:fldChar w:fldCharType="begin"/>
      </w:r>
      <w:r>
        <w:rPr>
          <w:lang w:val="ru-RU"/>
        </w:rPr>
        <w:instrText xml:space="preserve"> TOC \o "1-3" \h \z \t "Annex_No;1;Annex_title;1" </w:instrText>
      </w:r>
      <w:r>
        <w:rPr>
          <w:lang w:val="ru-RU"/>
        </w:rPr>
        <w:fldChar w:fldCharType="separate"/>
      </w:r>
      <w:hyperlink w:anchor="_Toc56180358" w:history="1">
        <w:r w:rsidRPr="00E31350">
          <w:rPr>
            <w:rStyle w:val="Hyperlink"/>
            <w:b/>
            <w:bCs/>
            <w:noProof/>
            <w:lang w:val="ru-RU"/>
          </w:rPr>
          <w:t>ВВЕДЕНИЕ</w:t>
        </w:r>
        <w:r w:rsidRPr="00E31350">
          <w:rPr>
            <w:b/>
            <w:bCs/>
            <w:noProof/>
            <w:webHidden/>
          </w:rPr>
          <w:tab/>
        </w:r>
        <w:r w:rsidRPr="00E31350">
          <w:rPr>
            <w:b/>
            <w:bCs/>
            <w:noProof/>
            <w:webHidden/>
          </w:rPr>
          <w:tab/>
        </w:r>
        <w:r w:rsidRPr="00E31350">
          <w:rPr>
            <w:b/>
            <w:bCs/>
            <w:noProof/>
            <w:webHidden/>
          </w:rPr>
          <w:fldChar w:fldCharType="begin"/>
        </w:r>
        <w:r w:rsidRPr="00E31350">
          <w:rPr>
            <w:b/>
            <w:bCs/>
            <w:noProof/>
            <w:webHidden/>
          </w:rPr>
          <w:instrText xml:space="preserve"> PAGEREF _Toc56180358 \h </w:instrText>
        </w:r>
        <w:r w:rsidRPr="00E31350">
          <w:rPr>
            <w:b/>
            <w:bCs/>
            <w:noProof/>
            <w:webHidden/>
          </w:rPr>
        </w:r>
        <w:r w:rsidRPr="00E31350">
          <w:rPr>
            <w:b/>
            <w:bCs/>
            <w:noProof/>
            <w:webHidden/>
          </w:rPr>
          <w:fldChar w:fldCharType="separate"/>
        </w:r>
        <w:r w:rsidR="00D61F93">
          <w:rPr>
            <w:b/>
            <w:bCs/>
            <w:noProof/>
            <w:webHidden/>
          </w:rPr>
          <w:t>6</w:t>
        </w:r>
        <w:r w:rsidRPr="00E31350">
          <w:rPr>
            <w:b/>
            <w:bCs/>
            <w:noProof/>
            <w:webHidden/>
          </w:rPr>
          <w:fldChar w:fldCharType="end"/>
        </w:r>
      </w:hyperlink>
    </w:p>
    <w:p w14:paraId="74422E53" w14:textId="2F1538B6" w:rsidR="00E31350" w:rsidRPr="00E31350"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359" w:history="1">
        <w:r w:rsidR="00E31350" w:rsidRPr="00E31350">
          <w:rPr>
            <w:rStyle w:val="Hyperlink"/>
            <w:b/>
            <w:bCs/>
            <w:noProof/>
            <w:lang w:val="ru-RU"/>
          </w:rPr>
          <w:t>АУДИТОРСКОЕ ЗАКЛЮЧЕНИЕ</w:t>
        </w:r>
        <w:r w:rsidR="00E31350" w:rsidRPr="00E31350">
          <w:rPr>
            <w:b/>
            <w:bCs/>
            <w:noProof/>
            <w:webHidden/>
          </w:rPr>
          <w:tab/>
        </w:r>
        <w:r w:rsidR="00E31350" w:rsidRPr="00E31350">
          <w:rPr>
            <w:b/>
            <w:bCs/>
            <w:noProof/>
            <w:webHidden/>
          </w:rPr>
          <w:tab/>
        </w:r>
        <w:r w:rsidR="00E31350" w:rsidRPr="00E31350">
          <w:rPr>
            <w:b/>
            <w:bCs/>
            <w:noProof/>
            <w:webHidden/>
          </w:rPr>
          <w:fldChar w:fldCharType="begin"/>
        </w:r>
        <w:r w:rsidR="00E31350" w:rsidRPr="00E31350">
          <w:rPr>
            <w:b/>
            <w:bCs/>
            <w:noProof/>
            <w:webHidden/>
          </w:rPr>
          <w:instrText xml:space="preserve"> PAGEREF _Toc56180359 \h </w:instrText>
        </w:r>
        <w:r w:rsidR="00E31350" w:rsidRPr="00E31350">
          <w:rPr>
            <w:b/>
            <w:bCs/>
            <w:noProof/>
            <w:webHidden/>
          </w:rPr>
        </w:r>
        <w:r w:rsidR="00E31350" w:rsidRPr="00E31350">
          <w:rPr>
            <w:b/>
            <w:bCs/>
            <w:noProof/>
            <w:webHidden/>
          </w:rPr>
          <w:fldChar w:fldCharType="separate"/>
        </w:r>
        <w:r w:rsidR="00D61F93">
          <w:rPr>
            <w:b/>
            <w:bCs/>
            <w:noProof/>
            <w:webHidden/>
          </w:rPr>
          <w:t>8</w:t>
        </w:r>
        <w:r w:rsidR="00E31350" w:rsidRPr="00E31350">
          <w:rPr>
            <w:b/>
            <w:bCs/>
            <w:noProof/>
            <w:webHidden/>
          </w:rPr>
          <w:fldChar w:fldCharType="end"/>
        </w:r>
      </w:hyperlink>
    </w:p>
    <w:p w14:paraId="29F815A6" w14:textId="54632613" w:rsidR="00E31350" w:rsidRPr="00E31350"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360" w:history="1">
        <w:r w:rsidR="00E31350" w:rsidRPr="00E31350">
          <w:rPr>
            <w:rStyle w:val="Hyperlink"/>
            <w:b/>
            <w:bCs/>
            <w:noProof/>
            <w:lang w:val="ru-RU"/>
          </w:rPr>
          <w:t>СТРУКТУРА БУХГАЛТЕРСКОЙ ОТЧЕТНОСТИ</w:t>
        </w:r>
        <w:r w:rsidR="00E31350" w:rsidRPr="00E31350">
          <w:rPr>
            <w:b/>
            <w:bCs/>
            <w:noProof/>
            <w:webHidden/>
          </w:rPr>
          <w:tab/>
        </w:r>
        <w:r w:rsidR="00E31350" w:rsidRPr="00E31350">
          <w:rPr>
            <w:b/>
            <w:bCs/>
            <w:noProof/>
            <w:webHidden/>
          </w:rPr>
          <w:tab/>
        </w:r>
        <w:r w:rsidR="00E31350" w:rsidRPr="00E31350">
          <w:rPr>
            <w:b/>
            <w:bCs/>
            <w:noProof/>
            <w:webHidden/>
          </w:rPr>
          <w:fldChar w:fldCharType="begin"/>
        </w:r>
        <w:r w:rsidR="00E31350" w:rsidRPr="00E31350">
          <w:rPr>
            <w:b/>
            <w:bCs/>
            <w:noProof/>
            <w:webHidden/>
          </w:rPr>
          <w:instrText xml:space="preserve"> PAGEREF _Toc56180360 \h </w:instrText>
        </w:r>
        <w:r w:rsidR="00E31350" w:rsidRPr="00E31350">
          <w:rPr>
            <w:b/>
            <w:bCs/>
            <w:noProof/>
            <w:webHidden/>
          </w:rPr>
        </w:r>
        <w:r w:rsidR="00E31350" w:rsidRPr="00E31350">
          <w:rPr>
            <w:b/>
            <w:bCs/>
            <w:noProof/>
            <w:webHidden/>
          </w:rPr>
          <w:fldChar w:fldCharType="separate"/>
        </w:r>
        <w:r w:rsidR="00D61F93">
          <w:rPr>
            <w:b/>
            <w:bCs/>
            <w:noProof/>
            <w:webHidden/>
          </w:rPr>
          <w:t>12</w:t>
        </w:r>
        <w:r w:rsidR="00E31350" w:rsidRPr="00E31350">
          <w:rPr>
            <w:b/>
            <w:bCs/>
            <w:noProof/>
            <w:webHidden/>
          </w:rPr>
          <w:fldChar w:fldCharType="end"/>
        </w:r>
      </w:hyperlink>
    </w:p>
    <w:p w14:paraId="2D633F92" w14:textId="166BA574" w:rsidR="00E31350"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noProof/>
          <w:szCs w:val="22"/>
          <w:lang w:eastAsia="en-GB"/>
        </w:rPr>
      </w:pPr>
      <w:hyperlink w:anchor="_Toc56180361" w:history="1">
        <w:r w:rsidR="00E31350" w:rsidRPr="00E31350">
          <w:rPr>
            <w:rStyle w:val="Hyperlink"/>
            <w:b/>
            <w:bCs/>
            <w:noProof/>
            <w:lang w:val="ru-RU"/>
          </w:rPr>
          <w:t>ОТЧЕТ О ФИНАНСОВОМ ПОЛОЖЕНИИ ЗА 2019 ГОД</w:t>
        </w:r>
        <w:r w:rsidR="00E31350" w:rsidRPr="00E31350">
          <w:rPr>
            <w:b/>
            <w:bCs/>
            <w:noProof/>
            <w:webHidden/>
          </w:rPr>
          <w:tab/>
        </w:r>
        <w:r w:rsidR="00E31350" w:rsidRPr="00E31350">
          <w:rPr>
            <w:b/>
            <w:bCs/>
            <w:noProof/>
            <w:webHidden/>
          </w:rPr>
          <w:tab/>
        </w:r>
        <w:r w:rsidR="00E31350" w:rsidRPr="00E31350">
          <w:rPr>
            <w:b/>
            <w:bCs/>
            <w:noProof/>
            <w:webHidden/>
          </w:rPr>
          <w:fldChar w:fldCharType="begin"/>
        </w:r>
        <w:r w:rsidR="00E31350" w:rsidRPr="00E31350">
          <w:rPr>
            <w:b/>
            <w:bCs/>
            <w:noProof/>
            <w:webHidden/>
          </w:rPr>
          <w:instrText xml:space="preserve"> PAGEREF _Toc56180361 \h </w:instrText>
        </w:r>
        <w:r w:rsidR="00E31350" w:rsidRPr="00E31350">
          <w:rPr>
            <w:b/>
            <w:bCs/>
            <w:noProof/>
            <w:webHidden/>
          </w:rPr>
        </w:r>
        <w:r w:rsidR="00E31350" w:rsidRPr="00E31350">
          <w:rPr>
            <w:b/>
            <w:bCs/>
            <w:noProof/>
            <w:webHidden/>
          </w:rPr>
          <w:fldChar w:fldCharType="separate"/>
        </w:r>
        <w:r w:rsidR="00D61F93">
          <w:rPr>
            <w:b/>
            <w:bCs/>
            <w:noProof/>
            <w:webHidden/>
          </w:rPr>
          <w:t>12</w:t>
        </w:r>
        <w:r w:rsidR="00E31350" w:rsidRPr="00E31350">
          <w:rPr>
            <w:b/>
            <w:bCs/>
            <w:noProof/>
            <w:webHidden/>
          </w:rPr>
          <w:fldChar w:fldCharType="end"/>
        </w:r>
      </w:hyperlink>
    </w:p>
    <w:p w14:paraId="538A9BB4" w14:textId="1AD62974"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2" w:history="1">
        <w:r w:rsidR="00E31350" w:rsidRPr="006379A9">
          <w:rPr>
            <w:rStyle w:val="Hyperlink"/>
            <w:noProof/>
            <w:lang w:val="ru-RU"/>
          </w:rPr>
          <w:t>АКТИВЫ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_Toc56180362 \h </w:instrText>
        </w:r>
        <w:r w:rsidR="00E31350">
          <w:rPr>
            <w:noProof/>
            <w:webHidden/>
          </w:rPr>
        </w:r>
        <w:r w:rsidR="00E31350">
          <w:rPr>
            <w:noProof/>
            <w:webHidden/>
          </w:rPr>
          <w:fldChar w:fldCharType="separate"/>
        </w:r>
        <w:r w:rsidR="00D61F93">
          <w:rPr>
            <w:noProof/>
            <w:webHidden/>
          </w:rPr>
          <w:t>12</w:t>
        </w:r>
        <w:r w:rsidR="00E31350">
          <w:rPr>
            <w:noProof/>
            <w:webHidden/>
          </w:rPr>
          <w:fldChar w:fldCharType="end"/>
        </w:r>
      </w:hyperlink>
    </w:p>
    <w:p w14:paraId="0784362A" w14:textId="317E925D"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3" w:history="1">
        <w:r w:rsidR="00E31350" w:rsidRPr="006379A9">
          <w:rPr>
            <w:rStyle w:val="Hyperlink"/>
            <w:noProof/>
            <w:lang w:val="ru-RU"/>
          </w:rPr>
          <w:t>Текущие активы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_Toc56180363 \h </w:instrText>
        </w:r>
        <w:r w:rsidR="00E31350">
          <w:rPr>
            <w:noProof/>
            <w:webHidden/>
          </w:rPr>
        </w:r>
        <w:r w:rsidR="00E31350">
          <w:rPr>
            <w:noProof/>
            <w:webHidden/>
          </w:rPr>
          <w:fldChar w:fldCharType="separate"/>
        </w:r>
        <w:r w:rsidR="00D61F93">
          <w:rPr>
            <w:noProof/>
            <w:webHidden/>
          </w:rPr>
          <w:t>12</w:t>
        </w:r>
        <w:r w:rsidR="00E31350">
          <w:rPr>
            <w:noProof/>
            <w:webHidden/>
          </w:rPr>
          <w:fldChar w:fldCharType="end"/>
        </w:r>
      </w:hyperlink>
    </w:p>
    <w:p w14:paraId="761EA0B4" w14:textId="2A3C6EA9"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4" w:history="1">
        <w:r w:rsidR="00E31350" w:rsidRPr="006379A9">
          <w:rPr>
            <w:rStyle w:val="Hyperlink"/>
            <w:noProof/>
            <w:lang w:val="ru-RU"/>
          </w:rPr>
          <w:t>Денежные средства и эквиваленты денежных средств</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_Toc56180364 \h </w:instrText>
        </w:r>
        <w:r w:rsidR="00E31350">
          <w:rPr>
            <w:noProof/>
            <w:webHidden/>
          </w:rPr>
        </w:r>
        <w:r w:rsidR="00E31350">
          <w:rPr>
            <w:noProof/>
            <w:webHidden/>
          </w:rPr>
          <w:fldChar w:fldCharType="separate"/>
        </w:r>
        <w:r w:rsidR="00D61F93">
          <w:rPr>
            <w:noProof/>
            <w:webHidden/>
          </w:rPr>
          <w:t>13</w:t>
        </w:r>
        <w:r w:rsidR="00E31350">
          <w:rPr>
            <w:noProof/>
            <w:webHidden/>
          </w:rPr>
          <w:fldChar w:fldCharType="end"/>
        </w:r>
      </w:hyperlink>
    </w:p>
    <w:p w14:paraId="1008031E" w14:textId="78B56436"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5" w:history="1">
        <w:r w:rsidR="00E31350" w:rsidRPr="006379A9">
          <w:rPr>
            <w:rStyle w:val="Hyperlink"/>
            <w:i/>
            <w:iCs/>
            <w:noProof/>
            <w:lang w:val="ru-RU"/>
          </w:rPr>
          <w:t>Обновление списков разрешенных подписей в банках</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_Toc56180365 \h </w:instrText>
        </w:r>
        <w:r w:rsidR="00E31350">
          <w:rPr>
            <w:noProof/>
            <w:webHidden/>
          </w:rPr>
        </w:r>
        <w:r w:rsidR="00E31350">
          <w:rPr>
            <w:noProof/>
            <w:webHidden/>
          </w:rPr>
          <w:fldChar w:fldCharType="separate"/>
        </w:r>
        <w:r w:rsidR="00D61F93">
          <w:rPr>
            <w:noProof/>
            <w:webHidden/>
          </w:rPr>
          <w:t>13</w:t>
        </w:r>
        <w:r w:rsidR="00E31350">
          <w:rPr>
            <w:noProof/>
            <w:webHidden/>
          </w:rPr>
          <w:fldChar w:fldCharType="end"/>
        </w:r>
      </w:hyperlink>
    </w:p>
    <w:p w14:paraId="1E6C54C4" w14:textId="5EBEBD36"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6" w:history="1">
        <w:r w:rsidR="00E31350" w:rsidRPr="006379A9">
          <w:rPr>
            <w:rStyle w:val="Hyperlink"/>
            <w:noProof/>
            <w:lang w:val="ru-RU"/>
          </w:rPr>
          <w:t>Инвестиции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_Toc56180366 \h </w:instrText>
        </w:r>
        <w:r w:rsidR="00E31350">
          <w:rPr>
            <w:noProof/>
            <w:webHidden/>
          </w:rPr>
        </w:r>
        <w:r w:rsidR="00E31350">
          <w:rPr>
            <w:noProof/>
            <w:webHidden/>
          </w:rPr>
          <w:fldChar w:fldCharType="separate"/>
        </w:r>
        <w:r w:rsidR="00D61F93">
          <w:rPr>
            <w:noProof/>
            <w:webHidden/>
          </w:rPr>
          <w:t>13</w:t>
        </w:r>
        <w:r w:rsidR="00E31350">
          <w:rPr>
            <w:noProof/>
            <w:webHidden/>
          </w:rPr>
          <w:fldChar w:fldCharType="end"/>
        </w:r>
      </w:hyperlink>
    </w:p>
    <w:p w14:paraId="3CFCA5E4" w14:textId="4560F0F6"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7" w:history="1">
        <w:r w:rsidR="00E31350" w:rsidRPr="006379A9">
          <w:rPr>
            <w:rStyle w:val="Hyperlink"/>
            <w:noProof/>
            <w:lang w:val="ru-RU"/>
          </w:rPr>
          <w:t>Долговые обязательства</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_Toc56180367 \h </w:instrText>
        </w:r>
        <w:r w:rsidR="00E31350">
          <w:rPr>
            <w:noProof/>
            <w:webHidden/>
          </w:rPr>
        </w:r>
        <w:r w:rsidR="00E31350">
          <w:rPr>
            <w:noProof/>
            <w:webHidden/>
          </w:rPr>
          <w:fldChar w:fldCharType="separate"/>
        </w:r>
        <w:r w:rsidR="00D61F93">
          <w:rPr>
            <w:noProof/>
            <w:webHidden/>
          </w:rPr>
          <w:t>14</w:t>
        </w:r>
        <w:r w:rsidR="00E31350">
          <w:rPr>
            <w:noProof/>
            <w:webHidden/>
          </w:rPr>
          <w:fldChar w:fldCharType="end"/>
        </w:r>
      </w:hyperlink>
    </w:p>
    <w:p w14:paraId="4374E8A1" w14:textId="77641061"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8" w:history="1">
        <w:r w:rsidR="00E31350" w:rsidRPr="006379A9">
          <w:rPr>
            <w:rStyle w:val="Hyperlink"/>
            <w:noProof/>
            <w:lang w:val="ru-RU"/>
          </w:rPr>
          <w:t>Прочие текущие долговые обязательства</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_Toc56180368 \h </w:instrText>
        </w:r>
        <w:r w:rsidR="00E31350">
          <w:rPr>
            <w:noProof/>
            <w:webHidden/>
          </w:rPr>
        </w:r>
        <w:r w:rsidR="00E31350">
          <w:rPr>
            <w:noProof/>
            <w:webHidden/>
          </w:rPr>
          <w:fldChar w:fldCharType="separate"/>
        </w:r>
        <w:r w:rsidR="00D61F93">
          <w:rPr>
            <w:noProof/>
            <w:webHidden/>
          </w:rPr>
          <w:t>14</w:t>
        </w:r>
        <w:r w:rsidR="00E31350">
          <w:rPr>
            <w:noProof/>
            <w:webHidden/>
          </w:rPr>
          <w:fldChar w:fldCharType="end"/>
        </w:r>
      </w:hyperlink>
    </w:p>
    <w:p w14:paraId="770D494B" w14:textId="180033EF"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69" w:history="1">
        <w:r w:rsidR="00E31350" w:rsidRPr="006379A9">
          <w:rPr>
            <w:rStyle w:val="Hyperlink"/>
            <w:noProof/>
            <w:lang w:val="ru-RU"/>
          </w:rPr>
          <w:t>Задолженности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_Toc56180369 \h </w:instrText>
        </w:r>
        <w:r w:rsidR="00E31350">
          <w:rPr>
            <w:noProof/>
            <w:webHidden/>
          </w:rPr>
        </w:r>
        <w:r w:rsidR="00E31350">
          <w:rPr>
            <w:noProof/>
            <w:webHidden/>
          </w:rPr>
          <w:fldChar w:fldCharType="separate"/>
        </w:r>
        <w:r w:rsidR="00D61F93">
          <w:rPr>
            <w:noProof/>
            <w:webHidden/>
          </w:rPr>
          <w:t>14</w:t>
        </w:r>
        <w:r w:rsidR="00E31350">
          <w:rPr>
            <w:noProof/>
            <w:webHidden/>
          </w:rPr>
          <w:fldChar w:fldCharType="end"/>
        </w:r>
      </w:hyperlink>
    </w:p>
    <w:p w14:paraId="53C1B629" w14:textId="3E60C9A1"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0" w:history="1">
        <w:r w:rsidR="00E31350" w:rsidRPr="006379A9">
          <w:rPr>
            <w:rStyle w:val="Hyperlink"/>
            <w:noProof/>
            <w:lang w:val="ru-RU"/>
          </w:rPr>
          <w:t>Списание процентов</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_Toc56180370 \h </w:instrText>
        </w:r>
        <w:r w:rsidR="00E31350">
          <w:rPr>
            <w:noProof/>
            <w:webHidden/>
          </w:rPr>
        </w:r>
        <w:r w:rsidR="00E31350">
          <w:rPr>
            <w:noProof/>
            <w:webHidden/>
          </w:rPr>
          <w:fldChar w:fldCharType="separate"/>
        </w:r>
        <w:r w:rsidR="00D61F93">
          <w:rPr>
            <w:noProof/>
            <w:webHidden/>
          </w:rPr>
          <w:t>15</w:t>
        </w:r>
        <w:r w:rsidR="00E31350">
          <w:rPr>
            <w:noProof/>
            <w:webHidden/>
          </w:rPr>
          <w:fldChar w:fldCharType="end"/>
        </w:r>
      </w:hyperlink>
    </w:p>
    <w:p w14:paraId="49761CBC" w14:textId="5B9C58F3"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1" w:history="1">
        <w:r w:rsidR="00E31350" w:rsidRPr="006379A9">
          <w:rPr>
            <w:rStyle w:val="Hyperlink"/>
            <w:noProof/>
            <w:lang w:val="ru-RU"/>
          </w:rPr>
          <w:t>Запасы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_Toc56180371 \h </w:instrText>
        </w:r>
        <w:r w:rsidR="00E31350">
          <w:rPr>
            <w:noProof/>
            <w:webHidden/>
          </w:rPr>
        </w:r>
        <w:r w:rsidR="00E31350">
          <w:rPr>
            <w:noProof/>
            <w:webHidden/>
          </w:rPr>
          <w:fldChar w:fldCharType="separate"/>
        </w:r>
        <w:r w:rsidR="00D61F93">
          <w:rPr>
            <w:noProof/>
            <w:webHidden/>
          </w:rPr>
          <w:t>15</w:t>
        </w:r>
        <w:r w:rsidR="00E31350">
          <w:rPr>
            <w:noProof/>
            <w:webHidden/>
          </w:rPr>
          <w:fldChar w:fldCharType="end"/>
        </w:r>
      </w:hyperlink>
    </w:p>
    <w:p w14:paraId="533929F8" w14:textId="539F04D4"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2" w:history="1">
        <w:r w:rsidR="00E31350" w:rsidRPr="006379A9">
          <w:rPr>
            <w:rStyle w:val="Hyperlink"/>
            <w:noProof/>
            <w:lang w:val="ru-RU"/>
          </w:rPr>
          <w:t>Нетекущие активы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_Toc56180372 \h </w:instrText>
        </w:r>
        <w:r w:rsidR="00E31350">
          <w:rPr>
            <w:noProof/>
            <w:webHidden/>
          </w:rPr>
        </w:r>
        <w:r w:rsidR="00E31350">
          <w:rPr>
            <w:noProof/>
            <w:webHidden/>
          </w:rPr>
          <w:fldChar w:fldCharType="separate"/>
        </w:r>
        <w:r w:rsidR="00D61F93">
          <w:rPr>
            <w:noProof/>
            <w:webHidden/>
          </w:rPr>
          <w:t>15</w:t>
        </w:r>
        <w:r w:rsidR="00E31350">
          <w:rPr>
            <w:noProof/>
            <w:webHidden/>
          </w:rPr>
          <w:fldChar w:fldCharType="end"/>
        </w:r>
      </w:hyperlink>
    </w:p>
    <w:p w14:paraId="530BE87B" w14:textId="279BDF95"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3" w:history="1">
        <w:r w:rsidR="00E31350" w:rsidRPr="006379A9">
          <w:rPr>
            <w:rStyle w:val="Hyperlink"/>
            <w:noProof/>
            <w:lang w:val="ru-RU"/>
          </w:rPr>
          <w:t>Материальные активы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_Toc56180373 \h </w:instrText>
        </w:r>
        <w:r w:rsidR="00E31350">
          <w:rPr>
            <w:noProof/>
            <w:webHidden/>
          </w:rPr>
        </w:r>
        <w:r w:rsidR="00E31350">
          <w:rPr>
            <w:noProof/>
            <w:webHidden/>
          </w:rPr>
          <w:fldChar w:fldCharType="separate"/>
        </w:r>
        <w:r w:rsidR="00D61F93">
          <w:rPr>
            <w:noProof/>
            <w:webHidden/>
          </w:rPr>
          <w:t>15</w:t>
        </w:r>
        <w:r w:rsidR="00E31350">
          <w:rPr>
            <w:noProof/>
            <w:webHidden/>
          </w:rPr>
          <w:fldChar w:fldCharType="end"/>
        </w:r>
      </w:hyperlink>
    </w:p>
    <w:p w14:paraId="0AE2AB47" w14:textId="38514974"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4" w:history="1">
        <w:r w:rsidR="00E31350" w:rsidRPr="006379A9">
          <w:rPr>
            <w:rStyle w:val="Hyperlink"/>
            <w:i/>
            <w:iCs/>
            <w:noProof/>
            <w:lang w:val="ru-RU"/>
          </w:rPr>
          <w:t>Здания штаб-квартиры Союза</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_Toc56180374 \h </w:instrText>
        </w:r>
        <w:r w:rsidR="00E31350">
          <w:rPr>
            <w:noProof/>
            <w:webHidden/>
          </w:rPr>
        </w:r>
        <w:r w:rsidR="00E31350">
          <w:rPr>
            <w:noProof/>
            <w:webHidden/>
          </w:rPr>
          <w:fldChar w:fldCharType="separate"/>
        </w:r>
        <w:r w:rsidR="00D61F93">
          <w:rPr>
            <w:noProof/>
            <w:webHidden/>
          </w:rPr>
          <w:t>16</w:t>
        </w:r>
        <w:r w:rsidR="00E31350">
          <w:rPr>
            <w:noProof/>
            <w:webHidden/>
          </w:rPr>
          <w:fldChar w:fldCharType="end"/>
        </w:r>
      </w:hyperlink>
    </w:p>
    <w:p w14:paraId="34D1682F" w14:textId="24F77FBA"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5" w:history="1">
        <w:r w:rsidR="00E31350" w:rsidRPr="006379A9">
          <w:rPr>
            <w:rStyle w:val="Hyperlink"/>
            <w:noProof/>
            <w:lang w:val="ru-RU"/>
          </w:rPr>
          <w:t>Личное оборудование</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_Toc56180375 \h </w:instrText>
        </w:r>
        <w:r w:rsidR="00E31350">
          <w:rPr>
            <w:noProof/>
            <w:webHidden/>
          </w:rPr>
        </w:r>
        <w:r w:rsidR="00E31350">
          <w:rPr>
            <w:noProof/>
            <w:webHidden/>
          </w:rPr>
          <w:fldChar w:fldCharType="separate"/>
        </w:r>
        <w:r w:rsidR="00D61F93">
          <w:rPr>
            <w:noProof/>
            <w:webHidden/>
          </w:rPr>
          <w:t>17</w:t>
        </w:r>
        <w:r w:rsidR="00E31350">
          <w:rPr>
            <w:noProof/>
            <w:webHidden/>
          </w:rPr>
          <w:fldChar w:fldCharType="end"/>
        </w:r>
      </w:hyperlink>
    </w:p>
    <w:p w14:paraId="60969F0D" w14:textId="011DC03B"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6" w:history="1">
        <w:r w:rsidR="00E31350" w:rsidRPr="006379A9">
          <w:rPr>
            <w:rStyle w:val="Hyperlink"/>
            <w:noProof/>
            <w:lang w:val="ru-RU"/>
          </w:rPr>
          <w:t>Нематериальные активы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_Toc56180376 \h </w:instrText>
        </w:r>
        <w:r w:rsidR="00E31350">
          <w:rPr>
            <w:noProof/>
            <w:webHidden/>
          </w:rPr>
        </w:r>
        <w:r w:rsidR="00E31350">
          <w:rPr>
            <w:noProof/>
            <w:webHidden/>
          </w:rPr>
          <w:fldChar w:fldCharType="separate"/>
        </w:r>
        <w:r w:rsidR="00D61F93">
          <w:rPr>
            <w:noProof/>
            <w:webHidden/>
          </w:rPr>
          <w:t>18</w:t>
        </w:r>
        <w:r w:rsidR="00E31350">
          <w:rPr>
            <w:noProof/>
            <w:webHidden/>
          </w:rPr>
          <w:fldChar w:fldCharType="end"/>
        </w:r>
      </w:hyperlink>
    </w:p>
    <w:p w14:paraId="0D60969C" w14:textId="3AFC856E" w:rsidR="00E31350" w:rsidRDefault="00FE280E" w:rsidP="00E31350">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7" w:history="1">
        <w:r w:rsidR="00E31350" w:rsidRPr="006379A9">
          <w:rPr>
            <w:rStyle w:val="Hyperlink"/>
            <w:noProof/>
            <w:lang w:val="ru-RU"/>
          </w:rPr>
          <w:t>ПАССИВЫ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_Toc56180377 \h </w:instrText>
        </w:r>
        <w:r w:rsidR="00E31350">
          <w:rPr>
            <w:noProof/>
            <w:webHidden/>
          </w:rPr>
        </w:r>
        <w:r w:rsidR="00E31350">
          <w:rPr>
            <w:noProof/>
            <w:webHidden/>
          </w:rPr>
          <w:fldChar w:fldCharType="separate"/>
        </w:r>
        <w:r w:rsidR="00D61F93">
          <w:rPr>
            <w:noProof/>
            <w:webHidden/>
          </w:rPr>
          <w:t>18</w:t>
        </w:r>
        <w:r w:rsidR="00E31350">
          <w:rPr>
            <w:noProof/>
            <w:webHidden/>
          </w:rPr>
          <w:fldChar w:fldCharType="end"/>
        </w:r>
      </w:hyperlink>
    </w:p>
    <w:p w14:paraId="4D7E8CD4" w14:textId="4A0C0AF4"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8" w:history="1">
        <w:r w:rsidR="00E31350" w:rsidRPr="006379A9">
          <w:rPr>
            <w:rStyle w:val="Hyperlink"/>
            <w:noProof/>
            <w:lang w:val="ru-RU"/>
          </w:rPr>
          <w:t>Текущие пассивы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_Toc56180378 \h </w:instrText>
        </w:r>
        <w:r w:rsidR="00E31350">
          <w:rPr>
            <w:noProof/>
            <w:webHidden/>
          </w:rPr>
        </w:r>
        <w:r w:rsidR="00E31350">
          <w:rPr>
            <w:noProof/>
            <w:webHidden/>
          </w:rPr>
          <w:fldChar w:fldCharType="separate"/>
        </w:r>
        <w:r w:rsidR="00D61F93">
          <w:rPr>
            <w:noProof/>
            <w:webHidden/>
          </w:rPr>
          <w:t>18</w:t>
        </w:r>
        <w:r w:rsidR="00E31350">
          <w:rPr>
            <w:noProof/>
            <w:webHidden/>
          </w:rPr>
          <w:fldChar w:fldCharType="end"/>
        </w:r>
      </w:hyperlink>
    </w:p>
    <w:p w14:paraId="0AED76AA" w14:textId="4ED29A49"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79" w:history="1">
        <w:r w:rsidR="00E31350" w:rsidRPr="006379A9">
          <w:rPr>
            <w:rStyle w:val="Hyperlink"/>
            <w:noProof/>
            <w:lang w:val="ru-RU"/>
          </w:rPr>
          <w:t>Поставщики и прочие кредиторы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_Toc56180379 \h </w:instrText>
        </w:r>
        <w:r w:rsidR="00E31350">
          <w:rPr>
            <w:noProof/>
            <w:webHidden/>
          </w:rPr>
        </w:r>
        <w:r w:rsidR="00E31350">
          <w:rPr>
            <w:noProof/>
            <w:webHidden/>
          </w:rPr>
          <w:fldChar w:fldCharType="separate"/>
        </w:r>
        <w:r w:rsidR="00D61F93">
          <w:rPr>
            <w:noProof/>
            <w:webHidden/>
          </w:rPr>
          <w:t>19</w:t>
        </w:r>
        <w:r w:rsidR="00E31350">
          <w:rPr>
            <w:noProof/>
            <w:webHidden/>
          </w:rPr>
          <w:fldChar w:fldCharType="end"/>
        </w:r>
      </w:hyperlink>
    </w:p>
    <w:p w14:paraId="52EDFC79" w14:textId="4154953F"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0" w:history="1">
        <w:r w:rsidR="00E31350" w:rsidRPr="006379A9">
          <w:rPr>
            <w:rStyle w:val="Hyperlink"/>
            <w:noProof/>
            <w:lang w:val="ru-RU"/>
          </w:rPr>
          <w:t>Доходы будущих периодов</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_Toc56180380 \h </w:instrText>
        </w:r>
        <w:r w:rsidR="00E31350">
          <w:rPr>
            <w:noProof/>
            <w:webHidden/>
          </w:rPr>
        </w:r>
        <w:r w:rsidR="00E31350">
          <w:rPr>
            <w:noProof/>
            <w:webHidden/>
          </w:rPr>
          <w:fldChar w:fldCharType="separate"/>
        </w:r>
        <w:r w:rsidR="00D61F93">
          <w:rPr>
            <w:noProof/>
            <w:webHidden/>
          </w:rPr>
          <w:t>19</w:t>
        </w:r>
        <w:r w:rsidR="00E31350">
          <w:rPr>
            <w:noProof/>
            <w:webHidden/>
          </w:rPr>
          <w:fldChar w:fldCharType="end"/>
        </w:r>
      </w:hyperlink>
    </w:p>
    <w:p w14:paraId="0EFB87F3" w14:textId="2A9910D8"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1" w:history="1">
        <w:r w:rsidR="00E31350" w:rsidRPr="006379A9">
          <w:rPr>
            <w:rStyle w:val="Hyperlink"/>
            <w:noProof/>
            <w:lang w:val="ru-RU"/>
          </w:rPr>
          <w:t>Резервные фонды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_Toc56180381 \h </w:instrText>
        </w:r>
        <w:r w:rsidR="00E31350">
          <w:rPr>
            <w:noProof/>
            <w:webHidden/>
          </w:rPr>
        </w:r>
        <w:r w:rsidR="00E31350">
          <w:rPr>
            <w:noProof/>
            <w:webHidden/>
          </w:rPr>
          <w:fldChar w:fldCharType="separate"/>
        </w:r>
        <w:r w:rsidR="00D61F93">
          <w:rPr>
            <w:noProof/>
            <w:webHidden/>
          </w:rPr>
          <w:t>19</w:t>
        </w:r>
        <w:r w:rsidR="00E31350">
          <w:rPr>
            <w:noProof/>
            <w:webHidden/>
          </w:rPr>
          <w:fldChar w:fldCharType="end"/>
        </w:r>
      </w:hyperlink>
    </w:p>
    <w:p w14:paraId="629B2E85" w14:textId="126C408A"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2" w:history="1">
        <w:r w:rsidR="00E31350" w:rsidRPr="006379A9">
          <w:rPr>
            <w:rStyle w:val="Hyperlink"/>
            <w:noProof/>
            <w:lang w:val="ru-RU"/>
          </w:rPr>
          <w:t>Займы и финансовая задолженность</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_Toc56180382 \h </w:instrText>
        </w:r>
        <w:r w:rsidR="00E31350">
          <w:rPr>
            <w:noProof/>
            <w:webHidden/>
          </w:rPr>
        </w:r>
        <w:r w:rsidR="00E31350">
          <w:rPr>
            <w:noProof/>
            <w:webHidden/>
          </w:rPr>
          <w:fldChar w:fldCharType="separate"/>
        </w:r>
        <w:r w:rsidR="00D61F93">
          <w:rPr>
            <w:noProof/>
            <w:webHidden/>
          </w:rPr>
          <w:t>19</w:t>
        </w:r>
        <w:r w:rsidR="00E31350">
          <w:rPr>
            <w:noProof/>
            <w:webHidden/>
          </w:rPr>
          <w:fldChar w:fldCharType="end"/>
        </w:r>
      </w:hyperlink>
    </w:p>
    <w:p w14:paraId="76549BD3" w14:textId="0F4CF3CD"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3" w:history="1">
        <w:r w:rsidR="00E31350" w:rsidRPr="006379A9">
          <w:rPr>
            <w:rStyle w:val="Hyperlink"/>
            <w:noProof/>
            <w:lang w:val="ru-RU"/>
          </w:rPr>
          <w:t>Прочие текущие пассивы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_Toc56180383 \h </w:instrText>
        </w:r>
        <w:r w:rsidR="00E31350">
          <w:rPr>
            <w:noProof/>
            <w:webHidden/>
          </w:rPr>
        </w:r>
        <w:r w:rsidR="00E31350">
          <w:rPr>
            <w:noProof/>
            <w:webHidden/>
          </w:rPr>
          <w:fldChar w:fldCharType="separate"/>
        </w:r>
        <w:r w:rsidR="00D61F93">
          <w:rPr>
            <w:noProof/>
            <w:webHidden/>
          </w:rPr>
          <w:t>19</w:t>
        </w:r>
        <w:r w:rsidR="00E31350">
          <w:rPr>
            <w:noProof/>
            <w:webHidden/>
          </w:rPr>
          <w:fldChar w:fldCharType="end"/>
        </w:r>
      </w:hyperlink>
    </w:p>
    <w:p w14:paraId="26EAE2FE" w14:textId="0C48FED7"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4" w:history="1">
        <w:r w:rsidR="00E31350" w:rsidRPr="006379A9">
          <w:rPr>
            <w:rStyle w:val="Hyperlink"/>
            <w:noProof/>
            <w:lang w:val="ru-RU"/>
          </w:rPr>
          <w:t>Нетекущие пассивы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_Toc56180384 \h </w:instrText>
        </w:r>
        <w:r w:rsidR="00E31350">
          <w:rPr>
            <w:noProof/>
            <w:webHidden/>
          </w:rPr>
        </w:r>
        <w:r w:rsidR="00E31350">
          <w:rPr>
            <w:noProof/>
            <w:webHidden/>
          </w:rPr>
          <w:fldChar w:fldCharType="separate"/>
        </w:r>
        <w:r w:rsidR="00D61F93">
          <w:rPr>
            <w:noProof/>
            <w:webHidden/>
          </w:rPr>
          <w:t>20</w:t>
        </w:r>
        <w:r w:rsidR="00E31350">
          <w:rPr>
            <w:noProof/>
            <w:webHidden/>
          </w:rPr>
          <w:fldChar w:fldCharType="end"/>
        </w:r>
      </w:hyperlink>
    </w:p>
    <w:p w14:paraId="1C12EF23" w14:textId="30A1CD80"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5" w:history="1">
        <w:r w:rsidR="00E31350" w:rsidRPr="006379A9">
          <w:rPr>
            <w:rStyle w:val="Hyperlink"/>
            <w:noProof/>
            <w:lang w:val="ru-RU"/>
          </w:rPr>
          <w:t>Обобщенные сведения о вознаграждении сотрудников</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_Toc56180385 \h </w:instrText>
        </w:r>
        <w:r w:rsidR="00E31350">
          <w:rPr>
            <w:noProof/>
            <w:webHidden/>
          </w:rPr>
        </w:r>
        <w:r w:rsidR="00E31350">
          <w:rPr>
            <w:noProof/>
            <w:webHidden/>
          </w:rPr>
          <w:fldChar w:fldCharType="separate"/>
        </w:r>
        <w:r w:rsidR="00D61F93">
          <w:rPr>
            <w:noProof/>
            <w:webHidden/>
          </w:rPr>
          <w:t>20</w:t>
        </w:r>
        <w:r w:rsidR="00E31350">
          <w:rPr>
            <w:noProof/>
            <w:webHidden/>
          </w:rPr>
          <w:fldChar w:fldCharType="end"/>
        </w:r>
      </w:hyperlink>
    </w:p>
    <w:p w14:paraId="1D6CC26C" w14:textId="4AEB73D3"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6" w:history="1">
        <w:r w:rsidR="00E31350" w:rsidRPr="006379A9">
          <w:rPr>
            <w:rStyle w:val="Hyperlink"/>
            <w:noProof/>
            <w:lang w:val="ru-RU"/>
          </w:rPr>
          <w:t>Вознаграждение сотрудников, работающих на основе долгосрочных контрактов</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_Toc56180386 \h </w:instrText>
        </w:r>
        <w:r w:rsidR="00E31350">
          <w:rPr>
            <w:noProof/>
            <w:webHidden/>
          </w:rPr>
        </w:r>
        <w:r w:rsidR="00E31350">
          <w:rPr>
            <w:noProof/>
            <w:webHidden/>
          </w:rPr>
          <w:fldChar w:fldCharType="separate"/>
        </w:r>
        <w:r w:rsidR="00D61F93">
          <w:rPr>
            <w:noProof/>
            <w:webHidden/>
          </w:rPr>
          <w:t>21</w:t>
        </w:r>
        <w:r w:rsidR="00E31350">
          <w:rPr>
            <w:noProof/>
            <w:webHidden/>
          </w:rPr>
          <w:fldChar w:fldCharType="end"/>
        </w:r>
      </w:hyperlink>
    </w:p>
    <w:p w14:paraId="706B5F41" w14:textId="071AFF1D" w:rsidR="00E31350" w:rsidRDefault="00FE280E" w:rsidP="006316AD">
      <w:pPr>
        <w:pStyle w:val="TOC1"/>
        <w:keepLines w:val="0"/>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7" w:history="1">
        <w:r w:rsidR="00E31350" w:rsidRPr="006379A9">
          <w:rPr>
            <w:rStyle w:val="Hyperlink"/>
            <w:noProof/>
            <w:lang w:val="ru-RU"/>
          </w:rPr>
          <w:t>Вознаграждение сотрудников: подъемные пособия и субсидии на репатриацию</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_Toc56180387 \h </w:instrText>
        </w:r>
        <w:r w:rsidR="00E31350">
          <w:rPr>
            <w:noProof/>
            <w:webHidden/>
          </w:rPr>
        </w:r>
        <w:r w:rsidR="00E31350">
          <w:rPr>
            <w:noProof/>
            <w:webHidden/>
          </w:rPr>
          <w:fldChar w:fldCharType="separate"/>
        </w:r>
        <w:r w:rsidR="00D61F93">
          <w:rPr>
            <w:noProof/>
            <w:webHidden/>
          </w:rPr>
          <w:t>21</w:t>
        </w:r>
        <w:r w:rsidR="00E31350">
          <w:rPr>
            <w:noProof/>
            <w:webHidden/>
          </w:rPr>
          <w:fldChar w:fldCharType="end"/>
        </w:r>
      </w:hyperlink>
    </w:p>
    <w:p w14:paraId="64A5836C" w14:textId="77777777" w:rsidR="006316AD" w:rsidRPr="00F833B4" w:rsidRDefault="006316AD" w:rsidP="006316AD">
      <w:pPr>
        <w:keepNext/>
        <w:tabs>
          <w:tab w:val="clear" w:pos="794"/>
          <w:tab w:val="clear" w:pos="1191"/>
          <w:tab w:val="clear" w:pos="1588"/>
          <w:tab w:val="clear" w:pos="1985"/>
        </w:tabs>
        <w:overflowPunct/>
        <w:autoSpaceDE/>
        <w:autoSpaceDN/>
        <w:adjustRightInd/>
        <w:jc w:val="right"/>
        <w:textAlignment w:val="auto"/>
        <w:rPr>
          <w:noProof/>
          <w:lang w:val="ru-RU"/>
        </w:rPr>
      </w:pPr>
      <w:r w:rsidRPr="00F833B4">
        <w:rPr>
          <w:b/>
          <w:bCs/>
          <w:noProof/>
          <w:lang w:val="ru-RU"/>
        </w:rPr>
        <w:lastRenderedPageBreak/>
        <w:t>Стр</w:t>
      </w:r>
      <w:r w:rsidRPr="00F833B4">
        <w:rPr>
          <w:noProof/>
          <w:lang w:val="ru-RU"/>
        </w:rPr>
        <w:t>.</w:t>
      </w:r>
    </w:p>
    <w:p w14:paraId="62323F64" w14:textId="3C8CEB7A"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88" w:history="1">
        <w:r w:rsidR="00E31350" w:rsidRPr="006379A9">
          <w:rPr>
            <w:rStyle w:val="Hyperlink"/>
            <w:noProof/>
            <w:lang w:val="ru-RU"/>
          </w:rPr>
          <w:t>Вознаграждение сотрудников: АСХИ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_Toc56180388 \h </w:instrText>
        </w:r>
        <w:r w:rsidR="00E31350">
          <w:rPr>
            <w:noProof/>
            <w:webHidden/>
          </w:rPr>
        </w:r>
        <w:r w:rsidR="00E31350">
          <w:rPr>
            <w:noProof/>
            <w:webHidden/>
          </w:rPr>
          <w:fldChar w:fldCharType="separate"/>
        </w:r>
        <w:r w:rsidR="00D61F93">
          <w:rPr>
            <w:noProof/>
            <w:webHidden/>
          </w:rPr>
          <w:t>21</w:t>
        </w:r>
        <w:r w:rsidR="00E31350">
          <w:rPr>
            <w:noProof/>
            <w:webHidden/>
          </w:rPr>
          <w:fldChar w:fldCharType="end"/>
        </w:r>
      </w:hyperlink>
    </w:p>
    <w:p w14:paraId="3CB6C60E" w14:textId="7C52C1EB"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389" w:history="1">
        <w:r w:rsidR="00E31350" w:rsidRPr="006379A9">
          <w:rPr>
            <w:rStyle w:val="Hyperlink"/>
            <w:i/>
            <w:iCs/>
            <w:noProof/>
            <w:lang w:val="ru-RU"/>
          </w:rPr>
          <w:t>На основании исходных предпосылок МСЭ сумма подъемных пособий и субсидий на репатриацию и сумма обязательств АСХИ в основном являются верными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_Toc56180389 \h </w:instrText>
        </w:r>
        <w:r w:rsidR="00E31350">
          <w:rPr>
            <w:noProof/>
            <w:webHidden/>
          </w:rPr>
        </w:r>
        <w:r w:rsidR="00E31350">
          <w:rPr>
            <w:noProof/>
            <w:webHidden/>
          </w:rPr>
          <w:fldChar w:fldCharType="separate"/>
        </w:r>
        <w:r w:rsidR="00D61F93">
          <w:rPr>
            <w:noProof/>
            <w:webHidden/>
          </w:rPr>
          <w:t>21</w:t>
        </w:r>
        <w:r w:rsidR="00E31350">
          <w:rPr>
            <w:noProof/>
            <w:webHidden/>
          </w:rPr>
          <w:fldChar w:fldCharType="end"/>
        </w:r>
      </w:hyperlink>
    </w:p>
    <w:p w14:paraId="4AD8E20C" w14:textId="57C6030B"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90" w:history="1">
        <w:r w:rsidR="00E31350" w:rsidRPr="006379A9">
          <w:rPr>
            <w:rStyle w:val="Hyperlink"/>
            <w:i/>
            <w:iCs/>
            <w:noProof/>
            <w:lang w:val="ru-RU"/>
          </w:rPr>
          <w:t>Увеличение обязательств по линии АСХИ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_Toc56180390 \h </w:instrText>
        </w:r>
        <w:r w:rsidR="00E31350">
          <w:rPr>
            <w:noProof/>
            <w:webHidden/>
          </w:rPr>
        </w:r>
        <w:r w:rsidR="00E31350">
          <w:rPr>
            <w:noProof/>
            <w:webHidden/>
          </w:rPr>
          <w:fldChar w:fldCharType="separate"/>
        </w:r>
        <w:r w:rsidR="00D61F93">
          <w:rPr>
            <w:noProof/>
            <w:webHidden/>
          </w:rPr>
          <w:t>22</w:t>
        </w:r>
        <w:r w:rsidR="00E31350">
          <w:rPr>
            <w:noProof/>
            <w:webHidden/>
          </w:rPr>
          <w:fldChar w:fldCharType="end"/>
        </w:r>
      </w:hyperlink>
    </w:p>
    <w:p w14:paraId="7D64D3D4" w14:textId="6F0B7520"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91" w:history="1">
        <w:r w:rsidR="00E31350" w:rsidRPr="006379A9">
          <w:rPr>
            <w:rStyle w:val="Hyperlink"/>
            <w:noProof/>
            <w:lang w:val="ru-RU"/>
          </w:rPr>
          <w:t>Влияние актуарных обязательств на отрицательную величину чистых активов</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_Toc56180391 \h </w:instrText>
        </w:r>
        <w:r w:rsidR="00E31350">
          <w:rPr>
            <w:noProof/>
            <w:webHidden/>
          </w:rPr>
        </w:r>
        <w:r w:rsidR="00E31350">
          <w:rPr>
            <w:noProof/>
            <w:webHidden/>
          </w:rPr>
          <w:fldChar w:fldCharType="separate"/>
        </w:r>
        <w:r w:rsidR="00D61F93">
          <w:rPr>
            <w:noProof/>
            <w:webHidden/>
          </w:rPr>
          <w:t>22</w:t>
        </w:r>
        <w:r w:rsidR="00E31350">
          <w:rPr>
            <w:noProof/>
            <w:webHidden/>
          </w:rPr>
          <w:fldChar w:fldCharType="end"/>
        </w:r>
      </w:hyperlink>
    </w:p>
    <w:p w14:paraId="201F5451" w14:textId="03E6210C"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392" w:history="1">
        <w:r w:rsidR="00E31350" w:rsidRPr="006379A9">
          <w:rPr>
            <w:rStyle w:val="Hyperlink"/>
            <w:noProof/>
            <w:lang w:val="ru-RU"/>
          </w:rPr>
          <w:t>Влияние затрат по линии АСХИ на дефицит, отраженный в результатах финансовой деятельности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_Toc56180392 \h </w:instrText>
        </w:r>
        <w:r w:rsidR="00E31350">
          <w:rPr>
            <w:noProof/>
            <w:webHidden/>
          </w:rPr>
        </w:r>
        <w:r w:rsidR="00E31350">
          <w:rPr>
            <w:noProof/>
            <w:webHidden/>
          </w:rPr>
          <w:fldChar w:fldCharType="separate"/>
        </w:r>
        <w:r w:rsidR="00D61F93">
          <w:rPr>
            <w:noProof/>
            <w:webHidden/>
          </w:rPr>
          <w:t>22</w:t>
        </w:r>
        <w:r w:rsidR="00E31350">
          <w:rPr>
            <w:noProof/>
            <w:webHidden/>
          </w:rPr>
          <w:fldChar w:fldCharType="end"/>
        </w:r>
      </w:hyperlink>
    </w:p>
    <w:p w14:paraId="6CF27B45" w14:textId="2AD6953C"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93" w:history="1">
        <w:r w:rsidR="00E31350" w:rsidRPr="006379A9">
          <w:rPr>
            <w:rStyle w:val="Hyperlink"/>
            <w:noProof/>
            <w:lang w:val="ru-RU"/>
          </w:rPr>
          <w:t>Переход от ПКМС/Cigna в ЮНСМИС</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_Toc56180393 \h </w:instrText>
        </w:r>
        <w:r w:rsidR="00E31350">
          <w:rPr>
            <w:noProof/>
            <w:webHidden/>
          </w:rPr>
        </w:r>
        <w:r w:rsidR="00E31350">
          <w:rPr>
            <w:noProof/>
            <w:webHidden/>
          </w:rPr>
          <w:fldChar w:fldCharType="separate"/>
        </w:r>
        <w:r w:rsidR="00D61F93">
          <w:rPr>
            <w:noProof/>
            <w:webHidden/>
          </w:rPr>
          <w:t>22</w:t>
        </w:r>
        <w:r w:rsidR="00E31350">
          <w:rPr>
            <w:noProof/>
            <w:webHidden/>
          </w:rPr>
          <w:fldChar w:fldCharType="end"/>
        </w:r>
      </w:hyperlink>
    </w:p>
    <w:p w14:paraId="2D6FE9B9" w14:textId="6874C2A7"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394" w:history="1">
        <w:r w:rsidR="00E31350" w:rsidRPr="006379A9">
          <w:rPr>
            <w:rStyle w:val="Hyperlink"/>
            <w:noProof/>
            <w:lang w:val="ru-RU"/>
          </w:rPr>
          <w:t>Обязательства по линии Фонда медицинского страхования сотрудников до и после выхода в отставку и влияние перехода от ПКМС/Cigna в ЮНСМИС</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_Toc56180394 \h </w:instrText>
        </w:r>
        <w:r w:rsidR="00E31350">
          <w:rPr>
            <w:noProof/>
            <w:webHidden/>
          </w:rPr>
        </w:r>
        <w:r w:rsidR="00E31350">
          <w:rPr>
            <w:noProof/>
            <w:webHidden/>
          </w:rPr>
          <w:fldChar w:fldCharType="separate"/>
        </w:r>
        <w:r w:rsidR="00D61F93">
          <w:rPr>
            <w:noProof/>
            <w:webHidden/>
          </w:rPr>
          <w:t>23</w:t>
        </w:r>
        <w:r w:rsidR="00E31350">
          <w:rPr>
            <w:noProof/>
            <w:webHidden/>
          </w:rPr>
          <w:fldChar w:fldCharType="end"/>
        </w:r>
      </w:hyperlink>
    </w:p>
    <w:p w14:paraId="39662829" w14:textId="106CEC56"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395" w:history="1">
        <w:r w:rsidR="00E31350" w:rsidRPr="006379A9">
          <w:rPr>
            <w:rStyle w:val="Hyperlink"/>
            <w:noProof/>
            <w:lang w:val="ru-RU"/>
          </w:rPr>
          <w:t>Вознаграждение сотрудников: Страховая касса персонала МСЭ (закрытые пенсионные фонды МСЭ)</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_Toc56180395 \h </w:instrText>
        </w:r>
        <w:r w:rsidR="00E31350">
          <w:rPr>
            <w:noProof/>
            <w:webHidden/>
          </w:rPr>
        </w:r>
        <w:r w:rsidR="00E31350">
          <w:rPr>
            <w:noProof/>
            <w:webHidden/>
          </w:rPr>
          <w:fldChar w:fldCharType="separate"/>
        </w:r>
        <w:r w:rsidR="00D61F93">
          <w:rPr>
            <w:noProof/>
            <w:webHidden/>
          </w:rPr>
          <w:t>24</w:t>
        </w:r>
        <w:r w:rsidR="00E31350">
          <w:rPr>
            <w:noProof/>
            <w:webHidden/>
          </w:rPr>
          <w:fldChar w:fldCharType="end"/>
        </w:r>
      </w:hyperlink>
    </w:p>
    <w:p w14:paraId="1F1F9173" w14:textId="23650F6C"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96" w:history="1">
        <w:r w:rsidR="00E31350" w:rsidRPr="006379A9">
          <w:rPr>
            <w:rStyle w:val="Hyperlink"/>
            <w:noProof/>
            <w:lang w:val="ru-RU"/>
          </w:rPr>
          <w:t>ЧИСТЫЕ АКТИВЫ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_Toc56180396 \h </w:instrText>
        </w:r>
        <w:r w:rsidR="00E31350">
          <w:rPr>
            <w:noProof/>
            <w:webHidden/>
          </w:rPr>
        </w:r>
        <w:r w:rsidR="00E31350">
          <w:rPr>
            <w:noProof/>
            <w:webHidden/>
          </w:rPr>
          <w:fldChar w:fldCharType="separate"/>
        </w:r>
        <w:r w:rsidR="00D61F93">
          <w:rPr>
            <w:noProof/>
            <w:webHidden/>
          </w:rPr>
          <w:t>24</w:t>
        </w:r>
        <w:r w:rsidR="00E31350">
          <w:rPr>
            <w:noProof/>
            <w:webHidden/>
          </w:rPr>
          <w:fldChar w:fldCharType="end"/>
        </w:r>
      </w:hyperlink>
    </w:p>
    <w:p w14:paraId="191BB97A" w14:textId="59DF67C6"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397" w:history="1">
        <w:r w:rsidR="00E31350" w:rsidRPr="00C75B91">
          <w:rPr>
            <w:rStyle w:val="Hyperlink"/>
            <w:b/>
            <w:bCs/>
            <w:noProof/>
            <w:lang w:val="ru-RU"/>
          </w:rPr>
          <w:t>ОТЧЕТ О РЕЗУЛЬТАТАХ ФИНАНСОВОЙ ДЕЯТЕЛЬНОСТИ ЗА 2019 ГОД</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_Toc56180397 \h </w:instrText>
        </w:r>
        <w:r w:rsidR="00E31350" w:rsidRPr="00C75B91">
          <w:rPr>
            <w:b/>
            <w:bCs/>
            <w:noProof/>
            <w:webHidden/>
          </w:rPr>
        </w:r>
        <w:r w:rsidR="00E31350" w:rsidRPr="00C75B91">
          <w:rPr>
            <w:b/>
            <w:bCs/>
            <w:noProof/>
            <w:webHidden/>
          </w:rPr>
          <w:fldChar w:fldCharType="separate"/>
        </w:r>
        <w:r w:rsidR="00D61F93">
          <w:rPr>
            <w:b/>
            <w:bCs/>
            <w:noProof/>
            <w:webHidden/>
          </w:rPr>
          <w:t>25</w:t>
        </w:r>
        <w:r w:rsidR="00E31350" w:rsidRPr="00C75B91">
          <w:rPr>
            <w:b/>
            <w:bCs/>
            <w:noProof/>
            <w:webHidden/>
          </w:rPr>
          <w:fldChar w:fldCharType="end"/>
        </w:r>
      </w:hyperlink>
    </w:p>
    <w:p w14:paraId="57A748D9" w14:textId="2365B4E0"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98" w:history="1">
        <w:r w:rsidR="00E31350" w:rsidRPr="006379A9">
          <w:rPr>
            <w:rStyle w:val="Hyperlink"/>
            <w:noProof/>
            <w:lang w:val="ru-RU"/>
          </w:rPr>
          <w:t>Доходы и расходы</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_Toc56180398 \h </w:instrText>
        </w:r>
        <w:r w:rsidR="00E31350">
          <w:rPr>
            <w:noProof/>
            <w:webHidden/>
          </w:rPr>
        </w:r>
        <w:r w:rsidR="00E31350">
          <w:rPr>
            <w:noProof/>
            <w:webHidden/>
          </w:rPr>
          <w:fldChar w:fldCharType="separate"/>
        </w:r>
        <w:r w:rsidR="00D61F93">
          <w:rPr>
            <w:noProof/>
            <w:webHidden/>
          </w:rPr>
          <w:t>25</w:t>
        </w:r>
        <w:r w:rsidR="00E31350">
          <w:rPr>
            <w:noProof/>
            <w:webHidden/>
          </w:rPr>
          <w:fldChar w:fldCharType="end"/>
        </w:r>
      </w:hyperlink>
    </w:p>
    <w:p w14:paraId="47A28A44" w14:textId="0A0B543F"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399" w:history="1">
        <w:r w:rsidR="00E31350" w:rsidRPr="006379A9">
          <w:rPr>
            <w:rStyle w:val="Hyperlink"/>
            <w:noProof/>
            <w:lang w:val="ru-RU"/>
          </w:rPr>
          <w:t>Продажи публикаций</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_Toc56180399 \h </w:instrText>
        </w:r>
        <w:r w:rsidR="00E31350">
          <w:rPr>
            <w:noProof/>
            <w:webHidden/>
          </w:rPr>
        </w:r>
        <w:r w:rsidR="00E31350">
          <w:rPr>
            <w:noProof/>
            <w:webHidden/>
          </w:rPr>
          <w:fldChar w:fldCharType="separate"/>
        </w:r>
        <w:r w:rsidR="00D61F93">
          <w:rPr>
            <w:noProof/>
            <w:webHidden/>
          </w:rPr>
          <w:t>25</w:t>
        </w:r>
        <w:r w:rsidR="00E31350">
          <w:rPr>
            <w:noProof/>
            <w:webHidden/>
          </w:rPr>
          <w:fldChar w:fldCharType="end"/>
        </w:r>
      </w:hyperlink>
    </w:p>
    <w:p w14:paraId="419F3FF3" w14:textId="2516A41A"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400" w:history="1">
        <w:r w:rsidR="00E31350" w:rsidRPr="006379A9">
          <w:rPr>
            <w:rStyle w:val="Hyperlink"/>
            <w:noProof/>
            <w:lang w:val="ru-RU"/>
          </w:rPr>
          <w:t>РАСХОДЫ, СВЯЗАННЫЕ С МЕЖДУНАРОДНЫМ СОТРУДНИЧЕСТВОМ И ТЕХНИЧЕСКОЙ ПОМОЩЬЮ: ОСНОВАНИЕ ДЛЯ ВЫНЕСЕНИЯ АУДИТОРСКОГО ЗАКЛЮЧЕНИЯ С ОГОВОРКАМИ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_Toc56180400 \h </w:instrText>
        </w:r>
        <w:r w:rsidR="00E31350">
          <w:rPr>
            <w:noProof/>
            <w:webHidden/>
          </w:rPr>
        </w:r>
        <w:r w:rsidR="00E31350">
          <w:rPr>
            <w:noProof/>
            <w:webHidden/>
          </w:rPr>
          <w:fldChar w:fldCharType="separate"/>
        </w:r>
        <w:r w:rsidR="00D61F93">
          <w:rPr>
            <w:noProof/>
            <w:webHidden/>
          </w:rPr>
          <w:t>26</w:t>
        </w:r>
        <w:r w:rsidR="00E31350">
          <w:rPr>
            <w:noProof/>
            <w:webHidden/>
          </w:rPr>
          <w:fldChar w:fldCharType="end"/>
        </w:r>
      </w:hyperlink>
    </w:p>
    <w:p w14:paraId="156520AD" w14:textId="194EA3A6"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401" w:history="1">
        <w:r w:rsidR="00E31350" w:rsidRPr="006379A9">
          <w:rPr>
            <w:rStyle w:val="Hyperlink"/>
            <w:i/>
            <w:iCs/>
            <w:noProof/>
            <w:lang w:val="ru-RU"/>
          </w:rPr>
          <w:t xml:space="preserve">Подтверждаются усилия, предпринятые руководством в целях </w:t>
        </w:r>
        <w:r w:rsidR="00E31350" w:rsidRPr="006379A9">
          <w:rPr>
            <w:rStyle w:val="Hyperlink"/>
            <w:i/>
            <w:noProof/>
            <w:lang w:val="ru-RU"/>
          </w:rPr>
          <w:t>устранения существенных недостатков в некоторых конкретных областях</w:t>
        </w:r>
        <w:r w:rsidR="00E31350" w:rsidRPr="006379A9">
          <w:rPr>
            <w:rStyle w:val="Hyperlink"/>
            <w:i/>
            <w:iCs/>
            <w:noProof/>
            <w:lang w:val="ru-RU"/>
          </w:rPr>
          <w:t xml:space="preserve">, однако еще требуются </w:t>
        </w:r>
        <w:r w:rsidR="00E31350" w:rsidRPr="006379A9">
          <w:rPr>
            <w:rStyle w:val="Hyperlink"/>
            <w:i/>
            <w:noProof/>
            <w:lang w:val="ru-RU"/>
          </w:rPr>
          <w:t>конкретные меры</w:t>
        </w:r>
        <w:r w:rsidR="00E31350" w:rsidRPr="006379A9">
          <w:rPr>
            <w:rStyle w:val="Hyperlink"/>
            <w:noProof/>
            <w:lang w:val="ru-RU"/>
          </w:rPr>
          <w:t xml:space="preserve"> </w:t>
        </w:r>
        <w:r w:rsidR="00E31350" w:rsidRPr="006379A9">
          <w:rPr>
            <w:rStyle w:val="Hyperlink"/>
            <w:i/>
            <w:iCs/>
            <w:noProof/>
            <w:lang w:val="ru-RU"/>
          </w:rPr>
          <w:t>по реализации</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_Toc56180401 \h </w:instrText>
        </w:r>
        <w:r w:rsidR="00E31350">
          <w:rPr>
            <w:noProof/>
            <w:webHidden/>
          </w:rPr>
        </w:r>
        <w:r w:rsidR="00E31350">
          <w:rPr>
            <w:noProof/>
            <w:webHidden/>
          </w:rPr>
          <w:fldChar w:fldCharType="separate"/>
        </w:r>
        <w:r w:rsidR="00D61F93">
          <w:rPr>
            <w:noProof/>
            <w:webHidden/>
          </w:rPr>
          <w:t>26</w:t>
        </w:r>
        <w:r w:rsidR="00E31350">
          <w:rPr>
            <w:noProof/>
            <w:webHidden/>
          </w:rPr>
          <w:fldChar w:fldCharType="end"/>
        </w:r>
      </w:hyperlink>
    </w:p>
    <w:p w14:paraId="63A346B1" w14:textId="18DD081F"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02" w:history="1">
        <w:r w:rsidR="00E31350" w:rsidRPr="00C75B91">
          <w:rPr>
            <w:rStyle w:val="Hyperlink"/>
            <w:b/>
            <w:bCs/>
            <w:noProof/>
            <w:lang w:val="ru-RU"/>
          </w:rPr>
          <w:t>ЗАКУПКИ</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_Toc56180402 \h </w:instrText>
        </w:r>
        <w:r w:rsidR="00E31350" w:rsidRPr="00C75B91">
          <w:rPr>
            <w:b/>
            <w:bCs/>
            <w:noProof/>
            <w:webHidden/>
          </w:rPr>
        </w:r>
        <w:r w:rsidR="00E31350" w:rsidRPr="00C75B91">
          <w:rPr>
            <w:b/>
            <w:bCs/>
            <w:noProof/>
            <w:webHidden/>
          </w:rPr>
          <w:fldChar w:fldCharType="separate"/>
        </w:r>
        <w:r w:rsidR="00D61F93">
          <w:rPr>
            <w:b/>
            <w:bCs/>
            <w:noProof/>
            <w:webHidden/>
          </w:rPr>
          <w:t>26</w:t>
        </w:r>
        <w:r w:rsidR="00E31350" w:rsidRPr="00C75B91">
          <w:rPr>
            <w:b/>
            <w:bCs/>
            <w:noProof/>
            <w:webHidden/>
          </w:rPr>
          <w:fldChar w:fldCharType="end"/>
        </w:r>
      </w:hyperlink>
    </w:p>
    <w:p w14:paraId="09DBD6D6" w14:textId="2F7AEA06"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403" w:history="1">
        <w:r w:rsidR="00E31350" w:rsidRPr="006379A9">
          <w:rPr>
            <w:rStyle w:val="Hyperlink"/>
            <w:i/>
            <w:iCs/>
            <w:noProof/>
            <w:lang w:val="ru-RU"/>
          </w:rPr>
          <w:t>База данных поставщиков не обновлялась</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_Toc56180403 \h </w:instrText>
        </w:r>
        <w:r w:rsidR="00E31350">
          <w:rPr>
            <w:noProof/>
            <w:webHidden/>
          </w:rPr>
        </w:r>
        <w:r w:rsidR="00E31350">
          <w:rPr>
            <w:noProof/>
            <w:webHidden/>
          </w:rPr>
          <w:fldChar w:fldCharType="separate"/>
        </w:r>
        <w:r w:rsidR="00D61F93">
          <w:rPr>
            <w:noProof/>
            <w:webHidden/>
          </w:rPr>
          <w:t>27</w:t>
        </w:r>
        <w:r w:rsidR="00E31350">
          <w:rPr>
            <w:noProof/>
            <w:webHidden/>
          </w:rPr>
          <w:fldChar w:fldCharType="end"/>
        </w:r>
      </w:hyperlink>
    </w:p>
    <w:p w14:paraId="51CD7DBF" w14:textId="14321E1D" w:rsidR="00E31350" w:rsidRPr="006316AD"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val="ru-RU" w:eastAsia="en-GB"/>
        </w:rPr>
      </w:pPr>
      <w:hyperlink w:anchor="_Toc56180404" w:history="1">
        <w:r w:rsidR="00E31350" w:rsidRPr="006379A9">
          <w:rPr>
            <w:rStyle w:val="Hyperlink"/>
            <w:i/>
            <w:noProof/>
            <w:lang w:val="ru-RU"/>
          </w:rPr>
          <w:t>Публикация всей информации</w:t>
        </w:r>
        <w:r w:rsidR="00E31350" w:rsidRPr="006379A9">
          <w:rPr>
            <w:rStyle w:val="Hyperlink"/>
            <w:i/>
            <w:iCs/>
            <w:noProof/>
            <w:lang w:val="ru-RU"/>
          </w:rPr>
          <w:t>, относящейся к присуждению контракта, на веб</w:t>
        </w:r>
        <w:r w:rsidR="006316AD">
          <w:rPr>
            <w:rStyle w:val="Hyperlink"/>
            <w:i/>
            <w:iCs/>
            <w:noProof/>
            <w:lang w:val="ru-RU"/>
          </w:rPr>
          <w:noBreakHyphen/>
        </w:r>
        <w:r w:rsidR="00E31350" w:rsidRPr="006379A9">
          <w:rPr>
            <w:rStyle w:val="Hyperlink"/>
            <w:i/>
            <w:iCs/>
            <w:noProof/>
            <w:lang w:val="ru-RU"/>
          </w:rPr>
          <w:t>сайте www.ungm.org</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_Toc56180404 \h </w:instrText>
        </w:r>
        <w:r w:rsidR="00E31350">
          <w:rPr>
            <w:noProof/>
            <w:webHidden/>
          </w:rPr>
        </w:r>
        <w:r w:rsidR="00E31350">
          <w:rPr>
            <w:noProof/>
            <w:webHidden/>
          </w:rPr>
          <w:fldChar w:fldCharType="separate"/>
        </w:r>
        <w:r w:rsidR="00D61F93">
          <w:rPr>
            <w:noProof/>
            <w:webHidden/>
          </w:rPr>
          <w:t>27</w:t>
        </w:r>
        <w:r w:rsidR="00E31350">
          <w:rPr>
            <w:noProof/>
            <w:webHidden/>
          </w:rPr>
          <w:fldChar w:fldCharType="end"/>
        </w:r>
      </w:hyperlink>
    </w:p>
    <w:p w14:paraId="535DF675" w14:textId="3826D080"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405" w:history="1">
        <w:r w:rsidR="00E31350" w:rsidRPr="006379A9">
          <w:rPr>
            <w:rStyle w:val="Hyperlink"/>
            <w:i/>
            <w:iCs/>
            <w:noProof/>
            <w:lang w:val="ru-RU"/>
          </w:rPr>
          <w:t>Публикация информации о присуждении контракта на веб-сайте www.ungm.org</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_Toc56180405 \h </w:instrText>
        </w:r>
        <w:r w:rsidR="00E31350">
          <w:rPr>
            <w:noProof/>
            <w:webHidden/>
          </w:rPr>
        </w:r>
        <w:r w:rsidR="00E31350">
          <w:rPr>
            <w:noProof/>
            <w:webHidden/>
          </w:rPr>
          <w:fldChar w:fldCharType="separate"/>
        </w:r>
        <w:r w:rsidR="00D61F93">
          <w:rPr>
            <w:noProof/>
            <w:webHidden/>
          </w:rPr>
          <w:t>27</w:t>
        </w:r>
        <w:r w:rsidR="00E31350">
          <w:rPr>
            <w:noProof/>
            <w:webHidden/>
          </w:rPr>
          <w:fldChar w:fldCharType="end"/>
        </w:r>
      </w:hyperlink>
    </w:p>
    <w:p w14:paraId="56C4B9D3" w14:textId="241B9D1C"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406" w:history="1">
        <w:r w:rsidR="00E31350" w:rsidRPr="006379A9">
          <w:rPr>
            <w:rStyle w:val="Hyperlink"/>
            <w:i/>
            <w:iCs/>
            <w:noProof/>
            <w:lang w:val="ru-RU"/>
          </w:rPr>
          <w:t xml:space="preserve">Присуждение стратегических контрактов в МСЭ с использованием старого </w:t>
        </w:r>
        <w:r w:rsidR="00E31350" w:rsidRPr="006379A9">
          <w:rPr>
            <w:rStyle w:val="Hyperlink"/>
            <w:i/>
            <w:noProof/>
            <w:lang w:val="ru-RU"/>
          </w:rPr>
          <w:t>служебного приказа</w:t>
        </w:r>
        <w:r w:rsidR="00E31350" w:rsidRPr="006379A9">
          <w:rPr>
            <w:rStyle w:val="Hyperlink"/>
            <w:noProof/>
            <w:lang w:val="ru-RU"/>
          </w:rPr>
          <w:t xml:space="preserve"> </w:t>
        </w:r>
        <w:r w:rsidR="00E31350" w:rsidRPr="006379A9">
          <w:rPr>
            <w:rStyle w:val="Hyperlink"/>
            <w:i/>
            <w:iCs/>
            <w:noProof/>
            <w:lang w:val="ru-RU"/>
          </w:rPr>
          <w:t>14/06</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_Toc56180406 \h </w:instrText>
        </w:r>
        <w:r w:rsidR="00E31350">
          <w:rPr>
            <w:noProof/>
            <w:webHidden/>
          </w:rPr>
        </w:r>
        <w:r w:rsidR="00E31350">
          <w:rPr>
            <w:noProof/>
            <w:webHidden/>
          </w:rPr>
          <w:fldChar w:fldCharType="separate"/>
        </w:r>
        <w:r w:rsidR="00D61F93">
          <w:rPr>
            <w:noProof/>
            <w:webHidden/>
          </w:rPr>
          <w:t>28</w:t>
        </w:r>
        <w:r w:rsidR="00E31350">
          <w:rPr>
            <w:noProof/>
            <w:webHidden/>
          </w:rPr>
          <w:fldChar w:fldCharType="end"/>
        </w:r>
      </w:hyperlink>
    </w:p>
    <w:p w14:paraId="5419ACE4" w14:textId="52BE5DE3" w:rsidR="00E31350" w:rsidRDefault="00FE280E" w:rsidP="00C75B91">
      <w:pPr>
        <w:pStyle w:val="TOC1"/>
        <w:tabs>
          <w:tab w:val="clear" w:pos="7938"/>
          <w:tab w:val="left" w:leader="dot" w:pos="8789"/>
          <w:tab w:val="right" w:pos="9639"/>
        </w:tabs>
        <w:spacing w:before="160"/>
        <w:ind w:left="1134" w:right="851"/>
        <w:rPr>
          <w:rFonts w:asciiTheme="minorHAnsi" w:eastAsiaTheme="minorEastAsia" w:hAnsiTheme="minorHAnsi" w:cstheme="minorBidi"/>
          <w:noProof/>
          <w:szCs w:val="22"/>
          <w:lang w:eastAsia="en-GB"/>
        </w:rPr>
      </w:pPr>
      <w:hyperlink w:anchor="_Toc56180407" w:history="1">
        <w:r w:rsidR="00E31350" w:rsidRPr="006379A9">
          <w:rPr>
            <w:rStyle w:val="Hyperlink"/>
            <w:noProof/>
            <w:lang w:val="ru-RU"/>
          </w:rPr>
          <w:t>Проверка IAU деятельности региональных/зональных отделений</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_Toc56180407 \h </w:instrText>
        </w:r>
        <w:r w:rsidR="00E31350">
          <w:rPr>
            <w:noProof/>
            <w:webHidden/>
          </w:rPr>
        </w:r>
        <w:r w:rsidR="00E31350">
          <w:rPr>
            <w:noProof/>
            <w:webHidden/>
          </w:rPr>
          <w:fldChar w:fldCharType="separate"/>
        </w:r>
        <w:r w:rsidR="00D61F93">
          <w:rPr>
            <w:noProof/>
            <w:webHidden/>
          </w:rPr>
          <w:t>28</w:t>
        </w:r>
        <w:r w:rsidR="00E31350">
          <w:rPr>
            <w:noProof/>
            <w:webHidden/>
          </w:rPr>
          <w:fldChar w:fldCharType="end"/>
        </w:r>
      </w:hyperlink>
    </w:p>
    <w:p w14:paraId="780A8D7A" w14:textId="58B404A8"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08" w:history="1">
        <w:r w:rsidR="00E31350" w:rsidRPr="00C75B91">
          <w:rPr>
            <w:rStyle w:val="Hyperlink"/>
            <w:b/>
            <w:bCs/>
            <w:noProof/>
            <w:lang w:val="ru-RU"/>
          </w:rPr>
          <w:t>ПЕРСОНАЛ</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_Toc56180408 \h </w:instrText>
        </w:r>
        <w:r w:rsidR="00E31350" w:rsidRPr="00C75B91">
          <w:rPr>
            <w:b/>
            <w:bCs/>
            <w:noProof/>
            <w:webHidden/>
          </w:rPr>
        </w:r>
        <w:r w:rsidR="00E31350" w:rsidRPr="00C75B91">
          <w:rPr>
            <w:b/>
            <w:bCs/>
            <w:noProof/>
            <w:webHidden/>
          </w:rPr>
          <w:fldChar w:fldCharType="separate"/>
        </w:r>
        <w:r w:rsidR="00D61F93">
          <w:rPr>
            <w:b/>
            <w:bCs/>
            <w:noProof/>
            <w:webHidden/>
          </w:rPr>
          <w:t>28</w:t>
        </w:r>
        <w:r w:rsidR="00E31350" w:rsidRPr="00C75B91">
          <w:rPr>
            <w:b/>
            <w:bCs/>
            <w:noProof/>
            <w:webHidden/>
          </w:rPr>
          <w:fldChar w:fldCharType="end"/>
        </w:r>
      </w:hyperlink>
    </w:p>
    <w:p w14:paraId="47E27BAE" w14:textId="27EAEF21"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409" w:history="1">
        <w:r w:rsidR="00E31350" w:rsidRPr="006379A9">
          <w:rPr>
            <w:rStyle w:val="Hyperlink"/>
            <w:i/>
            <w:noProof/>
            <w:lang w:val="ru-RU"/>
          </w:rPr>
          <w:t xml:space="preserve">Необходимо уделить более пристальное внимание </w:t>
        </w:r>
        <w:r w:rsidR="00E31350" w:rsidRPr="006379A9">
          <w:rPr>
            <w:rStyle w:val="Hyperlink"/>
            <w:i/>
            <w:iCs/>
            <w:noProof/>
            <w:lang w:val="ru-RU"/>
          </w:rPr>
          <w:t>своевременной обработке административных данных и стабилизации системы ERP HRMD</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_Toc56180409 \h </w:instrText>
        </w:r>
        <w:r w:rsidR="00E31350">
          <w:rPr>
            <w:noProof/>
            <w:webHidden/>
          </w:rPr>
        </w:r>
        <w:r w:rsidR="00E31350">
          <w:rPr>
            <w:noProof/>
            <w:webHidden/>
          </w:rPr>
          <w:fldChar w:fldCharType="separate"/>
        </w:r>
        <w:r w:rsidR="00D61F93">
          <w:rPr>
            <w:noProof/>
            <w:webHidden/>
          </w:rPr>
          <w:t>28</w:t>
        </w:r>
        <w:r w:rsidR="00E31350">
          <w:rPr>
            <w:noProof/>
            <w:webHidden/>
          </w:rPr>
          <w:fldChar w:fldCharType="end"/>
        </w:r>
      </w:hyperlink>
    </w:p>
    <w:p w14:paraId="56AF8D83" w14:textId="2E664B6F" w:rsidR="00E31350" w:rsidRDefault="00FE280E" w:rsidP="006316AD">
      <w:pPr>
        <w:pStyle w:val="TOC1"/>
        <w:keepLines w:val="0"/>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410" w:history="1">
        <w:r w:rsidR="00E31350" w:rsidRPr="006379A9">
          <w:rPr>
            <w:rStyle w:val="Hyperlink"/>
            <w:i/>
            <w:iCs/>
            <w:noProof/>
            <w:lang w:val="ru-RU"/>
          </w:rPr>
          <w:t xml:space="preserve">Отсутствие заметного прогресса в </w:t>
        </w:r>
        <w:r w:rsidR="00E31350" w:rsidRPr="006379A9">
          <w:rPr>
            <w:rStyle w:val="Hyperlink"/>
            <w:i/>
            <w:noProof/>
            <w:lang w:val="ru-RU"/>
          </w:rPr>
          <w:t>выполнении Стратегического плана в области людских ресурсов</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_Toc56180410 \h </w:instrText>
        </w:r>
        <w:r w:rsidR="00E31350">
          <w:rPr>
            <w:noProof/>
            <w:webHidden/>
          </w:rPr>
        </w:r>
        <w:r w:rsidR="00E31350">
          <w:rPr>
            <w:noProof/>
            <w:webHidden/>
          </w:rPr>
          <w:fldChar w:fldCharType="separate"/>
        </w:r>
        <w:r w:rsidR="00D61F93">
          <w:rPr>
            <w:noProof/>
            <w:webHidden/>
          </w:rPr>
          <w:t>31</w:t>
        </w:r>
        <w:r w:rsidR="00E31350">
          <w:rPr>
            <w:noProof/>
            <w:webHidden/>
          </w:rPr>
          <w:fldChar w:fldCharType="end"/>
        </w:r>
      </w:hyperlink>
    </w:p>
    <w:p w14:paraId="0B43D0B1" w14:textId="77777777" w:rsidR="006316AD" w:rsidRPr="00F833B4" w:rsidRDefault="006316AD" w:rsidP="006316AD">
      <w:pPr>
        <w:keepNext/>
        <w:tabs>
          <w:tab w:val="clear" w:pos="794"/>
          <w:tab w:val="clear" w:pos="1191"/>
          <w:tab w:val="clear" w:pos="1588"/>
          <w:tab w:val="clear" w:pos="1985"/>
        </w:tabs>
        <w:overflowPunct/>
        <w:autoSpaceDE/>
        <w:autoSpaceDN/>
        <w:adjustRightInd/>
        <w:jc w:val="right"/>
        <w:textAlignment w:val="auto"/>
        <w:rPr>
          <w:noProof/>
          <w:lang w:val="ru-RU"/>
        </w:rPr>
      </w:pPr>
      <w:r w:rsidRPr="00F833B4">
        <w:rPr>
          <w:b/>
          <w:bCs/>
          <w:noProof/>
          <w:lang w:val="ru-RU"/>
        </w:rPr>
        <w:lastRenderedPageBreak/>
        <w:t>Стр</w:t>
      </w:r>
      <w:r w:rsidRPr="00F833B4">
        <w:rPr>
          <w:noProof/>
          <w:lang w:val="ru-RU"/>
        </w:rPr>
        <w:t>.</w:t>
      </w:r>
    </w:p>
    <w:p w14:paraId="27D4C97C" w14:textId="397A3EA0"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11" w:history="1">
        <w:r w:rsidR="00E31350" w:rsidRPr="00C75B91">
          <w:rPr>
            <w:rStyle w:val="Hyperlink"/>
            <w:b/>
            <w:bCs/>
            <w:noProof/>
            <w:lang w:val="ru-RU"/>
          </w:rPr>
          <w:t>ОТЧЕТ ОБ ИЗМЕНЕНИЯХ В ЧИСТЫХ АКТИВАХ ЗА ФИНАНСОВЫЙ ПЕРИОД, ЗАВЕРШИВШИЙСЯ 31 ДЕКАБРЯ 2019 ГОДА</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_Toc56180411 \h </w:instrText>
        </w:r>
        <w:r w:rsidR="00E31350" w:rsidRPr="00C75B91">
          <w:rPr>
            <w:b/>
            <w:bCs/>
            <w:noProof/>
            <w:webHidden/>
          </w:rPr>
        </w:r>
        <w:r w:rsidR="00E31350" w:rsidRPr="00C75B91">
          <w:rPr>
            <w:b/>
            <w:bCs/>
            <w:noProof/>
            <w:webHidden/>
          </w:rPr>
          <w:fldChar w:fldCharType="separate"/>
        </w:r>
        <w:r w:rsidR="00D61F93">
          <w:rPr>
            <w:b/>
            <w:bCs/>
            <w:noProof/>
            <w:webHidden/>
          </w:rPr>
          <w:t>32</w:t>
        </w:r>
        <w:r w:rsidR="00E31350" w:rsidRPr="00C75B91">
          <w:rPr>
            <w:b/>
            <w:bCs/>
            <w:noProof/>
            <w:webHidden/>
          </w:rPr>
          <w:fldChar w:fldCharType="end"/>
        </w:r>
      </w:hyperlink>
    </w:p>
    <w:p w14:paraId="29426D4B" w14:textId="1234E3F0"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12" w:history="1">
        <w:r w:rsidR="00E31350" w:rsidRPr="00C75B91">
          <w:rPr>
            <w:rStyle w:val="Hyperlink"/>
            <w:b/>
            <w:bCs/>
            <w:noProof/>
            <w:lang w:val="ru-RU"/>
          </w:rPr>
          <w:t>ТАБЛИЦА ДВИЖЕНИЯ ДЕНЕЖНЫХ СРЕДСТВ ЗА ФИНАНСОВЫЙ ПЕРИОД, ЗАВЕРШИВШИЙСЯ 31 ДЕКАБРЯ 2019 ГОДА</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_Toc56180412 \h </w:instrText>
        </w:r>
        <w:r w:rsidR="00E31350" w:rsidRPr="00C75B91">
          <w:rPr>
            <w:b/>
            <w:bCs/>
            <w:noProof/>
            <w:webHidden/>
          </w:rPr>
        </w:r>
        <w:r w:rsidR="00E31350" w:rsidRPr="00C75B91">
          <w:rPr>
            <w:b/>
            <w:bCs/>
            <w:noProof/>
            <w:webHidden/>
          </w:rPr>
          <w:fldChar w:fldCharType="separate"/>
        </w:r>
        <w:r w:rsidR="00D61F93">
          <w:rPr>
            <w:b/>
            <w:bCs/>
            <w:noProof/>
            <w:webHidden/>
          </w:rPr>
          <w:t>32</w:t>
        </w:r>
        <w:r w:rsidR="00E31350" w:rsidRPr="00C75B91">
          <w:rPr>
            <w:b/>
            <w:bCs/>
            <w:noProof/>
            <w:webHidden/>
          </w:rPr>
          <w:fldChar w:fldCharType="end"/>
        </w:r>
      </w:hyperlink>
    </w:p>
    <w:p w14:paraId="7467A884" w14:textId="6CB99F8F"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13" w:history="1">
        <w:r w:rsidR="00E31350" w:rsidRPr="00C75B91">
          <w:rPr>
            <w:rStyle w:val="Hyperlink"/>
            <w:b/>
            <w:bCs/>
            <w:noProof/>
            <w:lang w:val="ru-RU"/>
          </w:rPr>
          <w:t>СРАВНЕНИЕ ПРЕДУСМОТРЕННЫХ В БЮДЖЕТЕ СУММ И ФАКТИЧЕСКИХ СУММ ЗА 2019 ФИНАНСОВЫЙ ГОД</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_Toc56180413 \h </w:instrText>
        </w:r>
        <w:r w:rsidR="00E31350" w:rsidRPr="00C75B91">
          <w:rPr>
            <w:b/>
            <w:bCs/>
            <w:noProof/>
            <w:webHidden/>
          </w:rPr>
        </w:r>
        <w:r w:rsidR="00E31350" w:rsidRPr="00C75B91">
          <w:rPr>
            <w:b/>
            <w:bCs/>
            <w:noProof/>
            <w:webHidden/>
          </w:rPr>
          <w:fldChar w:fldCharType="separate"/>
        </w:r>
        <w:r w:rsidR="00D61F93">
          <w:rPr>
            <w:b/>
            <w:bCs/>
            <w:noProof/>
            <w:webHidden/>
          </w:rPr>
          <w:t>33</w:t>
        </w:r>
        <w:r w:rsidR="00E31350" w:rsidRPr="00C75B91">
          <w:rPr>
            <w:b/>
            <w:bCs/>
            <w:noProof/>
            <w:webHidden/>
          </w:rPr>
          <w:fldChar w:fldCharType="end"/>
        </w:r>
      </w:hyperlink>
    </w:p>
    <w:p w14:paraId="47B8BABA" w14:textId="1C48B412"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14" w:history="1">
        <w:r w:rsidR="00E31350" w:rsidRPr="00C75B91">
          <w:rPr>
            <w:rStyle w:val="Hyperlink"/>
            <w:b/>
            <w:bCs/>
            <w:noProof/>
            <w:lang w:val="ru-RU"/>
          </w:rPr>
          <w:t>СТРАХОВАЯ КАССА ПЕРСОНАЛА</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_Toc56180414 \h </w:instrText>
        </w:r>
        <w:r w:rsidR="00E31350" w:rsidRPr="00C75B91">
          <w:rPr>
            <w:b/>
            <w:bCs/>
            <w:noProof/>
            <w:webHidden/>
          </w:rPr>
        </w:r>
        <w:r w:rsidR="00E31350" w:rsidRPr="00C75B91">
          <w:rPr>
            <w:b/>
            <w:bCs/>
            <w:noProof/>
            <w:webHidden/>
          </w:rPr>
          <w:fldChar w:fldCharType="separate"/>
        </w:r>
        <w:r w:rsidR="00D61F93">
          <w:rPr>
            <w:b/>
            <w:bCs/>
            <w:noProof/>
            <w:webHidden/>
          </w:rPr>
          <w:t>33</w:t>
        </w:r>
        <w:r w:rsidR="00E31350" w:rsidRPr="00C75B91">
          <w:rPr>
            <w:b/>
            <w:bCs/>
            <w:noProof/>
            <w:webHidden/>
          </w:rPr>
          <w:fldChar w:fldCharType="end"/>
        </w:r>
      </w:hyperlink>
    </w:p>
    <w:p w14:paraId="14E04545" w14:textId="6B65F7B6"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15" w:history="1">
        <w:r w:rsidR="00E31350" w:rsidRPr="00C75B91">
          <w:rPr>
            <w:rStyle w:val="Hyperlink"/>
            <w:b/>
            <w:bCs/>
            <w:noProof/>
            <w:lang w:val="ru-RU"/>
          </w:rPr>
          <w:t>ПРОГРАММА РАЗВИТИЯ ОРГАНИЗАЦИИ ОБЪЕДИНЕННЫХ НАЦИЙ (ПРООН), ФОНД РАЗВИТИЯ ИНФОРМАЦИОННО-КОММУНИКАЦИОННЫХ ТЕХНОЛОГИЙ (ФРИКТ) И ЦЕЛЕВЫЕ ФОНДЫ</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_Toc56180415 \h </w:instrText>
        </w:r>
        <w:r w:rsidR="00E31350" w:rsidRPr="00C75B91">
          <w:rPr>
            <w:b/>
            <w:bCs/>
            <w:noProof/>
            <w:webHidden/>
          </w:rPr>
        </w:r>
        <w:r w:rsidR="00E31350" w:rsidRPr="00C75B91">
          <w:rPr>
            <w:b/>
            <w:bCs/>
            <w:noProof/>
            <w:webHidden/>
          </w:rPr>
          <w:fldChar w:fldCharType="separate"/>
        </w:r>
        <w:r w:rsidR="00D61F93">
          <w:rPr>
            <w:b/>
            <w:bCs/>
            <w:noProof/>
            <w:webHidden/>
          </w:rPr>
          <w:t>33</w:t>
        </w:r>
        <w:r w:rsidR="00E31350" w:rsidRPr="00C75B91">
          <w:rPr>
            <w:b/>
            <w:bCs/>
            <w:noProof/>
            <w:webHidden/>
          </w:rPr>
          <w:fldChar w:fldCharType="end"/>
        </w:r>
      </w:hyperlink>
    </w:p>
    <w:p w14:paraId="7ACE176B" w14:textId="545DB192"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16" w:history="1">
        <w:r w:rsidR="00E31350" w:rsidRPr="00C75B91">
          <w:rPr>
            <w:rStyle w:val="Hyperlink"/>
            <w:b/>
            <w:bCs/>
            <w:noProof/>
            <w:lang w:val="ru-RU"/>
          </w:rPr>
          <w:t>АУДИТ В ОБЛАСТИ ИТ</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_Toc56180416 \h </w:instrText>
        </w:r>
        <w:r w:rsidR="00E31350" w:rsidRPr="00C75B91">
          <w:rPr>
            <w:b/>
            <w:bCs/>
            <w:noProof/>
            <w:webHidden/>
          </w:rPr>
        </w:r>
        <w:r w:rsidR="00E31350" w:rsidRPr="00C75B91">
          <w:rPr>
            <w:b/>
            <w:bCs/>
            <w:noProof/>
            <w:webHidden/>
          </w:rPr>
          <w:fldChar w:fldCharType="separate"/>
        </w:r>
        <w:r w:rsidR="00D61F93">
          <w:rPr>
            <w:b/>
            <w:bCs/>
            <w:noProof/>
            <w:webHidden/>
          </w:rPr>
          <w:t>34</w:t>
        </w:r>
        <w:r w:rsidR="00E31350" w:rsidRPr="00C75B91">
          <w:rPr>
            <w:b/>
            <w:bCs/>
            <w:noProof/>
            <w:webHidden/>
          </w:rPr>
          <w:fldChar w:fldCharType="end"/>
        </w:r>
      </w:hyperlink>
    </w:p>
    <w:p w14:paraId="4F655C48" w14:textId="1720AEDA"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17" w:history="1">
        <w:r w:rsidR="00E31350" w:rsidRPr="00C75B91">
          <w:rPr>
            <w:rStyle w:val="Hyperlink"/>
            <w:b/>
            <w:bCs/>
            <w:noProof/>
            <w:lang w:val="ru-RU"/>
          </w:rPr>
          <w:t>СИСТЕМА В ОБЛАСТИ ЭТИКИ</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_Toc56180417 \h </w:instrText>
        </w:r>
        <w:r w:rsidR="00E31350" w:rsidRPr="00C75B91">
          <w:rPr>
            <w:b/>
            <w:bCs/>
            <w:noProof/>
            <w:webHidden/>
          </w:rPr>
        </w:r>
        <w:r w:rsidR="00E31350" w:rsidRPr="00C75B91">
          <w:rPr>
            <w:b/>
            <w:bCs/>
            <w:noProof/>
            <w:webHidden/>
          </w:rPr>
          <w:fldChar w:fldCharType="separate"/>
        </w:r>
        <w:r w:rsidR="00D61F93">
          <w:rPr>
            <w:b/>
            <w:bCs/>
            <w:noProof/>
            <w:webHidden/>
          </w:rPr>
          <w:t>34</w:t>
        </w:r>
        <w:r w:rsidR="00E31350" w:rsidRPr="00C75B91">
          <w:rPr>
            <w:b/>
            <w:bCs/>
            <w:noProof/>
            <w:webHidden/>
          </w:rPr>
          <w:fldChar w:fldCharType="end"/>
        </w:r>
      </w:hyperlink>
    </w:p>
    <w:p w14:paraId="7E920C18" w14:textId="53D3A3B6"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418" w:history="1">
        <w:r w:rsidR="00E31350" w:rsidRPr="006379A9">
          <w:rPr>
            <w:rStyle w:val="Hyperlink"/>
            <w:i/>
            <w:noProof/>
            <w:lang w:val="ru-RU"/>
          </w:rPr>
          <w:t>Защита сотрудников, сообщающих о нарушениях: достаточен ли и эффективен ли новый служебный приказ 20/06?</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_Toc56180418 \h </w:instrText>
        </w:r>
        <w:r w:rsidR="00E31350">
          <w:rPr>
            <w:noProof/>
            <w:webHidden/>
          </w:rPr>
        </w:r>
        <w:r w:rsidR="00E31350">
          <w:rPr>
            <w:noProof/>
            <w:webHidden/>
          </w:rPr>
          <w:fldChar w:fldCharType="separate"/>
        </w:r>
        <w:r w:rsidR="00D61F93">
          <w:rPr>
            <w:noProof/>
            <w:webHidden/>
          </w:rPr>
          <w:t>34</w:t>
        </w:r>
        <w:r w:rsidR="00E31350">
          <w:rPr>
            <w:noProof/>
            <w:webHidden/>
          </w:rPr>
          <w:fldChar w:fldCharType="end"/>
        </w:r>
      </w:hyperlink>
    </w:p>
    <w:p w14:paraId="43E70209" w14:textId="1ED1B949" w:rsidR="00E31350" w:rsidRDefault="00FE280E" w:rsidP="00C75B91">
      <w:pPr>
        <w:pStyle w:val="TOC1"/>
        <w:tabs>
          <w:tab w:val="clear" w:pos="7938"/>
          <w:tab w:val="left" w:leader="dot" w:pos="8789"/>
          <w:tab w:val="right" w:pos="9639"/>
        </w:tabs>
        <w:spacing w:before="160"/>
        <w:ind w:right="851" w:firstLine="0"/>
        <w:rPr>
          <w:rFonts w:asciiTheme="minorHAnsi" w:eastAsiaTheme="minorEastAsia" w:hAnsiTheme="minorHAnsi" w:cstheme="minorBidi"/>
          <w:noProof/>
          <w:szCs w:val="22"/>
          <w:lang w:eastAsia="en-GB"/>
        </w:rPr>
      </w:pPr>
      <w:hyperlink w:anchor="_Toc56180419" w:history="1">
        <w:r w:rsidR="00E31350" w:rsidRPr="006379A9">
          <w:rPr>
            <w:rStyle w:val="Hyperlink"/>
            <w:i/>
            <w:noProof/>
            <w:lang w:val="ru-RU"/>
          </w:rPr>
          <w:t>Согласуются ли полностью с заявлением об абсолютной нетерпимости к злоупотреблениям меры, принятые в связи с конкретным случаем мошенничества</w:t>
        </w:r>
        <w:r w:rsidR="00E31350" w:rsidRPr="006379A9">
          <w:rPr>
            <w:rStyle w:val="Hyperlink"/>
            <w:i/>
            <w:iCs/>
            <w:noProof/>
            <w:lang w:val="ru-RU"/>
          </w:rPr>
          <w:t>?</w:t>
        </w:r>
        <w:r w:rsidR="00E31350">
          <w:rPr>
            <w:noProof/>
            <w:webHidden/>
          </w:rPr>
          <w:tab/>
        </w:r>
        <w:r w:rsidR="00E31350">
          <w:rPr>
            <w:noProof/>
            <w:webHidden/>
          </w:rPr>
          <w:tab/>
        </w:r>
        <w:r w:rsidR="00E31350">
          <w:rPr>
            <w:noProof/>
            <w:webHidden/>
          </w:rPr>
          <w:fldChar w:fldCharType="begin"/>
        </w:r>
        <w:r w:rsidR="00E31350">
          <w:rPr>
            <w:noProof/>
            <w:webHidden/>
          </w:rPr>
          <w:instrText xml:space="preserve"> PAGEREF _Toc56180419 \h </w:instrText>
        </w:r>
        <w:r w:rsidR="00E31350">
          <w:rPr>
            <w:noProof/>
            <w:webHidden/>
          </w:rPr>
        </w:r>
        <w:r w:rsidR="00E31350">
          <w:rPr>
            <w:noProof/>
            <w:webHidden/>
          </w:rPr>
          <w:fldChar w:fldCharType="separate"/>
        </w:r>
        <w:r w:rsidR="00D61F93">
          <w:rPr>
            <w:noProof/>
            <w:webHidden/>
          </w:rPr>
          <w:t>37</w:t>
        </w:r>
        <w:r w:rsidR="00E31350">
          <w:rPr>
            <w:noProof/>
            <w:webHidden/>
          </w:rPr>
          <w:fldChar w:fldCharType="end"/>
        </w:r>
      </w:hyperlink>
    </w:p>
    <w:p w14:paraId="1045DCED" w14:textId="05DE2D6E"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20" w:history="1">
        <w:r w:rsidR="00E31350" w:rsidRPr="00C75B91">
          <w:rPr>
            <w:rStyle w:val="Hyperlink"/>
            <w:b/>
            <w:bCs/>
            <w:noProof/>
            <w:lang w:val="ru-RU"/>
          </w:rPr>
          <w:t>ПОДРАЗДЕЛЕНИЕ ВНУТРЕННЕГО АУДИТА (IAU)</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_Toc56180420 \h </w:instrText>
        </w:r>
        <w:r w:rsidR="00E31350" w:rsidRPr="00C75B91">
          <w:rPr>
            <w:b/>
            <w:bCs/>
            <w:noProof/>
            <w:webHidden/>
          </w:rPr>
        </w:r>
        <w:r w:rsidR="00E31350" w:rsidRPr="00C75B91">
          <w:rPr>
            <w:b/>
            <w:bCs/>
            <w:noProof/>
            <w:webHidden/>
          </w:rPr>
          <w:fldChar w:fldCharType="separate"/>
        </w:r>
        <w:r w:rsidR="00D61F93">
          <w:rPr>
            <w:b/>
            <w:bCs/>
            <w:noProof/>
            <w:webHidden/>
          </w:rPr>
          <w:t>38</w:t>
        </w:r>
        <w:r w:rsidR="00E31350" w:rsidRPr="00C75B91">
          <w:rPr>
            <w:b/>
            <w:bCs/>
            <w:noProof/>
            <w:webHidden/>
          </w:rPr>
          <w:fldChar w:fldCharType="end"/>
        </w:r>
      </w:hyperlink>
    </w:p>
    <w:p w14:paraId="633938C7" w14:textId="011C6E30"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21" w:history="1">
        <w:r w:rsidR="00E31350" w:rsidRPr="00C75B91">
          <w:rPr>
            <w:rStyle w:val="Hyperlink"/>
            <w:b/>
            <w:bCs/>
            <w:noProof/>
            <w:lang w:val="ru-RU"/>
          </w:rPr>
          <w:t>ПОСЛЕДУЮЩИЕ МЕРЫ В СВЯЗИ С ПРЕДЫДУЩИМИ РЕКОМЕНДАЦИЯМИ И ПРЕДЛОЖЕНИЯМИ</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_Toc56180421 \h </w:instrText>
        </w:r>
        <w:r w:rsidR="00E31350" w:rsidRPr="00C75B91">
          <w:rPr>
            <w:b/>
            <w:bCs/>
            <w:noProof/>
            <w:webHidden/>
          </w:rPr>
        </w:r>
        <w:r w:rsidR="00E31350" w:rsidRPr="00C75B91">
          <w:rPr>
            <w:b/>
            <w:bCs/>
            <w:noProof/>
            <w:webHidden/>
          </w:rPr>
          <w:fldChar w:fldCharType="separate"/>
        </w:r>
        <w:r w:rsidR="00D61F93">
          <w:rPr>
            <w:b/>
            <w:bCs/>
            <w:noProof/>
            <w:webHidden/>
          </w:rPr>
          <w:t>39</w:t>
        </w:r>
        <w:r w:rsidR="00E31350" w:rsidRPr="00C75B91">
          <w:rPr>
            <w:b/>
            <w:bCs/>
            <w:noProof/>
            <w:webHidden/>
          </w:rPr>
          <w:fldChar w:fldCharType="end"/>
        </w:r>
      </w:hyperlink>
    </w:p>
    <w:p w14:paraId="3E79115A" w14:textId="551D456B"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22" w:history="1">
        <w:r w:rsidR="00E31350" w:rsidRPr="00C75B91">
          <w:rPr>
            <w:rStyle w:val="Hyperlink"/>
            <w:b/>
            <w:bCs/>
            <w:noProof/>
            <w:lang w:val="ru-RU"/>
          </w:rPr>
          <w:t>ПРИЛОЖЕНИЕ I</w:t>
        </w:r>
        <w:r w:rsidR="00C75B91" w:rsidRPr="00C75B91">
          <w:rPr>
            <w:rStyle w:val="Hyperlink"/>
            <w:b/>
            <w:bCs/>
            <w:noProof/>
            <w:lang w:val="ru-RU"/>
          </w:rPr>
          <w:t xml:space="preserve"> − </w:t>
        </w:r>
      </w:hyperlink>
      <w:hyperlink w:anchor="_Toc56180423" w:history="1">
        <w:r w:rsidR="00E31350" w:rsidRPr="00C75B91">
          <w:rPr>
            <w:rStyle w:val="Hyperlink"/>
            <w:b/>
            <w:bCs/>
            <w:noProof/>
            <w:lang w:val="ru-RU"/>
          </w:rPr>
          <w:t>Последующие меры в связи с рекомендациями, представленными в наших предыдущих отчетах</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_Toc56180423 \h </w:instrText>
        </w:r>
        <w:r w:rsidR="00E31350" w:rsidRPr="00C75B91">
          <w:rPr>
            <w:b/>
            <w:bCs/>
            <w:noProof/>
            <w:webHidden/>
          </w:rPr>
        </w:r>
        <w:r w:rsidR="00E31350" w:rsidRPr="00C75B91">
          <w:rPr>
            <w:b/>
            <w:bCs/>
            <w:noProof/>
            <w:webHidden/>
          </w:rPr>
          <w:fldChar w:fldCharType="separate"/>
        </w:r>
        <w:r w:rsidR="00D61F93">
          <w:rPr>
            <w:b/>
            <w:bCs/>
            <w:noProof/>
            <w:webHidden/>
          </w:rPr>
          <w:t>40</w:t>
        </w:r>
        <w:r w:rsidR="00E31350" w:rsidRPr="00C75B91">
          <w:rPr>
            <w:b/>
            <w:bCs/>
            <w:noProof/>
            <w:webHidden/>
          </w:rPr>
          <w:fldChar w:fldCharType="end"/>
        </w:r>
      </w:hyperlink>
    </w:p>
    <w:p w14:paraId="76F89422" w14:textId="2CA21650" w:rsidR="00E31350" w:rsidRPr="00C75B91" w:rsidRDefault="00FE280E" w:rsidP="00E31350">
      <w:pPr>
        <w:pStyle w:val="TOC1"/>
        <w:tabs>
          <w:tab w:val="clear" w:pos="7938"/>
          <w:tab w:val="left" w:leader="dot" w:pos="8789"/>
          <w:tab w:val="right" w:pos="9639"/>
        </w:tabs>
        <w:spacing w:before="160"/>
        <w:ind w:right="851"/>
        <w:rPr>
          <w:rFonts w:asciiTheme="minorHAnsi" w:eastAsiaTheme="minorEastAsia" w:hAnsiTheme="minorHAnsi" w:cstheme="minorBidi"/>
          <w:b/>
          <w:bCs/>
          <w:noProof/>
          <w:szCs w:val="22"/>
          <w:lang w:eastAsia="en-GB"/>
        </w:rPr>
      </w:pPr>
      <w:hyperlink w:anchor="_Toc56180424" w:history="1">
        <w:r w:rsidR="00C75B91" w:rsidRPr="00C75B91">
          <w:rPr>
            <w:rStyle w:val="Hyperlink"/>
            <w:b/>
            <w:bCs/>
            <w:noProof/>
            <w:lang w:val="ru-RU"/>
          </w:rPr>
          <w:t xml:space="preserve">ПРИЛОЖЕНИЕ II − </w:t>
        </w:r>
      </w:hyperlink>
      <w:hyperlink w:anchor="_Toc56180425" w:history="1">
        <w:r w:rsidR="00E31350" w:rsidRPr="00C75B91">
          <w:rPr>
            <w:rStyle w:val="Hyperlink"/>
            <w:b/>
            <w:bCs/>
            <w:noProof/>
            <w:lang w:val="ru-RU"/>
          </w:rPr>
          <w:t>Последующие меры в связи с предложениями, представленными в наших предыдущих отчетах</w:t>
        </w:r>
        <w:r w:rsidR="00E31350" w:rsidRPr="00C75B91">
          <w:rPr>
            <w:b/>
            <w:bCs/>
            <w:noProof/>
            <w:webHidden/>
          </w:rPr>
          <w:tab/>
        </w:r>
        <w:r w:rsidR="00E31350" w:rsidRPr="00C75B91">
          <w:rPr>
            <w:b/>
            <w:bCs/>
            <w:noProof/>
            <w:webHidden/>
          </w:rPr>
          <w:tab/>
        </w:r>
        <w:r w:rsidR="00E31350" w:rsidRPr="00C75B91">
          <w:rPr>
            <w:b/>
            <w:bCs/>
            <w:noProof/>
            <w:webHidden/>
          </w:rPr>
          <w:fldChar w:fldCharType="begin"/>
        </w:r>
        <w:r w:rsidR="00E31350" w:rsidRPr="00C75B91">
          <w:rPr>
            <w:b/>
            <w:bCs/>
            <w:noProof/>
            <w:webHidden/>
          </w:rPr>
          <w:instrText xml:space="preserve"> PAGEREF _Toc56180425 \h </w:instrText>
        </w:r>
        <w:r w:rsidR="00E31350" w:rsidRPr="00C75B91">
          <w:rPr>
            <w:b/>
            <w:bCs/>
            <w:noProof/>
            <w:webHidden/>
          </w:rPr>
        </w:r>
        <w:r w:rsidR="00E31350" w:rsidRPr="00C75B91">
          <w:rPr>
            <w:b/>
            <w:bCs/>
            <w:noProof/>
            <w:webHidden/>
          </w:rPr>
          <w:fldChar w:fldCharType="separate"/>
        </w:r>
        <w:r w:rsidR="00D61F93">
          <w:rPr>
            <w:b/>
            <w:bCs/>
            <w:noProof/>
            <w:webHidden/>
          </w:rPr>
          <w:t>90</w:t>
        </w:r>
        <w:r w:rsidR="00E31350" w:rsidRPr="00C75B91">
          <w:rPr>
            <w:b/>
            <w:bCs/>
            <w:noProof/>
            <w:webHidden/>
          </w:rPr>
          <w:fldChar w:fldCharType="end"/>
        </w:r>
      </w:hyperlink>
    </w:p>
    <w:p w14:paraId="0D7D8DE3" w14:textId="09A21273" w:rsidR="00CE0E84" w:rsidRPr="00F833B4" w:rsidRDefault="00E31350" w:rsidP="006316AD">
      <w:pPr>
        <w:rPr>
          <w:lang w:val="ru-RU"/>
        </w:rPr>
      </w:pPr>
      <w:r>
        <w:rPr>
          <w:lang w:val="ru-RU"/>
        </w:rPr>
        <w:fldChar w:fldCharType="end"/>
      </w:r>
      <w:r w:rsidR="00CE0E84" w:rsidRPr="00F833B4">
        <w:rPr>
          <w:lang w:val="ru-RU"/>
        </w:rPr>
        <w:br w:type="page"/>
      </w:r>
    </w:p>
    <w:p w14:paraId="24B8EA80" w14:textId="77777777" w:rsidR="00CE0E84" w:rsidRPr="00F833B4" w:rsidRDefault="00CE0E84" w:rsidP="00CE0E84">
      <w:pPr>
        <w:pStyle w:val="Heading1"/>
        <w:jc w:val="center"/>
        <w:rPr>
          <w:lang w:val="ru-RU"/>
        </w:rPr>
      </w:pPr>
      <w:bookmarkStart w:id="32" w:name="_Toc452157288"/>
      <w:bookmarkStart w:id="33" w:name="_Toc482995155"/>
      <w:bookmarkStart w:id="34" w:name="_Toc522633552"/>
      <w:bookmarkStart w:id="35" w:name="_Toc56179540"/>
      <w:bookmarkStart w:id="36" w:name="_Toc56180358"/>
      <w:r w:rsidRPr="00F833B4">
        <w:rPr>
          <w:lang w:val="ru-RU"/>
        </w:rPr>
        <w:lastRenderedPageBreak/>
        <w:t>ВВЕДЕНИЕ</w:t>
      </w:r>
      <w:bookmarkEnd w:id="32"/>
      <w:bookmarkEnd w:id="33"/>
      <w:bookmarkEnd w:id="34"/>
      <w:bookmarkEnd w:id="35"/>
      <w:bookmarkEnd w:id="36"/>
    </w:p>
    <w:p w14:paraId="6508EA58" w14:textId="77777777" w:rsidR="00CE0E84" w:rsidRPr="00F833B4" w:rsidRDefault="00CE0E84" w:rsidP="00474CF2">
      <w:pPr>
        <w:spacing w:before="480"/>
        <w:rPr>
          <w:lang w:val="ru-RU"/>
        </w:rPr>
      </w:pPr>
      <w:r w:rsidRPr="00F833B4">
        <w:rPr>
          <w:lang w:val="ru-RU"/>
        </w:rPr>
        <w:t xml:space="preserve">Правовая основа аудиторской проверки, проводимой Внешним аудитором, </w:t>
      </w:r>
      <w:r w:rsidR="006D6703" w:rsidRPr="00F833B4">
        <w:rPr>
          <w:lang w:val="ru-RU"/>
        </w:rPr>
        <w:t>установлена</w:t>
      </w:r>
      <w:r w:rsidRPr="00F833B4">
        <w:rPr>
          <w:lang w:val="ru-RU"/>
        </w:rPr>
        <w:t xml:space="preserve"> в Статье 28 Финансового регламента (издани</w:t>
      </w:r>
      <w:r w:rsidR="002363B5" w:rsidRPr="00F833B4">
        <w:rPr>
          <w:lang w:val="ru-RU"/>
        </w:rPr>
        <w:t>е</w:t>
      </w:r>
      <w:r w:rsidRPr="00F833B4">
        <w:rPr>
          <w:lang w:val="ru-RU"/>
        </w:rPr>
        <w:t xml:space="preserve"> 2010</w:t>
      </w:r>
      <w:r w:rsidR="004D2F49" w:rsidRPr="00F833B4">
        <w:rPr>
          <w:lang w:val="ru-RU"/>
        </w:rPr>
        <w:t> г.</w:t>
      </w:r>
      <w:r w:rsidRPr="00F833B4">
        <w:rPr>
          <w:lang w:val="ru-RU"/>
        </w:rPr>
        <w:t>) и Дополнительных полномочиях.</w:t>
      </w:r>
    </w:p>
    <w:p w14:paraId="22131480" w14:textId="77777777" w:rsidR="00CE0E84" w:rsidRPr="00F833B4" w:rsidRDefault="00CE0E84" w:rsidP="00CE0E84">
      <w:pPr>
        <w:rPr>
          <w:lang w:val="ru-RU"/>
        </w:rPr>
      </w:pPr>
      <w:r w:rsidRPr="00F833B4">
        <w:rPr>
          <w:lang w:val="ru-RU"/>
        </w:rPr>
        <w:t xml:space="preserve">В настоящем отчете Совету представляется информация о результатах проведенной нами аудиторской проверки. </w:t>
      </w:r>
    </w:p>
    <w:p w14:paraId="510646DE" w14:textId="1BDA6940" w:rsidR="00CE0E84" w:rsidRPr="00F833B4" w:rsidRDefault="00CE0E84" w:rsidP="00CE0E84">
      <w:pPr>
        <w:rPr>
          <w:lang w:val="ru-RU"/>
        </w:rPr>
      </w:pPr>
      <w:r w:rsidRPr="00F833B4">
        <w:rPr>
          <w:lang w:val="ru-RU"/>
        </w:rPr>
        <w:t>В ходе аудиторской проверки рассматривался Отчет о финансовой деятельности МСЭ по состоянию на 31</w:t>
      </w:r>
      <w:r w:rsidR="004D2F49" w:rsidRPr="00F833B4">
        <w:rPr>
          <w:lang w:val="ru-RU"/>
        </w:rPr>
        <w:t> декабря</w:t>
      </w:r>
      <w:r w:rsidRPr="00F833B4">
        <w:rPr>
          <w:lang w:val="ru-RU"/>
        </w:rPr>
        <w:t xml:space="preserve"> 201</w:t>
      </w:r>
      <w:r w:rsidR="00D2474B" w:rsidRPr="00F833B4">
        <w:rPr>
          <w:lang w:val="ru-RU"/>
        </w:rPr>
        <w:t>9</w:t>
      </w:r>
      <w:r w:rsidR="004D2F49" w:rsidRPr="00F833B4">
        <w:rPr>
          <w:lang w:val="ru-RU"/>
        </w:rPr>
        <w:t> год</w:t>
      </w:r>
      <w:r w:rsidRPr="00F833B4">
        <w:rPr>
          <w:lang w:val="ru-RU"/>
        </w:rPr>
        <w:t>а, а также бюджетные счета и их согласованность.</w:t>
      </w:r>
    </w:p>
    <w:p w14:paraId="78D9A0B7" w14:textId="77777777" w:rsidR="00CE0E84" w:rsidRPr="00F833B4" w:rsidRDefault="00CE0E84" w:rsidP="00CE0E84">
      <w:pPr>
        <w:rPr>
          <w:lang w:val="ru-RU"/>
        </w:rPr>
      </w:pPr>
      <w:r w:rsidRPr="00F833B4">
        <w:rPr>
          <w:lang w:val="ru-RU"/>
        </w:rPr>
        <w:t xml:space="preserve">Финансовые периоды регулируются Уставом и Конвенцией Международного союза электросвязи, а также </w:t>
      </w:r>
      <w:r w:rsidRPr="00F833B4">
        <w:rPr>
          <w:i/>
          <w:iCs/>
          <w:lang w:val="ru-RU"/>
        </w:rPr>
        <w:t>Финансовым регламентом и Финансовыми правилами</w:t>
      </w:r>
      <w:r w:rsidRPr="00F833B4">
        <w:rPr>
          <w:lang w:val="ru-RU"/>
        </w:rPr>
        <w:t xml:space="preserve"> МСЭ в соответствии с Международными стандартами финансовой отчетности для общественного сектора (IPSAS).</w:t>
      </w:r>
    </w:p>
    <w:p w14:paraId="4FF7862A" w14:textId="77777777" w:rsidR="00CE0E84" w:rsidRPr="00F833B4" w:rsidRDefault="00CE0E84" w:rsidP="00CE0E84">
      <w:pPr>
        <w:rPr>
          <w:lang w:val="ru-RU"/>
        </w:rPr>
      </w:pPr>
      <w:r w:rsidRPr="00F833B4">
        <w:rPr>
          <w:lang w:val="ru-RU"/>
        </w:rPr>
        <w:t>Мы провели аудиторскую проверку счетов за 201</w:t>
      </w:r>
      <w:r w:rsidR="00D2474B" w:rsidRPr="00F833B4">
        <w:rPr>
          <w:lang w:val="ru-RU"/>
        </w:rPr>
        <w:t>9</w:t>
      </w:r>
      <w:r w:rsidRPr="00F833B4">
        <w:rPr>
          <w:lang w:val="ru-RU"/>
        </w:rPr>
        <w:t xml:space="preserve"> финансовый год на основе стандартов Международной организации высших ревизионных учреждений (МОВРУ), метода IPSAS и в соответствии с дополнительными полномочиями, которые являются неотъемлемой частью Финансового регламента Союза. </w:t>
      </w:r>
    </w:p>
    <w:p w14:paraId="65E2D27F" w14:textId="77777777" w:rsidR="00CE0E84" w:rsidRPr="00F833B4" w:rsidRDefault="00CE0E84" w:rsidP="006117CF">
      <w:pPr>
        <w:rPr>
          <w:lang w:val="ru-RU"/>
        </w:rPr>
      </w:pPr>
      <w:r w:rsidRPr="00F833B4">
        <w:rPr>
          <w:lang w:val="ru-RU"/>
        </w:rPr>
        <w:t xml:space="preserve">Мы планировали нашу рабочую деятельность согласно нашей стратегии аудита, </w:t>
      </w:r>
      <w:r w:rsidR="006117CF" w:rsidRPr="00F833B4">
        <w:rPr>
          <w:lang w:val="ru-RU"/>
        </w:rPr>
        <w:t xml:space="preserve">для того </w:t>
      </w:r>
      <w:r w:rsidRPr="00F833B4">
        <w:rPr>
          <w:lang w:val="ru-RU"/>
        </w:rPr>
        <w:t xml:space="preserve">чтобы получить разумные гарантии </w:t>
      </w:r>
      <w:r w:rsidR="006117CF" w:rsidRPr="00F833B4">
        <w:rPr>
          <w:lang w:val="ru-RU"/>
        </w:rPr>
        <w:t>отсутствия</w:t>
      </w:r>
      <w:r w:rsidRPr="00F833B4">
        <w:rPr>
          <w:lang w:val="ru-RU"/>
        </w:rPr>
        <w:t xml:space="preserve"> в финансовой отчетности данны</w:t>
      </w:r>
      <w:r w:rsidR="006117CF" w:rsidRPr="00F833B4">
        <w:rPr>
          <w:lang w:val="ru-RU"/>
        </w:rPr>
        <w:t>х</w:t>
      </w:r>
      <w:r w:rsidRPr="00F833B4">
        <w:rPr>
          <w:lang w:val="ru-RU"/>
        </w:rPr>
        <w:t>, которые существенным образом искажали</w:t>
      </w:r>
      <w:r w:rsidR="006117CF" w:rsidRPr="00F833B4">
        <w:rPr>
          <w:lang w:val="ru-RU"/>
        </w:rPr>
        <w:t xml:space="preserve"> бы</w:t>
      </w:r>
      <w:r w:rsidRPr="00F833B4">
        <w:rPr>
          <w:lang w:val="ru-RU"/>
        </w:rPr>
        <w:t xml:space="preserve"> положение дел. </w:t>
      </w:r>
    </w:p>
    <w:p w14:paraId="49B238CA" w14:textId="77777777" w:rsidR="00CE0E84" w:rsidRPr="00F833B4" w:rsidRDefault="00CE0E84" w:rsidP="00265816">
      <w:pPr>
        <w:rPr>
          <w:lang w:val="ru-RU"/>
        </w:rPr>
      </w:pPr>
      <w:r w:rsidRPr="00F833B4">
        <w:rPr>
          <w:lang w:val="ru-RU"/>
        </w:rPr>
        <w:t xml:space="preserve">Мы провели оценку принципов бухгалтерского учета и соответствующих прогнозов, сделанных руководством, и оценили </w:t>
      </w:r>
      <w:r w:rsidR="00265816" w:rsidRPr="00F833B4">
        <w:rPr>
          <w:lang w:val="ru-RU"/>
        </w:rPr>
        <w:t>полноту</w:t>
      </w:r>
      <w:r w:rsidRPr="00F833B4">
        <w:rPr>
          <w:lang w:val="ru-RU"/>
        </w:rPr>
        <w:t xml:space="preserve"> представления информации в финансовой отчетности. </w:t>
      </w:r>
    </w:p>
    <w:p w14:paraId="0B806534" w14:textId="77777777" w:rsidR="00012D1B" w:rsidRPr="00F833B4" w:rsidRDefault="005A19D5" w:rsidP="00265816">
      <w:pPr>
        <w:rPr>
          <w:lang w:val="ru-RU"/>
        </w:rPr>
      </w:pPr>
      <w:r w:rsidRPr="00F833B4">
        <w:rPr>
          <w:lang w:val="ru-RU"/>
        </w:rPr>
        <w:t xml:space="preserve">Ввиду пандемии Covid-19 мы были вынуждены работать в основном дистанционно и отложить проверку на месте определенных категорий, таких как </w:t>
      </w:r>
      <w:r w:rsidRPr="00F833B4">
        <w:rPr>
          <w:color w:val="000000"/>
          <w:lang w:val="ru-RU"/>
        </w:rPr>
        <w:t>реестр материальных активов, запасы, ли</w:t>
      </w:r>
      <w:r w:rsidR="00265788" w:rsidRPr="00F833B4">
        <w:rPr>
          <w:color w:val="000000"/>
          <w:lang w:val="ru-RU"/>
        </w:rPr>
        <w:t>ч</w:t>
      </w:r>
      <w:r w:rsidRPr="00F833B4">
        <w:rPr>
          <w:color w:val="000000"/>
          <w:lang w:val="ru-RU"/>
        </w:rPr>
        <w:t>ные дела сотрудников и т. п.</w:t>
      </w:r>
      <w:r w:rsidRPr="00F833B4">
        <w:rPr>
          <w:lang w:val="ru-RU"/>
        </w:rPr>
        <w:t>, поскольку сам МСЭ закрыт и переведен на дистанционный режим работы. Ввиду этого мы применяли альтернативные процедуры</w:t>
      </w:r>
      <w:r w:rsidR="007A6AB8" w:rsidRPr="00F833B4">
        <w:rPr>
          <w:lang w:val="ru-RU"/>
        </w:rPr>
        <w:t xml:space="preserve"> там</w:t>
      </w:r>
      <w:r w:rsidR="00012D1B" w:rsidRPr="00F833B4">
        <w:rPr>
          <w:lang w:val="ru-RU"/>
        </w:rPr>
        <w:t>,</w:t>
      </w:r>
      <w:r w:rsidR="007A6AB8" w:rsidRPr="00F833B4">
        <w:rPr>
          <w:lang w:val="ru-RU"/>
        </w:rPr>
        <w:t xml:space="preserve"> где международные стандарты аудита предусматривают непосредственную проверку соответствующих </w:t>
      </w:r>
      <w:r w:rsidR="004A6755" w:rsidRPr="00F833B4">
        <w:rPr>
          <w:lang w:val="ru-RU"/>
        </w:rPr>
        <w:t>операций</w:t>
      </w:r>
      <w:r w:rsidRPr="00F833B4">
        <w:rPr>
          <w:lang w:val="ru-RU"/>
        </w:rPr>
        <w:t xml:space="preserve">. </w:t>
      </w:r>
      <w:r w:rsidR="007A6AB8" w:rsidRPr="00F833B4">
        <w:rPr>
          <w:lang w:val="ru-RU"/>
        </w:rPr>
        <w:t>Несмотря на ограниченный масштаб проверки на месте, наша проведенная в дистанционном режиме аудиторская проверка, в совокупности с нашим знанием мер внутреннего контроля, применяемых в МСЭ, позволила нам получить достаточно надлежащих данных для обоснования нашего заключения</w:t>
      </w:r>
      <w:r w:rsidRPr="00F833B4">
        <w:rPr>
          <w:lang w:val="ru-RU"/>
        </w:rPr>
        <w:t>.</w:t>
      </w:r>
    </w:p>
    <w:p w14:paraId="542BA7E6" w14:textId="59EE56B6" w:rsidR="00CE0E84" w:rsidRPr="00F833B4" w:rsidRDefault="00265788" w:rsidP="00CE0E84">
      <w:pPr>
        <w:rPr>
          <w:lang w:val="ru-RU"/>
        </w:rPr>
      </w:pPr>
      <w:r w:rsidRPr="00F833B4">
        <w:rPr>
          <w:lang w:val="ru-RU"/>
        </w:rPr>
        <w:t>В</w:t>
      </w:r>
      <w:r w:rsidR="00CE0E84" w:rsidRPr="00F833B4">
        <w:rPr>
          <w:lang w:val="ru-RU"/>
        </w:rPr>
        <w:t>се</w:t>
      </w:r>
      <w:r w:rsidRPr="00F833B4">
        <w:rPr>
          <w:lang w:val="ru-RU"/>
        </w:rPr>
        <w:t xml:space="preserve"> </w:t>
      </w:r>
      <w:r w:rsidR="00CE0E84" w:rsidRPr="00F833B4">
        <w:rPr>
          <w:lang w:val="ru-RU"/>
        </w:rPr>
        <w:t xml:space="preserve">вопросы разъяснялись и обсуждались </w:t>
      </w:r>
      <w:r w:rsidRPr="00F833B4">
        <w:rPr>
          <w:lang w:val="ru-RU"/>
        </w:rPr>
        <w:t xml:space="preserve">в форме видеоконференций, обмена сообщениями электронной почты и телефонных бесед </w:t>
      </w:r>
      <w:r w:rsidR="00CE0E84" w:rsidRPr="00F833B4">
        <w:rPr>
          <w:lang w:val="ru-RU"/>
        </w:rPr>
        <w:t xml:space="preserve">с ответственными сотрудниками. Наша группа регулярно проводила обсуждения с г-ном </w:t>
      </w:r>
      <w:proofErr w:type="spellStart"/>
      <w:r w:rsidR="00CE0E84" w:rsidRPr="00F833B4">
        <w:rPr>
          <w:lang w:val="ru-RU"/>
        </w:rPr>
        <w:t>Алассаном</w:t>
      </w:r>
      <w:proofErr w:type="spellEnd"/>
      <w:r w:rsidR="00CE0E84" w:rsidRPr="00F833B4">
        <w:rPr>
          <w:lang w:val="ru-RU"/>
        </w:rPr>
        <w:t xml:space="preserve"> Ба, руководителем Департамента управления финансовыми ресурсами МСЭ, и сотрудниками его департамента, а также с сотрудниками других департаментов, в зависимости от рассматриваемого вопроса. </w:t>
      </w:r>
    </w:p>
    <w:p w14:paraId="29D4F474" w14:textId="37DA8388" w:rsidR="00CE0E84" w:rsidRPr="00F833B4" w:rsidRDefault="00CE0E84" w:rsidP="00CE0E84">
      <w:pPr>
        <w:rPr>
          <w:lang w:val="ru-RU"/>
        </w:rPr>
      </w:pPr>
      <w:r w:rsidRPr="00F833B4">
        <w:rPr>
          <w:lang w:val="ru-RU"/>
        </w:rPr>
        <w:t xml:space="preserve">Результаты аудита были представлены </w:t>
      </w:r>
      <w:r w:rsidR="00265788" w:rsidRPr="00F833B4">
        <w:rPr>
          <w:lang w:val="ru-RU"/>
        </w:rPr>
        <w:t xml:space="preserve">руководству </w:t>
      </w:r>
      <w:r w:rsidR="00D2474B" w:rsidRPr="00F833B4">
        <w:rPr>
          <w:lang w:val="ru-RU"/>
        </w:rPr>
        <w:t>23 октября</w:t>
      </w:r>
      <w:r w:rsidRPr="00F833B4">
        <w:rPr>
          <w:lang w:val="ru-RU"/>
        </w:rPr>
        <w:t xml:space="preserve"> 20</w:t>
      </w:r>
      <w:r w:rsidR="00D2474B" w:rsidRPr="00F833B4">
        <w:rPr>
          <w:lang w:val="ru-RU"/>
        </w:rPr>
        <w:t>20</w:t>
      </w:r>
      <w:r w:rsidR="004D2F49" w:rsidRPr="00F833B4">
        <w:rPr>
          <w:lang w:val="ru-RU"/>
        </w:rPr>
        <w:t> год</w:t>
      </w:r>
      <w:r w:rsidRPr="00F833B4">
        <w:rPr>
          <w:lang w:val="ru-RU"/>
        </w:rPr>
        <w:t>а</w:t>
      </w:r>
      <w:r w:rsidR="00265788" w:rsidRPr="00F833B4">
        <w:rPr>
          <w:lang w:val="ru-RU"/>
        </w:rPr>
        <w:t>, а окончательный вариант настоящего отчета был направлен Генеральному секретарю 26 октября</w:t>
      </w:r>
      <w:r w:rsidRPr="00F833B4">
        <w:rPr>
          <w:lang w:val="ru-RU"/>
        </w:rPr>
        <w:t xml:space="preserve">. </w:t>
      </w:r>
    </w:p>
    <w:p w14:paraId="69B2CE12" w14:textId="1190A23D" w:rsidR="00CE0E84" w:rsidRPr="00F833B4" w:rsidRDefault="00CE0E84" w:rsidP="004756A9">
      <w:pPr>
        <w:rPr>
          <w:lang w:val="ru-RU"/>
        </w:rPr>
      </w:pPr>
      <w:r w:rsidRPr="00F833B4">
        <w:rPr>
          <w:lang w:val="ru-RU"/>
        </w:rPr>
        <w:t xml:space="preserve">Согласно пункту 9 Дополнительных полномочий по внешней аудиторской проверке, Генеральный секретарь уведомил нас через своих </w:t>
      </w:r>
      <w:r w:rsidR="002363B5" w:rsidRPr="00F833B4">
        <w:rPr>
          <w:lang w:val="ru-RU"/>
        </w:rPr>
        <w:t>сотрудников</w:t>
      </w:r>
      <w:r w:rsidRPr="00F833B4">
        <w:rPr>
          <w:lang w:val="ru-RU"/>
        </w:rPr>
        <w:t xml:space="preserve"> о том, что он направит нам свои комментарии</w:t>
      </w:r>
      <w:r w:rsidR="00F259D9" w:rsidRPr="00F833B4">
        <w:rPr>
          <w:lang w:val="ru-RU"/>
        </w:rPr>
        <w:t xml:space="preserve"> для включения в настоящий </w:t>
      </w:r>
      <w:r w:rsidR="004756A9" w:rsidRPr="00F833B4">
        <w:rPr>
          <w:lang w:val="ru-RU"/>
        </w:rPr>
        <w:t>о</w:t>
      </w:r>
      <w:r w:rsidR="00F259D9" w:rsidRPr="00F833B4">
        <w:rPr>
          <w:lang w:val="ru-RU"/>
        </w:rPr>
        <w:t>тчет</w:t>
      </w:r>
      <w:r w:rsidRPr="00F833B4">
        <w:rPr>
          <w:lang w:val="ru-RU"/>
        </w:rPr>
        <w:t>. Эти комментарии были получены</w:t>
      </w:r>
      <w:r w:rsidR="00DD34D2" w:rsidRPr="00F833B4">
        <w:rPr>
          <w:lang w:val="ru-RU"/>
        </w:rPr>
        <w:t xml:space="preserve"> 29 </w:t>
      </w:r>
      <w:r w:rsidR="00D2474B" w:rsidRPr="00F833B4">
        <w:rPr>
          <w:lang w:val="ru-RU"/>
        </w:rPr>
        <w:t>октября</w:t>
      </w:r>
      <w:r w:rsidRPr="00F833B4">
        <w:rPr>
          <w:lang w:val="ru-RU"/>
        </w:rPr>
        <w:t xml:space="preserve"> 20</w:t>
      </w:r>
      <w:r w:rsidR="00D2474B" w:rsidRPr="00F833B4">
        <w:rPr>
          <w:lang w:val="ru-RU"/>
        </w:rPr>
        <w:t>20</w:t>
      </w:r>
      <w:r w:rsidR="004D2F49" w:rsidRPr="00F833B4">
        <w:rPr>
          <w:lang w:val="ru-RU"/>
        </w:rPr>
        <w:t> год</w:t>
      </w:r>
      <w:r w:rsidRPr="00F833B4">
        <w:rPr>
          <w:lang w:val="ru-RU"/>
        </w:rPr>
        <w:t xml:space="preserve">а и должным образом включены в </w:t>
      </w:r>
      <w:r w:rsidR="004756A9" w:rsidRPr="00F833B4">
        <w:rPr>
          <w:lang w:val="ru-RU"/>
        </w:rPr>
        <w:t>о</w:t>
      </w:r>
      <w:r w:rsidRPr="00F833B4">
        <w:rPr>
          <w:lang w:val="ru-RU"/>
        </w:rPr>
        <w:t xml:space="preserve">тчет. </w:t>
      </w:r>
    </w:p>
    <w:p w14:paraId="0B9870C5" w14:textId="77777777" w:rsidR="00CE0E84" w:rsidRPr="00F833B4" w:rsidRDefault="00CE0E84" w:rsidP="002363B5">
      <w:pPr>
        <w:rPr>
          <w:lang w:val="ru-RU"/>
        </w:rPr>
      </w:pPr>
      <w:r w:rsidRPr="00F833B4">
        <w:rPr>
          <w:lang w:val="ru-RU"/>
        </w:rPr>
        <w:t>Мы проверили Отчет о финансовой деятельности МСЭ в отношении счетов Организации, который касается финансовых результатов по состоянию на 31</w:t>
      </w:r>
      <w:r w:rsidR="004D2F49" w:rsidRPr="00F833B4">
        <w:rPr>
          <w:lang w:val="ru-RU"/>
        </w:rPr>
        <w:t> декабря</w:t>
      </w:r>
      <w:r w:rsidRPr="00F833B4">
        <w:rPr>
          <w:lang w:val="ru-RU"/>
        </w:rPr>
        <w:t xml:space="preserve"> 201</w:t>
      </w:r>
      <w:r w:rsidR="00D2474B" w:rsidRPr="00F833B4">
        <w:rPr>
          <w:lang w:val="ru-RU"/>
        </w:rPr>
        <w:t>9</w:t>
      </w:r>
      <w:r w:rsidR="004D2F49" w:rsidRPr="00F833B4">
        <w:rPr>
          <w:lang w:val="ru-RU"/>
        </w:rPr>
        <w:t> год</w:t>
      </w:r>
      <w:r w:rsidRPr="00F833B4">
        <w:rPr>
          <w:lang w:val="ru-RU"/>
        </w:rPr>
        <w:t xml:space="preserve">а, представленных в соответствии со Статьей 28 </w:t>
      </w:r>
      <w:r w:rsidRPr="00F833B4">
        <w:rPr>
          <w:i/>
          <w:iCs/>
          <w:lang w:val="ru-RU"/>
        </w:rPr>
        <w:t>Финансового регламента (издани</w:t>
      </w:r>
      <w:r w:rsidR="002363B5" w:rsidRPr="00F833B4">
        <w:rPr>
          <w:i/>
          <w:iCs/>
          <w:lang w:val="ru-RU"/>
        </w:rPr>
        <w:t>е</w:t>
      </w:r>
      <w:r w:rsidRPr="00F833B4">
        <w:rPr>
          <w:i/>
          <w:iCs/>
          <w:lang w:val="ru-RU"/>
        </w:rPr>
        <w:t xml:space="preserve"> 2010</w:t>
      </w:r>
      <w:r w:rsidR="004D2F49" w:rsidRPr="00F833B4">
        <w:rPr>
          <w:i/>
          <w:iCs/>
          <w:lang w:val="ru-RU"/>
        </w:rPr>
        <w:t> г.</w:t>
      </w:r>
      <w:r w:rsidRPr="00F833B4">
        <w:rPr>
          <w:i/>
          <w:iCs/>
          <w:lang w:val="ru-RU"/>
        </w:rPr>
        <w:t xml:space="preserve">). </w:t>
      </w:r>
    </w:p>
    <w:p w14:paraId="722ADC14" w14:textId="77777777" w:rsidR="00CE0E84" w:rsidRPr="00F833B4" w:rsidRDefault="00CE0E84" w:rsidP="002363B5">
      <w:pPr>
        <w:rPr>
          <w:lang w:val="ru-RU"/>
        </w:rPr>
      </w:pPr>
      <w:r w:rsidRPr="00F833B4">
        <w:rPr>
          <w:lang w:val="ru-RU"/>
        </w:rPr>
        <w:t>Отчет руководства, касающийся счетов за 201</w:t>
      </w:r>
      <w:r w:rsidR="00D2474B" w:rsidRPr="00F833B4">
        <w:rPr>
          <w:lang w:val="ru-RU"/>
        </w:rPr>
        <w:t>9</w:t>
      </w:r>
      <w:r w:rsidRPr="00F833B4">
        <w:rPr>
          <w:lang w:val="ru-RU"/>
        </w:rPr>
        <w:t xml:space="preserve"> финансовый год и подписанный Генеральным секретарем и руководителем Департамента управления финансовыми ресурсами </w:t>
      </w:r>
      <w:r w:rsidR="00D2474B" w:rsidRPr="00F833B4">
        <w:rPr>
          <w:lang w:val="ru-RU"/>
        </w:rPr>
        <w:t>30</w:t>
      </w:r>
      <w:r w:rsidR="002363B5" w:rsidRPr="00F833B4">
        <w:rPr>
          <w:lang w:val="ru-RU"/>
        </w:rPr>
        <w:t> </w:t>
      </w:r>
      <w:r w:rsidRPr="00F833B4">
        <w:rPr>
          <w:lang w:val="ru-RU"/>
        </w:rPr>
        <w:t xml:space="preserve">марта </w:t>
      </w:r>
      <w:r w:rsidRPr="00F833B4">
        <w:rPr>
          <w:lang w:val="ru-RU"/>
        </w:rPr>
        <w:lastRenderedPageBreak/>
        <w:t>20</w:t>
      </w:r>
      <w:r w:rsidR="00D2474B" w:rsidRPr="00F833B4">
        <w:rPr>
          <w:lang w:val="ru-RU"/>
        </w:rPr>
        <w:t>20</w:t>
      </w:r>
      <w:r w:rsidRPr="00F833B4">
        <w:rPr>
          <w:lang w:val="ru-RU"/>
        </w:rPr>
        <w:t xml:space="preserve"> года, включен в финансовую отчетность и является неотъемлемой частью документации по аудиту. </w:t>
      </w:r>
    </w:p>
    <w:p w14:paraId="7149D30A" w14:textId="77777777" w:rsidR="00CE0E84" w:rsidRPr="00F833B4" w:rsidRDefault="00CE0E84" w:rsidP="002363B5">
      <w:pPr>
        <w:rPr>
          <w:lang w:val="ru-RU"/>
        </w:rPr>
      </w:pPr>
      <w:r w:rsidRPr="00F833B4">
        <w:rPr>
          <w:lang w:val="ru-RU"/>
        </w:rPr>
        <w:t>Мы получили также Отчет о внутреннем контроле за 201</w:t>
      </w:r>
      <w:r w:rsidR="00D2474B" w:rsidRPr="00F833B4">
        <w:rPr>
          <w:lang w:val="ru-RU"/>
        </w:rPr>
        <w:t>9</w:t>
      </w:r>
      <w:r w:rsidR="004D2F49" w:rsidRPr="00F833B4">
        <w:rPr>
          <w:lang w:val="ru-RU"/>
        </w:rPr>
        <w:t> год</w:t>
      </w:r>
      <w:r w:rsidRPr="00F833B4">
        <w:rPr>
          <w:lang w:val="ru-RU"/>
        </w:rPr>
        <w:t xml:space="preserve">, подписанный Генеральным секретарем </w:t>
      </w:r>
      <w:r w:rsidR="00D2474B" w:rsidRPr="00F833B4">
        <w:rPr>
          <w:lang w:val="ru-RU"/>
        </w:rPr>
        <w:t>30</w:t>
      </w:r>
      <w:r w:rsidR="002363B5" w:rsidRPr="00F833B4">
        <w:rPr>
          <w:lang w:val="ru-RU"/>
        </w:rPr>
        <w:t> </w:t>
      </w:r>
      <w:r w:rsidRPr="00F833B4">
        <w:rPr>
          <w:lang w:val="ru-RU"/>
        </w:rPr>
        <w:t>марта 20</w:t>
      </w:r>
      <w:r w:rsidR="00D2474B" w:rsidRPr="00F833B4">
        <w:rPr>
          <w:lang w:val="ru-RU"/>
        </w:rPr>
        <w:t>20</w:t>
      </w:r>
      <w:r w:rsidR="002363B5" w:rsidRPr="00F833B4">
        <w:rPr>
          <w:lang w:val="ru-RU"/>
        </w:rPr>
        <w:t> </w:t>
      </w:r>
      <w:r w:rsidRPr="00F833B4">
        <w:rPr>
          <w:lang w:val="ru-RU"/>
        </w:rPr>
        <w:t xml:space="preserve">года. </w:t>
      </w:r>
    </w:p>
    <w:p w14:paraId="38321680" w14:textId="77777777" w:rsidR="00FB6841" w:rsidRPr="00F833B4" w:rsidRDefault="00F524D4" w:rsidP="00F259D9">
      <w:pPr>
        <w:rPr>
          <w:lang w:val="ru-RU"/>
        </w:rPr>
      </w:pPr>
      <w:r w:rsidRPr="00F833B4">
        <w:rPr>
          <w:lang w:val="ru-RU"/>
        </w:rPr>
        <w:t>Что касается аудит</w:t>
      </w:r>
      <w:r w:rsidR="00F259D9" w:rsidRPr="00F833B4">
        <w:rPr>
          <w:lang w:val="ru-RU"/>
        </w:rPr>
        <w:t>а</w:t>
      </w:r>
      <w:r w:rsidRPr="00F833B4">
        <w:rPr>
          <w:lang w:val="ru-RU"/>
        </w:rPr>
        <w:t xml:space="preserve"> финансовой отчетности за </w:t>
      </w:r>
      <w:r w:rsidR="00FB6841" w:rsidRPr="00F833B4">
        <w:rPr>
          <w:lang w:val="ru-RU"/>
        </w:rPr>
        <w:t>201</w:t>
      </w:r>
      <w:r w:rsidR="00D2474B" w:rsidRPr="00F833B4">
        <w:rPr>
          <w:lang w:val="ru-RU"/>
        </w:rPr>
        <w:t>9</w:t>
      </w:r>
      <w:r w:rsidRPr="00F833B4">
        <w:rPr>
          <w:lang w:val="ru-RU"/>
        </w:rPr>
        <w:t> год</w:t>
      </w:r>
      <w:r w:rsidR="00FB6841" w:rsidRPr="00F833B4">
        <w:rPr>
          <w:lang w:val="ru-RU"/>
        </w:rPr>
        <w:t>,</w:t>
      </w:r>
      <w:r w:rsidRPr="00F833B4">
        <w:rPr>
          <w:lang w:val="ru-RU"/>
        </w:rPr>
        <w:t xml:space="preserve"> наши проверки</w:t>
      </w:r>
      <w:r w:rsidR="00FB6841" w:rsidRPr="00F833B4">
        <w:rPr>
          <w:lang w:val="ru-RU"/>
        </w:rPr>
        <w:t xml:space="preserve"> </w:t>
      </w:r>
      <w:r w:rsidRPr="00F833B4">
        <w:rPr>
          <w:lang w:val="ru-RU"/>
        </w:rPr>
        <w:t xml:space="preserve">показали, что </w:t>
      </w:r>
      <w:r w:rsidR="00A767E7" w:rsidRPr="00F833B4">
        <w:rPr>
          <w:lang w:val="ru-RU"/>
        </w:rPr>
        <w:t>расходы средств</w:t>
      </w:r>
      <w:r w:rsidRPr="00F833B4">
        <w:rPr>
          <w:lang w:val="ru-RU"/>
        </w:rPr>
        <w:t>, связанные с международным сотрудничеством и технической помощью</w:t>
      </w:r>
      <w:r w:rsidR="00A767E7" w:rsidRPr="00F833B4">
        <w:rPr>
          <w:lang w:val="ru-RU"/>
        </w:rPr>
        <w:t>, осуществл</w:t>
      </w:r>
      <w:r w:rsidR="00EC1E53" w:rsidRPr="00F833B4">
        <w:rPr>
          <w:lang w:val="ru-RU"/>
        </w:rPr>
        <w:t>ялись</w:t>
      </w:r>
      <w:r w:rsidR="00A767E7" w:rsidRPr="00F833B4">
        <w:rPr>
          <w:lang w:val="ru-RU"/>
        </w:rPr>
        <w:t xml:space="preserve"> в рамках системы</w:t>
      </w:r>
      <w:r w:rsidRPr="00F833B4">
        <w:rPr>
          <w:lang w:val="ru-RU"/>
        </w:rPr>
        <w:t xml:space="preserve"> </w:t>
      </w:r>
      <w:r w:rsidR="00A767E7" w:rsidRPr="00F833B4">
        <w:rPr>
          <w:lang w:val="ru-RU"/>
        </w:rPr>
        <w:t xml:space="preserve">внутреннего контроля, на которую мы не могли полагаться для целей нашего аудита. Отсутствовали какие-либо иные удовлетворительные процедуры аудита, которые мы могли бы принять, для того чтобы убедиться </w:t>
      </w:r>
      <w:r w:rsidR="00474C0F" w:rsidRPr="00F833B4">
        <w:rPr>
          <w:lang w:val="ru-RU"/>
        </w:rPr>
        <w:t xml:space="preserve">в отсутствии существенных искажений в </w:t>
      </w:r>
      <w:r w:rsidR="00A767E7" w:rsidRPr="00F833B4">
        <w:rPr>
          <w:lang w:val="ru-RU"/>
        </w:rPr>
        <w:t>зарегистрированны</w:t>
      </w:r>
      <w:r w:rsidR="00474C0F" w:rsidRPr="00F833B4">
        <w:rPr>
          <w:lang w:val="ru-RU"/>
        </w:rPr>
        <w:t>х</w:t>
      </w:r>
      <w:r w:rsidR="00A767E7" w:rsidRPr="00F833B4">
        <w:rPr>
          <w:lang w:val="ru-RU"/>
        </w:rPr>
        <w:t xml:space="preserve"> расход</w:t>
      </w:r>
      <w:r w:rsidR="00474C0F" w:rsidRPr="00F833B4">
        <w:rPr>
          <w:lang w:val="ru-RU"/>
        </w:rPr>
        <w:t>ах</w:t>
      </w:r>
      <w:r w:rsidR="00A767E7" w:rsidRPr="00F833B4">
        <w:rPr>
          <w:lang w:val="ru-RU"/>
        </w:rPr>
        <w:t xml:space="preserve">. </w:t>
      </w:r>
    </w:p>
    <w:p w14:paraId="74960DAE" w14:textId="1B7C2728" w:rsidR="00FB6841" w:rsidRPr="00F833B4" w:rsidRDefault="00A767E7" w:rsidP="000E090B">
      <w:pPr>
        <w:rPr>
          <w:lang w:val="ru-RU"/>
        </w:rPr>
      </w:pPr>
      <w:r w:rsidRPr="00F833B4">
        <w:rPr>
          <w:lang w:val="ru-RU"/>
        </w:rPr>
        <w:t>Таким образом, в соответствии с международными стандартами</w:t>
      </w:r>
      <w:r w:rsidR="00FB6841" w:rsidRPr="00F833B4">
        <w:rPr>
          <w:lang w:val="ru-RU"/>
        </w:rPr>
        <w:t xml:space="preserve"> (ISA 705)</w:t>
      </w:r>
      <w:r w:rsidRPr="00F833B4">
        <w:rPr>
          <w:lang w:val="ru-RU"/>
        </w:rPr>
        <w:t xml:space="preserve">, мы включили в наше </w:t>
      </w:r>
      <w:r w:rsidR="00BF406A" w:rsidRPr="00F833B4">
        <w:rPr>
          <w:lang w:val="ru-RU"/>
        </w:rPr>
        <w:t>Аудиторское з</w:t>
      </w:r>
      <w:r w:rsidRPr="00F833B4">
        <w:rPr>
          <w:lang w:val="ru-RU"/>
        </w:rPr>
        <w:t xml:space="preserve">аключение </w:t>
      </w:r>
      <w:r w:rsidR="00022DB4" w:rsidRPr="00F833B4">
        <w:rPr>
          <w:lang w:val="ru-RU"/>
        </w:rPr>
        <w:t xml:space="preserve">по </w:t>
      </w:r>
      <w:r w:rsidR="00BF406A" w:rsidRPr="00F833B4">
        <w:rPr>
          <w:lang w:val="ru-RU"/>
        </w:rPr>
        <w:t>данному виду расходов</w:t>
      </w:r>
      <w:r w:rsidRPr="00F833B4">
        <w:rPr>
          <w:lang w:val="ru-RU"/>
        </w:rPr>
        <w:t xml:space="preserve"> </w:t>
      </w:r>
      <w:r w:rsidR="008A5482" w:rsidRPr="00F833B4">
        <w:rPr>
          <w:lang w:val="ru-RU"/>
        </w:rPr>
        <w:t>заключение</w:t>
      </w:r>
      <w:r w:rsidR="00BF406A" w:rsidRPr="00F833B4">
        <w:rPr>
          <w:lang w:val="ru-RU"/>
        </w:rPr>
        <w:t xml:space="preserve"> с оговорками</w:t>
      </w:r>
      <w:r w:rsidR="00FB6841" w:rsidRPr="00F833B4">
        <w:rPr>
          <w:lang w:val="ru-RU"/>
        </w:rPr>
        <w:t xml:space="preserve">. </w:t>
      </w:r>
      <w:r w:rsidR="00194732" w:rsidRPr="00F833B4">
        <w:rPr>
          <w:lang w:val="ru-RU"/>
        </w:rPr>
        <w:t>Мы </w:t>
      </w:r>
      <w:r w:rsidR="00022DB4" w:rsidRPr="00F833B4">
        <w:rPr>
          <w:lang w:val="ru-RU"/>
        </w:rPr>
        <w:t xml:space="preserve">представили детальную информацию в поддержку нашего </w:t>
      </w:r>
      <w:r w:rsidR="000E090B" w:rsidRPr="00F833B4">
        <w:rPr>
          <w:lang w:val="ru-RU"/>
        </w:rPr>
        <w:t>модифицированного аудиторского заключения</w:t>
      </w:r>
      <w:r w:rsidR="00022DB4" w:rsidRPr="00F833B4">
        <w:rPr>
          <w:lang w:val="ru-RU"/>
        </w:rPr>
        <w:t xml:space="preserve"> в подробно</w:t>
      </w:r>
      <w:r w:rsidR="000E090B" w:rsidRPr="00F833B4">
        <w:rPr>
          <w:lang w:val="ru-RU"/>
        </w:rPr>
        <w:t>м</w:t>
      </w:r>
      <w:r w:rsidR="00022DB4" w:rsidRPr="00F833B4">
        <w:rPr>
          <w:lang w:val="ru-RU"/>
        </w:rPr>
        <w:t xml:space="preserve"> отчет</w:t>
      </w:r>
      <w:r w:rsidR="000E090B" w:rsidRPr="00F833B4">
        <w:rPr>
          <w:lang w:val="ru-RU"/>
        </w:rPr>
        <w:t>е</w:t>
      </w:r>
      <w:r w:rsidR="00FB6841" w:rsidRPr="00F833B4">
        <w:rPr>
          <w:lang w:val="ru-RU"/>
        </w:rPr>
        <w:t xml:space="preserve">, </w:t>
      </w:r>
      <w:r w:rsidR="00022DB4" w:rsidRPr="00F833B4">
        <w:rPr>
          <w:lang w:val="ru-RU"/>
        </w:rPr>
        <w:t xml:space="preserve">подчеркнув важнейшие шаги, которые, на наш взгляд, руководству следует осуществить в целях укрепления систем контроля за </w:t>
      </w:r>
      <w:r w:rsidR="00D058F4" w:rsidRPr="00F833B4">
        <w:rPr>
          <w:lang w:val="ru-RU"/>
        </w:rPr>
        <w:t>издержк</w:t>
      </w:r>
      <w:r w:rsidR="00022DB4" w:rsidRPr="00F833B4">
        <w:rPr>
          <w:lang w:val="ru-RU"/>
        </w:rPr>
        <w:t>ами, связанными с международным сотрудничеством и технической помощью</w:t>
      </w:r>
      <w:r w:rsidR="00FB6841" w:rsidRPr="00F833B4">
        <w:rPr>
          <w:lang w:val="ru-RU"/>
        </w:rPr>
        <w:t xml:space="preserve">. </w:t>
      </w:r>
    </w:p>
    <w:p w14:paraId="3B97BC9B" w14:textId="64BEFFD5" w:rsidR="00FB6841" w:rsidRPr="00F833B4" w:rsidRDefault="00086085" w:rsidP="00086085">
      <w:pPr>
        <w:rPr>
          <w:lang w:val="ru-RU"/>
        </w:rPr>
      </w:pPr>
      <w:r w:rsidRPr="00F833B4">
        <w:rPr>
          <w:lang w:val="ru-RU"/>
        </w:rPr>
        <w:t>Мы продолжим оцен</w:t>
      </w:r>
      <w:r w:rsidR="005B77F9" w:rsidRPr="00F833B4">
        <w:rPr>
          <w:lang w:val="ru-RU"/>
        </w:rPr>
        <w:t>ивать</w:t>
      </w:r>
      <w:r w:rsidRPr="00F833B4">
        <w:rPr>
          <w:lang w:val="ru-RU"/>
        </w:rPr>
        <w:t xml:space="preserve"> эффективност</w:t>
      </w:r>
      <w:r w:rsidR="005B77F9" w:rsidRPr="00F833B4">
        <w:rPr>
          <w:lang w:val="ru-RU"/>
        </w:rPr>
        <w:t>ь</w:t>
      </w:r>
      <w:r w:rsidRPr="00F833B4">
        <w:rPr>
          <w:lang w:val="ru-RU"/>
        </w:rPr>
        <w:t xml:space="preserve"> мер, принятых руководством, и оста</w:t>
      </w:r>
      <w:r w:rsidR="008A5482" w:rsidRPr="00F833B4">
        <w:rPr>
          <w:lang w:val="ru-RU"/>
        </w:rPr>
        <w:t>вл</w:t>
      </w:r>
      <w:r w:rsidRPr="00F833B4">
        <w:rPr>
          <w:lang w:val="ru-RU"/>
        </w:rPr>
        <w:t>яем за собой право представить более подробный отчет о результатах наших аудиторских проверок</w:t>
      </w:r>
      <w:r w:rsidR="00FB6841" w:rsidRPr="00F833B4">
        <w:rPr>
          <w:lang w:val="ru-RU"/>
        </w:rPr>
        <w:t>.</w:t>
      </w:r>
    </w:p>
    <w:p w14:paraId="472B4B78" w14:textId="00313718" w:rsidR="00CE0E84" w:rsidRPr="00F833B4" w:rsidRDefault="00CE0E84" w:rsidP="008A5482">
      <w:pPr>
        <w:rPr>
          <w:lang w:val="ru-RU"/>
        </w:rPr>
      </w:pPr>
      <w:r w:rsidRPr="00F833B4">
        <w:rPr>
          <w:lang w:val="ru-RU"/>
        </w:rPr>
        <w:t xml:space="preserve">Мы </w:t>
      </w:r>
      <w:r w:rsidR="008A5482" w:rsidRPr="00F833B4">
        <w:rPr>
          <w:lang w:val="ru-RU"/>
        </w:rPr>
        <w:t>выделили</w:t>
      </w:r>
      <w:r w:rsidRPr="00F833B4">
        <w:rPr>
          <w:lang w:val="ru-RU"/>
        </w:rPr>
        <w:t xml:space="preserve"> результаты нашей аудиторской деятельности как "рекомендации" и "предложения". </w:t>
      </w:r>
      <w:r w:rsidR="008A5482" w:rsidRPr="00F833B4">
        <w:rPr>
          <w:lang w:val="ru-RU"/>
        </w:rPr>
        <w:t>Р</w:t>
      </w:r>
      <w:r w:rsidRPr="00F833B4">
        <w:rPr>
          <w:lang w:val="ru-RU"/>
        </w:rPr>
        <w:t xml:space="preserve">екомендации относятся к процессу дальнейшего отслеживания, осуществляемого Рабочей группой </w:t>
      </w:r>
      <w:r w:rsidR="005B77F9" w:rsidRPr="00F833B4">
        <w:rPr>
          <w:lang w:val="ru-RU"/>
        </w:rPr>
        <w:t>С</w:t>
      </w:r>
      <w:r w:rsidRPr="00F833B4">
        <w:rPr>
          <w:lang w:val="ru-RU"/>
        </w:rPr>
        <w:t xml:space="preserve">овета по финансовым и людским ресурсам, </w:t>
      </w:r>
      <w:r w:rsidR="008A5482" w:rsidRPr="00F833B4">
        <w:rPr>
          <w:lang w:val="ru-RU"/>
        </w:rPr>
        <w:t xml:space="preserve">а </w:t>
      </w:r>
      <w:r w:rsidRPr="00F833B4">
        <w:rPr>
          <w:lang w:val="ru-RU"/>
        </w:rPr>
        <w:t xml:space="preserve">предложения отслеживаются только Внешним аудитором. Однако, в принципе, Совет МСЭ, следуя рекомендациям Независимого консультативного комитета по управлению (IMAC), может просить Генерального секретаря реализовать "предложение", если сочтет это необходимым. </w:t>
      </w:r>
    </w:p>
    <w:p w14:paraId="62FB072B" w14:textId="03189686" w:rsidR="00CE0E84" w:rsidRPr="00F833B4" w:rsidRDefault="00CE0E84" w:rsidP="00FB6841">
      <w:pPr>
        <w:rPr>
          <w:lang w:val="ru-RU"/>
        </w:rPr>
      </w:pPr>
      <w:r w:rsidRPr="00F833B4">
        <w:rPr>
          <w:lang w:val="ru-RU"/>
        </w:rPr>
        <w:t xml:space="preserve">Кроме того, согласно пункту 6 раздела </w:t>
      </w:r>
      <w:r w:rsidRPr="00F833B4">
        <w:rPr>
          <w:i/>
          <w:iCs/>
          <w:lang w:val="ru-RU"/>
        </w:rPr>
        <w:t>решает</w:t>
      </w:r>
      <w:r w:rsidRPr="00F833B4">
        <w:rPr>
          <w:lang w:val="ru-RU"/>
        </w:rPr>
        <w:t xml:space="preserve"> Резолюции 11 (</w:t>
      </w:r>
      <w:proofErr w:type="spellStart"/>
      <w:r w:rsidRPr="00F833B4">
        <w:rPr>
          <w:lang w:val="ru-RU"/>
        </w:rPr>
        <w:t>Пересм</w:t>
      </w:r>
      <w:proofErr w:type="spellEnd"/>
      <w:r w:rsidRPr="00F833B4">
        <w:rPr>
          <w:lang w:val="ru-RU"/>
        </w:rPr>
        <w:t>. Пусан, 2014</w:t>
      </w:r>
      <w:r w:rsidR="004D2F49" w:rsidRPr="00F833B4">
        <w:rPr>
          <w:lang w:val="ru-RU"/>
        </w:rPr>
        <w:t> г.</w:t>
      </w:r>
      <w:r w:rsidRPr="00F833B4">
        <w:rPr>
          <w:lang w:val="ru-RU"/>
        </w:rPr>
        <w:t xml:space="preserve">) мы проверили счета Всемирного мероприятия ITU </w:t>
      </w:r>
      <w:proofErr w:type="spellStart"/>
      <w:r w:rsidRPr="00F833B4">
        <w:rPr>
          <w:lang w:val="ru-RU"/>
        </w:rPr>
        <w:t>Telecom</w:t>
      </w:r>
      <w:proofErr w:type="spellEnd"/>
      <w:r w:rsidRPr="00F833B4">
        <w:rPr>
          <w:lang w:val="ru-RU"/>
        </w:rPr>
        <w:t xml:space="preserve"> за 201</w:t>
      </w:r>
      <w:r w:rsidR="00D2474B" w:rsidRPr="00F833B4">
        <w:rPr>
          <w:lang w:val="ru-RU"/>
        </w:rPr>
        <w:t>9</w:t>
      </w:r>
      <w:r w:rsidR="004D2F49" w:rsidRPr="00F833B4">
        <w:rPr>
          <w:lang w:val="ru-RU"/>
        </w:rPr>
        <w:t> год</w:t>
      </w:r>
      <w:r w:rsidR="005B77F9" w:rsidRPr="00F833B4">
        <w:rPr>
          <w:lang w:val="ru-RU"/>
        </w:rPr>
        <w:t xml:space="preserve"> и представили отчет виртуальной сессии Совета в июне 2020 года</w:t>
      </w:r>
      <w:r w:rsidRPr="00F833B4">
        <w:rPr>
          <w:lang w:val="ru-RU"/>
        </w:rPr>
        <w:t xml:space="preserve">. </w:t>
      </w:r>
    </w:p>
    <w:p w14:paraId="534EEEE3" w14:textId="3C9341BE" w:rsidR="00CE0E84" w:rsidRPr="00F833B4" w:rsidRDefault="008A5482" w:rsidP="008A5482">
      <w:pPr>
        <w:rPr>
          <w:lang w:val="ru-RU"/>
        </w:rPr>
      </w:pPr>
      <w:r w:rsidRPr="00F833B4">
        <w:rPr>
          <w:lang w:val="ru-RU"/>
        </w:rPr>
        <w:t>В заключение</w:t>
      </w:r>
      <w:r w:rsidR="00CE0E84" w:rsidRPr="00F833B4">
        <w:rPr>
          <w:lang w:val="ru-RU"/>
        </w:rPr>
        <w:t xml:space="preserve"> мы хотим выразить благодарность за </w:t>
      </w:r>
      <w:r w:rsidRPr="00F833B4">
        <w:rPr>
          <w:lang w:val="ru-RU"/>
        </w:rPr>
        <w:t>доброжелательность</w:t>
      </w:r>
      <w:r w:rsidR="00CE0E84" w:rsidRPr="00F833B4">
        <w:rPr>
          <w:lang w:val="ru-RU"/>
        </w:rPr>
        <w:t xml:space="preserve"> и готовность к сотрудничеству, проявленн</w:t>
      </w:r>
      <w:r w:rsidRPr="00F833B4">
        <w:rPr>
          <w:lang w:val="ru-RU"/>
        </w:rPr>
        <w:t>ые</w:t>
      </w:r>
      <w:r w:rsidR="00CE0E84" w:rsidRPr="00F833B4">
        <w:rPr>
          <w:lang w:val="ru-RU"/>
        </w:rPr>
        <w:t xml:space="preserve"> всеми сотрудниками МСЭ, к которым мы обращались за информацией и документами</w:t>
      </w:r>
      <w:r w:rsidR="002E439B" w:rsidRPr="00F833B4">
        <w:rPr>
          <w:lang w:val="ru-RU"/>
        </w:rPr>
        <w:t>, даже в сложившихся сложных обстоятельствах</w:t>
      </w:r>
      <w:r w:rsidR="00CE0E84" w:rsidRPr="00F833B4">
        <w:rPr>
          <w:lang w:val="ru-RU"/>
        </w:rPr>
        <w:t xml:space="preserve">. </w:t>
      </w:r>
    </w:p>
    <w:p w14:paraId="162F5462" w14:textId="77777777" w:rsidR="00CE0E84" w:rsidRPr="00F833B4" w:rsidRDefault="00CE0E84" w:rsidP="00CE0E84">
      <w:pPr>
        <w:rPr>
          <w:lang w:val="ru-RU"/>
        </w:rPr>
      </w:pPr>
      <w:r w:rsidRPr="00F833B4">
        <w:rPr>
          <w:lang w:val="ru-RU"/>
        </w:rPr>
        <w:br w:type="page"/>
      </w:r>
    </w:p>
    <w:p w14:paraId="40598C9A" w14:textId="77777777" w:rsidR="00BB54F2" w:rsidRPr="00F833B4" w:rsidRDefault="00BB54F2" w:rsidP="00012D1B">
      <w:pPr>
        <w:spacing w:before="0"/>
        <w:jc w:val="center"/>
        <w:rPr>
          <w:lang w:val="ru-RU"/>
        </w:rPr>
      </w:pPr>
      <w:bookmarkStart w:id="37" w:name="_Toc482995161"/>
      <w:bookmarkStart w:id="38" w:name="_Toc358192819"/>
      <w:bookmarkStart w:id="39" w:name="_Toc398125304"/>
      <w:bookmarkStart w:id="40" w:name="_Toc398125783"/>
      <w:r w:rsidRPr="00F833B4">
        <w:rPr>
          <w:noProof/>
          <w:lang w:val="ru-RU" w:eastAsia="ru-RU"/>
        </w:rPr>
        <w:lastRenderedPageBreak/>
        <w:drawing>
          <wp:inline distT="0" distB="0" distL="0" distR="0" wp14:anchorId="5F84D1D5" wp14:editId="0572CC12">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14:paraId="4673C49D" w14:textId="77777777" w:rsidR="00BB54F2" w:rsidRPr="00F833B4" w:rsidRDefault="00BB54F2" w:rsidP="00012D1B">
      <w:pPr>
        <w:ind w:right="107"/>
        <w:jc w:val="center"/>
        <w:rPr>
          <w:lang w:val="ru-RU"/>
        </w:rPr>
      </w:pPr>
      <w:proofErr w:type="spellStart"/>
      <w:r w:rsidRPr="00F833B4">
        <w:rPr>
          <w:rFonts w:ascii="Kunstler Script" w:hAnsi="Kunstler Script"/>
          <w:sz w:val="72"/>
          <w:szCs w:val="72"/>
          <w:lang w:val="ru-RU"/>
        </w:rPr>
        <w:t>Corte</w:t>
      </w:r>
      <w:proofErr w:type="spellEnd"/>
      <w:r w:rsidRPr="00F833B4">
        <w:rPr>
          <w:rFonts w:ascii="Kunstler Script" w:hAnsi="Kunstler Script"/>
          <w:sz w:val="72"/>
          <w:szCs w:val="72"/>
          <w:lang w:val="ru-RU"/>
        </w:rPr>
        <w:t xml:space="preserve"> </w:t>
      </w:r>
      <w:proofErr w:type="spellStart"/>
      <w:r w:rsidRPr="00F833B4">
        <w:rPr>
          <w:rFonts w:ascii="Kunstler Script" w:hAnsi="Kunstler Script"/>
          <w:sz w:val="72"/>
          <w:szCs w:val="72"/>
          <w:lang w:val="ru-RU"/>
        </w:rPr>
        <w:t>dei</w:t>
      </w:r>
      <w:proofErr w:type="spellEnd"/>
      <w:r w:rsidRPr="00F833B4">
        <w:rPr>
          <w:rFonts w:ascii="Kunstler Script" w:hAnsi="Kunstler Script"/>
          <w:sz w:val="72"/>
          <w:szCs w:val="72"/>
          <w:lang w:val="ru-RU"/>
        </w:rPr>
        <w:t xml:space="preserve"> </w:t>
      </w:r>
      <w:proofErr w:type="spellStart"/>
      <w:r w:rsidRPr="00F833B4">
        <w:rPr>
          <w:rFonts w:ascii="Kunstler Script" w:hAnsi="Kunstler Script"/>
          <w:sz w:val="72"/>
          <w:szCs w:val="72"/>
          <w:lang w:val="ru-RU"/>
        </w:rPr>
        <w:t>conti</w:t>
      </w:r>
      <w:proofErr w:type="spellEnd"/>
    </w:p>
    <w:p w14:paraId="624A9E9D" w14:textId="77777777" w:rsidR="00BB54F2" w:rsidRPr="00F833B4" w:rsidRDefault="00BB54F2" w:rsidP="00012D1B">
      <w:pPr>
        <w:jc w:val="center"/>
        <w:rPr>
          <w:lang w:val="ru-RU"/>
        </w:rPr>
      </w:pPr>
      <w:r w:rsidRPr="00F833B4">
        <w:rPr>
          <w:lang w:val="ru-RU"/>
        </w:rPr>
        <w:t>Государственная счетная палата Италии</w:t>
      </w:r>
    </w:p>
    <w:p w14:paraId="63B3D63C" w14:textId="77777777" w:rsidR="00BB54F2" w:rsidRPr="00F833B4" w:rsidRDefault="00BB54F2" w:rsidP="00012D1B">
      <w:pPr>
        <w:pStyle w:val="Heading1"/>
        <w:jc w:val="center"/>
        <w:rPr>
          <w:lang w:val="ru-RU"/>
        </w:rPr>
      </w:pPr>
      <w:bookmarkStart w:id="41" w:name="_Toc56179541"/>
      <w:bookmarkStart w:id="42" w:name="_Toc56180359"/>
      <w:r w:rsidRPr="00F833B4">
        <w:rPr>
          <w:lang w:val="ru-RU"/>
        </w:rPr>
        <w:t>АУДИТОРСКОЕ ЗАКЛЮЧЕНИЕ</w:t>
      </w:r>
      <w:bookmarkEnd w:id="41"/>
      <w:bookmarkEnd w:id="42"/>
    </w:p>
    <w:p w14:paraId="052E968A" w14:textId="77777777" w:rsidR="00BB54F2" w:rsidRPr="00F833B4" w:rsidRDefault="00BB54F2" w:rsidP="00012D1B">
      <w:pPr>
        <w:pStyle w:val="Headingb"/>
        <w:spacing w:before="480"/>
        <w:rPr>
          <w:lang w:val="ru-RU"/>
        </w:rPr>
      </w:pPr>
      <w:bookmarkStart w:id="43" w:name="_Toc482995157"/>
      <w:r w:rsidRPr="00F833B4">
        <w:rPr>
          <w:lang w:val="ru-RU"/>
        </w:rPr>
        <w:t>Заключение с оговорками по результатам аудиторской проверки</w:t>
      </w:r>
      <w:bookmarkEnd w:id="43"/>
    </w:p>
    <w:p w14:paraId="6751DE55" w14:textId="77777777" w:rsidR="00BB54F2" w:rsidRPr="00F833B4" w:rsidRDefault="00BB54F2" w:rsidP="00012D1B">
      <w:pPr>
        <w:rPr>
          <w:rFonts w:cs="Calibri"/>
          <w:lang w:val="ru-RU" w:eastAsia="zh-CN"/>
        </w:rPr>
      </w:pPr>
      <w:r w:rsidRPr="00F833B4">
        <w:rPr>
          <w:lang w:val="ru-RU"/>
        </w:rPr>
        <w:t xml:space="preserve">Мы провели аудиторскую проверку финансовой отчетности Международного союза электросвязи (МСЭ), которая включает отчет о финансовом положении по состоянию на 31 декабря 2019 года, отчет о результатах финансовой деятельности, </w:t>
      </w:r>
      <w:r w:rsidRPr="00F833B4">
        <w:rPr>
          <w:rFonts w:cs="Calibri"/>
          <w:lang w:val="ru-RU" w:eastAsia="zh-CN"/>
        </w:rPr>
        <w:t xml:space="preserve">отчет об изменениях в чистых активах, таблицу движения денежных средств и сравнение предусмотренных в бюджете сумм и фактических сумм за финансовый период 2019 года, а также примечания к </w:t>
      </w:r>
      <w:r w:rsidRPr="00F833B4">
        <w:rPr>
          <w:color w:val="000000"/>
          <w:lang w:val="ru-RU"/>
        </w:rPr>
        <w:t xml:space="preserve">финансовой отчетности, в том числе </w:t>
      </w:r>
      <w:r w:rsidRPr="00F833B4">
        <w:rPr>
          <w:rFonts w:cs="Segoe UI"/>
          <w:color w:val="000000"/>
          <w:lang w:val="ru-RU"/>
        </w:rPr>
        <w:t>краткое описание основных методов бухгалтерского учета и другую пояснительную информацию.</w:t>
      </w:r>
      <w:r w:rsidRPr="00F833B4">
        <w:rPr>
          <w:rFonts w:cs="Calibri"/>
          <w:lang w:val="ru-RU" w:eastAsia="zh-CN"/>
        </w:rPr>
        <w:t xml:space="preserve"> </w:t>
      </w:r>
    </w:p>
    <w:p w14:paraId="4ACB578B" w14:textId="77777777" w:rsidR="00BB54F2" w:rsidRPr="00F833B4" w:rsidRDefault="00BB54F2" w:rsidP="00012D1B">
      <w:pPr>
        <w:rPr>
          <w:spacing w:val="-2"/>
          <w:lang w:val="ru-RU"/>
        </w:rPr>
      </w:pPr>
      <w:r w:rsidRPr="00F833B4">
        <w:rPr>
          <w:spacing w:val="-2"/>
          <w:lang w:val="ru-RU"/>
        </w:rPr>
        <w:t xml:space="preserve">По нашему мнению, за исключением возможных последствий вопроса, описанного в разделе "Основание для вынесения аудиторского заключения с оговорками", прилагаемая финансовая отчетность во всех существенных отношениях четко отражает финансовое положение Международного союза электросвязи (МСЭ) по состоянию на 31 декабря 2019 года, а также результаты его финансовой деятельности, изменения в чистых активах, </w:t>
      </w:r>
      <w:r w:rsidRPr="00F833B4">
        <w:rPr>
          <w:rFonts w:cs="Calibri"/>
          <w:spacing w:val="-2"/>
          <w:lang w:val="ru-RU" w:eastAsia="zh-CN"/>
        </w:rPr>
        <w:t xml:space="preserve">движение денежных средств и сравнение предусмотренных в бюджете сумм и фактических сумм за год, завершившийся на указанную дату, в соответствии со стандартами </w:t>
      </w:r>
      <w:r w:rsidRPr="00F833B4">
        <w:rPr>
          <w:spacing w:val="-2"/>
          <w:lang w:val="ru-RU"/>
        </w:rPr>
        <w:t>IPSAS, а также Финансовым регламентом и Финансовыми правилами МСЭ.</w:t>
      </w:r>
    </w:p>
    <w:p w14:paraId="75EA4237" w14:textId="77777777" w:rsidR="00BB54F2" w:rsidRPr="00F833B4" w:rsidRDefault="00BB54F2" w:rsidP="00012D1B">
      <w:pPr>
        <w:pStyle w:val="Headingb"/>
        <w:rPr>
          <w:lang w:val="ru-RU"/>
        </w:rPr>
      </w:pPr>
      <w:bookmarkStart w:id="44" w:name="_Toc482995158"/>
      <w:r w:rsidRPr="00F833B4">
        <w:rPr>
          <w:lang w:val="ru-RU"/>
        </w:rPr>
        <w:t>Основание для вынесения аудиторского заключения</w:t>
      </w:r>
      <w:bookmarkEnd w:id="44"/>
      <w:r w:rsidRPr="00F833B4">
        <w:rPr>
          <w:lang w:val="ru-RU"/>
        </w:rPr>
        <w:t xml:space="preserve"> с оговорками</w:t>
      </w:r>
    </w:p>
    <w:p w14:paraId="36FB2633" w14:textId="77777777" w:rsidR="00BB54F2" w:rsidRPr="00F833B4" w:rsidRDefault="00BB54F2" w:rsidP="00012D1B">
      <w:pPr>
        <w:rPr>
          <w:lang w:val="ru-RU"/>
        </w:rPr>
      </w:pPr>
      <w:r w:rsidRPr="00F833B4">
        <w:rPr>
          <w:lang w:val="ru-RU"/>
        </w:rPr>
        <w:t>Сектор развития электросвязи МСЭ (МСЭ-D) способствует международному сотрудничеству и солидарности при предоставлении технической помощи, а также при создании, развитии и совершенствовании оборудования и сетей электросвязи/ИКТ в развивающихся странах. На МСЭ-D лежит ответственность за исполнение двойной обязанности Союза как специализированного учреждения Организации Объединенных Наций и как учреждения-исполнителя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электросвязи/ИКТ и ускорения его темпов путем предложения, организации и координации деятельности по техническому сотрудничеству и предоставлению помощи. Работу МСЭ-D поддерживает его секретариат − Бюро развития электросвязи (БРЭ). В состав Бюро развития электросвязи входят четыре департамента, а также региональные и зональные отделения. Что касается затрат, понесенных в течение 2019 года, в таблице, содержащей информацию по сегментам, финансовой отчетности на 31 декабря 2019 года показаны расходы, связанные с международным сотрудничеством и технической помощью в вышеуказанных областях, и для этих расходов система внутреннего контроля, в которой хотя и осуществлялась реформа, не могла считаться надежной для целей нашего аудита. Отсутствовали какие-либо иные удовлетворительные процедуры аудита, которые мы могли бы принять, для того чтобы убедиться в отсутствии существенных искажений в зарегистрированных расходах.</w:t>
      </w:r>
    </w:p>
    <w:p w14:paraId="5BF553DC" w14:textId="77777777" w:rsidR="00BB54F2" w:rsidRPr="00F833B4" w:rsidRDefault="00BB54F2" w:rsidP="00012D1B">
      <w:pPr>
        <w:rPr>
          <w:lang w:val="ru-RU"/>
        </w:rPr>
      </w:pPr>
      <w:r w:rsidRPr="00F833B4">
        <w:rPr>
          <w:color w:val="000000"/>
          <w:lang w:val="ru-RU"/>
        </w:rPr>
        <w:lastRenderedPageBreak/>
        <w:t>Мы провели нашу аудиторскую проверку в соответствии с Международными стандартами для высших ревизионных учреждений (МСВРУ), а также Финансовым регламентом и Финансовыми правилами МСЭ</w:t>
      </w:r>
      <w:r w:rsidRPr="00F833B4">
        <w:rPr>
          <w:lang w:val="ru-RU"/>
        </w:rPr>
        <w:t xml:space="preserve">. В сфере аудиторской проверки финансовой отчетности </w:t>
      </w:r>
      <w:r w:rsidRPr="00F833B4">
        <w:rPr>
          <w:color w:val="000000"/>
          <w:lang w:val="ru-RU"/>
        </w:rPr>
        <w:t>МСВРУ</w:t>
      </w:r>
      <w:r w:rsidRPr="00F833B4">
        <w:rPr>
          <w:lang w:val="ru-RU"/>
        </w:rPr>
        <w:t xml:space="preserve"> являются прямой транспозицией </w:t>
      </w:r>
      <w:r w:rsidRPr="00F833B4">
        <w:rPr>
          <w:color w:val="000000"/>
          <w:lang w:val="ru-RU"/>
        </w:rPr>
        <w:t xml:space="preserve">Международных стандартов аудита </w:t>
      </w:r>
      <w:r w:rsidRPr="00F833B4">
        <w:rPr>
          <w:lang w:val="ru-RU"/>
        </w:rPr>
        <w:t>(ISA). Государственная счетная палата Италии применяет положения ISA в той мере, в которой они соответствуют конкретным условиям проводимых аудиторских проверок. Наши обязанности в соответствии с этими стандартами подробно описаны в разделе нашего отчета об ответственности аудитора за проверку финансовой отчетности. Мы независимы от МСЭ в соответствии с этическими требованиями, касающимися проводимой нами аудиторской проверки финансовой отчетности в системе Объединенных Наций, а также мы выполнили наши иные этические обязанности в соответствии с этими требованиями. Считаем, что собранные нами доказательные данные аудита обеспечивают достаточную и надлежащую основу для нашего заключения.</w:t>
      </w:r>
    </w:p>
    <w:p w14:paraId="6D9EF6E3" w14:textId="77777777" w:rsidR="00BB54F2" w:rsidRPr="00F833B4" w:rsidRDefault="00BB54F2" w:rsidP="00012D1B">
      <w:pPr>
        <w:pStyle w:val="Headingb"/>
        <w:rPr>
          <w:lang w:val="ru-RU"/>
        </w:rPr>
      </w:pPr>
      <w:bookmarkStart w:id="45" w:name="_Toc482995159"/>
      <w:r w:rsidRPr="00F833B4">
        <w:rPr>
          <w:lang w:val="ru-RU"/>
        </w:rPr>
        <w:t>Прочая информация</w:t>
      </w:r>
      <w:bookmarkEnd w:id="45"/>
    </w:p>
    <w:p w14:paraId="067245C0" w14:textId="77777777" w:rsidR="00BB54F2" w:rsidRPr="00F833B4" w:rsidRDefault="00BB54F2" w:rsidP="00012D1B">
      <w:pPr>
        <w:rPr>
          <w:lang w:val="ru-RU"/>
        </w:rPr>
      </w:pPr>
      <w:r w:rsidRPr="00F833B4">
        <w:rPr>
          <w:lang w:val="ru-RU"/>
        </w:rPr>
        <w:t>За прочую информацию</w:t>
      </w:r>
      <w:r w:rsidRPr="00F833B4">
        <w:rPr>
          <w:color w:val="000000"/>
          <w:lang w:val="ru-RU"/>
        </w:rPr>
        <w:t xml:space="preserve"> несет ответственность Генеральный секретарь МСЭ</w:t>
      </w:r>
      <w:r w:rsidRPr="00F833B4">
        <w:rPr>
          <w:lang w:val="ru-RU"/>
        </w:rPr>
        <w:t>. К прочей информации относится представление "</w:t>
      </w:r>
      <w:r w:rsidRPr="00F833B4">
        <w:rPr>
          <w:color w:val="000000"/>
          <w:lang w:val="ru-RU"/>
        </w:rPr>
        <w:t>ключевых финансовых показателей"</w:t>
      </w:r>
      <w:r w:rsidRPr="00F833B4">
        <w:rPr>
          <w:lang w:val="ru-RU"/>
        </w:rPr>
        <w:t xml:space="preserve">, о которых упоминает Генеральный секретарь в своем предисловии к </w:t>
      </w:r>
      <w:r w:rsidRPr="00F833B4">
        <w:rPr>
          <w:color w:val="000000"/>
          <w:lang w:val="ru-RU"/>
        </w:rPr>
        <w:t>Отчету о финансовой деятельности</w:t>
      </w:r>
      <w:r w:rsidRPr="00F833B4">
        <w:rPr>
          <w:lang w:val="ru-RU"/>
        </w:rPr>
        <w:t>.</w:t>
      </w:r>
    </w:p>
    <w:p w14:paraId="68EA7DC9" w14:textId="77777777" w:rsidR="00BB54F2" w:rsidRPr="00F833B4" w:rsidRDefault="00BB54F2" w:rsidP="00012D1B">
      <w:pPr>
        <w:rPr>
          <w:lang w:val="ru-RU"/>
        </w:rPr>
      </w:pPr>
      <w:r w:rsidRPr="00F833B4">
        <w:rPr>
          <w:lang w:val="ru-RU"/>
        </w:rPr>
        <w:t>Наше заключение о финансовой отчетности не касается этой прочей информации, и мы не выражаем каким бы то ни было образом заключение о достоверности по данному вопросу.</w:t>
      </w:r>
    </w:p>
    <w:p w14:paraId="06E87A37" w14:textId="77777777" w:rsidR="00BB54F2" w:rsidRPr="00F833B4" w:rsidRDefault="00BB54F2" w:rsidP="00012D1B">
      <w:pPr>
        <w:rPr>
          <w:lang w:val="ru-RU"/>
        </w:rPr>
      </w:pPr>
      <w:r w:rsidRPr="00F833B4">
        <w:rPr>
          <w:lang w:val="ru-RU"/>
        </w:rPr>
        <w:t>В связи с нашей аудиторской проверкой финансовой отчетности наша ответственность заключается в том, чтобы ознакомиться с прочей информацией и, таким образом, решить, насколько эта прочая информация в существенной мере не соответствует финансовой отчетности либо представлению, полученному нами в ходе аудита, либо иным образом представляется существенно искаженной. Если в результате проделанной нами работы мы придем к заключению, что имеется существенное искажение в этой прочей информации, то мы обязаны сообщить об этом факте. Мы не располагаем какой-либо информацией, о которой можно было бы сообщить в этом отношении.</w:t>
      </w:r>
    </w:p>
    <w:p w14:paraId="1FA53C91" w14:textId="77777777" w:rsidR="00BB54F2" w:rsidRPr="00F833B4" w:rsidRDefault="00BB54F2" w:rsidP="00012D1B">
      <w:pPr>
        <w:pStyle w:val="Headingb"/>
        <w:rPr>
          <w:lang w:val="ru-RU"/>
        </w:rPr>
      </w:pPr>
      <w:bookmarkStart w:id="46" w:name="_Toc398125300"/>
      <w:bookmarkStart w:id="47" w:name="_Toc398125779"/>
      <w:bookmarkStart w:id="48" w:name="_Toc398127078"/>
      <w:bookmarkStart w:id="49" w:name="_Toc482995160"/>
      <w:r w:rsidRPr="00F833B4">
        <w:rPr>
          <w:lang w:val="ru-RU"/>
        </w:rPr>
        <w:t>Ответственность Генерального секретаря МСЭ и тех лиц, которым поручено осуществлять управление финансовой отчетность</w:t>
      </w:r>
      <w:bookmarkEnd w:id="46"/>
      <w:bookmarkEnd w:id="47"/>
      <w:bookmarkEnd w:id="48"/>
      <w:r w:rsidRPr="00F833B4">
        <w:rPr>
          <w:lang w:val="ru-RU"/>
        </w:rPr>
        <w:t>ю</w:t>
      </w:r>
      <w:bookmarkEnd w:id="49"/>
      <w:r w:rsidRPr="00F833B4">
        <w:rPr>
          <w:lang w:val="ru-RU"/>
        </w:rPr>
        <w:t xml:space="preserve"> </w:t>
      </w:r>
    </w:p>
    <w:p w14:paraId="21113D13" w14:textId="77777777" w:rsidR="00BB54F2" w:rsidRPr="00F833B4" w:rsidRDefault="00BB54F2" w:rsidP="00012D1B">
      <w:pPr>
        <w:rPr>
          <w:lang w:val="ru-RU"/>
        </w:rPr>
      </w:pPr>
      <w:r w:rsidRPr="00F833B4">
        <w:rPr>
          <w:lang w:val="ru-RU"/>
        </w:rPr>
        <w:t>Генеральный секретарь несет ответственность за подготовку и объективное представление финансовой отчетности в соответствии с Международными стандартами финансовой отчетности для общественного сектора (стандартами IPSAS), а также за такой внутренний контроль, который Генеральный секретарь считает необходимым для обеспечения подготовки финансовой отчетности, в которой отсутствуют существенные искажения, будь то вследствие мошенничества или в результате ошибок.</w:t>
      </w:r>
    </w:p>
    <w:p w14:paraId="2D60D6CC" w14:textId="77777777" w:rsidR="00BB54F2" w:rsidRPr="00F833B4" w:rsidRDefault="00BB54F2" w:rsidP="00012D1B">
      <w:pPr>
        <w:rPr>
          <w:lang w:val="ru-RU"/>
        </w:rPr>
      </w:pPr>
      <w:r w:rsidRPr="00F833B4">
        <w:rPr>
          <w:lang w:val="ru-RU"/>
        </w:rPr>
        <w:t xml:space="preserve">При подготовке финансовой отчетности Генеральный секретарь отвечает за оценку </w:t>
      </w:r>
      <w:r w:rsidRPr="00F833B4">
        <w:rPr>
          <w:color w:val="000000"/>
          <w:lang w:val="ru-RU"/>
        </w:rPr>
        <w:t>способности МСЭ продолжать непрерывную деятельность</w:t>
      </w:r>
      <w:r w:rsidRPr="00F833B4">
        <w:rPr>
          <w:lang w:val="ru-RU"/>
        </w:rPr>
        <w:t xml:space="preserve">, раскрывая </w:t>
      </w:r>
      <w:r w:rsidRPr="00F833B4">
        <w:rPr>
          <w:color w:val="000000"/>
          <w:lang w:val="ru-RU"/>
        </w:rPr>
        <w:t xml:space="preserve">в зависимости от обстоятельств вопросы, касающиеся непрерывности деятельности, и используя принцип непрерывности деятельности </w:t>
      </w:r>
      <w:r w:rsidRPr="00F833B4">
        <w:rPr>
          <w:lang w:val="ru-RU"/>
        </w:rPr>
        <w:t>в отчетности, если только Генеральный секретарь не намерен ликвидировать организацию либо прекратить деятельность, либо не будет иметь реальной альтернативы этому.</w:t>
      </w:r>
    </w:p>
    <w:p w14:paraId="771D223A" w14:textId="77777777" w:rsidR="00BB54F2" w:rsidRPr="00F833B4" w:rsidRDefault="00BB54F2" w:rsidP="00012D1B">
      <w:pPr>
        <w:rPr>
          <w:lang w:val="ru-RU"/>
        </w:rPr>
      </w:pPr>
      <w:r w:rsidRPr="00F833B4">
        <w:rPr>
          <w:lang w:val="ru-RU"/>
        </w:rPr>
        <w:t>Лица, которым поручено осуществлять управление, отвечают за надзор за процессом финансовой отчетности МСЭ.</w:t>
      </w:r>
    </w:p>
    <w:p w14:paraId="33B70E45" w14:textId="77777777" w:rsidR="00BB54F2" w:rsidRPr="00F833B4" w:rsidRDefault="00BB54F2" w:rsidP="00012D1B">
      <w:pPr>
        <w:pStyle w:val="Headingb"/>
        <w:rPr>
          <w:lang w:val="ru-RU"/>
        </w:rPr>
      </w:pPr>
      <w:r w:rsidRPr="00F833B4">
        <w:rPr>
          <w:lang w:val="ru-RU"/>
        </w:rPr>
        <w:t>Ответственность аудитора за проверку финансовой отчетности</w:t>
      </w:r>
    </w:p>
    <w:p w14:paraId="10AB4902" w14:textId="77777777" w:rsidR="00BB54F2" w:rsidRPr="00F833B4" w:rsidRDefault="00BB54F2" w:rsidP="00012D1B">
      <w:pPr>
        <w:rPr>
          <w:lang w:val="ru-RU"/>
        </w:rPr>
      </w:pPr>
      <w:r w:rsidRPr="00F833B4">
        <w:rPr>
          <w:lang w:val="ru-RU"/>
        </w:rPr>
        <w:t>Нашими задачами является получение достаточных гарантий того, что финансовая отчетность в целом не содержит существенных искажений, будь то в результате мошенничества либо ошибки, а также представление аудиторского отчета, содержащего наше заключение. Достаточные гарантии </w:t>
      </w:r>
      <w:proofErr w:type="gramStart"/>
      <w:r w:rsidRPr="00F833B4">
        <w:rPr>
          <w:lang w:val="ru-RU"/>
        </w:rPr>
        <w:t>− это</w:t>
      </w:r>
      <w:proofErr w:type="gramEnd"/>
      <w:r w:rsidRPr="00F833B4">
        <w:rPr>
          <w:lang w:val="ru-RU"/>
        </w:rPr>
        <w:t xml:space="preserve"> гарантии высокого уровня, однако они не гарантируют, что проводимая в соответствии с ISA проверка всегда сможет обнаружить существенное искажение, в случае если таковое имеет место. Искажения могут быть вызваны мошенничеством либо ошибкой, и они считаются существенными, </w:t>
      </w:r>
      <w:r w:rsidRPr="00F833B4">
        <w:rPr>
          <w:lang w:val="ru-RU"/>
        </w:rPr>
        <w:lastRenderedPageBreak/>
        <w:t xml:space="preserve">если </w:t>
      </w:r>
      <w:r w:rsidRPr="00F833B4">
        <w:rPr>
          <w:color w:val="000000"/>
          <w:lang w:val="ru-RU"/>
        </w:rPr>
        <w:t>вполне разумно ожидать, что,</w:t>
      </w:r>
      <w:r w:rsidRPr="00F833B4">
        <w:rPr>
          <w:lang w:val="ru-RU"/>
        </w:rPr>
        <w:t xml:space="preserve"> отдельно либо в совокупности, они могут оказать влияние на экономические решения пользователей, принимаемые на основе такой финансовой отчетности.</w:t>
      </w:r>
    </w:p>
    <w:p w14:paraId="161C8056" w14:textId="77777777" w:rsidR="00BB54F2" w:rsidRPr="00F833B4" w:rsidRDefault="00BB54F2" w:rsidP="00012D1B">
      <w:pPr>
        <w:rPr>
          <w:lang w:val="ru-RU"/>
        </w:rPr>
      </w:pPr>
      <w:r w:rsidRPr="00F833B4">
        <w:rPr>
          <w:lang w:val="ru-RU"/>
        </w:rPr>
        <w:t xml:space="preserve">В рамках аудиторской проверки в соответствии с ISA мы на протяжении всей проверки опираемся на профессиональные суждения и сохраняем профессиональный скептицизм. Мы также: </w:t>
      </w:r>
    </w:p>
    <w:p w14:paraId="5E7415F8" w14:textId="77777777" w:rsidR="00BB54F2" w:rsidRPr="00F833B4" w:rsidRDefault="00BB54F2" w:rsidP="00012D1B">
      <w:pPr>
        <w:pStyle w:val="enumlev1"/>
        <w:rPr>
          <w:lang w:val="ru-RU"/>
        </w:rPr>
      </w:pPr>
      <w:r w:rsidRPr="00F833B4">
        <w:rPr>
          <w:lang w:val="ru-RU"/>
        </w:rPr>
        <w:t>•</w:t>
      </w:r>
      <w:r w:rsidRPr="00F833B4">
        <w:rPr>
          <w:lang w:val="ru-RU"/>
        </w:rPr>
        <w:tab/>
        <w:t xml:space="preserve">Определяем и оцениваем риски существенных искажений финансовой отчетности, будь то в результате мошенничества либо ошибки, вырабатываем и проводим аудиторские процедуры с учетом этих рисков, а также получаем достаточные и надлежащие доказательные данные аудиторской проверки для обоснования нашего заключения. Риск </w:t>
      </w:r>
      <w:proofErr w:type="spellStart"/>
      <w:r w:rsidRPr="00F833B4">
        <w:rPr>
          <w:lang w:val="ru-RU"/>
        </w:rPr>
        <w:t>необнаружения</w:t>
      </w:r>
      <w:proofErr w:type="spellEnd"/>
      <w:r w:rsidRPr="00F833B4">
        <w:rPr>
          <w:lang w:val="ru-RU"/>
        </w:rPr>
        <w:t xml:space="preserve"> существенного искажения, появившегося в результате мошенничества, выше, чем в случае искажения, связанного с ошибкой, поскольку мошенничество может включать сговор, подделку документов, преднамеренные пропуски, </w:t>
      </w:r>
      <w:r w:rsidRPr="00F833B4">
        <w:rPr>
          <w:color w:val="000000"/>
          <w:lang w:val="ru-RU"/>
        </w:rPr>
        <w:t>представление неверных данных</w:t>
      </w:r>
      <w:r w:rsidRPr="00F833B4">
        <w:rPr>
          <w:lang w:val="ru-RU"/>
        </w:rPr>
        <w:t xml:space="preserve">, либо попытки </w:t>
      </w:r>
      <w:r w:rsidRPr="00F833B4">
        <w:rPr>
          <w:color w:val="000000"/>
          <w:lang w:val="ru-RU"/>
        </w:rPr>
        <w:t xml:space="preserve">обойти </w:t>
      </w:r>
      <w:r w:rsidRPr="00F833B4">
        <w:rPr>
          <w:lang w:val="ru-RU"/>
        </w:rPr>
        <w:t>внутренний контроль.</w:t>
      </w:r>
    </w:p>
    <w:p w14:paraId="267BA3D0" w14:textId="77777777" w:rsidR="00BB54F2" w:rsidRPr="00F833B4" w:rsidRDefault="00BB54F2" w:rsidP="00012D1B">
      <w:pPr>
        <w:pStyle w:val="enumlev1"/>
        <w:rPr>
          <w:lang w:val="ru-RU"/>
        </w:rPr>
      </w:pPr>
      <w:r w:rsidRPr="00F833B4">
        <w:rPr>
          <w:lang w:val="ru-RU"/>
        </w:rPr>
        <w:t>•</w:t>
      </w:r>
      <w:r w:rsidRPr="00F833B4">
        <w:rPr>
          <w:lang w:val="ru-RU"/>
        </w:rPr>
        <w:tab/>
        <w:t>Получаем представление о внутреннем контроле, касающемся аудиторской проверки, чтобы выработать соответствующие условиям процедуры аудита, однако не для целей выражения заключения об эффективности внутреннего контроля МСЭ.</w:t>
      </w:r>
    </w:p>
    <w:p w14:paraId="7048186F" w14:textId="77777777" w:rsidR="00BB54F2" w:rsidRPr="00F833B4" w:rsidRDefault="00BB54F2" w:rsidP="00012D1B">
      <w:pPr>
        <w:pStyle w:val="enumlev1"/>
        <w:rPr>
          <w:lang w:val="ru-RU"/>
        </w:rPr>
      </w:pPr>
      <w:r w:rsidRPr="00F833B4">
        <w:rPr>
          <w:lang w:val="ru-RU"/>
        </w:rPr>
        <w:t>•</w:t>
      </w:r>
      <w:r w:rsidRPr="00F833B4">
        <w:rPr>
          <w:lang w:val="ru-RU"/>
        </w:rPr>
        <w:tab/>
      </w:r>
      <w:r w:rsidRPr="00F833B4">
        <w:rPr>
          <w:color w:val="000000"/>
          <w:lang w:val="ru-RU"/>
        </w:rPr>
        <w:t>Оцениваем уместность используемой учетной политики и обоснованности учетных оценок, а также соответствующего раскрытия сведений руководством</w:t>
      </w:r>
      <w:r w:rsidRPr="00F833B4">
        <w:rPr>
          <w:lang w:val="ru-RU"/>
        </w:rPr>
        <w:t xml:space="preserve">. </w:t>
      </w:r>
    </w:p>
    <w:p w14:paraId="18DE4B2B" w14:textId="77777777" w:rsidR="00BB54F2" w:rsidRPr="00F833B4" w:rsidRDefault="00BB54F2" w:rsidP="00012D1B">
      <w:pPr>
        <w:pStyle w:val="enumlev1"/>
        <w:rPr>
          <w:lang w:val="ru-RU"/>
        </w:rPr>
      </w:pPr>
      <w:r w:rsidRPr="00F833B4">
        <w:rPr>
          <w:lang w:val="ru-RU"/>
        </w:rPr>
        <w:t>•</w:t>
      </w:r>
      <w:r w:rsidRPr="00F833B4">
        <w:rPr>
          <w:lang w:val="ru-RU"/>
        </w:rPr>
        <w:tab/>
        <w:t>Делаем заключение о надлежащем использовании руководством при учете принципа непрерывной деятельности и, на основе полученных доказательных данных аудита, принимаем решение относительно существования значительной неуверенности, связанной с событиями либо условиями, которые могут в значительной степени породить сомнение в способности МСЭ продолжать свою деятельность в качестве организации. Если мы придем к заключению, что существует значительная неуверенность, мы обязаны привлечь внимание в нашем аудиторском заключении к соответствующим раскрытым сведениям в финансовой отчетности либо, если такое раскрытие сведений не является надлежащим, то изменить наше заключение. Наши выводы основаны на доказательных данных аудиторской проверки, полученных вплоть до даты нашего аудиторского отчета. Тем не менее, будущие события либо условия могут заставить МСЭ перестать продолжать быть непрерывно действующей организацией.</w:t>
      </w:r>
    </w:p>
    <w:p w14:paraId="22F67961" w14:textId="77777777" w:rsidR="00BB54F2" w:rsidRPr="00F833B4" w:rsidRDefault="00BB54F2" w:rsidP="00012D1B">
      <w:pPr>
        <w:pStyle w:val="enumlev1"/>
        <w:rPr>
          <w:lang w:val="ru-RU"/>
        </w:rPr>
      </w:pPr>
      <w:r w:rsidRPr="00F833B4">
        <w:rPr>
          <w:lang w:val="ru-RU"/>
        </w:rPr>
        <w:t>•</w:t>
      </w:r>
      <w:r w:rsidRPr="00F833B4">
        <w:rPr>
          <w:lang w:val="ru-RU"/>
        </w:rPr>
        <w:tab/>
        <w:t>Оцениваем общее представление, структуру и содержание финансовой отчетности, в том числе раскрываемые сведения, а также определяем, в достаточной ли мере финансовая отчетность представляет основные сделки и события и соответствует их объективному представлению.</w:t>
      </w:r>
    </w:p>
    <w:p w14:paraId="649B4006" w14:textId="77777777" w:rsidR="00BB54F2" w:rsidRPr="00F833B4" w:rsidRDefault="00BB54F2" w:rsidP="00012D1B">
      <w:pPr>
        <w:rPr>
          <w:lang w:val="ru-RU"/>
        </w:rPr>
      </w:pPr>
      <w:r w:rsidRPr="00F833B4">
        <w:rPr>
          <w:lang w:val="ru-RU"/>
        </w:rPr>
        <w:t xml:space="preserve">Мы находимся в контакте с теми лицами, которым поручено осуществлять управление в отношении, среди прочего, планирования охвата аудиторской проверки и времени ее проведения, значительных выводов аудита, в том числе наличия каких-либо значительных </w:t>
      </w:r>
      <w:r w:rsidRPr="00F833B4">
        <w:rPr>
          <w:color w:val="000000"/>
          <w:lang w:val="ru-RU"/>
        </w:rPr>
        <w:t xml:space="preserve">недостатков в системе внутреннего контроля, которые </w:t>
      </w:r>
      <w:r w:rsidRPr="00F833B4">
        <w:rPr>
          <w:lang w:val="ru-RU"/>
        </w:rPr>
        <w:t>мы выявили во время нашего аудита.</w:t>
      </w:r>
    </w:p>
    <w:p w14:paraId="32F41274" w14:textId="77777777" w:rsidR="00BB54F2" w:rsidRPr="00F833B4" w:rsidRDefault="00BB54F2" w:rsidP="00012D1B">
      <w:pPr>
        <w:pStyle w:val="Headingb"/>
        <w:rPr>
          <w:lang w:val="ru-RU"/>
        </w:rPr>
      </w:pPr>
      <w:bookmarkStart w:id="50" w:name="_Toc482995162"/>
      <w:r w:rsidRPr="00F833B4">
        <w:rPr>
          <w:lang w:val="ru-RU"/>
        </w:rPr>
        <w:t>Отчет об иных законодательных и регуляторных требованиях</w:t>
      </w:r>
      <w:bookmarkEnd w:id="50"/>
    </w:p>
    <w:p w14:paraId="5874B1AC" w14:textId="77777777" w:rsidR="00BB54F2" w:rsidRPr="00F833B4" w:rsidRDefault="00BB54F2" w:rsidP="00012D1B">
      <w:pPr>
        <w:rPr>
          <w:lang w:val="ru-RU"/>
        </w:rPr>
      </w:pPr>
      <w:r w:rsidRPr="00F833B4">
        <w:rPr>
          <w:color w:val="000000"/>
          <w:lang w:val="ru-RU"/>
        </w:rPr>
        <w:t>Кроме того</w:t>
      </w:r>
      <w:r w:rsidRPr="00F833B4">
        <w:rPr>
          <w:lang w:val="ru-RU"/>
        </w:rPr>
        <w:t xml:space="preserve">, по нашему заключению, сделки МСЭ, о которых нам стало известно, либо те, которые мы проверили в рамках нашей аудиторской проверки, </w:t>
      </w:r>
      <w:r w:rsidRPr="00F833B4">
        <w:rPr>
          <w:color w:val="000000"/>
          <w:lang w:val="ru-RU"/>
        </w:rPr>
        <w:t>во всех существенных аспектах</w:t>
      </w:r>
      <w:r w:rsidRPr="00F833B4">
        <w:rPr>
          <w:lang w:val="ru-RU"/>
        </w:rPr>
        <w:t xml:space="preserve"> соответствовали </w:t>
      </w:r>
      <w:r w:rsidRPr="00F833B4">
        <w:rPr>
          <w:color w:val="000000"/>
          <w:lang w:val="ru-RU"/>
        </w:rPr>
        <w:t>Финансовому регламенту, Финансовым правилам МСЭ и его юридическим основаниям</w:t>
      </w:r>
      <w:r w:rsidRPr="00F833B4">
        <w:rPr>
          <w:lang w:val="ru-RU"/>
        </w:rPr>
        <w:t>.</w:t>
      </w:r>
    </w:p>
    <w:p w14:paraId="0FD102E8" w14:textId="77777777" w:rsidR="00BB54F2" w:rsidRPr="00F833B4" w:rsidRDefault="00BB54F2" w:rsidP="00012D1B">
      <w:pPr>
        <w:rPr>
          <w:lang w:val="ru-RU"/>
        </w:rPr>
      </w:pPr>
      <w:r w:rsidRPr="00F833B4">
        <w:rPr>
          <w:lang w:val="ru-RU"/>
        </w:rPr>
        <w:t xml:space="preserve">В соответствии с Финансовым регламентом и Финансовыми правилами МСЭ (Статья 28) и Дополнительными полномочиями по внешней аудиторской проверке счетов (Приложение I к Финансовому регламенту и Финансовым правилам МСЭ), мы также выпустили подробный отчет о нашей аудиторской проверке финансовой отчетности МСЭ за 2019 год. </w:t>
      </w:r>
    </w:p>
    <w:p w14:paraId="60693594" w14:textId="77777777" w:rsidR="00BB54F2" w:rsidRPr="00F833B4" w:rsidRDefault="00BB54F2" w:rsidP="00012D1B">
      <w:pPr>
        <w:pStyle w:val="Headingb"/>
        <w:rPr>
          <w:lang w:val="ru-RU"/>
        </w:rPr>
      </w:pPr>
      <w:bookmarkStart w:id="51" w:name="_Toc398125302"/>
      <w:bookmarkStart w:id="52" w:name="_Toc398125781"/>
      <w:bookmarkStart w:id="53" w:name="_Toc398127080"/>
      <w:bookmarkStart w:id="54" w:name="_Toc482995163"/>
      <w:r w:rsidRPr="00F833B4">
        <w:rPr>
          <w:lang w:val="ru-RU"/>
        </w:rPr>
        <w:lastRenderedPageBreak/>
        <w:t>Пояснительный раздел</w:t>
      </w:r>
      <w:bookmarkEnd w:id="51"/>
      <w:bookmarkEnd w:id="52"/>
      <w:bookmarkEnd w:id="53"/>
      <w:bookmarkEnd w:id="54"/>
      <w:r w:rsidRPr="00F833B4">
        <w:rPr>
          <w:lang w:val="ru-RU"/>
        </w:rPr>
        <w:t xml:space="preserve"> – воздействие актуарных обязательств</w:t>
      </w:r>
    </w:p>
    <w:p w14:paraId="3F394A8E" w14:textId="77777777" w:rsidR="00BB54F2" w:rsidRPr="00F833B4" w:rsidRDefault="00BB54F2" w:rsidP="00012D1B">
      <w:pPr>
        <w:rPr>
          <w:rFonts w:cs="Calibri"/>
          <w:lang w:val="ru-RU" w:eastAsia="zh-CN"/>
        </w:rPr>
      </w:pPr>
      <w:r w:rsidRPr="00F833B4">
        <w:rPr>
          <w:lang w:val="ru-RU"/>
        </w:rPr>
        <w:t xml:space="preserve">Мы обращаем внимание на тот факт, что в отчете о финансовом положении показано отрицательное значение чистых активов (−452,6 млн. швейцарских франков), что объясняется в основном воздействием актуарных обязательств в размере 634,8 млн. швейцарских франков, учтенных в отчете о финансовом положении, которые связаны с вознаграждением сотрудников, работающих на основе долгосрочных контрактов. </w:t>
      </w:r>
      <w:r w:rsidRPr="00F833B4">
        <w:rPr>
          <w:rFonts w:cs="Calibri"/>
          <w:lang w:val="ru-RU" w:eastAsia="zh-CN"/>
        </w:rPr>
        <w:t xml:space="preserve">Подробные сведения о проведенном нами анализе включены в наш отчет. Руководство принимает соответствующие меры и заверило нас в том, что будет контролировать эффективность этих мер. </w:t>
      </w:r>
      <w:r w:rsidRPr="00F833B4">
        <w:rPr>
          <w:lang w:val="ru-RU"/>
        </w:rPr>
        <w:t>Наше заключение в отношении этого вопроса не претерпело изменений.</w:t>
      </w:r>
    </w:p>
    <w:p w14:paraId="13EDF09F" w14:textId="77777777" w:rsidR="00BB54F2" w:rsidRPr="00F833B4" w:rsidRDefault="00BB54F2" w:rsidP="00012D1B">
      <w:pPr>
        <w:tabs>
          <w:tab w:val="clear" w:pos="794"/>
        </w:tabs>
        <w:spacing w:before="480"/>
        <w:rPr>
          <w:lang w:val="ru-RU"/>
        </w:rPr>
      </w:pPr>
      <w:r w:rsidRPr="00F833B4">
        <w:rPr>
          <w:lang w:val="ru-RU"/>
        </w:rPr>
        <w:t>Рим, 3 ноября 2020 года</w:t>
      </w:r>
    </w:p>
    <w:p w14:paraId="2A34BEBB" w14:textId="77777777" w:rsidR="00BB54F2" w:rsidRPr="00F833B4" w:rsidRDefault="00BB54F2" w:rsidP="00012D1B">
      <w:pPr>
        <w:tabs>
          <w:tab w:val="clear" w:pos="794"/>
          <w:tab w:val="clear" w:pos="1191"/>
          <w:tab w:val="clear" w:pos="1588"/>
          <w:tab w:val="clear" w:pos="1985"/>
          <w:tab w:val="center" w:pos="7088"/>
        </w:tabs>
        <w:spacing w:before="1080"/>
        <w:rPr>
          <w:rFonts w:asciiTheme="minorHAnsi" w:hAnsiTheme="minorHAnsi" w:cs="Segoe UI"/>
          <w:color w:val="000000"/>
          <w:szCs w:val="22"/>
          <w:lang w:val="ru-RU"/>
        </w:rPr>
      </w:pPr>
      <w:r w:rsidRPr="00F833B4">
        <w:rPr>
          <w:rFonts w:asciiTheme="minorHAnsi" w:hAnsiTheme="minorHAnsi" w:cs="Segoe UI"/>
          <w:color w:val="000000"/>
          <w:szCs w:val="22"/>
          <w:lang w:val="ru-RU"/>
        </w:rPr>
        <w:tab/>
        <w:t xml:space="preserve">Гидо </w:t>
      </w:r>
      <w:proofErr w:type="spellStart"/>
      <w:r w:rsidRPr="00F833B4">
        <w:rPr>
          <w:rFonts w:asciiTheme="minorHAnsi" w:hAnsiTheme="minorHAnsi" w:cs="Segoe UI"/>
          <w:color w:val="000000"/>
          <w:szCs w:val="22"/>
          <w:lang w:val="ru-RU"/>
        </w:rPr>
        <w:t>Карлино</w:t>
      </w:r>
      <w:proofErr w:type="spellEnd"/>
      <w:r w:rsidRPr="00F833B4">
        <w:rPr>
          <w:rFonts w:asciiTheme="minorHAnsi" w:hAnsiTheme="minorHAnsi" w:cs="Segoe UI"/>
          <w:color w:val="000000"/>
          <w:szCs w:val="22"/>
          <w:lang w:val="ru-RU"/>
        </w:rPr>
        <w:br/>
      </w:r>
      <w:r w:rsidRPr="00F833B4">
        <w:rPr>
          <w:rFonts w:asciiTheme="minorHAnsi" w:hAnsiTheme="minorHAnsi" w:cs="Segoe UI"/>
          <w:color w:val="000000"/>
          <w:szCs w:val="22"/>
          <w:lang w:val="ru-RU"/>
        </w:rPr>
        <w:tab/>
        <w:t>Председатель</w:t>
      </w:r>
      <w:r w:rsidRPr="00F833B4">
        <w:rPr>
          <w:rFonts w:cs="Calibri"/>
          <w:szCs w:val="22"/>
          <w:lang w:val="ru-RU" w:eastAsia="zh-CN"/>
        </w:rPr>
        <w:t xml:space="preserve"> Государственной счетной </w:t>
      </w:r>
      <w:r w:rsidRPr="00F833B4">
        <w:rPr>
          <w:rFonts w:cs="Calibri"/>
          <w:szCs w:val="22"/>
          <w:lang w:val="ru-RU" w:eastAsia="zh-CN"/>
        </w:rPr>
        <w:br/>
      </w:r>
      <w:r w:rsidRPr="00F833B4">
        <w:rPr>
          <w:rFonts w:cs="Calibri"/>
          <w:szCs w:val="22"/>
          <w:lang w:val="ru-RU" w:eastAsia="zh-CN"/>
        </w:rPr>
        <w:tab/>
        <w:t>палаты Италии</w:t>
      </w:r>
      <w:r w:rsidRPr="00F833B4">
        <w:rPr>
          <w:rFonts w:asciiTheme="minorHAnsi" w:hAnsiTheme="minorHAnsi" w:cs="Segoe UI"/>
          <w:color w:val="000000"/>
          <w:szCs w:val="22"/>
          <w:lang w:val="ru-RU"/>
        </w:rPr>
        <w:t xml:space="preserve"> (</w:t>
      </w:r>
      <w:proofErr w:type="spellStart"/>
      <w:r w:rsidRPr="00F833B4">
        <w:rPr>
          <w:rFonts w:asciiTheme="minorHAnsi" w:hAnsiTheme="minorHAnsi" w:cs="Segoe UI"/>
          <w:color w:val="000000"/>
          <w:szCs w:val="22"/>
          <w:lang w:val="ru-RU"/>
        </w:rPr>
        <w:t>Corte</w:t>
      </w:r>
      <w:proofErr w:type="spellEnd"/>
      <w:r w:rsidRPr="00F833B4">
        <w:rPr>
          <w:rFonts w:asciiTheme="minorHAnsi" w:hAnsiTheme="minorHAnsi" w:cs="Segoe UI"/>
          <w:color w:val="000000"/>
          <w:szCs w:val="22"/>
          <w:lang w:val="ru-RU"/>
        </w:rPr>
        <w:t xml:space="preserve"> </w:t>
      </w:r>
      <w:proofErr w:type="spellStart"/>
      <w:r w:rsidRPr="00F833B4">
        <w:rPr>
          <w:rFonts w:asciiTheme="minorHAnsi" w:hAnsiTheme="minorHAnsi" w:cs="Segoe UI"/>
          <w:color w:val="000000"/>
          <w:szCs w:val="22"/>
          <w:lang w:val="ru-RU"/>
        </w:rPr>
        <w:t>dei</w:t>
      </w:r>
      <w:proofErr w:type="spellEnd"/>
      <w:r w:rsidRPr="00F833B4">
        <w:rPr>
          <w:rFonts w:asciiTheme="minorHAnsi" w:hAnsiTheme="minorHAnsi" w:cs="Segoe UI"/>
          <w:color w:val="000000"/>
          <w:szCs w:val="22"/>
          <w:lang w:val="ru-RU"/>
        </w:rPr>
        <w:t xml:space="preserve"> </w:t>
      </w:r>
      <w:proofErr w:type="spellStart"/>
      <w:r w:rsidRPr="00F833B4">
        <w:rPr>
          <w:rFonts w:asciiTheme="minorHAnsi" w:hAnsiTheme="minorHAnsi" w:cs="Segoe UI"/>
          <w:color w:val="000000"/>
          <w:szCs w:val="22"/>
          <w:lang w:val="ru-RU"/>
        </w:rPr>
        <w:t>conti</w:t>
      </w:r>
      <w:proofErr w:type="spellEnd"/>
      <w:r w:rsidRPr="00F833B4">
        <w:rPr>
          <w:rFonts w:asciiTheme="minorHAnsi" w:hAnsiTheme="minorHAnsi" w:cs="Segoe UI"/>
          <w:color w:val="000000"/>
          <w:szCs w:val="22"/>
          <w:lang w:val="ru-RU"/>
        </w:rPr>
        <w:t xml:space="preserve">) </w:t>
      </w:r>
    </w:p>
    <w:p w14:paraId="3A8C6405" w14:textId="2FB162DB" w:rsidR="00B7130D" w:rsidRPr="00F833B4" w:rsidRDefault="00B7130D" w:rsidP="00B7130D">
      <w:pPr>
        <w:rPr>
          <w:lang w:val="ru-RU"/>
        </w:rPr>
      </w:pPr>
      <w:r w:rsidRPr="00F833B4">
        <w:rPr>
          <w:lang w:val="ru-RU"/>
        </w:rPr>
        <w:br w:type="page"/>
      </w:r>
    </w:p>
    <w:p w14:paraId="36E5D6BA" w14:textId="77777777" w:rsidR="00CE0E84" w:rsidRPr="00F833B4" w:rsidRDefault="00CE0E84" w:rsidP="00CE0E84">
      <w:pPr>
        <w:pStyle w:val="Heading1"/>
        <w:rPr>
          <w:lang w:val="ru-RU"/>
        </w:rPr>
      </w:pPr>
      <w:bookmarkStart w:id="55" w:name="_Toc452157295"/>
      <w:bookmarkStart w:id="56" w:name="_Toc482995164"/>
      <w:bookmarkStart w:id="57" w:name="_Toc522633554"/>
      <w:bookmarkStart w:id="58" w:name="_Toc56179542"/>
      <w:bookmarkStart w:id="59" w:name="_Toc56180360"/>
      <w:bookmarkEnd w:id="37"/>
      <w:r w:rsidRPr="00F833B4">
        <w:rPr>
          <w:lang w:val="ru-RU"/>
        </w:rPr>
        <w:lastRenderedPageBreak/>
        <w:t>СТРУКТУРА БУХГАЛТЕРСКОЙ ОТЧЕТНОСТИ</w:t>
      </w:r>
      <w:bookmarkEnd w:id="38"/>
      <w:bookmarkEnd w:id="39"/>
      <w:bookmarkEnd w:id="40"/>
      <w:bookmarkEnd w:id="55"/>
      <w:bookmarkEnd w:id="56"/>
      <w:bookmarkEnd w:id="57"/>
      <w:bookmarkEnd w:id="58"/>
      <w:bookmarkEnd w:id="59"/>
    </w:p>
    <w:p w14:paraId="2A6B7F47" w14:textId="4E8F5FBB" w:rsidR="00CE0E84" w:rsidRPr="00F833B4" w:rsidRDefault="00CE0E84" w:rsidP="006361B2">
      <w:pPr>
        <w:rPr>
          <w:lang w:val="ru-RU"/>
        </w:rPr>
      </w:pPr>
      <w:r w:rsidRPr="00F833B4">
        <w:rPr>
          <w:lang w:val="ru-RU"/>
        </w:rPr>
        <w:t>1</w:t>
      </w:r>
      <w:r w:rsidRPr="00F833B4">
        <w:rPr>
          <w:lang w:val="ru-RU"/>
        </w:rPr>
        <w:tab/>
        <w:t>Финансовая отчетность МСЭ подготовлена и представлена в соответствии со стандартом IPSAS</w:t>
      </w:r>
      <w:r w:rsidR="006361B2" w:rsidRPr="00F833B4">
        <w:rPr>
          <w:lang w:val="ru-RU"/>
        </w:rPr>
        <w:t> </w:t>
      </w:r>
      <w:r w:rsidRPr="00F833B4">
        <w:rPr>
          <w:lang w:val="ru-RU"/>
        </w:rPr>
        <w:t>1</w:t>
      </w:r>
      <w:r w:rsidR="006361B2" w:rsidRPr="00F833B4">
        <w:rPr>
          <w:lang w:val="ru-RU"/>
        </w:rPr>
        <w:t xml:space="preserve">, </w:t>
      </w:r>
      <w:r w:rsidR="005B77F9" w:rsidRPr="00F833B4">
        <w:rPr>
          <w:lang w:val="ru-RU"/>
        </w:rPr>
        <w:t xml:space="preserve">и </w:t>
      </w:r>
      <w:r w:rsidR="006361B2" w:rsidRPr="00F833B4">
        <w:rPr>
          <w:lang w:val="ru-RU"/>
        </w:rPr>
        <w:t xml:space="preserve">в нее входят </w:t>
      </w:r>
      <w:r w:rsidRPr="00F833B4">
        <w:rPr>
          <w:lang w:val="ru-RU"/>
        </w:rPr>
        <w:t xml:space="preserve">следующие элементы: </w:t>
      </w:r>
    </w:p>
    <w:p w14:paraId="78FE9B3C" w14:textId="77777777" w:rsidR="00CE0E84" w:rsidRPr="00F833B4" w:rsidRDefault="00CE0E84" w:rsidP="009A34D1">
      <w:pPr>
        <w:pStyle w:val="enumlev1"/>
        <w:rPr>
          <w:lang w:val="ru-RU"/>
        </w:rPr>
      </w:pPr>
      <w:r w:rsidRPr="00F833B4">
        <w:rPr>
          <w:lang w:val="ru-RU"/>
        </w:rPr>
        <w:t>•</w:t>
      </w:r>
      <w:r w:rsidRPr="00F833B4">
        <w:rPr>
          <w:lang w:val="ru-RU"/>
        </w:rPr>
        <w:tab/>
        <w:t>Отчет о финансовом положении – Балансовая ведомость по состоянию на 31</w:t>
      </w:r>
      <w:r w:rsidR="004D2F49" w:rsidRPr="00F833B4">
        <w:rPr>
          <w:lang w:val="ru-RU"/>
        </w:rPr>
        <w:t> декабря</w:t>
      </w:r>
      <w:r w:rsidRPr="00F833B4">
        <w:rPr>
          <w:lang w:val="ru-RU"/>
        </w:rPr>
        <w:t xml:space="preserve"> 201</w:t>
      </w:r>
      <w:r w:rsidR="002002DA" w:rsidRPr="00F833B4">
        <w:rPr>
          <w:lang w:val="ru-RU"/>
        </w:rPr>
        <w:t>9</w:t>
      </w:r>
      <w:r w:rsidRPr="00F833B4">
        <w:rPr>
          <w:lang w:val="ru-RU"/>
        </w:rPr>
        <w:t> года и сравнит</w:t>
      </w:r>
      <w:r w:rsidR="009A34D1" w:rsidRPr="00F833B4">
        <w:rPr>
          <w:lang w:val="ru-RU"/>
        </w:rPr>
        <w:t>ельные данные на 31</w:t>
      </w:r>
      <w:r w:rsidR="004D2F49" w:rsidRPr="00F833B4">
        <w:rPr>
          <w:lang w:val="ru-RU"/>
        </w:rPr>
        <w:t> декабря</w:t>
      </w:r>
      <w:r w:rsidR="009A34D1" w:rsidRPr="00F833B4">
        <w:rPr>
          <w:lang w:val="ru-RU"/>
        </w:rPr>
        <w:t xml:space="preserve"> 201</w:t>
      </w:r>
      <w:r w:rsidR="002002DA" w:rsidRPr="00F833B4">
        <w:rPr>
          <w:lang w:val="ru-RU"/>
        </w:rPr>
        <w:t>8</w:t>
      </w:r>
      <w:r w:rsidR="004D2F49" w:rsidRPr="00F833B4">
        <w:rPr>
          <w:lang w:val="ru-RU"/>
        </w:rPr>
        <w:t> год</w:t>
      </w:r>
      <w:r w:rsidRPr="00F833B4">
        <w:rPr>
          <w:lang w:val="ru-RU"/>
        </w:rPr>
        <w:t xml:space="preserve">а, в которой показаны активы (подразделенные на текущие и </w:t>
      </w:r>
      <w:proofErr w:type="spellStart"/>
      <w:r w:rsidRPr="00F833B4">
        <w:rPr>
          <w:lang w:val="ru-RU"/>
        </w:rPr>
        <w:t>нетекущие</w:t>
      </w:r>
      <w:proofErr w:type="spellEnd"/>
      <w:r w:rsidRPr="00F833B4">
        <w:rPr>
          <w:lang w:val="ru-RU"/>
        </w:rPr>
        <w:t xml:space="preserve"> активы), пассивы (подразделенные на текущие и </w:t>
      </w:r>
      <w:proofErr w:type="spellStart"/>
      <w:r w:rsidRPr="00F833B4">
        <w:rPr>
          <w:lang w:val="ru-RU"/>
        </w:rPr>
        <w:t>нетекущие</w:t>
      </w:r>
      <w:proofErr w:type="spellEnd"/>
      <w:r w:rsidRPr="00F833B4">
        <w:rPr>
          <w:lang w:val="ru-RU"/>
        </w:rPr>
        <w:t xml:space="preserve"> пассивы) и чистые активы; </w:t>
      </w:r>
    </w:p>
    <w:p w14:paraId="5A9641D5" w14:textId="77777777" w:rsidR="00CE0E84" w:rsidRPr="00F833B4" w:rsidRDefault="00CE0E84" w:rsidP="00CE0E84">
      <w:pPr>
        <w:pStyle w:val="enumlev1"/>
        <w:rPr>
          <w:lang w:val="ru-RU"/>
        </w:rPr>
      </w:pPr>
      <w:r w:rsidRPr="00F833B4">
        <w:rPr>
          <w:lang w:val="ru-RU"/>
        </w:rPr>
        <w:t>•</w:t>
      </w:r>
      <w:r w:rsidRPr="00F833B4">
        <w:rPr>
          <w:lang w:val="ru-RU"/>
        </w:rPr>
        <w:tab/>
        <w:t>Отчет о результатах финансовой деятельности за финансовый перио</w:t>
      </w:r>
      <w:r w:rsidR="009A34D1" w:rsidRPr="00F833B4">
        <w:rPr>
          <w:lang w:val="ru-RU"/>
        </w:rPr>
        <w:t>д, завершившийся 31</w:t>
      </w:r>
      <w:r w:rsidR="004D2F49" w:rsidRPr="00F833B4">
        <w:rPr>
          <w:lang w:val="ru-RU"/>
        </w:rPr>
        <w:t> декабря</w:t>
      </w:r>
      <w:r w:rsidR="009A34D1" w:rsidRPr="00F833B4">
        <w:rPr>
          <w:lang w:val="ru-RU"/>
        </w:rPr>
        <w:t xml:space="preserve"> 201</w:t>
      </w:r>
      <w:r w:rsidR="002002DA" w:rsidRPr="00F833B4">
        <w:rPr>
          <w:lang w:val="ru-RU"/>
        </w:rPr>
        <w:t>9</w:t>
      </w:r>
      <w:r w:rsidR="004D2F49" w:rsidRPr="00F833B4">
        <w:rPr>
          <w:lang w:val="ru-RU"/>
        </w:rPr>
        <w:t> год</w:t>
      </w:r>
      <w:r w:rsidRPr="00F833B4">
        <w:rPr>
          <w:lang w:val="ru-RU"/>
        </w:rPr>
        <w:t>а, и сравнит</w:t>
      </w:r>
      <w:r w:rsidR="009A34D1" w:rsidRPr="00F833B4">
        <w:rPr>
          <w:lang w:val="ru-RU"/>
        </w:rPr>
        <w:t>ельные данные на 31</w:t>
      </w:r>
      <w:r w:rsidR="004D2F49" w:rsidRPr="00F833B4">
        <w:rPr>
          <w:lang w:val="ru-RU"/>
        </w:rPr>
        <w:t> декабря</w:t>
      </w:r>
      <w:r w:rsidR="009A34D1" w:rsidRPr="00F833B4">
        <w:rPr>
          <w:lang w:val="ru-RU"/>
        </w:rPr>
        <w:t xml:space="preserve"> 201</w:t>
      </w:r>
      <w:r w:rsidR="002002DA" w:rsidRPr="00F833B4">
        <w:rPr>
          <w:lang w:val="ru-RU"/>
        </w:rPr>
        <w:t>8</w:t>
      </w:r>
      <w:r w:rsidR="004D2F49" w:rsidRPr="00F833B4">
        <w:rPr>
          <w:lang w:val="ru-RU"/>
        </w:rPr>
        <w:t> год</w:t>
      </w:r>
      <w:r w:rsidRPr="00F833B4">
        <w:rPr>
          <w:lang w:val="ru-RU"/>
        </w:rPr>
        <w:t>а, в котором показаны активное сальдо/дефицит за финансовый год;</w:t>
      </w:r>
    </w:p>
    <w:p w14:paraId="51687E17" w14:textId="77777777" w:rsidR="00CE0E84" w:rsidRPr="00F833B4" w:rsidRDefault="00CE0E84" w:rsidP="009A34D1">
      <w:pPr>
        <w:pStyle w:val="enumlev1"/>
        <w:rPr>
          <w:lang w:val="ru-RU"/>
        </w:rPr>
      </w:pPr>
      <w:r w:rsidRPr="00F833B4">
        <w:rPr>
          <w:lang w:val="ru-RU"/>
        </w:rPr>
        <w:t>•</w:t>
      </w:r>
      <w:r w:rsidRPr="00F833B4">
        <w:rPr>
          <w:lang w:val="ru-RU"/>
        </w:rPr>
        <w:tab/>
        <w:t>Отчет об изменениях в чистых активах за финансовый период, завершившийся 31</w:t>
      </w:r>
      <w:r w:rsidR="004D2F49" w:rsidRPr="00F833B4">
        <w:rPr>
          <w:lang w:val="ru-RU"/>
        </w:rPr>
        <w:t> декабря</w:t>
      </w:r>
      <w:r w:rsidRPr="00F833B4">
        <w:rPr>
          <w:lang w:val="ru-RU"/>
        </w:rPr>
        <w:t xml:space="preserve"> 201</w:t>
      </w:r>
      <w:r w:rsidR="002002DA" w:rsidRPr="00F833B4">
        <w:rPr>
          <w:lang w:val="ru-RU"/>
        </w:rPr>
        <w:t>9</w:t>
      </w:r>
      <w:r w:rsidRPr="00F833B4">
        <w:rPr>
          <w:lang w:val="ru-RU"/>
        </w:rPr>
        <w:t> года, в котором показана стоимость чистых активов, включая активное сальдо или дефицит за финансовый год, а также убытки, непосредственно учтенные в чистых активах и не затрагивающие отчет о результатах финансовой деятельности;</w:t>
      </w:r>
    </w:p>
    <w:p w14:paraId="30BA1FE8" w14:textId="77777777" w:rsidR="00CE0E84" w:rsidRPr="00F833B4" w:rsidRDefault="00CE0E84" w:rsidP="009A34D1">
      <w:pPr>
        <w:pStyle w:val="enumlev1"/>
        <w:rPr>
          <w:lang w:val="ru-RU"/>
        </w:rPr>
      </w:pPr>
      <w:r w:rsidRPr="00F833B4">
        <w:rPr>
          <w:lang w:val="ru-RU"/>
        </w:rPr>
        <w:t>•</w:t>
      </w:r>
      <w:r w:rsidRPr="00F833B4">
        <w:rPr>
          <w:lang w:val="ru-RU"/>
        </w:rPr>
        <w:tab/>
        <w:t>таблица движения денежных средств за финансовый период, завершившийся 31</w:t>
      </w:r>
      <w:r w:rsidR="004D2F49" w:rsidRPr="00F833B4">
        <w:rPr>
          <w:lang w:val="ru-RU"/>
        </w:rPr>
        <w:t> декабря</w:t>
      </w:r>
      <w:r w:rsidRPr="00F833B4">
        <w:rPr>
          <w:lang w:val="ru-RU"/>
        </w:rPr>
        <w:t xml:space="preserve"> 201</w:t>
      </w:r>
      <w:r w:rsidR="002002DA" w:rsidRPr="00F833B4">
        <w:rPr>
          <w:lang w:val="ru-RU"/>
        </w:rPr>
        <w:t>9</w:t>
      </w:r>
      <w:r w:rsidRPr="00F833B4">
        <w:rPr>
          <w:lang w:val="ru-RU"/>
        </w:rPr>
        <w:t xml:space="preserve"> года, в которой показаны приток и отток денежных средств и эквивалентов денежных средств для оперативных, инвестиционных и финансовых операций и общих денежных сумм на конец финансового года; </w:t>
      </w:r>
    </w:p>
    <w:p w14:paraId="6F66E22B" w14:textId="77777777" w:rsidR="00CE0E84" w:rsidRPr="00F833B4" w:rsidRDefault="00CE0E84" w:rsidP="009A34D1">
      <w:pPr>
        <w:pStyle w:val="enumlev1"/>
        <w:rPr>
          <w:lang w:val="ru-RU"/>
        </w:rPr>
      </w:pPr>
      <w:r w:rsidRPr="00F833B4">
        <w:rPr>
          <w:lang w:val="ru-RU"/>
        </w:rPr>
        <w:t>•</w:t>
      </w:r>
      <w:r w:rsidRPr="00F833B4">
        <w:rPr>
          <w:lang w:val="ru-RU"/>
        </w:rPr>
        <w:tab/>
        <w:t>сравнительная таблица предусмотренных в бюджете сумм и фактических сумм за 201</w:t>
      </w:r>
      <w:r w:rsidR="002002DA" w:rsidRPr="00F833B4">
        <w:rPr>
          <w:lang w:val="ru-RU"/>
        </w:rPr>
        <w:t>9</w:t>
      </w:r>
      <w:r w:rsidRPr="00F833B4">
        <w:rPr>
          <w:lang w:val="ru-RU"/>
        </w:rPr>
        <w:t> финансовый год;</w:t>
      </w:r>
    </w:p>
    <w:p w14:paraId="58FF721F" w14:textId="77777777" w:rsidR="00CE0E84" w:rsidRPr="00F833B4" w:rsidRDefault="00CE0E84" w:rsidP="00CE0E84">
      <w:pPr>
        <w:pStyle w:val="enumlev1"/>
        <w:rPr>
          <w:lang w:val="ru-RU"/>
        </w:rPr>
      </w:pPr>
      <w:r w:rsidRPr="00F833B4">
        <w:rPr>
          <w:lang w:val="ru-RU"/>
        </w:rPr>
        <w:t>•</w:t>
      </w:r>
      <w:r w:rsidRPr="00F833B4">
        <w:rPr>
          <w:lang w:val="ru-RU"/>
        </w:rPr>
        <w:tab/>
        <w:t xml:space="preserve">примечания к финансовой отчетности, где представлена информация о политике бухгалтерского учета и дополнительная информация, необходимая для беспристрастного представления. </w:t>
      </w:r>
    </w:p>
    <w:p w14:paraId="5AC9FBAF" w14:textId="77777777" w:rsidR="00CE0E84" w:rsidRPr="00F833B4" w:rsidRDefault="00CE0E84" w:rsidP="009A34D1">
      <w:pPr>
        <w:pStyle w:val="Heading1"/>
        <w:rPr>
          <w:lang w:val="ru-RU"/>
        </w:rPr>
      </w:pPr>
      <w:bookmarkStart w:id="60" w:name="_Toc356330870"/>
      <w:bookmarkStart w:id="61" w:name="_Toc358192820"/>
      <w:bookmarkStart w:id="62" w:name="_Toc398125305"/>
      <w:bookmarkStart w:id="63" w:name="_Toc398125784"/>
      <w:bookmarkStart w:id="64" w:name="_Toc452157296"/>
      <w:bookmarkStart w:id="65" w:name="_Toc482995165"/>
      <w:bookmarkStart w:id="66" w:name="_Toc522633555"/>
      <w:bookmarkStart w:id="67" w:name="_Toc56179543"/>
      <w:bookmarkStart w:id="68" w:name="_Toc56180361"/>
      <w:r w:rsidRPr="00F833B4">
        <w:rPr>
          <w:lang w:val="ru-RU"/>
        </w:rPr>
        <w:t>ОТЧЕТ О ФИНАНСОВОМ ПОЛОЖЕНИИ ЗА 201</w:t>
      </w:r>
      <w:r w:rsidR="002002DA" w:rsidRPr="00F833B4">
        <w:rPr>
          <w:lang w:val="ru-RU"/>
        </w:rPr>
        <w:t>9</w:t>
      </w:r>
      <w:r w:rsidRPr="00F833B4">
        <w:rPr>
          <w:lang w:val="ru-RU"/>
        </w:rPr>
        <w:t xml:space="preserve"> ГОД</w:t>
      </w:r>
      <w:bookmarkEnd w:id="60"/>
      <w:bookmarkEnd w:id="61"/>
      <w:bookmarkEnd w:id="62"/>
      <w:bookmarkEnd w:id="63"/>
      <w:bookmarkEnd w:id="64"/>
      <w:bookmarkEnd w:id="65"/>
      <w:bookmarkEnd w:id="66"/>
      <w:bookmarkEnd w:id="67"/>
      <w:bookmarkEnd w:id="68"/>
    </w:p>
    <w:p w14:paraId="11C93C0C" w14:textId="77777777" w:rsidR="00CE0E84" w:rsidRPr="00F833B4" w:rsidRDefault="00CE0E84" w:rsidP="000608BD">
      <w:pPr>
        <w:pStyle w:val="Heading2"/>
        <w:rPr>
          <w:lang w:val="ru-RU"/>
        </w:rPr>
      </w:pPr>
      <w:bookmarkStart w:id="69" w:name="_Toc358192821"/>
      <w:bookmarkStart w:id="70" w:name="_Toc398125306"/>
      <w:bookmarkStart w:id="71" w:name="_Toc398125785"/>
      <w:bookmarkStart w:id="72" w:name="_Toc398127082"/>
      <w:bookmarkStart w:id="73" w:name="_Toc452157297"/>
      <w:bookmarkStart w:id="74" w:name="_Toc482995166"/>
      <w:bookmarkStart w:id="75" w:name="_Toc522633556"/>
      <w:bookmarkStart w:id="76" w:name="_Toc56179544"/>
      <w:bookmarkStart w:id="77" w:name="_Toc56180362"/>
      <w:r w:rsidRPr="00F833B4">
        <w:rPr>
          <w:lang w:val="ru-RU"/>
        </w:rPr>
        <w:t>АКТИВЫ</w:t>
      </w:r>
      <w:bookmarkEnd w:id="69"/>
      <w:bookmarkEnd w:id="70"/>
      <w:bookmarkEnd w:id="71"/>
      <w:bookmarkEnd w:id="72"/>
      <w:bookmarkEnd w:id="73"/>
      <w:bookmarkEnd w:id="74"/>
      <w:bookmarkEnd w:id="75"/>
      <w:bookmarkEnd w:id="76"/>
      <w:bookmarkEnd w:id="77"/>
    </w:p>
    <w:p w14:paraId="7011592B" w14:textId="77777777" w:rsidR="00CE0E84" w:rsidRPr="00F833B4" w:rsidRDefault="00CE0E84" w:rsidP="004B10AF">
      <w:pPr>
        <w:rPr>
          <w:lang w:val="ru-RU"/>
        </w:rPr>
      </w:pPr>
      <w:r w:rsidRPr="00F833B4">
        <w:rPr>
          <w:lang w:val="ru-RU"/>
        </w:rPr>
        <w:t>2</w:t>
      </w:r>
      <w:r w:rsidRPr="00F833B4">
        <w:rPr>
          <w:lang w:val="ru-RU"/>
        </w:rPr>
        <w:tab/>
        <w:t>В 201</w:t>
      </w:r>
      <w:r w:rsidR="002002DA" w:rsidRPr="00F833B4">
        <w:rPr>
          <w:lang w:val="ru-RU"/>
        </w:rPr>
        <w:t>9</w:t>
      </w:r>
      <w:r w:rsidR="004D2F49" w:rsidRPr="00F833B4">
        <w:rPr>
          <w:lang w:val="ru-RU"/>
        </w:rPr>
        <w:t> год</w:t>
      </w:r>
      <w:r w:rsidRPr="00F833B4">
        <w:rPr>
          <w:lang w:val="ru-RU"/>
        </w:rPr>
        <w:t xml:space="preserve">у объем активов составил </w:t>
      </w:r>
      <w:r w:rsidR="009A34D1" w:rsidRPr="00F833B4">
        <w:rPr>
          <w:lang w:val="ru-RU"/>
        </w:rPr>
        <w:t>4</w:t>
      </w:r>
      <w:r w:rsidR="002002DA" w:rsidRPr="00F833B4">
        <w:rPr>
          <w:lang w:val="ru-RU"/>
        </w:rPr>
        <w:t>57</w:t>
      </w:r>
      <w:r w:rsidRPr="00F833B4">
        <w:rPr>
          <w:lang w:val="ru-RU"/>
        </w:rPr>
        <w:t>,</w:t>
      </w:r>
      <w:r w:rsidR="002002DA" w:rsidRPr="00F833B4">
        <w:rPr>
          <w:lang w:val="ru-RU"/>
        </w:rPr>
        <w:t>5</w:t>
      </w:r>
      <w:r w:rsidR="002D1BE1" w:rsidRPr="00F833B4">
        <w:rPr>
          <w:lang w:val="ru-RU"/>
        </w:rPr>
        <w:t xml:space="preserve"> млн. </w:t>
      </w:r>
      <w:r w:rsidRPr="00F833B4">
        <w:rPr>
          <w:lang w:val="ru-RU"/>
        </w:rPr>
        <w:t xml:space="preserve">швейцарских франков, </w:t>
      </w:r>
      <w:r w:rsidR="006361B2" w:rsidRPr="00F833B4">
        <w:rPr>
          <w:lang w:val="ru-RU"/>
        </w:rPr>
        <w:t>что соответствует увеличению</w:t>
      </w:r>
      <w:r w:rsidR="009A34D1" w:rsidRPr="00F833B4">
        <w:rPr>
          <w:lang w:val="ru-RU"/>
        </w:rPr>
        <w:t xml:space="preserve"> на </w:t>
      </w:r>
      <w:r w:rsidR="002002DA" w:rsidRPr="00F833B4">
        <w:rPr>
          <w:lang w:val="ru-RU"/>
        </w:rPr>
        <w:t>46</w:t>
      </w:r>
      <w:r w:rsidR="009A34D1" w:rsidRPr="00F833B4">
        <w:rPr>
          <w:lang w:val="ru-RU"/>
        </w:rPr>
        <w:t>,9</w:t>
      </w:r>
      <w:r w:rsidR="002D1BE1" w:rsidRPr="00F833B4">
        <w:rPr>
          <w:lang w:val="ru-RU"/>
        </w:rPr>
        <w:t xml:space="preserve"> млн. </w:t>
      </w:r>
      <w:r w:rsidR="00E85D5C" w:rsidRPr="00F833B4">
        <w:rPr>
          <w:lang w:val="ru-RU"/>
        </w:rPr>
        <w:t>швейцарских франков (+1</w:t>
      </w:r>
      <w:r w:rsidR="002002DA" w:rsidRPr="00F833B4">
        <w:rPr>
          <w:lang w:val="ru-RU"/>
        </w:rPr>
        <w:t>1</w:t>
      </w:r>
      <w:r w:rsidR="00E85D5C" w:rsidRPr="00F833B4">
        <w:rPr>
          <w:lang w:val="ru-RU"/>
        </w:rPr>
        <w:t>,</w:t>
      </w:r>
      <w:r w:rsidR="002002DA" w:rsidRPr="00F833B4">
        <w:rPr>
          <w:lang w:val="ru-RU"/>
        </w:rPr>
        <w:t>4</w:t>
      </w:r>
      <w:r w:rsidR="00E85D5C" w:rsidRPr="00F833B4">
        <w:rPr>
          <w:lang w:val="ru-RU"/>
        </w:rPr>
        <w:t>%) по сравнению с объемом</w:t>
      </w:r>
      <w:r w:rsidRPr="00F833B4">
        <w:rPr>
          <w:lang w:val="ru-RU"/>
        </w:rPr>
        <w:t xml:space="preserve">, </w:t>
      </w:r>
      <w:r w:rsidR="004B10AF" w:rsidRPr="00F833B4">
        <w:rPr>
          <w:lang w:val="ru-RU"/>
        </w:rPr>
        <w:t>учтенным</w:t>
      </w:r>
      <w:r w:rsidRPr="00F833B4">
        <w:rPr>
          <w:lang w:val="ru-RU"/>
        </w:rPr>
        <w:t xml:space="preserve"> в 201</w:t>
      </w:r>
      <w:r w:rsidR="002002DA" w:rsidRPr="00F833B4">
        <w:rPr>
          <w:lang w:val="ru-RU"/>
        </w:rPr>
        <w:t>8</w:t>
      </w:r>
      <w:r w:rsidR="006361B2" w:rsidRPr="00F833B4">
        <w:rPr>
          <w:lang w:val="ru-RU"/>
        </w:rPr>
        <w:t> </w:t>
      </w:r>
      <w:r w:rsidR="00E85D5C" w:rsidRPr="00F833B4">
        <w:rPr>
          <w:lang w:val="ru-RU"/>
        </w:rPr>
        <w:t>году (</w:t>
      </w:r>
      <w:r w:rsidR="002002DA" w:rsidRPr="00F833B4">
        <w:rPr>
          <w:lang w:val="ru-RU"/>
        </w:rPr>
        <w:t>410</w:t>
      </w:r>
      <w:r w:rsidR="00E85D5C" w:rsidRPr="00F833B4">
        <w:rPr>
          <w:lang w:val="ru-RU"/>
        </w:rPr>
        <w:t>,</w:t>
      </w:r>
      <w:r w:rsidR="002002DA" w:rsidRPr="00F833B4">
        <w:rPr>
          <w:lang w:val="ru-RU"/>
        </w:rPr>
        <w:t>6</w:t>
      </w:r>
      <w:r w:rsidR="002D1BE1" w:rsidRPr="00F833B4">
        <w:rPr>
          <w:lang w:val="ru-RU"/>
        </w:rPr>
        <w:t xml:space="preserve"> млн. </w:t>
      </w:r>
      <w:r w:rsidRPr="00F833B4">
        <w:rPr>
          <w:lang w:val="ru-RU"/>
        </w:rPr>
        <w:t xml:space="preserve">швейцарских франков). </w:t>
      </w:r>
    </w:p>
    <w:p w14:paraId="6496CB64" w14:textId="77777777" w:rsidR="00CE0E84" w:rsidRPr="00F833B4" w:rsidRDefault="00CE0E84" w:rsidP="000F32E4">
      <w:pPr>
        <w:rPr>
          <w:lang w:val="ru-RU"/>
        </w:rPr>
      </w:pPr>
      <w:r w:rsidRPr="00F833B4">
        <w:rPr>
          <w:lang w:val="ru-RU"/>
        </w:rPr>
        <w:t>3</w:t>
      </w:r>
      <w:r w:rsidRPr="00F833B4">
        <w:rPr>
          <w:lang w:val="ru-RU"/>
        </w:rPr>
        <w:tab/>
        <w:t xml:space="preserve">Активы включают текущие активы в объеме </w:t>
      </w:r>
      <w:r w:rsidR="00E85D5C" w:rsidRPr="00F833B4">
        <w:rPr>
          <w:lang w:val="ru-RU"/>
        </w:rPr>
        <w:t>3</w:t>
      </w:r>
      <w:r w:rsidR="002002DA" w:rsidRPr="00F833B4">
        <w:rPr>
          <w:lang w:val="ru-RU"/>
        </w:rPr>
        <w:t>36</w:t>
      </w:r>
      <w:r w:rsidRPr="00F833B4">
        <w:rPr>
          <w:lang w:val="ru-RU"/>
        </w:rPr>
        <w:t>,</w:t>
      </w:r>
      <w:r w:rsidR="002002DA" w:rsidRPr="00F833B4">
        <w:rPr>
          <w:lang w:val="ru-RU"/>
        </w:rPr>
        <w:t>9</w:t>
      </w:r>
      <w:r w:rsidR="002D1BE1" w:rsidRPr="00F833B4">
        <w:rPr>
          <w:lang w:val="ru-RU"/>
        </w:rPr>
        <w:t xml:space="preserve"> млн. </w:t>
      </w:r>
      <w:r w:rsidRPr="00F833B4">
        <w:rPr>
          <w:lang w:val="ru-RU"/>
        </w:rPr>
        <w:t xml:space="preserve">швейцарских франков, что составляет </w:t>
      </w:r>
      <w:r w:rsidR="00E85D5C" w:rsidRPr="00F833B4">
        <w:rPr>
          <w:lang w:val="ru-RU"/>
        </w:rPr>
        <w:t>7</w:t>
      </w:r>
      <w:r w:rsidR="002002DA" w:rsidRPr="00F833B4">
        <w:rPr>
          <w:lang w:val="ru-RU"/>
        </w:rPr>
        <w:t>3</w:t>
      </w:r>
      <w:r w:rsidRPr="00F833B4">
        <w:rPr>
          <w:lang w:val="ru-RU"/>
        </w:rPr>
        <w:t>,</w:t>
      </w:r>
      <w:r w:rsidR="002002DA" w:rsidRPr="00F833B4">
        <w:rPr>
          <w:lang w:val="ru-RU"/>
        </w:rPr>
        <w:t>6</w:t>
      </w:r>
      <w:r w:rsidRPr="00F833B4">
        <w:rPr>
          <w:lang w:val="ru-RU"/>
        </w:rPr>
        <w:t xml:space="preserve">% от общего </w:t>
      </w:r>
      <w:r w:rsidR="000F32E4" w:rsidRPr="00F833B4">
        <w:rPr>
          <w:lang w:val="ru-RU"/>
        </w:rPr>
        <w:t>объема</w:t>
      </w:r>
      <w:r w:rsidRPr="00F833B4">
        <w:rPr>
          <w:lang w:val="ru-RU"/>
        </w:rPr>
        <w:t xml:space="preserve"> активов (в 201</w:t>
      </w:r>
      <w:r w:rsidR="002002DA" w:rsidRPr="00F833B4">
        <w:rPr>
          <w:lang w:val="ru-RU"/>
        </w:rPr>
        <w:t>8</w:t>
      </w:r>
      <w:r w:rsidR="004D2F49" w:rsidRPr="00F833B4">
        <w:rPr>
          <w:lang w:val="ru-RU"/>
        </w:rPr>
        <w:t> г.</w:t>
      </w:r>
      <w:r w:rsidRPr="00F833B4">
        <w:rPr>
          <w:lang w:val="ru-RU"/>
        </w:rPr>
        <w:t xml:space="preserve"> они составляли 7</w:t>
      </w:r>
      <w:r w:rsidR="002002DA" w:rsidRPr="00F833B4">
        <w:rPr>
          <w:lang w:val="ru-RU"/>
        </w:rPr>
        <w:t>5</w:t>
      </w:r>
      <w:r w:rsidRPr="00F833B4">
        <w:rPr>
          <w:lang w:val="ru-RU"/>
        </w:rPr>
        <w:t>,</w:t>
      </w:r>
      <w:r w:rsidR="002002DA" w:rsidRPr="00F833B4">
        <w:rPr>
          <w:lang w:val="ru-RU"/>
        </w:rPr>
        <w:t>6</w:t>
      </w:r>
      <w:r w:rsidRPr="00F833B4">
        <w:rPr>
          <w:lang w:val="ru-RU"/>
        </w:rPr>
        <w:t xml:space="preserve">%), и </w:t>
      </w:r>
      <w:proofErr w:type="spellStart"/>
      <w:r w:rsidRPr="00F833B4">
        <w:rPr>
          <w:lang w:val="ru-RU"/>
        </w:rPr>
        <w:t>нетекущие</w:t>
      </w:r>
      <w:proofErr w:type="spellEnd"/>
      <w:r w:rsidRPr="00F833B4">
        <w:rPr>
          <w:lang w:val="ru-RU"/>
        </w:rPr>
        <w:t xml:space="preserve"> активы в объеме </w:t>
      </w:r>
      <w:r w:rsidR="002002DA" w:rsidRPr="00F833B4">
        <w:rPr>
          <w:lang w:val="ru-RU"/>
        </w:rPr>
        <w:t>120</w:t>
      </w:r>
      <w:r w:rsidRPr="00F833B4">
        <w:rPr>
          <w:lang w:val="ru-RU"/>
        </w:rPr>
        <w:t>,</w:t>
      </w:r>
      <w:r w:rsidR="002002DA" w:rsidRPr="00F833B4">
        <w:rPr>
          <w:lang w:val="ru-RU"/>
        </w:rPr>
        <w:t>6</w:t>
      </w:r>
      <w:r w:rsidR="002D1BE1" w:rsidRPr="00F833B4">
        <w:rPr>
          <w:lang w:val="ru-RU"/>
        </w:rPr>
        <w:t xml:space="preserve"> млн. </w:t>
      </w:r>
      <w:r w:rsidRPr="00F833B4">
        <w:rPr>
          <w:lang w:val="ru-RU"/>
        </w:rPr>
        <w:t xml:space="preserve">швейцарских франков, что составляет </w:t>
      </w:r>
      <w:r w:rsidR="002002DA" w:rsidRPr="00F833B4">
        <w:rPr>
          <w:lang w:val="ru-RU"/>
        </w:rPr>
        <w:t>26</w:t>
      </w:r>
      <w:r w:rsidRPr="00F833B4">
        <w:rPr>
          <w:lang w:val="ru-RU"/>
        </w:rPr>
        <w:t>,</w:t>
      </w:r>
      <w:r w:rsidR="002002DA" w:rsidRPr="00F833B4">
        <w:rPr>
          <w:lang w:val="ru-RU"/>
        </w:rPr>
        <w:t>4</w:t>
      </w:r>
      <w:r w:rsidRPr="00F833B4">
        <w:rPr>
          <w:lang w:val="ru-RU"/>
        </w:rPr>
        <w:t>% о</w:t>
      </w:r>
      <w:r w:rsidR="00E85D5C" w:rsidRPr="00F833B4">
        <w:rPr>
          <w:lang w:val="ru-RU"/>
        </w:rPr>
        <w:t xml:space="preserve">т общего </w:t>
      </w:r>
      <w:r w:rsidR="000F32E4" w:rsidRPr="00F833B4">
        <w:rPr>
          <w:lang w:val="ru-RU"/>
        </w:rPr>
        <w:t xml:space="preserve">объема </w:t>
      </w:r>
      <w:r w:rsidR="002002DA" w:rsidRPr="00F833B4">
        <w:rPr>
          <w:lang w:val="ru-RU"/>
        </w:rPr>
        <w:t>активов (в 2018</w:t>
      </w:r>
      <w:r w:rsidR="004D2F49" w:rsidRPr="00F833B4">
        <w:rPr>
          <w:lang w:val="ru-RU"/>
        </w:rPr>
        <w:t> г.</w:t>
      </w:r>
      <w:r w:rsidRPr="00F833B4">
        <w:rPr>
          <w:lang w:val="ru-RU"/>
        </w:rPr>
        <w:t> – 2</w:t>
      </w:r>
      <w:r w:rsidR="002002DA" w:rsidRPr="00F833B4">
        <w:rPr>
          <w:lang w:val="ru-RU"/>
        </w:rPr>
        <w:t>4</w:t>
      </w:r>
      <w:r w:rsidRPr="00F833B4">
        <w:rPr>
          <w:lang w:val="ru-RU"/>
        </w:rPr>
        <w:t>,</w:t>
      </w:r>
      <w:r w:rsidR="002002DA" w:rsidRPr="00F833B4">
        <w:rPr>
          <w:lang w:val="ru-RU"/>
        </w:rPr>
        <w:t>4</w:t>
      </w:r>
      <w:r w:rsidRPr="00F833B4">
        <w:rPr>
          <w:lang w:val="ru-RU"/>
        </w:rPr>
        <w:t xml:space="preserve">%). Основа оценки активов </w:t>
      </w:r>
      <w:r w:rsidR="00B70228" w:rsidRPr="00F833B4">
        <w:rPr>
          <w:lang w:val="ru-RU"/>
        </w:rPr>
        <w:t>изложена</w:t>
      </w:r>
      <w:r w:rsidRPr="00F833B4">
        <w:rPr>
          <w:lang w:val="ru-RU"/>
        </w:rPr>
        <w:t xml:space="preserve"> в </w:t>
      </w:r>
      <w:r w:rsidR="00B70228" w:rsidRPr="00F833B4">
        <w:rPr>
          <w:lang w:val="ru-RU"/>
        </w:rPr>
        <w:t>разделе "</w:t>
      </w:r>
      <w:r w:rsidRPr="00F833B4">
        <w:rPr>
          <w:lang w:val="ru-RU"/>
        </w:rPr>
        <w:t>Основны</w:t>
      </w:r>
      <w:r w:rsidR="00B70228" w:rsidRPr="00F833B4">
        <w:rPr>
          <w:lang w:val="ru-RU"/>
        </w:rPr>
        <w:t>е</w:t>
      </w:r>
      <w:r w:rsidRPr="00F833B4">
        <w:rPr>
          <w:lang w:val="ru-RU"/>
        </w:rPr>
        <w:t xml:space="preserve"> принцип</w:t>
      </w:r>
      <w:r w:rsidR="00B70228" w:rsidRPr="00F833B4">
        <w:rPr>
          <w:lang w:val="ru-RU"/>
        </w:rPr>
        <w:t>ы</w:t>
      </w:r>
      <w:r w:rsidRPr="00F833B4">
        <w:rPr>
          <w:lang w:val="ru-RU"/>
        </w:rPr>
        <w:t xml:space="preserve"> бухгалтерского учета</w:t>
      </w:r>
      <w:r w:rsidR="00B70228" w:rsidRPr="00F833B4">
        <w:rPr>
          <w:lang w:val="ru-RU"/>
        </w:rPr>
        <w:t>"</w:t>
      </w:r>
      <w:r w:rsidRPr="00F833B4">
        <w:rPr>
          <w:lang w:val="ru-RU"/>
        </w:rPr>
        <w:t xml:space="preserve"> (Примечание</w:t>
      </w:r>
      <w:r w:rsidR="00B70228" w:rsidRPr="00F833B4">
        <w:rPr>
          <w:lang w:val="ru-RU"/>
        </w:rPr>
        <w:t> </w:t>
      </w:r>
      <w:r w:rsidRPr="00F833B4">
        <w:rPr>
          <w:lang w:val="ru-RU"/>
        </w:rPr>
        <w:t>2).</w:t>
      </w:r>
    </w:p>
    <w:p w14:paraId="0805B670" w14:textId="77777777" w:rsidR="00CE0E84" w:rsidRPr="00F833B4" w:rsidRDefault="00CE0E84" w:rsidP="000608BD">
      <w:pPr>
        <w:pStyle w:val="Heading2"/>
        <w:rPr>
          <w:lang w:val="ru-RU"/>
        </w:rPr>
      </w:pPr>
      <w:bookmarkStart w:id="78" w:name="_Toc356330872"/>
      <w:bookmarkStart w:id="79" w:name="_Toc358192822"/>
      <w:bookmarkStart w:id="80" w:name="_Toc398125307"/>
      <w:bookmarkStart w:id="81" w:name="_Toc398125786"/>
      <w:bookmarkStart w:id="82" w:name="_Toc398127083"/>
      <w:bookmarkStart w:id="83" w:name="_Toc452157298"/>
      <w:bookmarkStart w:id="84" w:name="_Toc482995167"/>
      <w:bookmarkStart w:id="85" w:name="_Toc522633557"/>
      <w:bookmarkStart w:id="86" w:name="_Toc56179545"/>
      <w:bookmarkStart w:id="87" w:name="_Toc56180363"/>
      <w:r w:rsidRPr="00F833B4">
        <w:rPr>
          <w:lang w:val="ru-RU"/>
        </w:rPr>
        <w:t>Текущие активы</w:t>
      </w:r>
      <w:bookmarkEnd w:id="78"/>
      <w:bookmarkEnd w:id="79"/>
      <w:bookmarkEnd w:id="80"/>
      <w:bookmarkEnd w:id="81"/>
      <w:bookmarkEnd w:id="82"/>
      <w:bookmarkEnd w:id="83"/>
      <w:bookmarkEnd w:id="84"/>
      <w:bookmarkEnd w:id="85"/>
      <w:bookmarkEnd w:id="86"/>
      <w:bookmarkEnd w:id="87"/>
    </w:p>
    <w:p w14:paraId="5E34AADF" w14:textId="587CB77C" w:rsidR="00CE0E84" w:rsidRPr="00F833B4" w:rsidRDefault="00CE0E84" w:rsidP="0087255F">
      <w:pPr>
        <w:rPr>
          <w:lang w:val="ru-RU"/>
        </w:rPr>
      </w:pPr>
      <w:r w:rsidRPr="00F833B4">
        <w:rPr>
          <w:lang w:val="ru-RU"/>
        </w:rPr>
        <w:t>4</w:t>
      </w:r>
      <w:r w:rsidRPr="00F833B4">
        <w:rPr>
          <w:lang w:val="ru-RU"/>
        </w:rPr>
        <w:tab/>
        <w:t>Общий размер текущих активов в 201</w:t>
      </w:r>
      <w:r w:rsidR="002002DA" w:rsidRPr="00F833B4">
        <w:rPr>
          <w:lang w:val="ru-RU"/>
        </w:rPr>
        <w:t>9</w:t>
      </w:r>
      <w:r w:rsidR="004D2F49" w:rsidRPr="00F833B4">
        <w:rPr>
          <w:lang w:val="ru-RU"/>
        </w:rPr>
        <w:t> год</w:t>
      </w:r>
      <w:r w:rsidRPr="00F833B4">
        <w:rPr>
          <w:lang w:val="ru-RU"/>
        </w:rPr>
        <w:t xml:space="preserve">у составил </w:t>
      </w:r>
      <w:r w:rsidR="000A531A" w:rsidRPr="00F833B4">
        <w:rPr>
          <w:lang w:val="ru-RU"/>
        </w:rPr>
        <w:t>3</w:t>
      </w:r>
      <w:r w:rsidR="00A82644" w:rsidRPr="00F833B4">
        <w:rPr>
          <w:lang w:val="ru-RU"/>
        </w:rPr>
        <w:t>36</w:t>
      </w:r>
      <w:r w:rsidRPr="00F833B4">
        <w:rPr>
          <w:lang w:val="ru-RU"/>
        </w:rPr>
        <w:t>,</w:t>
      </w:r>
      <w:r w:rsidR="00A82644" w:rsidRPr="00F833B4">
        <w:rPr>
          <w:lang w:val="ru-RU"/>
        </w:rPr>
        <w:t>9</w:t>
      </w:r>
      <w:r w:rsidR="002D1BE1" w:rsidRPr="00F833B4">
        <w:rPr>
          <w:lang w:val="ru-RU"/>
        </w:rPr>
        <w:t xml:space="preserve"> млн. </w:t>
      </w:r>
      <w:r w:rsidRPr="00F833B4">
        <w:rPr>
          <w:lang w:val="ru-RU"/>
        </w:rPr>
        <w:t>швейцарских франков, что пр</w:t>
      </w:r>
      <w:r w:rsidR="00A82644" w:rsidRPr="00F833B4">
        <w:rPr>
          <w:lang w:val="ru-RU"/>
        </w:rPr>
        <w:t>едставляет собой увеличение на 26</w:t>
      </w:r>
      <w:r w:rsidRPr="00F833B4">
        <w:rPr>
          <w:lang w:val="ru-RU"/>
        </w:rPr>
        <w:t>,</w:t>
      </w:r>
      <w:r w:rsidR="00A82644" w:rsidRPr="00F833B4">
        <w:rPr>
          <w:lang w:val="ru-RU"/>
        </w:rPr>
        <w:t>2</w:t>
      </w:r>
      <w:r w:rsidR="002D1BE1" w:rsidRPr="00F833B4">
        <w:rPr>
          <w:lang w:val="ru-RU"/>
        </w:rPr>
        <w:t xml:space="preserve"> млн. </w:t>
      </w:r>
      <w:r w:rsidRPr="00F833B4">
        <w:rPr>
          <w:lang w:val="ru-RU"/>
        </w:rPr>
        <w:t>швейцарских франков (+</w:t>
      </w:r>
      <w:r w:rsidR="00A82644" w:rsidRPr="00F833B4">
        <w:rPr>
          <w:lang w:val="ru-RU"/>
        </w:rPr>
        <w:t>8</w:t>
      </w:r>
      <w:r w:rsidRPr="00F833B4">
        <w:rPr>
          <w:lang w:val="ru-RU"/>
        </w:rPr>
        <w:t>,</w:t>
      </w:r>
      <w:r w:rsidR="00A82644" w:rsidRPr="00F833B4">
        <w:rPr>
          <w:lang w:val="ru-RU"/>
        </w:rPr>
        <w:t>4</w:t>
      </w:r>
      <w:r w:rsidRPr="00F833B4">
        <w:rPr>
          <w:lang w:val="ru-RU"/>
        </w:rPr>
        <w:t>%) по сравнению с 201</w:t>
      </w:r>
      <w:r w:rsidR="00A82644" w:rsidRPr="00F833B4">
        <w:rPr>
          <w:lang w:val="ru-RU"/>
        </w:rPr>
        <w:t>8</w:t>
      </w:r>
      <w:r w:rsidRPr="00F833B4">
        <w:rPr>
          <w:lang w:val="ru-RU"/>
        </w:rPr>
        <w:t> годом (</w:t>
      </w:r>
      <w:r w:rsidR="00A82644" w:rsidRPr="00F833B4">
        <w:rPr>
          <w:lang w:val="ru-RU"/>
        </w:rPr>
        <w:t>310</w:t>
      </w:r>
      <w:r w:rsidRPr="00F833B4">
        <w:rPr>
          <w:lang w:val="ru-RU"/>
        </w:rPr>
        <w:t>,</w:t>
      </w:r>
      <w:r w:rsidR="00A82644" w:rsidRPr="00F833B4">
        <w:rPr>
          <w:lang w:val="ru-RU"/>
        </w:rPr>
        <w:t>7</w:t>
      </w:r>
      <w:r w:rsidR="002D1BE1" w:rsidRPr="00F833B4">
        <w:rPr>
          <w:lang w:val="ru-RU"/>
        </w:rPr>
        <w:t xml:space="preserve"> млн. </w:t>
      </w:r>
      <w:r w:rsidRPr="00F833B4">
        <w:rPr>
          <w:lang w:val="ru-RU"/>
        </w:rPr>
        <w:t>швейцарских франков). При рассмотрении движения средств в рамках подразделов мы вид</w:t>
      </w:r>
      <w:r w:rsidR="00D77520" w:rsidRPr="00F833B4">
        <w:rPr>
          <w:lang w:val="ru-RU"/>
        </w:rPr>
        <w:t>ели</w:t>
      </w:r>
      <w:r w:rsidRPr="00F833B4">
        <w:rPr>
          <w:lang w:val="ru-RU"/>
        </w:rPr>
        <w:t xml:space="preserve">, что </w:t>
      </w:r>
      <w:r w:rsidR="00D17477" w:rsidRPr="00F833B4">
        <w:rPr>
          <w:lang w:val="ru-RU"/>
        </w:rPr>
        <w:t xml:space="preserve">общий рост </w:t>
      </w:r>
      <w:r w:rsidR="00D77520" w:rsidRPr="00F833B4">
        <w:rPr>
          <w:lang w:val="ru-RU"/>
        </w:rPr>
        <w:t xml:space="preserve">был </w:t>
      </w:r>
      <w:r w:rsidR="00D17477" w:rsidRPr="00F833B4">
        <w:rPr>
          <w:lang w:val="ru-RU"/>
        </w:rPr>
        <w:t>связан</w:t>
      </w:r>
      <w:r w:rsidRPr="00F833B4">
        <w:rPr>
          <w:lang w:val="ru-RU"/>
        </w:rPr>
        <w:t xml:space="preserve"> с увеличением средств в подразделе "Денежные средства и эквиваленты денежных средств" (+</w:t>
      </w:r>
      <w:r w:rsidR="00A82644" w:rsidRPr="00F833B4">
        <w:rPr>
          <w:lang w:val="ru-RU"/>
        </w:rPr>
        <w:t>17</w:t>
      </w:r>
      <w:r w:rsidR="002D1BE1" w:rsidRPr="00F833B4">
        <w:rPr>
          <w:lang w:val="ru-RU"/>
        </w:rPr>
        <w:t xml:space="preserve"> млн. </w:t>
      </w:r>
      <w:r w:rsidRPr="00F833B4">
        <w:rPr>
          <w:lang w:val="ru-RU"/>
        </w:rPr>
        <w:t xml:space="preserve">швейцарских франков), </w:t>
      </w:r>
      <w:r w:rsidR="00D17477" w:rsidRPr="00F833B4">
        <w:rPr>
          <w:lang w:val="ru-RU"/>
        </w:rPr>
        <w:t>а также в подразделе</w:t>
      </w:r>
      <w:r w:rsidRPr="00F833B4">
        <w:rPr>
          <w:lang w:val="ru-RU"/>
        </w:rPr>
        <w:t xml:space="preserve"> </w:t>
      </w:r>
      <w:r w:rsidR="00043CC5" w:rsidRPr="00F833B4">
        <w:rPr>
          <w:lang w:val="ru-RU"/>
        </w:rPr>
        <w:t xml:space="preserve">"Долговые обязательства по необменным операциям" (3 млн. швейцарских франков); резкое уменьшение наблюдалось по разделу </w:t>
      </w:r>
      <w:r w:rsidRPr="00F833B4">
        <w:rPr>
          <w:lang w:val="ru-RU"/>
        </w:rPr>
        <w:t>"</w:t>
      </w:r>
      <w:r w:rsidR="0087255F" w:rsidRPr="00F833B4">
        <w:rPr>
          <w:lang w:val="ru-RU"/>
        </w:rPr>
        <w:t>Инвестиции</w:t>
      </w:r>
      <w:r w:rsidRPr="00F833B4">
        <w:rPr>
          <w:lang w:val="ru-RU"/>
        </w:rPr>
        <w:t>" (</w:t>
      </w:r>
      <w:r w:rsidR="00043CC5" w:rsidRPr="00F833B4">
        <w:rPr>
          <w:lang w:val="ru-RU"/>
        </w:rPr>
        <w:t>–</w:t>
      </w:r>
      <w:r w:rsidR="000A531A" w:rsidRPr="00F833B4">
        <w:rPr>
          <w:lang w:val="ru-RU"/>
        </w:rPr>
        <w:t>1</w:t>
      </w:r>
      <w:r w:rsidR="00043CC5" w:rsidRPr="00F833B4">
        <w:rPr>
          <w:lang w:val="ru-RU"/>
        </w:rPr>
        <w:t>5</w:t>
      </w:r>
      <w:r w:rsidRPr="00F833B4">
        <w:rPr>
          <w:lang w:val="ru-RU"/>
        </w:rPr>
        <w:t>,</w:t>
      </w:r>
      <w:r w:rsidR="00043CC5" w:rsidRPr="00F833B4">
        <w:rPr>
          <w:lang w:val="ru-RU"/>
        </w:rPr>
        <w:t>7</w:t>
      </w:r>
      <w:r w:rsidR="002D1BE1" w:rsidRPr="00F833B4">
        <w:rPr>
          <w:lang w:val="ru-RU"/>
        </w:rPr>
        <w:t xml:space="preserve"> млн. </w:t>
      </w:r>
      <w:r w:rsidRPr="00F833B4">
        <w:rPr>
          <w:lang w:val="ru-RU"/>
        </w:rPr>
        <w:t>швейцарских франков</w:t>
      </w:r>
      <w:r w:rsidR="00043CC5" w:rsidRPr="00F833B4">
        <w:rPr>
          <w:lang w:val="ru-RU"/>
        </w:rPr>
        <w:t>, то есть –32%</w:t>
      </w:r>
      <w:r w:rsidRPr="00F833B4">
        <w:rPr>
          <w:lang w:val="ru-RU"/>
        </w:rPr>
        <w:t xml:space="preserve">). </w:t>
      </w:r>
    </w:p>
    <w:p w14:paraId="258C1218" w14:textId="4604AAE2" w:rsidR="00A82644" w:rsidRPr="00F833B4" w:rsidRDefault="00A82644" w:rsidP="0087255F">
      <w:pPr>
        <w:rPr>
          <w:lang w:val="ru-RU"/>
        </w:rPr>
      </w:pPr>
      <w:r w:rsidRPr="00F833B4">
        <w:rPr>
          <w:lang w:val="ru-RU"/>
        </w:rPr>
        <w:lastRenderedPageBreak/>
        <w:t>5</w:t>
      </w:r>
      <w:r w:rsidRPr="00F833B4">
        <w:rPr>
          <w:lang w:val="ru-RU"/>
        </w:rPr>
        <w:tab/>
      </w:r>
      <w:bookmarkStart w:id="88" w:name="_Hlk54445033"/>
      <w:r w:rsidR="00473339" w:rsidRPr="00F833B4">
        <w:rPr>
          <w:lang w:val="ru-RU"/>
        </w:rPr>
        <w:t>В то же время имеется подраздел, отсутствовавший в 2018 году</w:t>
      </w:r>
      <w:r w:rsidR="00D3584C" w:rsidRPr="00F833B4">
        <w:rPr>
          <w:lang w:val="ru-RU"/>
        </w:rPr>
        <w:t xml:space="preserve">, который относится к расходам </w:t>
      </w:r>
      <w:r w:rsidR="003868EE" w:rsidRPr="00F833B4">
        <w:rPr>
          <w:lang w:val="ru-RU"/>
        </w:rPr>
        <w:t xml:space="preserve">будущих периодов </w:t>
      </w:r>
      <w:r w:rsidR="00D3584C" w:rsidRPr="00F833B4">
        <w:rPr>
          <w:lang w:val="ru-RU"/>
        </w:rPr>
        <w:t>в сумме</w:t>
      </w:r>
      <w:r w:rsidRPr="00F833B4">
        <w:rPr>
          <w:lang w:val="ru-RU"/>
        </w:rPr>
        <w:t xml:space="preserve"> 21,2</w:t>
      </w:r>
      <w:r w:rsidR="00D3584C" w:rsidRPr="00F833B4">
        <w:rPr>
          <w:lang w:val="ru-RU"/>
        </w:rPr>
        <w:t xml:space="preserve"> млн. швейцарских франков, связанным с присоединением МСЭ </w:t>
      </w:r>
      <w:r w:rsidR="00D81ABE" w:rsidRPr="00F833B4">
        <w:rPr>
          <w:lang w:val="ru-RU"/>
        </w:rPr>
        <w:t>к программе медицинского страхования Организации Объединенных Наций</w:t>
      </w:r>
      <w:r w:rsidR="00D3584C" w:rsidRPr="00F833B4">
        <w:rPr>
          <w:lang w:val="ru-RU"/>
        </w:rPr>
        <w:t xml:space="preserve"> </w:t>
      </w:r>
      <w:r w:rsidR="00D81ABE" w:rsidRPr="00F833B4">
        <w:rPr>
          <w:lang w:val="ru-RU"/>
        </w:rPr>
        <w:t xml:space="preserve">с </w:t>
      </w:r>
      <w:r w:rsidRPr="00F833B4">
        <w:rPr>
          <w:lang w:val="ru-RU"/>
        </w:rPr>
        <w:t>2020</w:t>
      </w:r>
      <w:r w:rsidR="00D81ABE" w:rsidRPr="00F833B4">
        <w:rPr>
          <w:lang w:val="ru-RU"/>
        </w:rPr>
        <w:t> года</w:t>
      </w:r>
      <w:r w:rsidRPr="00F833B4">
        <w:rPr>
          <w:lang w:val="ru-RU"/>
        </w:rPr>
        <w:t xml:space="preserve">. </w:t>
      </w:r>
      <w:bookmarkEnd w:id="88"/>
      <w:r w:rsidR="00D81ABE" w:rsidRPr="00F833B4">
        <w:rPr>
          <w:lang w:val="ru-RU"/>
        </w:rPr>
        <w:t>См.</w:t>
      </w:r>
      <w:r w:rsidR="00B466B6" w:rsidRPr="00F833B4">
        <w:rPr>
          <w:lang w:val="ru-RU"/>
        </w:rPr>
        <w:t> </w:t>
      </w:r>
      <w:r w:rsidR="00D81ABE" w:rsidRPr="00F833B4">
        <w:rPr>
          <w:lang w:val="ru-RU"/>
        </w:rPr>
        <w:t xml:space="preserve">подробное описание этого </w:t>
      </w:r>
      <w:r w:rsidR="00B02C75" w:rsidRPr="00F833B4">
        <w:rPr>
          <w:lang w:val="ru-RU"/>
        </w:rPr>
        <w:t>элемента учета ниже в настоящем отчете, где мы рассматриваем вознаграждение сотрудников</w:t>
      </w:r>
      <w:r w:rsidRPr="00F833B4">
        <w:rPr>
          <w:lang w:val="ru-RU"/>
        </w:rPr>
        <w:t>.</w:t>
      </w:r>
    </w:p>
    <w:p w14:paraId="099ED779" w14:textId="77777777" w:rsidR="00CE0E84" w:rsidRPr="00F833B4" w:rsidRDefault="00CE0E84" w:rsidP="000608BD">
      <w:pPr>
        <w:pStyle w:val="Heading2"/>
        <w:rPr>
          <w:lang w:val="ru-RU"/>
        </w:rPr>
      </w:pPr>
      <w:bookmarkStart w:id="89" w:name="_Toc358192823"/>
      <w:bookmarkStart w:id="90" w:name="_Toc398125308"/>
      <w:bookmarkStart w:id="91" w:name="_Toc398125787"/>
      <w:bookmarkStart w:id="92" w:name="_Toc398127084"/>
      <w:bookmarkStart w:id="93" w:name="_Toc452157299"/>
      <w:bookmarkStart w:id="94" w:name="_Toc482995168"/>
      <w:bookmarkStart w:id="95" w:name="_Toc522633558"/>
      <w:bookmarkStart w:id="96" w:name="_Toc56179546"/>
      <w:bookmarkStart w:id="97" w:name="_Toc56180364"/>
      <w:r w:rsidRPr="00F833B4">
        <w:rPr>
          <w:lang w:val="ru-RU"/>
        </w:rPr>
        <w:t>Денежные средства и эквиваленты денежных средств</w:t>
      </w:r>
      <w:bookmarkEnd w:id="89"/>
      <w:bookmarkEnd w:id="90"/>
      <w:bookmarkEnd w:id="91"/>
      <w:bookmarkEnd w:id="92"/>
      <w:bookmarkEnd w:id="93"/>
      <w:bookmarkEnd w:id="94"/>
      <w:bookmarkEnd w:id="95"/>
      <w:bookmarkEnd w:id="96"/>
      <w:bookmarkEnd w:id="97"/>
    </w:p>
    <w:p w14:paraId="2DBCEBA4" w14:textId="4AC8FA7B" w:rsidR="00CE0E84" w:rsidRPr="00F833B4" w:rsidRDefault="00A82644" w:rsidP="004B10AF">
      <w:pPr>
        <w:rPr>
          <w:lang w:val="ru-RU"/>
        </w:rPr>
      </w:pPr>
      <w:r w:rsidRPr="00F833B4">
        <w:rPr>
          <w:lang w:val="ru-RU"/>
        </w:rPr>
        <w:t>6</w:t>
      </w:r>
      <w:r w:rsidR="00CE0E84" w:rsidRPr="00F833B4">
        <w:rPr>
          <w:lang w:val="ru-RU"/>
        </w:rPr>
        <w:tab/>
        <w:t xml:space="preserve">Подраздел "Денежные средства и эквиваленты денежных средств", общий размер которого составляет </w:t>
      </w:r>
      <w:r w:rsidRPr="00F833B4">
        <w:rPr>
          <w:lang w:val="ru-RU"/>
        </w:rPr>
        <w:t>178</w:t>
      </w:r>
      <w:r w:rsidR="00CE0E84" w:rsidRPr="00F833B4">
        <w:rPr>
          <w:lang w:val="ru-RU"/>
        </w:rPr>
        <w:t>,</w:t>
      </w:r>
      <w:r w:rsidRPr="00F833B4">
        <w:rPr>
          <w:lang w:val="ru-RU"/>
        </w:rPr>
        <w:t>9</w:t>
      </w:r>
      <w:r w:rsidR="002D1BE1" w:rsidRPr="00F833B4">
        <w:rPr>
          <w:lang w:val="ru-RU"/>
        </w:rPr>
        <w:t xml:space="preserve"> млн. </w:t>
      </w:r>
      <w:r w:rsidR="00CE0E84" w:rsidRPr="00F833B4">
        <w:rPr>
          <w:lang w:val="ru-RU"/>
        </w:rPr>
        <w:t xml:space="preserve">швейцарских франков, увеличился на </w:t>
      </w:r>
      <w:r w:rsidR="002262EC" w:rsidRPr="00F833B4">
        <w:rPr>
          <w:lang w:val="ru-RU"/>
        </w:rPr>
        <w:t>1</w:t>
      </w:r>
      <w:r w:rsidRPr="00F833B4">
        <w:rPr>
          <w:lang w:val="ru-RU"/>
        </w:rPr>
        <w:t>0</w:t>
      </w:r>
      <w:r w:rsidR="00CE0E84" w:rsidRPr="00F833B4">
        <w:rPr>
          <w:lang w:val="ru-RU"/>
        </w:rPr>
        <w:t>,</w:t>
      </w:r>
      <w:r w:rsidRPr="00F833B4">
        <w:rPr>
          <w:lang w:val="ru-RU"/>
        </w:rPr>
        <w:t>5</w:t>
      </w:r>
      <w:r w:rsidR="00CE0E84" w:rsidRPr="00F833B4">
        <w:rPr>
          <w:lang w:val="ru-RU"/>
        </w:rPr>
        <w:t xml:space="preserve">% по сравнению с </w:t>
      </w:r>
      <w:r w:rsidR="002262EC" w:rsidRPr="00F833B4">
        <w:rPr>
          <w:lang w:val="ru-RU"/>
        </w:rPr>
        <w:t>1</w:t>
      </w:r>
      <w:r w:rsidRPr="00F833B4">
        <w:rPr>
          <w:lang w:val="ru-RU"/>
        </w:rPr>
        <w:t>61</w:t>
      </w:r>
      <w:r w:rsidR="00CE0E84" w:rsidRPr="00F833B4">
        <w:rPr>
          <w:lang w:val="ru-RU"/>
        </w:rPr>
        <w:t>,</w:t>
      </w:r>
      <w:r w:rsidRPr="00F833B4">
        <w:rPr>
          <w:lang w:val="ru-RU"/>
        </w:rPr>
        <w:t>8</w:t>
      </w:r>
      <w:r w:rsidR="002D1BE1" w:rsidRPr="00F833B4">
        <w:rPr>
          <w:lang w:val="ru-RU"/>
        </w:rPr>
        <w:t xml:space="preserve"> млн. </w:t>
      </w:r>
      <w:r w:rsidR="00CE0E84" w:rsidRPr="00F833B4">
        <w:rPr>
          <w:lang w:val="ru-RU"/>
        </w:rPr>
        <w:t>швейцарских франков в 201</w:t>
      </w:r>
      <w:r w:rsidRPr="00F833B4">
        <w:rPr>
          <w:lang w:val="ru-RU"/>
        </w:rPr>
        <w:t>8</w:t>
      </w:r>
      <w:r w:rsidR="004D2F49" w:rsidRPr="00F833B4">
        <w:rPr>
          <w:lang w:val="ru-RU"/>
        </w:rPr>
        <w:t> год</w:t>
      </w:r>
      <w:r w:rsidR="00CE0E84" w:rsidRPr="00F833B4">
        <w:rPr>
          <w:lang w:val="ru-RU"/>
        </w:rPr>
        <w:t>у; он включает наличные денежные средства и все остатки средств на почтовых и банковских текущих счетах МСЭ на 31</w:t>
      </w:r>
      <w:r w:rsidR="004D2F49" w:rsidRPr="00F833B4">
        <w:rPr>
          <w:lang w:val="ru-RU"/>
        </w:rPr>
        <w:t> декабря</w:t>
      </w:r>
      <w:r w:rsidR="00CE0E84" w:rsidRPr="00F833B4">
        <w:rPr>
          <w:lang w:val="ru-RU"/>
        </w:rPr>
        <w:t xml:space="preserve"> 201</w:t>
      </w:r>
      <w:r w:rsidRPr="00F833B4">
        <w:rPr>
          <w:lang w:val="ru-RU"/>
        </w:rPr>
        <w:t>9</w:t>
      </w:r>
      <w:r w:rsidR="00CE0E84" w:rsidRPr="00F833B4">
        <w:rPr>
          <w:lang w:val="ru-RU"/>
        </w:rPr>
        <w:t xml:space="preserve"> года. Данное увеличение связано в основном </w:t>
      </w:r>
      <w:r w:rsidR="000A6BC2" w:rsidRPr="00F833B4">
        <w:rPr>
          <w:lang w:val="ru-RU"/>
        </w:rPr>
        <w:t>со "Счетами до востребования в швейцарских франках" (+17,3 </w:t>
      </w:r>
      <w:proofErr w:type="gramStart"/>
      <w:r w:rsidR="000A6BC2" w:rsidRPr="00F833B4">
        <w:rPr>
          <w:lang w:val="ru-RU"/>
        </w:rPr>
        <w:t>млн.</w:t>
      </w:r>
      <w:proofErr w:type="gramEnd"/>
      <w:r w:rsidR="000A6BC2" w:rsidRPr="00F833B4">
        <w:rPr>
          <w:lang w:val="ru-RU"/>
        </w:rPr>
        <w:t xml:space="preserve"> швейцарских франков), на которые приходится</w:t>
      </w:r>
      <w:r w:rsidR="00CE0E84" w:rsidRPr="00F833B4">
        <w:rPr>
          <w:lang w:val="ru-RU"/>
        </w:rPr>
        <w:t xml:space="preserve"> около </w:t>
      </w:r>
      <w:r w:rsidRPr="00F833B4">
        <w:rPr>
          <w:lang w:val="ru-RU"/>
        </w:rPr>
        <w:t>71</w:t>
      </w:r>
      <w:r w:rsidR="00CE0E84" w:rsidRPr="00F833B4">
        <w:rPr>
          <w:lang w:val="ru-RU"/>
        </w:rPr>
        <w:t>%</w:t>
      </w:r>
      <w:r w:rsidR="005E5DC4" w:rsidRPr="00F833B4">
        <w:rPr>
          <w:lang w:val="ru-RU"/>
        </w:rPr>
        <w:t xml:space="preserve"> </w:t>
      </w:r>
      <w:r w:rsidR="005E5DC4" w:rsidRPr="00F833B4">
        <w:rPr>
          <w:color w:val="000000"/>
          <w:lang w:val="ru-RU"/>
        </w:rPr>
        <w:t>от общ</w:t>
      </w:r>
      <w:r w:rsidR="00E825B8" w:rsidRPr="00F833B4">
        <w:rPr>
          <w:color w:val="000000"/>
          <w:lang w:val="ru-RU"/>
        </w:rPr>
        <w:t xml:space="preserve">его объема </w:t>
      </w:r>
      <w:r w:rsidR="005E5DC4" w:rsidRPr="00F833B4">
        <w:rPr>
          <w:color w:val="000000"/>
          <w:lang w:val="ru-RU"/>
        </w:rPr>
        <w:t>средств в подразделе</w:t>
      </w:r>
      <w:r w:rsidR="00CE0E84" w:rsidRPr="00F833B4">
        <w:rPr>
          <w:lang w:val="ru-RU"/>
        </w:rPr>
        <w:t>. Подробная разбивка подраздела "Денежные средства и эквиваленты денежных средств" прив</w:t>
      </w:r>
      <w:r w:rsidR="00A40A0C" w:rsidRPr="00F833B4">
        <w:rPr>
          <w:lang w:val="ru-RU"/>
        </w:rPr>
        <w:t>едена</w:t>
      </w:r>
      <w:r w:rsidR="00CE0E84" w:rsidRPr="00F833B4">
        <w:rPr>
          <w:lang w:val="ru-RU"/>
        </w:rPr>
        <w:t xml:space="preserve"> в Примечании</w:t>
      </w:r>
      <w:r w:rsidR="004B10AF" w:rsidRPr="00F833B4">
        <w:rPr>
          <w:lang w:val="ru-RU"/>
        </w:rPr>
        <w:t> </w:t>
      </w:r>
      <w:r w:rsidR="00CE0E84" w:rsidRPr="00F833B4">
        <w:rPr>
          <w:lang w:val="ru-RU"/>
        </w:rPr>
        <w:t>6 к Отчету о финансовой деятельности.</w:t>
      </w:r>
    </w:p>
    <w:p w14:paraId="43A8AC46" w14:textId="31AC1E27" w:rsidR="00CE0E84" w:rsidRPr="00F833B4" w:rsidRDefault="00A82644" w:rsidP="00DD1ACA">
      <w:pPr>
        <w:rPr>
          <w:lang w:val="ru-RU"/>
        </w:rPr>
      </w:pPr>
      <w:r w:rsidRPr="00F833B4">
        <w:rPr>
          <w:lang w:val="ru-RU"/>
        </w:rPr>
        <w:t>7</w:t>
      </w:r>
      <w:r w:rsidR="00CE0E84" w:rsidRPr="00F833B4">
        <w:rPr>
          <w:lang w:val="ru-RU"/>
        </w:rPr>
        <w:tab/>
        <w:t>Мы обратились с просьбой ко всем банкам, у которых имеются деловые отношения с МСЭ, подтвердить остатки средств на текущих счетах по состоянию на 31</w:t>
      </w:r>
      <w:r w:rsidR="004D2F49" w:rsidRPr="00F833B4">
        <w:rPr>
          <w:lang w:val="ru-RU"/>
        </w:rPr>
        <w:t> декабря</w:t>
      </w:r>
      <w:r w:rsidR="00CE0E84" w:rsidRPr="00F833B4">
        <w:rPr>
          <w:lang w:val="ru-RU"/>
        </w:rPr>
        <w:t xml:space="preserve"> 201</w:t>
      </w:r>
      <w:r w:rsidRPr="00F833B4">
        <w:rPr>
          <w:lang w:val="ru-RU"/>
        </w:rPr>
        <w:t>9</w:t>
      </w:r>
      <w:r w:rsidR="004D2F49" w:rsidRPr="00F833B4">
        <w:rPr>
          <w:lang w:val="ru-RU"/>
        </w:rPr>
        <w:t> год</w:t>
      </w:r>
      <w:r w:rsidR="00CE0E84" w:rsidRPr="00F833B4">
        <w:rPr>
          <w:lang w:val="ru-RU"/>
        </w:rPr>
        <w:t xml:space="preserve">а. Мы удостоверились, что остатки средств на счетах должным образом отражены в счетах. Все выявленные в подтверждениях банков расхождения были объяснены и обоснованы. </w:t>
      </w:r>
      <w:r w:rsidR="00036CFE" w:rsidRPr="00F833B4">
        <w:rPr>
          <w:lang w:val="ru-RU"/>
        </w:rPr>
        <w:t>Даже учитывая возможные задержки в связи с пандемией, следует сообщить</w:t>
      </w:r>
      <w:r w:rsidR="00CE0E84" w:rsidRPr="00F833B4">
        <w:rPr>
          <w:lang w:val="ru-RU"/>
        </w:rPr>
        <w:t xml:space="preserve">, что мы не получили прямого подтверждения от </w:t>
      </w:r>
      <w:r w:rsidR="00DD1ACA" w:rsidRPr="00F833B4">
        <w:rPr>
          <w:lang w:val="ru-RU"/>
        </w:rPr>
        <w:t>девяти</w:t>
      </w:r>
      <w:r w:rsidR="00CE0E84" w:rsidRPr="00F833B4">
        <w:rPr>
          <w:lang w:val="ru-RU"/>
        </w:rPr>
        <w:t xml:space="preserve"> банков. Мы подтверждаем усилия, предпринятые руководством, для того чтобы мы получили все подтверждения, хотя это обстоятельство ограничило нашу работу в данной области. </w:t>
      </w:r>
    </w:p>
    <w:p w14:paraId="38E5CE06" w14:textId="77777777" w:rsidR="00CE0E84" w:rsidRPr="00F833B4" w:rsidRDefault="00A82644" w:rsidP="00DD1ACA">
      <w:pPr>
        <w:rPr>
          <w:lang w:val="ru-RU"/>
        </w:rPr>
      </w:pPr>
      <w:r w:rsidRPr="00F833B4">
        <w:rPr>
          <w:lang w:val="ru-RU"/>
        </w:rPr>
        <w:t>8</w:t>
      </w:r>
      <w:r w:rsidR="00CE0E84" w:rsidRPr="00F833B4">
        <w:rPr>
          <w:lang w:val="ru-RU"/>
        </w:rPr>
        <w:tab/>
        <w:t>В том что касается отсутствующих подтверждений от банков, руководство представило нам копию отчетности по состоянию на 31</w:t>
      </w:r>
      <w:r w:rsidR="004D2F49" w:rsidRPr="00F833B4">
        <w:rPr>
          <w:lang w:val="ru-RU"/>
        </w:rPr>
        <w:t> декабря</w:t>
      </w:r>
      <w:r w:rsidR="00CE0E84" w:rsidRPr="00F833B4">
        <w:rPr>
          <w:lang w:val="ru-RU"/>
        </w:rPr>
        <w:t xml:space="preserve"> 201</w:t>
      </w:r>
      <w:r w:rsidRPr="00F833B4">
        <w:rPr>
          <w:lang w:val="ru-RU"/>
        </w:rPr>
        <w:t>9</w:t>
      </w:r>
      <w:r w:rsidR="004D2F49" w:rsidRPr="00F833B4">
        <w:rPr>
          <w:lang w:val="ru-RU"/>
        </w:rPr>
        <w:t> год</w:t>
      </w:r>
      <w:r w:rsidR="00CE0E84" w:rsidRPr="00F833B4">
        <w:rPr>
          <w:lang w:val="ru-RU"/>
        </w:rPr>
        <w:t xml:space="preserve">а, которая относится ко всем вышеупомянутым банкам, и мы использовали эту отчетность для выверки данных. </w:t>
      </w:r>
    </w:p>
    <w:p w14:paraId="631D98CA" w14:textId="77777777" w:rsidR="00CE0E84" w:rsidRPr="00F833B4" w:rsidRDefault="00CE0E84" w:rsidP="000608BD">
      <w:pPr>
        <w:pStyle w:val="Heading3"/>
        <w:rPr>
          <w:i/>
          <w:iCs/>
          <w:lang w:val="ru-RU"/>
        </w:rPr>
      </w:pPr>
      <w:bookmarkStart w:id="98" w:name="_Toc452157300"/>
      <w:bookmarkStart w:id="99" w:name="_Toc482995169"/>
      <w:bookmarkStart w:id="100" w:name="_Toc522633559"/>
      <w:bookmarkStart w:id="101" w:name="_Toc56180365"/>
      <w:bookmarkStart w:id="102" w:name="_Toc358192827"/>
      <w:bookmarkStart w:id="103" w:name="_Toc398125313"/>
      <w:bookmarkStart w:id="104" w:name="_Toc398125792"/>
      <w:bookmarkStart w:id="105" w:name="_Toc398127085"/>
      <w:r w:rsidRPr="00F833B4">
        <w:rPr>
          <w:i/>
          <w:iCs/>
          <w:lang w:val="ru-RU"/>
        </w:rPr>
        <w:t>Обновление списков разрешенных подписей в банках</w:t>
      </w:r>
      <w:bookmarkEnd w:id="98"/>
      <w:bookmarkEnd w:id="99"/>
      <w:bookmarkEnd w:id="100"/>
      <w:bookmarkEnd w:id="101"/>
    </w:p>
    <w:p w14:paraId="017B6AB5" w14:textId="7787327F" w:rsidR="00CE0E84" w:rsidRPr="00F833B4" w:rsidRDefault="00A82644" w:rsidP="00CE0E84">
      <w:pPr>
        <w:rPr>
          <w:lang w:val="ru-RU"/>
        </w:rPr>
      </w:pPr>
      <w:r w:rsidRPr="00F833B4">
        <w:rPr>
          <w:lang w:val="ru-RU"/>
        </w:rPr>
        <w:t>9</w:t>
      </w:r>
      <w:r w:rsidR="00CE0E84" w:rsidRPr="00F833B4">
        <w:rPr>
          <w:lang w:val="ru-RU"/>
        </w:rPr>
        <w:tab/>
        <w:t>В результате нашей аудиторской проверки полученных от банков подтверждений, как и в прошлые годы, мы обнаружили расхождения между списками разрешенных подписей, который ведет руководство в штаб-квартире, и списками, которые мы получили от банков</w:t>
      </w:r>
      <w:r w:rsidRPr="00F833B4">
        <w:rPr>
          <w:lang w:val="ru-RU"/>
        </w:rPr>
        <w:t>,</w:t>
      </w:r>
      <w:r w:rsidRPr="00F833B4">
        <w:rPr>
          <w:rFonts w:ascii="Arial" w:eastAsiaTheme="minorHAnsi" w:hAnsi="Arial" w:cs="Arial"/>
          <w:sz w:val="24"/>
          <w:szCs w:val="24"/>
          <w:shd w:val="clear" w:color="auto" w:fill="FFFFFF"/>
          <w:lang w:val="ru-RU"/>
        </w:rPr>
        <w:t xml:space="preserve"> </w:t>
      </w:r>
      <w:r w:rsidR="001941A2" w:rsidRPr="00F833B4">
        <w:rPr>
          <w:rFonts w:asciiTheme="minorHAnsi" w:eastAsiaTheme="minorHAnsi" w:hAnsiTheme="minorHAnsi" w:cstheme="minorHAnsi"/>
          <w:szCs w:val="22"/>
          <w:shd w:val="clear" w:color="auto" w:fill="FFFFFF"/>
          <w:lang w:val="ru-RU"/>
        </w:rPr>
        <w:t>вследствие чего мы</w:t>
      </w:r>
      <w:r w:rsidR="001941A2" w:rsidRPr="00F833B4">
        <w:rPr>
          <w:rFonts w:ascii="Arial" w:eastAsiaTheme="minorHAnsi" w:hAnsi="Arial" w:cs="Arial"/>
          <w:szCs w:val="22"/>
          <w:shd w:val="clear" w:color="auto" w:fill="FFFFFF"/>
          <w:lang w:val="ru-RU"/>
        </w:rPr>
        <w:t xml:space="preserve"> </w:t>
      </w:r>
      <w:r w:rsidR="00007057" w:rsidRPr="00F833B4">
        <w:rPr>
          <w:rFonts w:asciiTheme="minorHAnsi" w:eastAsiaTheme="minorHAnsi" w:hAnsiTheme="minorHAnsi" w:cstheme="minorHAnsi"/>
          <w:szCs w:val="22"/>
          <w:shd w:val="clear" w:color="auto" w:fill="FFFFFF"/>
          <w:lang w:val="ru-RU"/>
        </w:rPr>
        <w:t>решили считать, что наш</w:t>
      </w:r>
      <w:r w:rsidR="00643CD7" w:rsidRPr="00F833B4">
        <w:rPr>
          <w:rFonts w:asciiTheme="minorHAnsi" w:eastAsiaTheme="minorHAnsi" w:hAnsiTheme="minorHAnsi" w:cstheme="minorHAnsi"/>
          <w:szCs w:val="22"/>
          <w:shd w:val="clear" w:color="auto" w:fill="FFFFFF"/>
          <w:lang w:val="ru-RU"/>
        </w:rPr>
        <w:t>а</w:t>
      </w:r>
      <w:r w:rsidR="00007057" w:rsidRPr="00F833B4">
        <w:rPr>
          <w:rFonts w:asciiTheme="minorHAnsi" w:eastAsiaTheme="minorHAnsi" w:hAnsiTheme="minorHAnsi" w:cstheme="minorHAnsi"/>
          <w:szCs w:val="22"/>
          <w:shd w:val="clear" w:color="auto" w:fill="FFFFFF"/>
          <w:lang w:val="ru-RU"/>
        </w:rPr>
        <w:t xml:space="preserve"> рекомендаци</w:t>
      </w:r>
      <w:r w:rsidR="00643CD7" w:rsidRPr="00F833B4">
        <w:rPr>
          <w:rFonts w:asciiTheme="minorHAnsi" w:eastAsiaTheme="minorHAnsi" w:hAnsiTheme="minorHAnsi" w:cstheme="minorHAnsi"/>
          <w:szCs w:val="22"/>
          <w:shd w:val="clear" w:color="auto" w:fill="FFFFFF"/>
          <w:lang w:val="ru-RU"/>
        </w:rPr>
        <w:t>я</w:t>
      </w:r>
      <w:r w:rsidR="00007057" w:rsidRPr="00F833B4">
        <w:rPr>
          <w:rFonts w:asciiTheme="minorHAnsi" w:hAnsiTheme="minorHAnsi" w:cstheme="minorHAnsi"/>
          <w:lang w:val="ru-RU"/>
        </w:rPr>
        <w:t> </w:t>
      </w:r>
      <w:r w:rsidRPr="00F833B4">
        <w:rPr>
          <w:rFonts w:asciiTheme="minorHAnsi" w:hAnsiTheme="minorHAnsi" w:cstheme="minorHAnsi"/>
          <w:lang w:val="ru-RU"/>
        </w:rPr>
        <w:t>1/2018</w:t>
      </w:r>
      <w:r w:rsidRPr="00F833B4">
        <w:rPr>
          <w:lang w:val="ru-RU"/>
        </w:rPr>
        <w:t xml:space="preserve"> </w:t>
      </w:r>
      <w:r w:rsidR="00643CD7" w:rsidRPr="00F833B4">
        <w:rPr>
          <w:lang w:val="ru-RU"/>
        </w:rPr>
        <w:t xml:space="preserve">имеет статус </w:t>
      </w:r>
      <w:r w:rsidR="00007057" w:rsidRPr="00F833B4">
        <w:rPr>
          <w:lang w:val="ru-RU"/>
        </w:rPr>
        <w:t>"</w:t>
      </w:r>
      <w:r w:rsidR="00643CD7" w:rsidRPr="00F833B4">
        <w:rPr>
          <w:lang w:val="ru-RU"/>
        </w:rPr>
        <w:t>в процессе выполнения</w:t>
      </w:r>
      <w:r w:rsidR="00007057" w:rsidRPr="00F833B4">
        <w:rPr>
          <w:lang w:val="ru-RU"/>
        </w:rPr>
        <w:t>"</w:t>
      </w:r>
      <w:r w:rsidR="00CE0E84" w:rsidRPr="00F833B4">
        <w:rPr>
          <w:lang w:val="ru-RU"/>
        </w:rPr>
        <w:t xml:space="preserve">. В связи с тем, что не все подтверждения были получены, мы не смогли сделать заключение в отношении лиц с правом подписи. Мы подтверждаем, что руководство принимало незамедлительные меры, обращаясь к банкам в целях </w:t>
      </w:r>
      <w:r w:rsidR="00007057" w:rsidRPr="00F833B4">
        <w:rPr>
          <w:lang w:val="ru-RU"/>
        </w:rPr>
        <w:t>урегулирования</w:t>
      </w:r>
      <w:r w:rsidR="00CE0E84" w:rsidRPr="00F833B4">
        <w:rPr>
          <w:lang w:val="ru-RU"/>
        </w:rPr>
        <w:t xml:space="preserve"> этих расхождений.</w:t>
      </w:r>
    </w:p>
    <w:p w14:paraId="76B955C0" w14:textId="77777777" w:rsidR="00CE0E84" w:rsidRPr="00F833B4" w:rsidRDefault="0087255F" w:rsidP="000608BD">
      <w:pPr>
        <w:pStyle w:val="Heading2"/>
        <w:rPr>
          <w:lang w:val="ru-RU"/>
        </w:rPr>
      </w:pPr>
      <w:bookmarkStart w:id="106" w:name="_Toc56179547"/>
      <w:bookmarkStart w:id="107" w:name="_Toc56180366"/>
      <w:bookmarkEnd w:id="102"/>
      <w:bookmarkEnd w:id="103"/>
      <w:bookmarkEnd w:id="104"/>
      <w:bookmarkEnd w:id="105"/>
      <w:r w:rsidRPr="00F833B4">
        <w:rPr>
          <w:lang w:val="ru-RU"/>
        </w:rPr>
        <w:t>Инвестиции</w:t>
      </w:r>
      <w:bookmarkEnd w:id="106"/>
      <w:bookmarkEnd w:id="107"/>
    </w:p>
    <w:p w14:paraId="3F1BA934" w14:textId="77777777" w:rsidR="00CE0E84" w:rsidRPr="00F833B4" w:rsidRDefault="00DD1ACA" w:rsidP="004B10AF">
      <w:pPr>
        <w:rPr>
          <w:lang w:val="ru-RU"/>
        </w:rPr>
      </w:pPr>
      <w:r w:rsidRPr="00F833B4">
        <w:rPr>
          <w:lang w:val="ru-RU"/>
        </w:rPr>
        <w:t>1</w:t>
      </w:r>
      <w:r w:rsidR="00A82644" w:rsidRPr="00F833B4">
        <w:rPr>
          <w:lang w:val="ru-RU"/>
        </w:rPr>
        <w:t>0</w:t>
      </w:r>
      <w:r w:rsidR="00CE0E84" w:rsidRPr="00F833B4">
        <w:rPr>
          <w:lang w:val="ru-RU"/>
        </w:rPr>
        <w:tab/>
        <w:t>В 201</w:t>
      </w:r>
      <w:r w:rsidR="00A82644" w:rsidRPr="00F833B4">
        <w:rPr>
          <w:lang w:val="ru-RU"/>
        </w:rPr>
        <w:t>9</w:t>
      </w:r>
      <w:r w:rsidR="004D2F49" w:rsidRPr="00F833B4">
        <w:rPr>
          <w:lang w:val="ru-RU"/>
        </w:rPr>
        <w:t> год</w:t>
      </w:r>
      <w:r w:rsidR="00CE0E84" w:rsidRPr="00F833B4">
        <w:rPr>
          <w:lang w:val="ru-RU"/>
        </w:rPr>
        <w:t>у средства в подразделе "</w:t>
      </w:r>
      <w:r w:rsidR="0087255F" w:rsidRPr="00F833B4">
        <w:rPr>
          <w:lang w:val="ru-RU"/>
        </w:rPr>
        <w:t>Инвестиции</w:t>
      </w:r>
      <w:r w:rsidR="00CE0E84" w:rsidRPr="00F833B4">
        <w:rPr>
          <w:lang w:val="ru-RU"/>
        </w:rPr>
        <w:t xml:space="preserve">", размер которых составил </w:t>
      </w:r>
      <w:r w:rsidR="00A82644" w:rsidRPr="00F833B4">
        <w:rPr>
          <w:lang w:val="ru-RU"/>
        </w:rPr>
        <w:t>33</w:t>
      </w:r>
      <w:r w:rsidR="00CE0E84" w:rsidRPr="00F833B4">
        <w:rPr>
          <w:lang w:val="ru-RU"/>
        </w:rPr>
        <w:t>,</w:t>
      </w:r>
      <w:r w:rsidR="00A82644" w:rsidRPr="00F833B4">
        <w:rPr>
          <w:lang w:val="ru-RU"/>
        </w:rPr>
        <w:t>3</w:t>
      </w:r>
      <w:r w:rsidR="002D1BE1" w:rsidRPr="00F833B4">
        <w:rPr>
          <w:lang w:val="ru-RU"/>
        </w:rPr>
        <w:t xml:space="preserve"> млн. </w:t>
      </w:r>
      <w:r w:rsidR="00CE0E84" w:rsidRPr="00F833B4">
        <w:rPr>
          <w:lang w:val="ru-RU"/>
        </w:rPr>
        <w:t xml:space="preserve">швейцарских франков, уменьшились на </w:t>
      </w:r>
      <w:r w:rsidR="00A82644" w:rsidRPr="00F833B4">
        <w:rPr>
          <w:lang w:val="ru-RU"/>
        </w:rPr>
        <w:t>15</w:t>
      </w:r>
      <w:r w:rsidR="00CE0E84" w:rsidRPr="00F833B4">
        <w:rPr>
          <w:lang w:val="ru-RU"/>
        </w:rPr>
        <w:t>,</w:t>
      </w:r>
      <w:r w:rsidR="00A82644" w:rsidRPr="00F833B4">
        <w:rPr>
          <w:lang w:val="ru-RU"/>
        </w:rPr>
        <w:t>7</w:t>
      </w:r>
      <w:r w:rsidR="002D1BE1" w:rsidRPr="00F833B4">
        <w:rPr>
          <w:lang w:val="ru-RU"/>
        </w:rPr>
        <w:t xml:space="preserve"> млн. </w:t>
      </w:r>
      <w:r w:rsidR="00CE0E84" w:rsidRPr="00F833B4">
        <w:rPr>
          <w:lang w:val="ru-RU"/>
        </w:rPr>
        <w:t>швейцарских франков (–</w:t>
      </w:r>
      <w:r w:rsidR="00A82644" w:rsidRPr="00F833B4">
        <w:rPr>
          <w:lang w:val="ru-RU"/>
        </w:rPr>
        <w:t>3</w:t>
      </w:r>
      <w:r w:rsidRPr="00F833B4">
        <w:rPr>
          <w:lang w:val="ru-RU"/>
        </w:rPr>
        <w:t>2</w:t>
      </w:r>
      <w:r w:rsidR="00CE0E84" w:rsidRPr="00F833B4">
        <w:rPr>
          <w:lang w:val="ru-RU"/>
        </w:rPr>
        <w:t>%) по сравнению с 201</w:t>
      </w:r>
      <w:r w:rsidR="00A82644" w:rsidRPr="00F833B4">
        <w:rPr>
          <w:lang w:val="ru-RU"/>
        </w:rPr>
        <w:t>8</w:t>
      </w:r>
      <w:r w:rsidR="004D2F49" w:rsidRPr="00F833B4">
        <w:rPr>
          <w:lang w:val="ru-RU"/>
        </w:rPr>
        <w:t> год</w:t>
      </w:r>
      <w:r w:rsidR="00CE0E84" w:rsidRPr="00F833B4">
        <w:rPr>
          <w:lang w:val="ru-RU"/>
        </w:rPr>
        <w:t>ом (</w:t>
      </w:r>
      <w:r w:rsidRPr="00F833B4">
        <w:rPr>
          <w:lang w:val="ru-RU"/>
        </w:rPr>
        <w:t>4</w:t>
      </w:r>
      <w:r w:rsidR="00A82644" w:rsidRPr="00F833B4">
        <w:rPr>
          <w:lang w:val="ru-RU"/>
        </w:rPr>
        <w:t>9</w:t>
      </w:r>
      <w:r w:rsidR="002D1BE1" w:rsidRPr="00F833B4">
        <w:rPr>
          <w:lang w:val="ru-RU"/>
        </w:rPr>
        <w:t xml:space="preserve"> млн. </w:t>
      </w:r>
      <w:r w:rsidR="00CE0E84" w:rsidRPr="00F833B4">
        <w:rPr>
          <w:lang w:val="ru-RU"/>
        </w:rPr>
        <w:t>швейцарских франков) и включают с 31</w:t>
      </w:r>
      <w:r w:rsidR="004D2F49" w:rsidRPr="00F833B4">
        <w:rPr>
          <w:lang w:val="ru-RU"/>
        </w:rPr>
        <w:t> декабря</w:t>
      </w:r>
      <w:r w:rsidR="00CE0E84" w:rsidRPr="00F833B4">
        <w:rPr>
          <w:lang w:val="ru-RU"/>
        </w:rPr>
        <w:t xml:space="preserve"> 201</w:t>
      </w:r>
      <w:r w:rsidR="00A82644" w:rsidRPr="00F833B4">
        <w:rPr>
          <w:lang w:val="ru-RU"/>
        </w:rPr>
        <w:t>9</w:t>
      </w:r>
      <w:r w:rsidR="004D2F49" w:rsidRPr="00F833B4">
        <w:rPr>
          <w:lang w:val="ru-RU"/>
        </w:rPr>
        <w:t> год</w:t>
      </w:r>
      <w:r w:rsidR="00CE0E84" w:rsidRPr="00F833B4">
        <w:rPr>
          <w:lang w:val="ru-RU"/>
        </w:rPr>
        <w:t xml:space="preserve">а срочные вклады со сроком возврата не более </w:t>
      </w:r>
      <w:r w:rsidR="004B10AF" w:rsidRPr="00F833B4">
        <w:rPr>
          <w:lang w:val="ru-RU"/>
        </w:rPr>
        <w:t>9</w:t>
      </w:r>
      <w:r w:rsidR="00CE0E84" w:rsidRPr="00F833B4">
        <w:rPr>
          <w:lang w:val="ru-RU"/>
        </w:rPr>
        <w:t xml:space="preserve"> месяцев. Подробная разбивка </w:t>
      </w:r>
      <w:r w:rsidR="0000051B" w:rsidRPr="00F833B4">
        <w:rPr>
          <w:lang w:val="ru-RU"/>
        </w:rPr>
        <w:t>инвестиций</w:t>
      </w:r>
      <w:r w:rsidR="00CE0E84" w:rsidRPr="00F833B4">
        <w:rPr>
          <w:lang w:val="ru-RU"/>
        </w:rPr>
        <w:t xml:space="preserve"> по срокам возврата </w:t>
      </w:r>
      <w:r w:rsidRPr="00F833B4">
        <w:rPr>
          <w:lang w:val="ru-RU"/>
        </w:rPr>
        <w:t>прив</w:t>
      </w:r>
      <w:r w:rsidR="0000051B" w:rsidRPr="00F833B4">
        <w:rPr>
          <w:lang w:val="ru-RU"/>
        </w:rPr>
        <w:t>едена</w:t>
      </w:r>
      <w:r w:rsidR="00CE0E84" w:rsidRPr="00F833B4">
        <w:rPr>
          <w:lang w:val="ru-RU"/>
        </w:rPr>
        <w:t xml:space="preserve"> в Примечании</w:t>
      </w:r>
      <w:r w:rsidR="004B10AF" w:rsidRPr="00F833B4">
        <w:rPr>
          <w:lang w:val="ru-RU"/>
        </w:rPr>
        <w:t> </w:t>
      </w:r>
      <w:r w:rsidR="00CE0E84" w:rsidRPr="00F833B4">
        <w:rPr>
          <w:lang w:val="ru-RU"/>
        </w:rPr>
        <w:t xml:space="preserve">7 к Отчету о финансовой деятельности. </w:t>
      </w:r>
    </w:p>
    <w:p w14:paraId="2336F80C" w14:textId="4D485FFA" w:rsidR="00A82644" w:rsidRPr="00F833B4" w:rsidRDefault="00A82644" w:rsidP="004B10AF">
      <w:pPr>
        <w:rPr>
          <w:lang w:val="ru-RU"/>
        </w:rPr>
      </w:pPr>
      <w:r w:rsidRPr="00F833B4">
        <w:rPr>
          <w:lang w:val="ru-RU"/>
        </w:rPr>
        <w:t>11</w:t>
      </w:r>
      <w:r w:rsidRPr="00F833B4">
        <w:rPr>
          <w:lang w:val="ru-RU"/>
        </w:rPr>
        <w:tab/>
      </w:r>
      <w:r w:rsidR="003E40EE" w:rsidRPr="00F833B4">
        <w:rPr>
          <w:lang w:val="ru-RU"/>
        </w:rPr>
        <w:t xml:space="preserve">Происходящие после закрытия </w:t>
      </w:r>
      <w:r w:rsidR="00E825B8" w:rsidRPr="00F833B4">
        <w:rPr>
          <w:lang w:val="ru-RU"/>
        </w:rPr>
        <w:t xml:space="preserve">счетов </w:t>
      </w:r>
      <w:r w:rsidR="003E40EE" w:rsidRPr="00F833B4">
        <w:rPr>
          <w:lang w:val="ru-RU"/>
        </w:rPr>
        <w:t>события, которые могут сказаться на стоимости приведенных выше оценок</w:t>
      </w:r>
      <w:r w:rsidR="002264DA" w:rsidRPr="00F833B4">
        <w:rPr>
          <w:lang w:val="ru-RU"/>
        </w:rPr>
        <w:t xml:space="preserve"> и отрицательно повлиять на их результаты</w:t>
      </w:r>
      <w:r w:rsidR="003E40EE" w:rsidRPr="00F833B4">
        <w:rPr>
          <w:lang w:val="ru-RU"/>
        </w:rPr>
        <w:t>, в настоящее время считаются "нерегулируемыми событиями" и будут проанализированы в Отчете за 2020 финансовый год</w:t>
      </w:r>
      <w:r w:rsidRPr="00F833B4">
        <w:rPr>
          <w:lang w:val="ru-RU"/>
        </w:rPr>
        <w:t>.</w:t>
      </w:r>
    </w:p>
    <w:p w14:paraId="0ED6BB21" w14:textId="4C75345E" w:rsidR="00CE0E84" w:rsidRPr="00F833B4" w:rsidRDefault="00DD1ACA" w:rsidP="004B10AF">
      <w:pPr>
        <w:rPr>
          <w:lang w:val="ru-RU"/>
        </w:rPr>
      </w:pPr>
      <w:r w:rsidRPr="00F833B4">
        <w:rPr>
          <w:lang w:val="ru-RU"/>
        </w:rPr>
        <w:t>12</w:t>
      </w:r>
      <w:r w:rsidR="00CE0E84" w:rsidRPr="00F833B4">
        <w:rPr>
          <w:lang w:val="ru-RU"/>
        </w:rPr>
        <w:tab/>
        <w:t>В Примечании</w:t>
      </w:r>
      <w:r w:rsidR="004B10AF" w:rsidRPr="00F833B4">
        <w:rPr>
          <w:lang w:val="ru-RU"/>
        </w:rPr>
        <w:t> </w:t>
      </w:r>
      <w:r w:rsidR="00CE0E84" w:rsidRPr="00F833B4">
        <w:rPr>
          <w:lang w:val="ru-RU"/>
        </w:rPr>
        <w:t>2 к Отчету о финансовой деятельности</w:t>
      </w:r>
      <w:r w:rsidR="004B10AF" w:rsidRPr="00F833B4">
        <w:rPr>
          <w:lang w:val="ru-RU"/>
        </w:rPr>
        <w:t xml:space="preserve"> "</w:t>
      </w:r>
      <w:r w:rsidR="00CE0E84" w:rsidRPr="00F833B4">
        <w:rPr>
          <w:lang w:val="ru-RU"/>
        </w:rPr>
        <w:t>Основны</w:t>
      </w:r>
      <w:r w:rsidR="004B10AF" w:rsidRPr="00F833B4">
        <w:rPr>
          <w:lang w:val="ru-RU"/>
        </w:rPr>
        <w:t>е</w:t>
      </w:r>
      <w:r w:rsidR="00CE0E84" w:rsidRPr="00F833B4">
        <w:rPr>
          <w:lang w:val="ru-RU"/>
        </w:rPr>
        <w:t xml:space="preserve"> принцип</w:t>
      </w:r>
      <w:r w:rsidR="004B10AF" w:rsidRPr="00F833B4">
        <w:rPr>
          <w:lang w:val="ru-RU"/>
        </w:rPr>
        <w:t>ы</w:t>
      </w:r>
      <w:r w:rsidR="00CE0E84" w:rsidRPr="00F833B4">
        <w:rPr>
          <w:lang w:val="ru-RU"/>
        </w:rPr>
        <w:t xml:space="preserve"> бухгалтерского учета</w:t>
      </w:r>
      <w:r w:rsidR="004B10AF" w:rsidRPr="00F833B4">
        <w:rPr>
          <w:lang w:val="ru-RU"/>
        </w:rPr>
        <w:t>"</w:t>
      </w:r>
      <w:r w:rsidR="00CE0E84" w:rsidRPr="00F833B4">
        <w:rPr>
          <w:lang w:val="ru-RU"/>
        </w:rPr>
        <w:t xml:space="preserve"> в отдельном пункте по финансовым инструментам представлена информация по раскрытию </w:t>
      </w:r>
      <w:r w:rsidR="0000051B" w:rsidRPr="00F833B4">
        <w:rPr>
          <w:lang w:val="ru-RU"/>
        </w:rPr>
        <w:t>инвестиций</w:t>
      </w:r>
      <w:r w:rsidR="00CE0E84" w:rsidRPr="00F833B4">
        <w:rPr>
          <w:lang w:val="ru-RU"/>
        </w:rPr>
        <w:t>. В соответствии с IPSAS, в Примечании</w:t>
      </w:r>
      <w:r w:rsidR="004B10AF" w:rsidRPr="00F833B4">
        <w:rPr>
          <w:lang w:val="ru-RU"/>
        </w:rPr>
        <w:t> </w:t>
      </w:r>
      <w:r w:rsidR="00CE0E84" w:rsidRPr="00F833B4">
        <w:rPr>
          <w:lang w:val="ru-RU"/>
        </w:rPr>
        <w:t xml:space="preserve">4 представлена информация об управлении </w:t>
      </w:r>
      <w:r w:rsidR="00CE0E84" w:rsidRPr="00F833B4">
        <w:rPr>
          <w:lang w:val="ru-RU"/>
        </w:rPr>
        <w:lastRenderedPageBreak/>
        <w:t xml:space="preserve">финансовыми рисками; в частности, все </w:t>
      </w:r>
      <w:r w:rsidR="0000051B" w:rsidRPr="00F833B4">
        <w:rPr>
          <w:lang w:val="ru-RU"/>
        </w:rPr>
        <w:t>инвестиции</w:t>
      </w:r>
      <w:r w:rsidR="00CE0E84" w:rsidRPr="00F833B4">
        <w:rPr>
          <w:lang w:val="ru-RU"/>
        </w:rPr>
        <w:t xml:space="preserve"> подвержены кредитному риску, а также риску, связанному с процентной ставкой, риску ликвидности</w:t>
      </w:r>
      <w:r w:rsidR="003E40EE" w:rsidRPr="00F833B4">
        <w:rPr>
          <w:lang w:val="ru-RU"/>
        </w:rPr>
        <w:t>,</w:t>
      </w:r>
      <w:r w:rsidR="00CE0E84" w:rsidRPr="00F833B4">
        <w:rPr>
          <w:lang w:val="ru-RU"/>
        </w:rPr>
        <w:t xml:space="preserve"> рыночному риску</w:t>
      </w:r>
      <w:r w:rsidR="003E40EE" w:rsidRPr="00F833B4">
        <w:rPr>
          <w:lang w:val="ru-RU"/>
        </w:rPr>
        <w:t xml:space="preserve"> и валютному риску</w:t>
      </w:r>
      <w:r w:rsidR="00CE0E84" w:rsidRPr="00F833B4">
        <w:rPr>
          <w:lang w:val="ru-RU"/>
        </w:rPr>
        <w:t xml:space="preserve">. </w:t>
      </w:r>
    </w:p>
    <w:p w14:paraId="5ED5A180" w14:textId="77777777" w:rsidR="00CE0E84" w:rsidRPr="00F833B4" w:rsidRDefault="00CE0E84" w:rsidP="000608BD">
      <w:pPr>
        <w:pStyle w:val="Heading2"/>
        <w:rPr>
          <w:lang w:val="ru-RU"/>
        </w:rPr>
      </w:pPr>
      <w:bookmarkStart w:id="108" w:name="_Toc358192829"/>
      <w:bookmarkStart w:id="109" w:name="_Toc398125314"/>
      <w:bookmarkStart w:id="110" w:name="_Toc398125793"/>
      <w:bookmarkStart w:id="111" w:name="_Toc398127086"/>
      <w:bookmarkStart w:id="112" w:name="_Toc452157302"/>
      <w:bookmarkStart w:id="113" w:name="_Toc482995171"/>
      <w:bookmarkStart w:id="114" w:name="_Toc522633561"/>
      <w:bookmarkStart w:id="115" w:name="_Toc56179548"/>
      <w:bookmarkStart w:id="116" w:name="_Toc56180367"/>
      <w:r w:rsidRPr="00F833B4">
        <w:rPr>
          <w:lang w:val="ru-RU"/>
        </w:rPr>
        <w:t>Долговые обязательства</w:t>
      </w:r>
      <w:bookmarkEnd w:id="108"/>
      <w:bookmarkEnd w:id="109"/>
      <w:bookmarkEnd w:id="110"/>
      <w:bookmarkEnd w:id="111"/>
      <w:bookmarkEnd w:id="112"/>
      <w:bookmarkEnd w:id="113"/>
      <w:bookmarkEnd w:id="114"/>
      <w:bookmarkEnd w:id="115"/>
      <w:bookmarkEnd w:id="116"/>
    </w:p>
    <w:p w14:paraId="44A19466" w14:textId="56C524CA" w:rsidR="00CE0E84" w:rsidRPr="00F833B4" w:rsidRDefault="00DD1ACA" w:rsidP="0000051B">
      <w:pPr>
        <w:rPr>
          <w:lang w:val="ru-RU"/>
        </w:rPr>
      </w:pPr>
      <w:r w:rsidRPr="00F833B4">
        <w:rPr>
          <w:lang w:val="ru-RU"/>
        </w:rPr>
        <w:t>13</w:t>
      </w:r>
      <w:r w:rsidR="00CE0E84" w:rsidRPr="00F833B4">
        <w:rPr>
          <w:lang w:val="ru-RU"/>
        </w:rPr>
        <w:tab/>
        <w:t>Чистый объем текущих долговых обязательств, как по обменным, так и по необменным операциям, составил в 201</w:t>
      </w:r>
      <w:r w:rsidR="00BC032D" w:rsidRPr="00F833B4">
        <w:rPr>
          <w:lang w:val="ru-RU"/>
        </w:rPr>
        <w:t>9</w:t>
      </w:r>
      <w:r w:rsidR="004D2F49" w:rsidRPr="00F833B4">
        <w:rPr>
          <w:lang w:val="ru-RU"/>
        </w:rPr>
        <w:t> год</w:t>
      </w:r>
      <w:r w:rsidR="00CE0E84" w:rsidRPr="00F833B4">
        <w:rPr>
          <w:lang w:val="ru-RU"/>
        </w:rPr>
        <w:t>у 9</w:t>
      </w:r>
      <w:r w:rsidR="00BC032D" w:rsidRPr="00F833B4">
        <w:rPr>
          <w:lang w:val="ru-RU"/>
        </w:rPr>
        <w:t>4</w:t>
      </w:r>
      <w:r w:rsidR="00CE0E84" w:rsidRPr="00F833B4">
        <w:rPr>
          <w:lang w:val="ru-RU"/>
        </w:rPr>
        <w:t>,</w:t>
      </w:r>
      <w:r w:rsidRPr="00F833B4">
        <w:rPr>
          <w:lang w:val="ru-RU"/>
        </w:rPr>
        <w:t>8</w:t>
      </w:r>
      <w:r w:rsidR="002D1BE1" w:rsidRPr="00F833B4">
        <w:rPr>
          <w:lang w:val="ru-RU"/>
        </w:rPr>
        <w:t xml:space="preserve"> млн. </w:t>
      </w:r>
      <w:r w:rsidR="00CE0E84" w:rsidRPr="00F833B4">
        <w:rPr>
          <w:lang w:val="ru-RU"/>
        </w:rPr>
        <w:t xml:space="preserve">швейцарских франков по сравнению с </w:t>
      </w:r>
      <w:r w:rsidR="00BC032D" w:rsidRPr="00F833B4">
        <w:rPr>
          <w:lang w:val="ru-RU"/>
        </w:rPr>
        <w:t>90</w:t>
      </w:r>
      <w:r w:rsidR="00CE0E84" w:rsidRPr="00F833B4">
        <w:rPr>
          <w:lang w:val="ru-RU"/>
        </w:rPr>
        <w:t>,</w:t>
      </w:r>
      <w:r w:rsidR="00BC032D" w:rsidRPr="00F833B4">
        <w:rPr>
          <w:lang w:val="ru-RU"/>
        </w:rPr>
        <w:t>8</w:t>
      </w:r>
      <w:r w:rsidR="002D1BE1" w:rsidRPr="00F833B4">
        <w:rPr>
          <w:lang w:val="ru-RU"/>
        </w:rPr>
        <w:t xml:space="preserve"> млн. </w:t>
      </w:r>
      <w:r w:rsidRPr="00F833B4">
        <w:rPr>
          <w:lang w:val="ru-RU"/>
        </w:rPr>
        <w:t>швейцарских франков в 201</w:t>
      </w:r>
      <w:r w:rsidR="00BC032D" w:rsidRPr="00F833B4">
        <w:rPr>
          <w:lang w:val="ru-RU"/>
        </w:rPr>
        <w:t>8</w:t>
      </w:r>
      <w:r w:rsidR="004D2F49" w:rsidRPr="00F833B4">
        <w:rPr>
          <w:lang w:val="ru-RU"/>
        </w:rPr>
        <w:t> год</w:t>
      </w:r>
      <w:r w:rsidR="00CE0E84" w:rsidRPr="00F833B4">
        <w:rPr>
          <w:lang w:val="ru-RU"/>
        </w:rPr>
        <w:t xml:space="preserve">у. Это составляет </w:t>
      </w:r>
      <w:r w:rsidR="00E64881" w:rsidRPr="00F833B4">
        <w:rPr>
          <w:lang w:val="ru-RU"/>
        </w:rPr>
        <w:t xml:space="preserve">около </w:t>
      </w:r>
      <w:r w:rsidR="00BC032D" w:rsidRPr="00F833B4">
        <w:rPr>
          <w:lang w:val="ru-RU"/>
        </w:rPr>
        <w:t>30</w:t>
      </w:r>
      <w:r w:rsidR="00CE0E84" w:rsidRPr="00F833B4">
        <w:rPr>
          <w:lang w:val="ru-RU"/>
        </w:rPr>
        <w:t xml:space="preserve">% от общего объема текущих активов по сравнению </w:t>
      </w:r>
      <w:r w:rsidR="0000051B" w:rsidRPr="00F833B4">
        <w:rPr>
          <w:lang w:val="ru-RU"/>
        </w:rPr>
        <w:t xml:space="preserve">с </w:t>
      </w:r>
      <w:r w:rsidR="00BC032D" w:rsidRPr="00F833B4">
        <w:rPr>
          <w:lang w:val="ru-RU"/>
        </w:rPr>
        <w:t>27</w:t>
      </w:r>
      <w:r w:rsidR="00CE0E84" w:rsidRPr="00F833B4">
        <w:rPr>
          <w:lang w:val="ru-RU"/>
        </w:rPr>
        <w:t>,</w:t>
      </w:r>
      <w:r w:rsidR="00BC032D" w:rsidRPr="00F833B4">
        <w:rPr>
          <w:lang w:val="ru-RU"/>
        </w:rPr>
        <w:t>6</w:t>
      </w:r>
      <w:r w:rsidRPr="00F833B4">
        <w:rPr>
          <w:lang w:val="ru-RU"/>
        </w:rPr>
        <w:t>% в 201</w:t>
      </w:r>
      <w:r w:rsidR="00BC032D" w:rsidRPr="00F833B4">
        <w:rPr>
          <w:lang w:val="ru-RU"/>
        </w:rPr>
        <w:t>8</w:t>
      </w:r>
      <w:r w:rsidR="004D2F49" w:rsidRPr="00F833B4">
        <w:rPr>
          <w:lang w:val="ru-RU"/>
        </w:rPr>
        <w:t> год</w:t>
      </w:r>
      <w:r w:rsidR="00CE0E84" w:rsidRPr="00F833B4">
        <w:rPr>
          <w:lang w:val="ru-RU"/>
        </w:rPr>
        <w:t xml:space="preserve">у. </w:t>
      </w:r>
    </w:p>
    <w:p w14:paraId="05C6F249" w14:textId="77777777" w:rsidR="00CE0E84" w:rsidRPr="00F833B4" w:rsidRDefault="00CE0E84" w:rsidP="00DD1ACA">
      <w:pPr>
        <w:rPr>
          <w:lang w:val="ru-RU"/>
        </w:rPr>
      </w:pPr>
      <w:r w:rsidRPr="00F833B4">
        <w:rPr>
          <w:lang w:val="ru-RU"/>
        </w:rPr>
        <w:t>1</w:t>
      </w:r>
      <w:r w:rsidR="00DD1ACA" w:rsidRPr="00F833B4">
        <w:rPr>
          <w:lang w:val="ru-RU"/>
        </w:rPr>
        <w:t>4</w:t>
      </w:r>
      <w:r w:rsidRPr="00F833B4">
        <w:rPr>
          <w:lang w:val="ru-RU"/>
        </w:rPr>
        <w:tab/>
        <w:t xml:space="preserve">Как отмечается в Примечании 8 к Отчету о финансовой деятельности, текущие долговые обязательства представляют собой </w:t>
      </w:r>
      <w:r w:rsidR="0000051B" w:rsidRPr="00F833B4">
        <w:rPr>
          <w:lang w:val="ru-RU"/>
        </w:rPr>
        <w:t xml:space="preserve">еще </w:t>
      </w:r>
      <w:r w:rsidRPr="00F833B4">
        <w:rPr>
          <w:lang w:val="ru-RU"/>
        </w:rPr>
        <w:t>не</w:t>
      </w:r>
      <w:r w:rsidR="0000051B" w:rsidRPr="00F833B4">
        <w:rPr>
          <w:lang w:val="ru-RU"/>
        </w:rPr>
        <w:t xml:space="preserve"> </w:t>
      </w:r>
      <w:r w:rsidRPr="00F833B4">
        <w:rPr>
          <w:lang w:val="ru-RU"/>
        </w:rPr>
        <w:t>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обработки заявок на регистрацию спутн</w:t>
      </w:r>
      <w:r w:rsidR="00194732" w:rsidRPr="00F833B4">
        <w:rPr>
          <w:lang w:val="ru-RU"/>
        </w:rPr>
        <w:t>иковых сетей и по другим счетам</w:t>
      </w:r>
      <w:r w:rsidR="00194732" w:rsidRPr="00F833B4">
        <w:rPr>
          <w:lang w:val="ru-RU"/>
        </w:rPr>
        <w:noBreakHyphen/>
      </w:r>
      <w:r w:rsidRPr="00F833B4">
        <w:rPr>
          <w:lang w:val="ru-RU"/>
        </w:rPr>
        <w:t xml:space="preserve">фактурам, которые выставил МСЭ. </w:t>
      </w:r>
    </w:p>
    <w:p w14:paraId="3C499D35" w14:textId="77777777" w:rsidR="00CE0E84" w:rsidRPr="00F833B4" w:rsidRDefault="00CE0E84" w:rsidP="004B10AF">
      <w:pPr>
        <w:rPr>
          <w:lang w:val="ru-RU"/>
        </w:rPr>
      </w:pPr>
      <w:r w:rsidRPr="00F833B4">
        <w:rPr>
          <w:lang w:val="ru-RU"/>
        </w:rPr>
        <w:t>1</w:t>
      </w:r>
      <w:r w:rsidR="00DD1ACA" w:rsidRPr="00F833B4">
        <w:rPr>
          <w:lang w:val="ru-RU"/>
        </w:rPr>
        <w:t>5</w:t>
      </w:r>
      <w:r w:rsidRPr="00F833B4">
        <w:rPr>
          <w:lang w:val="ru-RU"/>
        </w:rPr>
        <w:tab/>
      </w:r>
      <w:proofErr w:type="spellStart"/>
      <w:r w:rsidRPr="00F833B4">
        <w:rPr>
          <w:lang w:val="ru-RU"/>
        </w:rPr>
        <w:t>Нетекущие</w:t>
      </w:r>
      <w:proofErr w:type="spellEnd"/>
      <w:r w:rsidRPr="00F833B4">
        <w:rPr>
          <w:lang w:val="ru-RU"/>
        </w:rPr>
        <w:t xml:space="preserve"> долговые обязательства, к</w:t>
      </w:r>
      <w:r w:rsidR="0000051B" w:rsidRPr="00F833B4">
        <w:rPr>
          <w:lang w:val="ru-RU"/>
        </w:rPr>
        <w:t>оторые также поясняются в Примечании 8, представлены только</w:t>
      </w:r>
      <w:r w:rsidRPr="00F833B4">
        <w:rPr>
          <w:lang w:val="ru-RU"/>
        </w:rPr>
        <w:t xml:space="preserve"> по необменным операциям</w:t>
      </w:r>
      <w:r w:rsidR="0000051B" w:rsidRPr="00F833B4">
        <w:rPr>
          <w:lang w:val="ru-RU"/>
        </w:rPr>
        <w:t xml:space="preserve"> и</w:t>
      </w:r>
      <w:r w:rsidR="00DD1ACA" w:rsidRPr="00F833B4">
        <w:rPr>
          <w:lang w:val="ru-RU"/>
        </w:rPr>
        <w:t xml:space="preserve"> составили </w:t>
      </w:r>
      <w:r w:rsidR="00BC032D" w:rsidRPr="00F833B4">
        <w:rPr>
          <w:lang w:val="ru-RU"/>
        </w:rPr>
        <w:t xml:space="preserve">4,3 </w:t>
      </w:r>
      <w:proofErr w:type="gramStart"/>
      <w:r w:rsidR="00BC032D" w:rsidRPr="00F833B4">
        <w:rPr>
          <w:lang w:val="ru-RU"/>
        </w:rPr>
        <w:t>млн.</w:t>
      </w:r>
      <w:proofErr w:type="gramEnd"/>
      <w:r w:rsidR="00BC032D" w:rsidRPr="00F833B4">
        <w:rPr>
          <w:lang w:val="ru-RU"/>
        </w:rPr>
        <w:t xml:space="preserve"> швейцарских франков (</w:t>
      </w:r>
      <w:r w:rsidR="00DD1ACA" w:rsidRPr="00F833B4">
        <w:rPr>
          <w:lang w:val="ru-RU"/>
        </w:rPr>
        <w:t>16</w:t>
      </w:r>
      <w:r w:rsidRPr="00F833B4">
        <w:rPr>
          <w:lang w:val="ru-RU"/>
        </w:rPr>
        <w:t>,</w:t>
      </w:r>
      <w:r w:rsidR="00DD1ACA" w:rsidRPr="00F833B4">
        <w:rPr>
          <w:lang w:val="ru-RU"/>
        </w:rPr>
        <w:t>6</w:t>
      </w:r>
      <w:r w:rsidR="002D1BE1" w:rsidRPr="00F833B4">
        <w:rPr>
          <w:lang w:val="ru-RU"/>
        </w:rPr>
        <w:t xml:space="preserve"> млн. </w:t>
      </w:r>
      <w:r w:rsidRPr="00F833B4">
        <w:rPr>
          <w:lang w:val="ru-RU"/>
        </w:rPr>
        <w:t>швейцарских франков в</w:t>
      </w:r>
      <w:r w:rsidR="004B10AF" w:rsidRPr="00F833B4">
        <w:rPr>
          <w:lang w:val="ru-RU"/>
        </w:rPr>
        <w:t> </w:t>
      </w:r>
      <w:r w:rsidRPr="00F833B4">
        <w:rPr>
          <w:lang w:val="ru-RU"/>
        </w:rPr>
        <w:t>201</w:t>
      </w:r>
      <w:r w:rsidR="00BC032D" w:rsidRPr="00F833B4">
        <w:rPr>
          <w:lang w:val="ru-RU"/>
        </w:rPr>
        <w:t>8</w:t>
      </w:r>
      <w:r w:rsidR="004D2F49" w:rsidRPr="00F833B4">
        <w:rPr>
          <w:lang w:val="ru-RU"/>
        </w:rPr>
        <w:t> г.</w:t>
      </w:r>
      <w:r w:rsidRPr="00F833B4">
        <w:rPr>
          <w:lang w:val="ru-RU"/>
        </w:rPr>
        <w:t>). На 31</w:t>
      </w:r>
      <w:r w:rsidR="004D2F49" w:rsidRPr="00F833B4">
        <w:rPr>
          <w:lang w:val="ru-RU"/>
        </w:rPr>
        <w:t> декабря</w:t>
      </w:r>
      <w:r w:rsidRPr="00F833B4">
        <w:rPr>
          <w:lang w:val="ru-RU"/>
        </w:rPr>
        <w:t xml:space="preserve"> 201</w:t>
      </w:r>
      <w:r w:rsidR="00BC032D" w:rsidRPr="00F833B4">
        <w:rPr>
          <w:lang w:val="ru-RU"/>
        </w:rPr>
        <w:t>9</w:t>
      </w:r>
      <w:r w:rsidR="004D2F49" w:rsidRPr="00F833B4">
        <w:rPr>
          <w:lang w:val="ru-RU"/>
        </w:rPr>
        <w:t> год</w:t>
      </w:r>
      <w:r w:rsidRPr="00F833B4">
        <w:rPr>
          <w:lang w:val="ru-RU"/>
        </w:rPr>
        <w:t>а эти обязательства были полностью покрыты в соответствии с принципами, изложенными в Примечании 2 к финансовой отчетности.</w:t>
      </w:r>
    </w:p>
    <w:p w14:paraId="6F20C70E" w14:textId="77777777" w:rsidR="00CE0E84" w:rsidRPr="00F833B4" w:rsidRDefault="00CE0E84" w:rsidP="000608BD">
      <w:pPr>
        <w:pStyle w:val="Heading2"/>
        <w:rPr>
          <w:lang w:val="ru-RU"/>
        </w:rPr>
      </w:pPr>
      <w:bookmarkStart w:id="117" w:name="_Toc358192830"/>
      <w:bookmarkStart w:id="118" w:name="_Toc398125315"/>
      <w:bookmarkStart w:id="119" w:name="_Toc398125794"/>
      <w:bookmarkStart w:id="120" w:name="_Toc398127087"/>
      <w:bookmarkStart w:id="121" w:name="_Toc452157303"/>
      <w:bookmarkStart w:id="122" w:name="_Toc482995172"/>
      <w:bookmarkStart w:id="123" w:name="_Toc522633562"/>
      <w:bookmarkStart w:id="124" w:name="_Toc56179549"/>
      <w:bookmarkStart w:id="125" w:name="_Toc56180368"/>
      <w:r w:rsidRPr="00F833B4">
        <w:rPr>
          <w:lang w:val="ru-RU"/>
        </w:rPr>
        <w:t>Прочие текущие долговые обязательства</w:t>
      </w:r>
      <w:bookmarkEnd w:id="117"/>
      <w:bookmarkEnd w:id="118"/>
      <w:bookmarkEnd w:id="119"/>
      <w:bookmarkEnd w:id="120"/>
      <w:bookmarkEnd w:id="121"/>
      <w:bookmarkEnd w:id="122"/>
      <w:bookmarkEnd w:id="123"/>
      <w:bookmarkEnd w:id="124"/>
      <w:bookmarkEnd w:id="125"/>
      <w:r w:rsidRPr="00F833B4">
        <w:rPr>
          <w:lang w:val="ru-RU"/>
        </w:rPr>
        <w:t xml:space="preserve"> </w:t>
      </w:r>
    </w:p>
    <w:p w14:paraId="578144E4" w14:textId="13B316AD" w:rsidR="00CE0E84" w:rsidRPr="00F833B4" w:rsidRDefault="00DD1ACA" w:rsidP="00875388">
      <w:pPr>
        <w:rPr>
          <w:lang w:val="ru-RU"/>
        </w:rPr>
      </w:pPr>
      <w:r w:rsidRPr="00F833B4">
        <w:rPr>
          <w:lang w:val="ru-RU"/>
        </w:rPr>
        <w:t>16</w:t>
      </w:r>
      <w:r w:rsidR="00CE0E84" w:rsidRPr="00F833B4">
        <w:rPr>
          <w:lang w:val="ru-RU"/>
        </w:rPr>
        <w:tab/>
        <w:t>В разделе "Прочие долговые обязательства" заключительного баланс</w:t>
      </w:r>
      <w:r w:rsidRPr="00F833B4">
        <w:rPr>
          <w:lang w:val="ru-RU"/>
        </w:rPr>
        <w:t xml:space="preserve">а </w:t>
      </w:r>
      <w:r w:rsidR="00875388" w:rsidRPr="00F833B4">
        <w:rPr>
          <w:lang w:val="ru-RU"/>
        </w:rPr>
        <w:t>показана</w:t>
      </w:r>
      <w:r w:rsidRPr="00F833B4">
        <w:rPr>
          <w:lang w:val="ru-RU"/>
        </w:rPr>
        <w:t xml:space="preserve"> сумма в размере 8</w:t>
      </w:r>
      <w:r w:rsidR="00CE0E84" w:rsidRPr="00F833B4">
        <w:rPr>
          <w:lang w:val="ru-RU"/>
        </w:rPr>
        <w:t>,</w:t>
      </w:r>
      <w:r w:rsidR="00BC032D" w:rsidRPr="00F833B4">
        <w:rPr>
          <w:lang w:val="ru-RU"/>
        </w:rPr>
        <w:t>2</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00CE0E84" w:rsidRPr="00F833B4">
        <w:rPr>
          <w:lang w:val="ru-RU"/>
        </w:rPr>
        <w:t>швейцарских франков. (в 201</w:t>
      </w:r>
      <w:r w:rsidR="00BC032D" w:rsidRPr="00F833B4">
        <w:rPr>
          <w:lang w:val="ru-RU"/>
        </w:rPr>
        <w:t>8</w:t>
      </w:r>
      <w:r w:rsidR="004D2F49" w:rsidRPr="00F833B4">
        <w:rPr>
          <w:lang w:val="ru-RU"/>
        </w:rPr>
        <w:t> г.</w:t>
      </w:r>
      <w:r w:rsidR="00CE0E84" w:rsidRPr="00F833B4">
        <w:rPr>
          <w:lang w:val="ru-RU"/>
        </w:rPr>
        <w:t xml:space="preserve"> </w:t>
      </w:r>
      <w:r w:rsidR="00875388" w:rsidRPr="00F833B4">
        <w:rPr>
          <w:lang w:val="ru-RU"/>
        </w:rPr>
        <w:t>было показано</w:t>
      </w:r>
      <w:r w:rsidR="00CE0E84" w:rsidRPr="00F833B4">
        <w:rPr>
          <w:lang w:val="ru-RU"/>
        </w:rPr>
        <w:t xml:space="preserve"> </w:t>
      </w:r>
      <w:r w:rsidR="00BC032D" w:rsidRPr="00F833B4">
        <w:rPr>
          <w:lang w:val="ru-RU"/>
        </w:rPr>
        <w:t>8</w:t>
      </w:r>
      <w:r w:rsidR="00CE0E84" w:rsidRPr="00F833B4">
        <w:rPr>
          <w:lang w:val="ru-RU"/>
        </w:rPr>
        <w:t>,</w:t>
      </w:r>
      <w:r w:rsidRPr="00F833B4">
        <w:rPr>
          <w:lang w:val="ru-RU"/>
        </w:rPr>
        <w:t>5</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00CE0E84" w:rsidRPr="00F833B4">
        <w:rPr>
          <w:lang w:val="ru-RU"/>
        </w:rPr>
        <w:t>швейцарских франков). Подробная разбивка раздела "Прочие долговые обязательства" приводится в Примечании</w:t>
      </w:r>
      <w:r w:rsidR="00875388" w:rsidRPr="00F833B4">
        <w:rPr>
          <w:lang w:val="ru-RU"/>
        </w:rPr>
        <w:t> </w:t>
      </w:r>
      <w:r w:rsidR="00CE0E84" w:rsidRPr="00F833B4">
        <w:rPr>
          <w:lang w:val="ru-RU"/>
        </w:rPr>
        <w:t xml:space="preserve">10 к Отчету о финансовой деятельности. </w:t>
      </w:r>
      <w:r w:rsidR="001216AD" w:rsidRPr="00F833B4">
        <w:rPr>
          <w:lang w:val="ru-RU"/>
        </w:rPr>
        <w:t>С</w:t>
      </w:r>
      <w:r w:rsidR="007275AB" w:rsidRPr="00F833B4">
        <w:rPr>
          <w:lang w:val="ru-RU"/>
        </w:rPr>
        <w:t>умм</w:t>
      </w:r>
      <w:r w:rsidR="001216AD" w:rsidRPr="00F833B4">
        <w:rPr>
          <w:lang w:val="ru-RU"/>
        </w:rPr>
        <w:t>а в</w:t>
      </w:r>
      <w:r w:rsidR="007275AB" w:rsidRPr="00F833B4">
        <w:rPr>
          <w:lang w:val="ru-RU"/>
        </w:rPr>
        <w:t xml:space="preserve"> </w:t>
      </w:r>
      <w:r w:rsidRPr="00F833B4">
        <w:rPr>
          <w:lang w:val="ru-RU"/>
        </w:rPr>
        <w:t>1,5</w:t>
      </w:r>
      <w:r w:rsidR="002D1BE1" w:rsidRPr="00F833B4">
        <w:rPr>
          <w:lang w:val="ru-RU"/>
        </w:rPr>
        <w:t xml:space="preserve"> млн. </w:t>
      </w:r>
      <w:r w:rsidRPr="00F833B4">
        <w:rPr>
          <w:lang w:val="ru-RU"/>
        </w:rPr>
        <w:t>швейцарских франков</w:t>
      </w:r>
      <w:r w:rsidR="007A4252" w:rsidRPr="00F833B4">
        <w:rPr>
          <w:lang w:val="ru-RU"/>
        </w:rPr>
        <w:t>, которая представ</w:t>
      </w:r>
      <w:r w:rsidR="007275AB" w:rsidRPr="00F833B4">
        <w:rPr>
          <w:lang w:val="ru-RU"/>
        </w:rPr>
        <w:t xml:space="preserve">ляет </w:t>
      </w:r>
      <w:r w:rsidR="007A4252" w:rsidRPr="00F833B4">
        <w:rPr>
          <w:lang w:val="ru-RU"/>
        </w:rPr>
        <w:t xml:space="preserve">собой подлежащие покрытию </w:t>
      </w:r>
      <w:r w:rsidR="007275AB" w:rsidRPr="00F833B4">
        <w:rPr>
          <w:lang w:val="ru-RU"/>
        </w:rPr>
        <w:t>суммы</w:t>
      </w:r>
      <w:r w:rsidR="007A4252" w:rsidRPr="00F833B4">
        <w:rPr>
          <w:lang w:val="ru-RU"/>
        </w:rPr>
        <w:t>, ставшие следствие</w:t>
      </w:r>
      <w:r w:rsidR="00CA4979" w:rsidRPr="00F833B4">
        <w:rPr>
          <w:lang w:val="ru-RU"/>
        </w:rPr>
        <w:t>м случая</w:t>
      </w:r>
      <w:r w:rsidR="007A4252" w:rsidRPr="00F833B4">
        <w:rPr>
          <w:lang w:val="ru-RU"/>
        </w:rPr>
        <w:t xml:space="preserve"> мошенничества</w:t>
      </w:r>
      <w:r w:rsidR="001216AD" w:rsidRPr="00F833B4">
        <w:rPr>
          <w:lang w:val="ru-RU"/>
        </w:rPr>
        <w:t>, была отнесена в 2018 году к этим текущим долговым обязательствам, но в счетах 2019 года она более не отражена, потому что каких-либо изменений в связи с этим случаем в 2019 году не происходило</w:t>
      </w:r>
      <w:r w:rsidRPr="00F833B4">
        <w:rPr>
          <w:lang w:val="ru-RU"/>
        </w:rPr>
        <w:t>.</w:t>
      </w:r>
    </w:p>
    <w:p w14:paraId="153CD2BF" w14:textId="77777777" w:rsidR="00DD1ACA" w:rsidRPr="00F833B4" w:rsidRDefault="00954C81" w:rsidP="000608BD">
      <w:pPr>
        <w:pStyle w:val="Heading2"/>
        <w:spacing w:before="240"/>
        <w:rPr>
          <w:lang w:val="ru-RU"/>
        </w:rPr>
      </w:pPr>
      <w:bookmarkStart w:id="126" w:name="_Toc56179550"/>
      <w:bookmarkStart w:id="127" w:name="_Toc56180369"/>
      <w:r w:rsidRPr="00F833B4">
        <w:rPr>
          <w:lang w:val="ru-RU"/>
        </w:rPr>
        <w:t>Задолженности</w:t>
      </w:r>
      <w:bookmarkEnd w:id="126"/>
      <w:bookmarkEnd w:id="127"/>
    </w:p>
    <w:p w14:paraId="596D9CC9" w14:textId="20D50F20" w:rsidR="00DD1ACA" w:rsidRPr="00F833B4" w:rsidRDefault="00DD1ACA" w:rsidP="003D5A6F">
      <w:pPr>
        <w:rPr>
          <w:lang w:val="ru-RU"/>
        </w:rPr>
      </w:pPr>
      <w:r w:rsidRPr="00F833B4">
        <w:rPr>
          <w:lang w:val="ru-RU"/>
        </w:rPr>
        <w:t>17</w:t>
      </w:r>
      <w:r w:rsidRPr="00F833B4">
        <w:rPr>
          <w:lang w:val="ru-RU"/>
        </w:rPr>
        <w:tab/>
      </w:r>
      <w:r w:rsidR="00954C81" w:rsidRPr="00F833B4">
        <w:rPr>
          <w:lang w:val="ru-RU"/>
        </w:rPr>
        <w:t>Общая сумма задолженност</w:t>
      </w:r>
      <w:r w:rsidR="001D15A1" w:rsidRPr="00F833B4">
        <w:rPr>
          <w:lang w:val="ru-RU"/>
        </w:rPr>
        <w:t>и</w:t>
      </w:r>
      <w:r w:rsidR="00954C81" w:rsidRPr="00F833B4">
        <w:rPr>
          <w:lang w:val="ru-RU"/>
        </w:rPr>
        <w:t>,</w:t>
      </w:r>
      <w:r w:rsidR="00954C81" w:rsidRPr="00F833B4">
        <w:rPr>
          <w:color w:val="000000"/>
          <w:lang w:val="ru-RU"/>
        </w:rPr>
        <w:t xml:space="preserve"> специальных счетов задолженностей и аннулированных специальных счетов задолженностей </w:t>
      </w:r>
      <w:r w:rsidR="00954C81" w:rsidRPr="00F833B4">
        <w:rPr>
          <w:lang w:val="ru-RU"/>
        </w:rPr>
        <w:t>состав</w:t>
      </w:r>
      <w:r w:rsidR="00875388" w:rsidRPr="00F833B4">
        <w:rPr>
          <w:lang w:val="ru-RU"/>
        </w:rPr>
        <w:t>ила</w:t>
      </w:r>
      <w:r w:rsidRPr="00F833B4">
        <w:rPr>
          <w:lang w:val="ru-RU"/>
        </w:rPr>
        <w:t xml:space="preserve"> </w:t>
      </w:r>
      <w:r w:rsidR="00954C81" w:rsidRPr="00F833B4">
        <w:rPr>
          <w:lang w:val="ru-RU"/>
        </w:rPr>
        <w:t>по состоянию на 31</w:t>
      </w:r>
      <w:r w:rsidR="004D2F49" w:rsidRPr="00F833B4">
        <w:rPr>
          <w:lang w:val="ru-RU"/>
        </w:rPr>
        <w:t> декабря</w:t>
      </w:r>
      <w:r w:rsidR="00954C81" w:rsidRPr="00F833B4">
        <w:rPr>
          <w:lang w:val="ru-RU"/>
        </w:rPr>
        <w:t xml:space="preserve"> 201</w:t>
      </w:r>
      <w:r w:rsidR="004F0B2C" w:rsidRPr="00F833B4">
        <w:rPr>
          <w:lang w:val="ru-RU"/>
        </w:rPr>
        <w:t>9</w:t>
      </w:r>
      <w:r w:rsidR="004D2F49" w:rsidRPr="00F833B4">
        <w:rPr>
          <w:lang w:val="ru-RU"/>
        </w:rPr>
        <w:t> год</w:t>
      </w:r>
      <w:r w:rsidR="00954C81" w:rsidRPr="00F833B4">
        <w:rPr>
          <w:lang w:val="ru-RU"/>
        </w:rPr>
        <w:t xml:space="preserve">а </w:t>
      </w:r>
      <w:r w:rsidRPr="00F833B4">
        <w:rPr>
          <w:lang w:val="ru-RU"/>
        </w:rPr>
        <w:t>39</w:t>
      </w:r>
      <w:r w:rsidR="00954C81" w:rsidRPr="00F833B4">
        <w:rPr>
          <w:lang w:val="ru-RU"/>
        </w:rPr>
        <w:t>,</w:t>
      </w:r>
      <w:r w:rsidR="004F0B2C" w:rsidRPr="00F833B4">
        <w:rPr>
          <w:lang w:val="ru-RU"/>
        </w:rPr>
        <w:t>8</w:t>
      </w:r>
      <w:r w:rsidR="002D1BE1" w:rsidRPr="00F833B4">
        <w:rPr>
          <w:lang w:val="ru-RU"/>
        </w:rPr>
        <w:t xml:space="preserve"> млн. </w:t>
      </w:r>
      <w:r w:rsidR="00954C81" w:rsidRPr="00F833B4">
        <w:rPr>
          <w:lang w:val="ru-RU"/>
        </w:rPr>
        <w:t>швейцарских франков</w:t>
      </w:r>
      <w:r w:rsidRPr="00F833B4">
        <w:rPr>
          <w:lang w:val="ru-RU"/>
        </w:rPr>
        <w:t xml:space="preserve">, </w:t>
      </w:r>
      <w:r w:rsidR="00990F72" w:rsidRPr="00F833B4">
        <w:rPr>
          <w:lang w:val="ru-RU"/>
        </w:rPr>
        <w:t>практически столько же, сколько в 2018 году</w:t>
      </w:r>
      <w:r w:rsidRPr="00F833B4">
        <w:rPr>
          <w:lang w:val="ru-RU"/>
        </w:rPr>
        <w:t xml:space="preserve">. </w:t>
      </w:r>
      <w:r w:rsidR="00954C81" w:rsidRPr="00F833B4">
        <w:rPr>
          <w:lang w:val="ru-RU"/>
        </w:rPr>
        <w:t>С</w:t>
      </w:r>
      <w:r w:rsidR="00954C81" w:rsidRPr="00F833B4">
        <w:rPr>
          <w:color w:val="000000"/>
          <w:lang w:val="ru-RU"/>
        </w:rPr>
        <w:t>пециальные счета задолженностей отража</w:t>
      </w:r>
      <w:r w:rsidR="00990F72" w:rsidRPr="00F833B4">
        <w:rPr>
          <w:color w:val="000000"/>
          <w:lang w:val="ru-RU"/>
        </w:rPr>
        <w:t>ли</w:t>
      </w:r>
      <w:r w:rsidR="00954C81" w:rsidRPr="00F833B4">
        <w:rPr>
          <w:color w:val="000000"/>
          <w:lang w:val="ru-RU"/>
        </w:rPr>
        <w:t xml:space="preserve"> сумму, подлежащую уплате должниками</w:t>
      </w:r>
      <w:r w:rsidR="00F009A0" w:rsidRPr="00F833B4">
        <w:rPr>
          <w:color w:val="000000"/>
          <w:lang w:val="ru-RU"/>
        </w:rPr>
        <w:t xml:space="preserve">, согласовавшими с МСЭ график погашения задолженностей в соответствии с Резолюцией 41. </w:t>
      </w:r>
    </w:p>
    <w:p w14:paraId="5D24BC16" w14:textId="59AF2AB3" w:rsidR="00DD1ACA" w:rsidRPr="00F833B4" w:rsidRDefault="00DD1ACA" w:rsidP="001D15A1">
      <w:pPr>
        <w:spacing w:after="120"/>
        <w:rPr>
          <w:lang w:val="ru-RU"/>
        </w:rPr>
      </w:pPr>
      <w:r w:rsidRPr="00F833B4">
        <w:rPr>
          <w:lang w:val="ru-RU"/>
        </w:rPr>
        <w:t>18</w:t>
      </w:r>
      <w:r w:rsidRPr="00F833B4">
        <w:rPr>
          <w:lang w:val="ru-RU"/>
        </w:rPr>
        <w:tab/>
      </w:r>
      <w:r w:rsidR="00AB32F2" w:rsidRPr="00F833B4">
        <w:rPr>
          <w:lang w:val="ru-RU"/>
        </w:rPr>
        <w:t>В Резолюции </w:t>
      </w:r>
      <w:r w:rsidRPr="00F833B4">
        <w:rPr>
          <w:lang w:val="ru-RU"/>
        </w:rPr>
        <w:t>41 (</w:t>
      </w:r>
      <w:proofErr w:type="spellStart"/>
      <w:r w:rsidR="004B60B5" w:rsidRPr="00F833B4">
        <w:rPr>
          <w:lang w:val="ru-RU"/>
        </w:rPr>
        <w:t>Пересм</w:t>
      </w:r>
      <w:proofErr w:type="spellEnd"/>
      <w:r w:rsidR="004B60B5" w:rsidRPr="00F833B4">
        <w:rPr>
          <w:lang w:val="ru-RU"/>
        </w:rPr>
        <w:t>. Дубай, 2018</w:t>
      </w:r>
      <w:r w:rsidR="004D2F49" w:rsidRPr="00F833B4">
        <w:rPr>
          <w:lang w:val="ru-RU"/>
        </w:rPr>
        <w:t> г.</w:t>
      </w:r>
      <w:r w:rsidRPr="00F833B4">
        <w:rPr>
          <w:lang w:val="ru-RU"/>
        </w:rPr>
        <w:t xml:space="preserve">) </w:t>
      </w:r>
      <w:r w:rsidR="00AB32F2" w:rsidRPr="00F833B4">
        <w:rPr>
          <w:lang w:val="ru-RU"/>
        </w:rPr>
        <w:t>упоминается Резолюция </w:t>
      </w:r>
      <w:r w:rsidRPr="00F833B4">
        <w:rPr>
          <w:lang w:val="ru-RU"/>
        </w:rPr>
        <w:t>152 (</w:t>
      </w:r>
      <w:proofErr w:type="spellStart"/>
      <w:r w:rsidR="004B60B5" w:rsidRPr="00F833B4">
        <w:rPr>
          <w:lang w:val="ru-RU"/>
        </w:rPr>
        <w:t>Пересм</w:t>
      </w:r>
      <w:proofErr w:type="spellEnd"/>
      <w:r w:rsidR="004B60B5" w:rsidRPr="00F833B4">
        <w:rPr>
          <w:lang w:val="ru-RU"/>
        </w:rPr>
        <w:t xml:space="preserve">. Пусан, </w:t>
      </w:r>
      <w:r w:rsidRPr="00F833B4">
        <w:rPr>
          <w:lang w:val="ru-RU"/>
        </w:rPr>
        <w:t>2014</w:t>
      </w:r>
      <w:r w:rsidR="004D2F49" w:rsidRPr="00F833B4">
        <w:rPr>
          <w:lang w:val="ru-RU"/>
        </w:rPr>
        <w:t> г.</w:t>
      </w:r>
      <w:r w:rsidRPr="00F833B4">
        <w:rPr>
          <w:lang w:val="ru-RU"/>
        </w:rPr>
        <w:t>)</w:t>
      </w:r>
      <w:r w:rsidR="00AB32F2" w:rsidRPr="00F833B4">
        <w:rPr>
          <w:lang w:val="ru-RU"/>
        </w:rPr>
        <w:t>, в которой признается</w:t>
      </w:r>
      <w:r w:rsidRPr="00F833B4">
        <w:rPr>
          <w:lang w:val="ru-RU"/>
        </w:rPr>
        <w:t xml:space="preserve"> </w:t>
      </w:r>
      <w:r w:rsidR="004B60B5" w:rsidRPr="00F833B4">
        <w:rPr>
          <w:lang w:val="ru-RU"/>
        </w:rPr>
        <w:t>"необходимость повышения уровня собираемости взносов и значительного сокращения задолженности Членов Секторов и Ассоциированных членов"</w:t>
      </w:r>
      <w:r w:rsidRPr="00F833B4">
        <w:rPr>
          <w:lang w:val="ru-RU"/>
        </w:rPr>
        <w:t xml:space="preserve">. </w:t>
      </w:r>
      <w:r w:rsidR="00990F72" w:rsidRPr="00F833B4">
        <w:rPr>
          <w:lang w:val="ru-RU"/>
        </w:rPr>
        <w:t>С</w:t>
      </w:r>
      <w:r w:rsidR="00445331" w:rsidRPr="00F833B4">
        <w:rPr>
          <w:lang w:val="ru-RU"/>
        </w:rPr>
        <w:t>умма задолженност</w:t>
      </w:r>
      <w:r w:rsidR="001D15A1" w:rsidRPr="00F833B4">
        <w:rPr>
          <w:lang w:val="ru-RU"/>
        </w:rPr>
        <w:t>и</w:t>
      </w:r>
      <w:r w:rsidR="00445331" w:rsidRPr="00F833B4">
        <w:rPr>
          <w:lang w:val="ru-RU"/>
        </w:rPr>
        <w:t xml:space="preserve"> Членов Секторов и Ассоциированных членов </w:t>
      </w:r>
      <w:r w:rsidR="00990F72" w:rsidRPr="00F833B4">
        <w:rPr>
          <w:lang w:val="ru-RU"/>
        </w:rPr>
        <w:t>на 31 декабря 2019 года была такой же, как на 31 декабря 2018 года</w:t>
      </w:r>
      <w:r w:rsidR="00445331" w:rsidRPr="00F833B4">
        <w:rPr>
          <w:lang w:val="ru-RU"/>
        </w:rPr>
        <w:t xml:space="preserve"> </w:t>
      </w:r>
      <w:r w:rsidR="00990F72" w:rsidRPr="00F833B4">
        <w:rPr>
          <w:lang w:val="ru-RU"/>
        </w:rPr>
        <w:t>(</w:t>
      </w:r>
      <w:r w:rsidRPr="00F833B4">
        <w:rPr>
          <w:lang w:val="ru-RU"/>
        </w:rPr>
        <w:t>11</w:t>
      </w:r>
      <w:r w:rsidR="00445331" w:rsidRPr="00F833B4">
        <w:rPr>
          <w:lang w:val="ru-RU"/>
        </w:rPr>
        <w:t>,2</w:t>
      </w:r>
      <w:r w:rsidR="002D1BE1" w:rsidRPr="00F833B4">
        <w:rPr>
          <w:lang w:val="ru-RU"/>
        </w:rPr>
        <w:t xml:space="preserve"> млн. </w:t>
      </w:r>
      <w:r w:rsidR="00445331" w:rsidRPr="00F833B4">
        <w:rPr>
          <w:lang w:val="ru-RU"/>
        </w:rPr>
        <w:t>швейцарских франков</w:t>
      </w:r>
      <w:r w:rsidR="00990F72" w:rsidRPr="00F833B4">
        <w:rPr>
          <w:lang w:val="ru-RU"/>
        </w:rPr>
        <w:t>)</w:t>
      </w:r>
      <w:r w:rsidRPr="00F833B4">
        <w:rPr>
          <w:lang w:val="ru-RU"/>
        </w:rPr>
        <w:t>.</w:t>
      </w:r>
    </w:p>
    <w:p w14:paraId="65507580" w14:textId="33CFCD4F" w:rsidR="004F0B2C" w:rsidRPr="00F833B4" w:rsidRDefault="004F0B2C" w:rsidP="001D15A1">
      <w:pPr>
        <w:spacing w:after="120"/>
        <w:rPr>
          <w:lang w:val="ru-RU"/>
        </w:rPr>
      </w:pPr>
      <w:r w:rsidRPr="00F833B4">
        <w:rPr>
          <w:lang w:val="ru-RU"/>
        </w:rPr>
        <w:t>19</w:t>
      </w:r>
      <w:r w:rsidRPr="00F833B4">
        <w:rPr>
          <w:lang w:val="ru-RU"/>
        </w:rPr>
        <w:tab/>
      </w:r>
      <w:r w:rsidR="00990F72" w:rsidRPr="00F833B4">
        <w:rPr>
          <w:lang w:val="ru-RU"/>
        </w:rPr>
        <w:t>В</w:t>
      </w:r>
      <w:r w:rsidRPr="00F833B4">
        <w:rPr>
          <w:lang w:val="ru-RU"/>
        </w:rPr>
        <w:t xml:space="preserve"> 2019</w:t>
      </w:r>
      <w:r w:rsidR="00990F72" w:rsidRPr="00F833B4">
        <w:rPr>
          <w:lang w:val="ru-RU"/>
        </w:rPr>
        <w:t> году не было заключено новых соглашений с Государствами-Членами по выплате их задолженностей</w:t>
      </w:r>
      <w:r w:rsidRPr="00F833B4">
        <w:rPr>
          <w:lang w:val="ru-RU"/>
        </w:rPr>
        <w:t xml:space="preserve">. </w:t>
      </w:r>
      <w:r w:rsidR="00990F72" w:rsidRPr="00F833B4">
        <w:rPr>
          <w:lang w:val="ru-RU"/>
        </w:rPr>
        <w:t xml:space="preserve">Из числа вновь открытых </w:t>
      </w:r>
      <w:r w:rsidR="00990F72" w:rsidRPr="00F833B4">
        <w:rPr>
          <w:color w:val="000000"/>
          <w:lang w:val="ru-RU"/>
        </w:rPr>
        <w:t>специальных счетов задолженностей еще пять Государств-Членов не со</w:t>
      </w:r>
      <w:r w:rsidR="002971A8" w:rsidRPr="00F833B4">
        <w:rPr>
          <w:color w:val="000000"/>
          <w:lang w:val="ru-RU"/>
        </w:rPr>
        <w:t>б</w:t>
      </w:r>
      <w:r w:rsidR="00990F72" w:rsidRPr="00F833B4">
        <w:rPr>
          <w:color w:val="000000"/>
          <w:lang w:val="ru-RU"/>
        </w:rPr>
        <w:t>люли графики погашения</w:t>
      </w:r>
      <w:r w:rsidR="002971A8" w:rsidRPr="00F833B4">
        <w:rPr>
          <w:color w:val="000000"/>
          <w:lang w:val="ru-RU"/>
        </w:rPr>
        <w:t>, поэтому их специальные счета задолженностей были аннулированы</w:t>
      </w:r>
      <w:r w:rsidRPr="00F833B4">
        <w:rPr>
          <w:lang w:val="ru-RU"/>
        </w:rPr>
        <w:t xml:space="preserve">. </w:t>
      </w:r>
      <w:r w:rsidR="002971A8" w:rsidRPr="00F833B4">
        <w:rPr>
          <w:lang w:val="ru-RU"/>
        </w:rPr>
        <w:t xml:space="preserve">В связи с этим сумма по соглашениям о погашении задолженностей в 2019 году резко снизилась – с </w:t>
      </w:r>
      <w:r w:rsidRPr="00F833B4">
        <w:rPr>
          <w:lang w:val="ru-RU"/>
        </w:rPr>
        <w:t>17</w:t>
      </w:r>
      <w:r w:rsidR="002971A8" w:rsidRPr="00F833B4">
        <w:rPr>
          <w:lang w:val="ru-RU"/>
        </w:rPr>
        <w:t>,</w:t>
      </w:r>
      <w:r w:rsidRPr="00F833B4">
        <w:rPr>
          <w:lang w:val="ru-RU"/>
        </w:rPr>
        <w:t>2</w:t>
      </w:r>
      <w:r w:rsidR="002971A8" w:rsidRPr="00F833B4">
        <w:rPr>
          <w:lang w:val="ru-RU"/>
        </w:rPr>
        <w:t> </w:t>
      </w:r>
      <w:proofErr w:type="gramStart"/>
      <w:r w:rsidR="002971A8" w:rsidRPr="00F833B4">
        <w:rPr>
          <w:lang w:val="ru-RU"/>
        </w:rPr>
        <w:t>млн.</w:t>
      </w:r>
      <w:proofErr w:type="gramEnd"/>
      <w:r w:rsidR="002971A8" w:rsidRPr="00F833B4">
        <w:rPr>
          <w:lang w:val="ru-RU"/>
        </w:rPr>
        <w:t xml:space="preserve"> швейцарских франков до</w:t>
      </w:r>
      <w:r w:rsidRPr="00F833B4">
        <w:rPr>
          <w:lang w:val="ru-RU"/>
        </w:rPr>
        <w:t xml:space="preserve"> 4</w:t>
      </w:r>
      <w:r w:rsidR="002971A8" w:rsidRPr="00F833B4">
        <w:rPr>
          <w:lang w:val="ru-RU"/>
        </w:rPr>
        <w:t>,</w:t>
      </w:r>
      <w:r w:rsidRPr="00F833B4">
        <w:rPr>
          <w:lang w:val="ru-RU"/>
        </w:rPr>
        <w:t>6</w:t>
      </w:r>
      <w:r w:rsidR="002971A8" w:rsidRPr="00F833B4">
        <w:rPr>
          <w:lang w:val="ru-RU"/>
        </w:rPr>
        <w:t> млн. швейцарских франков</w:t>
      </w:r>
      <w:r w:rsidRPr="00F833B4">
        <w:rPr>
          <w:lang w:val="ru-RU"/>
        </w:rPr>
        <w:t>.</w:t>
      </w:r>
    </w:p>
    <w:p w14:paraId="5AB8A3B6" w14:textId="23F544ED" w:rsidR="004F0B2C" w:rsidRPr="00F833B4" w:rsidRDefault="004F0B2C" w:rsidP="004F0B2C">
      <w:pPr>
        <w:spacing w:after="120"/>
        <w:rPr>
          <w:lang w:val="ru-RU"/>
        </w:rPr>
      </w:pPr>
      <w:bookmarkStart w:id="128" w:name="_Toc358192831"/>
      <w:bookmarkStart w:id="129" w:name="_Toc398125316"/>
      <w:bookmarkStart w:id="130" w:name="_Toc398125795"/>
      <w:bookmarkStart w:id="131" w:name="_Toc398127088"/>
      <w:bookmarkStart w:id="132" w:name="_Toc452157304"/>
      <w:bookmarkStart w:id="133" w:name="_Toc482995173"/>
      <w:bookmarkStart w:id="134" w:name="_Toc522633563"/>
      <w:r w:rsidRPr="00F833B4">
        <w:rPr>
          <w:lang w:val="ru-RU"/>
        </w:rPr>
        <w:t>20</w:t>
      </w:r>
      <w:r w:rsidRPr="00F833B4">
        <w:rPr>
          <w:lang w:val="ru-RU"/>
        </w:rPr>
        <w:tab/>
      </w:r>
      <w:r w:rsidR="0069722D" w:rsidRPr="00F833B4">
        <w:rPr>
          <w:lang w:val="ru-RU"/>
        </w:rPr>
        <w:t>Мы отмечаем, что в Отчете Генерального секретаря "Задолженности и специальные счета задолженностей"</w:t>
      </w:r>
      <w:r w:rsidRPr="00F833B4">
        <w:rPr>
          <w:lang w:val="ru-RU"/>
        </w:rPr>
        <w:t xml:space="preserve"> (</w:t>
      </w:r>
      <w:r w:rsidR="0069722D" w:rsidRPr="00F833B4">
        <w:rPr>
          <w:lang w:val="ru-RU"/>
        </w:rPr>
        <w:t>Документ </w:t>
      </w:r>
      <w:r w:rsidRPr="00F833B4">
        <w:rPr>
          <w:lang w:val="ru-RU"/>
        </w:rPr>
        <w:t xml:space="preserve">C20/11 – 14 </w:t>
      </w:r>
      <w:r w:rsidR="0069722D" w:rsidRPr="00F833B4">
        <w:rPr>
          <w:lang w:val="ru-RU"/>
        </w:rPr>
        <w:t>мая</w:t>
      </w:r>
      <w:r w:rsidRPr="00F833B4">
        <w:rPr>
          <w:lang w:val="ru-RU"/>
        </w:rPr>
        <w:t xml:space="preserve"> 2020</w:t>
      </w:r>
      <w:r w:rsidR="0069722D" w:rsidRPr="00F833B4">
        <w:rPr>
          <w:lang w:val="ru-RU"/>
        </w:rPr>
        <w:t> г.</w:t>
      </w:r>
      <w:r w:rsidRPr="00F833B4">
        <w:rPr>
          <w:lang w:val="ru-RU"/>
        </w:rPr>
        <w:t xml:space="preserve">) </w:t>
      </w:r>
      <w:r w:rsidR="003E0C24" w:rsidRPr="00F833B4">
        <w:rPr>
          <w:lang w:val="ru-RU"/>
        </w:rPr>
        <w:t xml:space="preserve">говорится, что Генеральный секретарь </w:t>
      </w:r>
      <w:r w:rsidR="003E0C24" w:rsidRPr="00F833B4">
        <w:rPr>
          <w:i/>
          <w:iCs/>
          <w:lang w:val="ru-RU"/>
        </w:rPr>
        <w:t>"принял все возможные меры для уменьшения размера невыплаченных сумм"</w:t>
      </w:r>
      <w:r w:rsidRPr="00F833B4">
        <w:rPr>
          <w:lang w:val="ru-RU"/>
        </w:rPr>
        <w:t>.</w:t>
      </w:r>
    </w:p>
    <w:p w14:paraId="786D72C0" w14:textId="647B330D" w:rsidR="004F0B2C" w:rsidRPr="00F833B4" w:rsidRDefault="00B37918" w:rsidP="004F0B2C">
      <w:pPr>
        <w:pStyle w:val="Heading2"/>
        <w:rPr>
          <w:lang w:val="ru-RU"/>
        </w:rPr>
      </w:pPr>
      <w:bookmarkStart w:id="135" w:name="_Toc54769141"/>
      <w:bookmarkStart w:id="136" w:name="_Toc56179551"/>
      <w:bookmarkStart w:id="137" w:name="_Toc56180370"/>
      <w:r w:rsidRPr="00F833B4">
        <w:rPr>
          <w:lang w:val="ru-RU"/>
        </w:rPr>
        <w:lastRenderedPageBreak/>
        <w:t>Списание процентов</w:t>
      </w:r>
      <w:bookmarkEnd w:id="135"/>
      <w:bookmarkEnd w:id="136"/>
      <w:bookmarkEnd w:id="137"/>
    </w:p>
    <w:p w14:paraId="19D836B3" w14:textId="01AA898C" w:rsidR="004F0B2C" w:rsidRPr="00F833B4" w:rsidRDefault="004F0B2C" w:rsidP="004F0B2C">
      <w:pPr>
        <w:spacing w:after="120"/>
        <w:rPr>
          <w:lang w:val="ru-RU"/>
        </w:rPr>
      </w:pPr>
      <w:r w:rsidRPr="00F833B4">
        <w:rPr>
          <w:lang w:val="ru-RU"/>
        </w:rPr>
        <w:t>21</w:t>
      </w:r>
      <w:r w:rsidRPr="00F833B4">
        <w:rPr>
          <w:lang w:val="ru-RU"/>
        </w:rPr>
        <w:tab/>
      </w:r>
      <w:r w:rsidR="00B37918" w:rsidRPr="00F833B4">
        <w:rPr>
          <w:lang w:val="ru-RU"/>
        </w:rPr>
        <w:t xml:space="preserve">Генеральный секретарь предложил Совету </w:t>
      </w:r>
      <w:r w:rsidR="007870FF" w:rsidRPr="00F833B4">
        <w:rPr>
          <w:lang w:val="ru-RU"/>
        </w:rPr>
        <w:t xml:space="preserve">утвердить списание безнадежных долгов на общую сумму </w:t>
      </w:r>
      <w:r w:rsidRPr="00F833B4">
        <w:rPr>
          <w:lang w:val="ru-RU"/>
        </w:rPr>
        <w:t>2</w:t>
      </w:r>
      <w:r w:rsidR="007870FF" w:rsidRPr="00F833B4">
        <w:rPr>
          <w:lang w:val="ru-RU"/>
        </w:rPr>
        <w:t> </w:t>
      </w:r>
      <w:r w:rsidRPr="00F833B4">
        <w:rPr>
          <w:lang w:val="ru-RU"/>
        </w:rPr>
        <w:t>690</w:t>
      </w:r>
      <w:r w:rsidR="007870FF" w:rsidRPr="00F833B4">
        <w:rPr>
          <w:lang w:val="ru-RU"/>
        </w:rPr>
        <w:t> </w:t>
      </w:r>
      <w:r w:rsidRPr="00F833B4">
        <w:rPr>
          <w:lang w:val="ru-RU"/>
        </w:rPr>
        <w:t>233</w:t>
      </w:r>
      <w:r w:rsidR="007870FF" w:rsidRPr="00F833B4">
        <w:rPr>
          <w:lang w:val="ru-RU"/>
        </w:rPr>
        <w:t>,</w:t>
      </w:r>
      <w:r w:rsidRPr="00F833B4">
        <w:rPr>
          <w:lang w:val="ru-RU"/>
        </w:rPr>
        <w:t>08</w:t>
      </w:r>
      <w:r w:rsidR="007870FF" w:rsidRPr="00F833B4">
        <w:rPr>
          <w:lang w:val="ru-RU"/>
        </w:rPr>
        <w:t> швейцарского франка и снятие той же суммы из Резервного фонда для счетов должников</w:t>
      </w:r>
      <w:r w:rsidRPr="00F833B4">
        <w:rPr>
          <w:lang w:val="ru-RU"/>
        </w:rPr>
        <w:t xml:space="preserve">. </w:t>
      </w:r>
      <w:r w:rsidR="007870FF" w:rsidRPr="00F833B4">
        <w:rPr>
          <w:lang w:val="ru-RU"/>
        </w:rPr>
        <w:t>Должниками являются</w:t>
      </w:r>
      <w:r w:rsidRPr="00F833B4">
        <w:rPr>
          <w:lang w:val="ru-RU"/>
        </w:rPr>
        <w:t xml:space="preserve"> 21</w:t>
      </w:r>
      <w:r w:rsidR="007870FF" w:rsidRPr="00F833B4">
        <w:rPr>
          <w:lang w:val="ru-RU"/>
        </w:rPr>
        <w:t> компания, в отношении которых процедура направления уведомлений полностью исчерпана или которые ликвидируют</w:t>
      </w:r>
      <w:r w:rsidR="00E87BB7" w:rsidRPr="00F833B4">
        <w:rPr>
          <w:lang w:val="ru-RU"/>
        </w:rPr>
        <w:t>ся</w:t>
      </w:r>
      <w:r w:rsidR="007870FF" w:rsidRPr="00F833B4">
        <w:rPr>
          <w:lang w:val="ru-RU"/>
        </w:rPr>
        <w:t xml:space="preserve"> "в судебном порядке"</w:t>
      </w:r>
      <w:r w:rsidRPr="00F833B4">
        <w:rPr>
          <w:lang w:val="ru-RU"/>
        </w:rPr>
        <w:t>.</w:t>
      </w:r>
    </w:p>
    <w:p w14:paraId="16B729C0" w14:textId="77777777" w:rsidR="00CE0E84" w:rsidRPr="00F833B4" w:rsidRDefault="00CE0E84" w:rsidP="000608BD">
      <w:pPr>
        <w:pStyle w:val="Heading2"/>
        <w:rPr>
          <w:lang w:val="ru-RU"/>
        </w:rPr>
      </w:pPr>
      <w:bookmarkStart w:id="138" w:name="_Toc56179552"/>
      <w:bookmarkStart w:id="139" w:name="_Toc56180371"/>
      <w:r w:rsidRPr="00F833B4">
        <w:rPr>
          <w:lang w:val="ru-RU"/>
        </w:rPr>
        <w:t>Запасы</w:t>
      </w:r>
      <w:bookmarkEnd w:id="128"/>
      <w:bookmarkEnd w:id="129"/>
      <w:bookmarkEnd w:id="130"/>
      <w:bookmarkEnd w:id="131"/>
      <w:bookmarkEnd w:id="132"/>
      <w:bookmarkEnd w:id="133"/>
      <w:bookmarkEnd w:id="134"/>
      <w:bookmarkEnd w:id="138"/>
      <w:bookmarkEnd w:id="139"/>
    </w:p>
    <w:p w14:paraId="0BC9717C" w14:textId="7576212A" w:rsidR="00CE0E84" w:rsidRPr="00F833B4" w:rsidRDefault="004F0B2C" w:rsidP="00875388">
      <w:pPr>
        <w:rPr>
          <w:lang w:val="ru-RU"/>
        </w:rPr>
      </w:pPr>
      <w:r w:rsidRPr="00F833B4">
        <w:rPr>
          <w:lang w:val="ru-RU"/>
        </w:rPr>
        <w:t>22</w:t>
      </w:r>
      <w:r w:rsidR="00FE69E3" w:rsidRPr="00F833B4">
        <w:rPr>
          <w:lang w:val="ru-RU"/>
        </w:rPr>
        <w:tab/>
        <w:t>В 201</w:t>
      </w:r>
      <w:r w:rsidRPr="00F833B4">
        <w:rPr>
          <w:lang w:val="ru-RU"/>
        </w:rPr>
        <w:t>9</w:t>
      </w:r>
      <w:r w:rsidR="004D2F49" w:rsidRPr="00F833B4">
        <w:rPr>
          <w:lang w:val="ru-RU"/>
        </w:rPr>
        <w:t> год</w:t>
      </w:r>
      <w:r w:rsidR="00CE0E84" w:rsidRPr="00F833B4">
        <w:rPr>
          <w:lang w:val="ru-RU"/>
        </w:rPr>
        <w:t>у статьи, относящиеся к публикациям, сувенирам и предметам снабжения, были учтены по чистой стоимости в размере 0,</w:t>
      </w:r>
      <w:r w:rsidR="00FE69E3" w:rsidRPr="00F833B4">
        <w:rPr>
          <w:lang w:val="ru-RU"/>
        </w:rPr>
        <w:t>54</w:t>
      </w:r>
      <w:r w:rsidR="002D1BE1" w:rsidRPr="00F833B4">
        <w:rPr>
          <w:lang w:val="ru-RU"/>
        </w:rPr>
        <w:t xml:space="preserve"> млн. </w:t>
      </w:r>
      <w:r w:rsidR="00CE0E84" w:rsidRPr="00F833B4">
        <w:rPr>
          <w:lang w:val="ru-RU"/>
        </w:rPr>
        <w:t>швейцарских франков</w:t>
      </w:r>
      <w:r w:rsidR="000430E2" w:rsidRPr="00F833B4">
        <w:rPr>
          <w:lang w:val="ru-RU"/>
        </w:rPr>
        <w:t>, как и в 2018 году</w:t>
      </w:r>
      <w:r w:rsidR="00CE0E84" w:rsidRPr="00F833B4">
        <w:rPr>
          <w:lang w:val="ru-RU"/>
        </w:rPr>
        <w:t>. Запасы подробно опис</w:t>
      </w:r>
      <w:r w:rsidR="00DC27A7" w:rsidRPr="00F833B4">
        <w:rPr>
          <w:lang w:val="ru-RU"/>
        </w:rPr>
        <w:t>аны</w:t>
      </w:r>
      <w:r w:rsidR="00CE0E84" w:rsidRPr="00F833B4">
        <w:rPr>
          <w:lang w:val="ru-RU"/>
        </w:rPr>
        <w:t xml:space="preserve"> в Примечании</w:t>
      </w:r>
      <w:r w:rsidR="00875388" w:rsidRPr="00F833B4">
        <w:rPr>
          <w:lang w:val="ru-RU"/>
        </w:rPr>
        <w:t> </w:t>
      </w:r>
      <w:r w:rsidR="00CE0E84" w:rsidRPr="00F833B4">
        <w:rPr>
          <w:lang w:val="ru-RU"/>
        </w:rPr>
        <w:t>9 к Отчету о финансовой деятельности, где показано</w:t>
      </w:r>
      <w:r w:rsidR="00E44711" w:rsidRPr="00F833B4">
        <w:rPr>
          <w:lang w:val="ru-RU"/>
        </w:rPr>
        <w:t xml:space="preserve"> незначительное снижение чистой стоимости публикаций </w:t>
      </w:r>
      <w:r w:rsidR="00CA666C" w:rsidRPr="00F833B4">
        <w:rPr>
          <w:lang w:val="ru-RU"/>
        </w:rPr>
        <w:t xml:space="preserve">(более высокая валовая стоимость, </w:t>
      </w:r>
      <w:r w:rsidR="009861DA" w:rsidRPr="00F833B4">
        <w:rPr>
          <w:lang w:val="ru-RU"/>
        </w:rPr>
        <w:t>но</w:t>
      </w:r>
      <w:r w:rsidR="00CA666C" w:rsidRPr="00F833B4">
        <w:rPr>
          <w:lang w:val="ru-RU"/>
        </w:rPr>
        <w:t xml:space="preserve"> еще </w:t>
      </w:r>
      <w:proofErr w:type="spellStart"/>
      <w:r w:rsidR="009861DA" w:rsidRPr="00F833B4">
        <w:rPr>
          <w:lang w:val="ru-RU"/>
        </w:rPr>
        <w:t>б</w:t>
      </w:r>
      <w:r w:rsidR="009861DA" w:rsidRPr="00F833B4">
        <w:rPr>
          <w:rFonts w:cs="Calibri"/>
          <w:lang w:val="ru-RU"/>
        </w:rPr>
        <w:t>ó</w:t>
      </w:r>
      <w:r w:rsidR="009861DA" w:rsidRPr="00F833B4">
        <w:rPr>
          <w:lang w:val="ru-RU"/>
        </w:rPr>
        <w:t>льшая</w:t>
      </w:r>
      <w:proofErr w:type="spellEnd"/>
      <w:r w:rsidR="009861DA" w:rsidRPr="00F833B4">
        <w:rPr>
          <w:lang w:val="ru-RU"/>
        </w:rPr>
        <w:t xml:space="preserve"> амортизация) и увеличение</w:t>
      </w:r>
      <w:r w:rsidR="007B1B5C" w:rsidRPr="00F833B4">
        <w:rPr>
          <w:lang w:val="ru-RU"/>
        </w:rPr>
        <w:t xml:space="preserve"> </w:t>
      </w:r>
      <w:r w:rsidR="00E87BB7" w:rsidRPr="00F833B4">
        <w:rPr>
          <w:lang w:val="ru-RU"/>
        </w:rPr>
        <w:t>стоимости</w:t>
      </w:r>
      <w:r w:rsidR="00DC27A7" w:rsidRPr="00F833B4">
        <w:rPr>
          <w:color w:val="000000"/>
          <w:lang w:val="ru-RU"/>
        </w:rPr>
        <w:t xml:space="preserve"> предметов снабжения</w:t>
      </w:r>
      <w:r w:rsidR="00CE0E84" w:rsidRPr="00F833B4">
        <w:rPr>
          <w:lang w:val="ru-RU"/>
        </w:rPr>
        <w:t>.</w:t>
      </w:r>
    </w:p>
    <w:p w14:paraId="4A136781" w14:textId="77777777" w:rsidR="00CE0E84" w:rsidRPr="00F833B4" w:rsidRDefault="00CE0E84" w:rsidP="000608BD">
      <w:pPr>
        <w:pStyle w:val="Heading2"/>
        <w:rPr>
          <w:lang w:val="ru-RU"/>
        </w:rPr>
      </w:pPr>
      <w:bookmarkStart w:id="140" w:name="_Ref292884400"/>
      <w:bookmarkStart w:id="141" w:name="_Toc324506726"/>
      <w:bookmarkStart w:id="142" w:name="_Toc325622854"/>
      <w:bookmarkStart w:id="143" w:name="_Toc356330882"/>
      <w:bookmarkStart w:id="144" w:name="_Toc358192832"/>
      <w:bookmarkStart w:id="145" w:name="_Toc398125317"/>
      <w:bookmarkStart w:id="146" w:name="_Toc398125796"/>
      <w:bookmarkStart w:id="147" w:name="_Toc398127089"/>
      <w:bookmarkStart w:id="148" w:name="_Toc452157305"/>
      <w:bookmarkStart w:id="149" w:name="_Toc482995174"/>
      <w:bookmarkStart w:id="150" w:name="_Toc522633564"/>
      <w:bookmarkStart w:id="151" w:name="_Toc56179553"/>
      <w:bookmarkStart w:id="152" w:name="_Toc56180372"/>
      <w:proofErr w:type="spellStart"/>
      <w:r w:rsidRPr="00F833B4">
        <w:rPr>
          <w:lang w:val="ru-RU"/>
        </w:rPr>
        <w:t>Нетекущие</w:t>
      </w:r>
      <w:proofErr w:type="spellEnd"/>
      <w:r w:rsidRPr="00F833B4">
        <w:rPr>
          <w:lang w:val="ru-RU"/>
        </w:rPr>
        <w:t xml:space="preserve"> активы</w:t>
      </w:r>
      <w:bookmarkEnd w:id="140"/>
      <w:bookmarkEnd w:id="141"/>
      <w:bookmarkEnd w:id="142"/>
      <w:bookmarkEnd w:id="143"/>
      <w:bookmarkEnd w:id="144"/>
      <w:bookmarkEnd w:id="145"/>
      <w:bookmarkEnd w:id="146"/>
      <w:bookmarkEnd w:id="147"/>
      <w:bookmarkEnd w:id="148"/>
      <w:bookmarkEnd w:id="149"/>
      <w:bookmarkEnd w:id="150"/>
      <w:bookmarkEnd w:id="151"/>
      <w:bookmarkEnd w:id="152"/>
    </w:p>
    <w:p w14:paraId="6576A850" w14:textId="2591B1D2" w:rsidR="00CE0E84" w:rsidRPr="00F833B4" w:rsidRDefault="00FE69E3" w:rsidP="00F13F6E">
      <w:pPr>
        <w:rPr>
          <w:lang w:val="ru-RU"/>
        </w:rPr>
      </w:pPr>
      <w:r w:rsidRPr="00F833B4">
        <w:rPr>
          <w:lang w:val="ru-RU"/>
        </w:rPr>
        <w:t>2</w:t>
      </w:r>
      <w:r w:rsidR="004F0B2C" w:rsidRPr="00F833B4">
        <w:rPr>
          <w:lang w:val="ru-RU"/>
        </w:rPr>
        <w:t>3</w:t>
      </w:r>
      <w:r w:rsidR="00CE0E84" w:rsidRPr="00F833B4">
        <w:rPr>
          <w:lang w:val="ru-RU"/>
        </w:rPr>
        <w:tab/>
        <w:t xml:space="preserve">Объем </w:t>
      </w:r>
      <w:proofErr w:type="spellStart"/>
      <w:r w:rsidR="00CE0E84" w:rsidRPr="00F833B4">
        <w:rPr>
          <w:lang w:val="ru-RU"/>
        </w:rPr>
        <w:t>нетекущих</w:t>
      </w:r>
      <w:proofErr w:type="spellEnd"/>
      <w:r w:rsidR="00CE0E84" w:rsidRPr="00F833B4">
        <w:rPr>
          <w:lang w:val="ru-RU"/>
        </w:rPr>
        <w:t xml:space="preserve"> активов по состоянию на 31</w:t>
      </w:r>
      <w:r w:rsidR="004D2F49" w:rsidRPr="00F833B4">
        <w:rPr>
          <w:lang w:val="ru-RU"/>
        </w:rPr>
        <w:t> декабря</w:t>
      </w:r>
      <w:r w:rsidR="00CE0E84" w:rsidRPr="00F833B4">
        <w:rPr>
          <w:lang w:val="ru-RU"/>
        </w:rPr>
        <w:t xml:space="preserve"> 201</w:t>
      </w:r>
      <w:r w:rsidR="004F0B2C" w:rsidRPr="00F833B4">
        <w:rPr>
          <w:lang w:val="ru-RU"/>
        </w:rPr>
        <w:t>9</w:t>
      </w:r>
      <w:r w:rsidR="004D2F49" w:rsidRPr="00F833B4">
        <w:rPr>
          <w:lang w:val="ru-RU"/>
        </w:rPr>
        <w:t> год</w:t>
      </w:r>
      <w:r w:rsidR="00CE0E84" w:rsidRPr="00F833B4">
        <w:rPr>
          <w:lang w:val="ru-RU"/>
        </w:rPr>
        <w:t xml:space="preserve">а составил в целом </w:t>
      </w:r>
      <w:r w:rsidR="00F13F6E" w:rsidRPr="00F833B4">
        <w:rPr>
          <w:lang w:val="ru-RU"/>
        </w:rPr>
        <w:t xml:space="preserve">около </w:t>
      </w:r>
      <w:r w:rsidR="00CE0E84" w:rsidRPr="00F833B4">
        <w:rPr>
          <w:lang w:val="ru-RU"/>
        </w:rPr>
        <w:t>1</w:t>
      </w:r>
      <w:r w:rsidR="00714584" w:rsidRPr="00F833B4">
        <w:rPr>
          <w:lang w:val="ru-RU"/>
        </w:rPr>
        <w:t>20</w:t>
      </w:r>
      <w:r w:rsidR="00CE0E84" w:rsidRPr="00F833B4">
        <w:rPr>
          <w:lang w:val="ru-RU"/>
        </w:rPr>
        <w:t>,</w:t>
      </w:r>
      <w:r w:rsidR="00714584" w:rsidRPr="00F833B4">
        <w:rPr>
          <w:lang w:val="ru-RU"/>
        </w:rPr>
        <w:t>6</w:t>
      </w:r>
      <w:r w:rsidR="002D1BE1" w:rsidRPr="00F833B4">
        <w:rPr>
          <w:lang w:val="ru-RU"/>
        </w:rPr>
        <w:t xml:space="preserve"> млн. </w:t>
      </w:r>
      <w:r w:rsidR="00CE0E84" w:rsidRPr="00F833B4">
        <w:rPr>
          <w:lang w:val="ru-RU"/>
        </w:rPr>
        <w:t>швейца</w:t>
      </w:r>
      <w:r w:rsidRPr="00F833B4">
        <w:rPr>
          <w:lang w:val="ru-RU"/>
        </w:rPr>
        <w:t xml:space="preserve">рских франков, </w:t>
      </w:r>
      <w:r w:rsidR="00F13F6E" w:rsidRPr="00F833B4">
        <w:rPr>
          <w:lang w:val="ru-RU"/>
        </w:rPr>
        <w:t xml:space="preserve">что соответствует </w:t>
      </w:r>
      <w:r w:rsidR="007B1B5C" w:rsidRPr="00F833B4">
        <w:rPr>
          <w:lang w:val="ru-RU"/>
        </w:rPr>
        <w:t>увелич</w:t>
      </w:r>
      <w:r w:rsidR="00F13F6E" w:rsidRPr="00F833B4">
        <w:rPr>
          <w:lang w:val="ru-RU"/>
        </w:rPr>
        <w:t>ению</w:t>
      </w:r>
      <w:r w:rsidRPr="00F833B4">
        <w:rPr>
          <w:lang w:val="ru-RU"/>
        </w:rPr>
        <w:t xml:space="preserve"> на </w:t>
      </w:r>
      <w:r w:rsidR="00714584" w:rsidRPr="00F833B4">
        <w:rPr>
          <w:lang w:val="ru-RU"/>
        </w:rPr>
        <w:t>2</w:t>
      </w:r>
      <w:r w:rsidRPr="00F833B4">
        <w:rPr>
          <w:lang w:val="ru-RU"/>
        </w:rPr>
        <w:t>0</w:t>
      </w:r>
      <w:r w:rsidR="00CE0E84" w:rsidRPr="00F833B4">
        <w:rPr>
          <w:lang w:val="ru-RU"/>
        </w:rPr>
        <w:t>,</w:t>
      </w:r>
      <w:r w:rsidR="00714584" w:rsidRPr="00F833B4">
        <w:rPr>
          <w:lang w:val="ru-RU"/>
        </w:rPr>
        <w:t>6</w:t>
      </w:r>
      <w:r w:rsidR="002D1BE1" w:rsidRPr="00F833B4">
        <w:rPr>
          <w:lang w:val="ru-RU"/>
        </w:rPr>
        <w:t xml:space="preserve"> млн. </w:t>
      </w:r>
      <w:r w:rsidRPr="00F833B4">
        <w:rPr>
          <w:lang w:val="ru-RU"/>
        </w:rPr>
        <w:t>швейцарских франков (</w:t>
      </w:r>
      <w:r w:rsidR="00714584" w:rsidRPr="00F833B4">
        <w:rPr>
          <w:lang w:val="ru-RU"/>
        </w:rPr>
        <w:t>26</w:t>
      </w:r>
      <w:r w:rsidR="00CE0E84" w:rsidRPr="00F833B4">
        <w:rPr>
          <w:lang w:val="ru-RU"/>
        </w:rPr>
        <w:t>,</w:t>
      </w:r>
      <w:r w:rsidR="00714584" w:rsidRPr="00F833B4">
        <w:rPr>
          <w:lang w:val="ru-RU"/>
        </w:rPr>
        <w:t>4</w:t>
      </w:r>
      <w:r w:rsidR="00CE0E84" w:rsidRPr="00F833B4">
        <w:rPr>
          <w:lang w:val="ru-RU"/>
        </w:rPr>
        <w:t>%) по сравнению с 201</w:t>
      </w:r>
      <w:r w:rsidR="00714584" w:rsidRPr="00F833B4">
        <w:rPr>
          <w:lang w:val="ru-RU"/>
        </w:rPr>
        <w:t>8</w:t>
      </w:r>
      <w:r w:rsidR="004D2F49" w:rsidRPr="00F833B4">
        <w:rPr>
          <w:lang w:val="ru-RU"/>
        </w:rPr>
        <w:t> год</w:t>
      </w:r>
      <w:r w:rsidR="00CE0E84" w:rsidRPr="00F833B4">
        <w:rPr>
          <w:lang w:val="ru-RU"/>
        </w:rPr>
        <w:t xml:space="preserve">ом, когда их объем составлял </w:t>
      </w:r>
      <w:r w:rsidRPr="00F833B4">
        <w:rPr>
          <w:lang w:val="ru-RU"/>
        </w:rPr>
        <w:t>100</w:t>
      </w:r>
      <w:r w:rsidR="002D1BE1" w:rsidRPr="00F833B4">
        <w:rPr>
          <w:lang w:val="ru-RU"/>
        </w:rPr>
        <w:t xml:space="preserve"> млн. </w:t>
      </w:r>
      <w:r w:rsidR="00CE0E84" w:rsidRPr="00F833B4">
        <w:rPr>
          <w:lang w:val="ru-RU"/>
        </w:rPr>
        <w:t>швейцарских франков.</w:t>
      </w:r>
    </w:p>
    <w:p w14:paraId="1423E6D9" w14:textId="55D74154" w:rsidR="00714584" w:rsidRPr="00F833B4" w:rsidRDefault="00714584" w:rsidP="00F13F6E">
      <w:pPr>
        <w:rPr>
          <w:lang w:val="ru-RU"/>
        </w:rPr>
      </w:pPr>
      <w:r w:rsidRPr="00F833B4">
        <w:rPr>
          <w:lang w:val="ru-RU"/>
        </w:rPr>
        <w:t>24</w:t>
      </w:r>
      <w:r w:rsidRPr="00F833B4">
        <w:rPr>
          <w:lang w:val="ru-RU"/>
        </w:rPr>
        <w:tab/>
      </w:r>
      <w:r w:rsidR="00EB377A" w:rsidRPr="00F833B4">
        <w:rPr>
          <w:lang w:val="ru-RU"/>
        </w:rPr>
        <w:t>Увеличение вызвано добавлением нового подраздела, аналогично</w:t>
      </w:r>
      <w:r w:rsidR="00AC41F8" w:rsidRPr="00F833B4">
        <w:rPr>
          <w:lang w:val="ru-RU"/>
        </w:rPr>
        <w:t>го относяще</w:t>
      </w:r>
      <w:r w:rsidR="00C436E4" w:rsidRPr="00F833B4">
        <w:rPr>
          <w:lang w:val="ru-RU"/>
        </w:rPr>
        <w:t>му</w:t>
      </w:r>
      <w:r w:rsidR="00AC41F8" w:rsidRPr="00F833B4">
        <w:rPr>
          <w:lang w:val="ru-RU"/>
        </w:rPr>
        <w:t>ся к</w:t>
      </w:r>
      <w:r w:rsidR="00EB377A" w:rsidRPr="00F833B4">
        <w:rPr>
          <w:lang w:val="ru-RU"/>
        </w:rPr>
        <w:t xml:space="preserve"> текущим активам</w:t>
      </w:r>
      <w:r w:rsidR="00AC41F8" w:rsidRPr="00F833B4">
        <w:rPr>
          <w:lang w:val="ru-RU"/>
        </w:rPr>
        <w:t>, под названием "расходы</w:t>
      </w:r>
      <w:r w:rsidR="00F62987" w:rsidRPr="00F833B4">
        <w:rPr>
          <w:lang w:val="ru-RU"/>
        </w:rPr>
        <w:t xml:space="preserve"> </w:t>
      </w:r>
      <w:r w:rsidR="003868EE" w:rsidRPr="00F833B4">
        <w:rPr>
          <w:lang w:val="ru-RU"/>
        </w:rPr>
        <w:t xml:space="preserve">будущих периодов </w:t>
      </w:r>
      <w:r w:rsidR="00F62987" w:rsidRPr="00F833B4">
        <w:rPr>
          <w:lang w:val="ru-RU"/>
        </w:rPr>
        <w:t xml:space="preserve">– </w:t>
      </w:r>
      <w:r w:rsidR="00F62987" w:rsidRPr="00F833B4">
        <w:rPr>
          <w:color w:val="000000"/>
          <w:lang w:val="ru-RU"/>
        </w:rPr>
        <w:t>ЮНСМИС</w:t>
      </w:r>
      <w:r w:rsidR="0066239C" w:rsidRPr="00F833B4">
        <w:rPr>
          <w:lang w:val="ru-RU"/>
        </w:rPr>
        <w:t xml:space="preserve">", </w:t>
      </w:r>
      <w:r w:rsidR="00F62987" w:rsidRPr="00F833B4">
        <w:rPr>
          <w:lang w:val="ru-RU"/>
        </w:rPr>
        <w:t>на сумму</w:t>
      </w:r>
      <w:r w:rsidR="0066239C" w:rsidRPr="00F833B4">
        <w:rPr>
          <w:lang w:val="ru-RU"/>
        </w:rPr>
        <w:t xml:space="preserve"> 20</w:t>
      </w:r>
      <w:r w:rsidR="00F62987" w:rsidRPr="00F833B4">
        <w:rPr>
          <w:lang w:val="ru-RU"/>
        </w:rPr>
        <w:t>,</w:t>
      </w:r>
      <w:r w:rsidR="0066239C" w:rsidRPr="00F833B4">
        <w:rPr>
          <w:lang w:val="ru-RU"/>
        </w:rPr>
        <w:t>9</w:t>
      </w:r>
      <w:r w:rsidR="00F62987" w:rsidRPr="00F833B4">
        <w:rPr>
          <w:lang w:val="ru-RU"/>
        </w:rPr>
        <w:t> </w:t>
      </w:r>
      <w:proofErr w:type="gramStart"/>
      <w:r w:rsidR="00F62987" w:rsidRPr="00F833B4">
        <w:rPr>
          <w:lang w:val="ru-RU"/>
        </w:rPr>
        <w:t>млн.</w:t>
      </w:r>
      <w:proofErr w:type="gramEnd"/>
      <w:r w:rsidR="00F62987" w:rsidRPr="00F833B4">
        <w:rPr>
          <w:lang w:val="ru-RU"/>
        </w:rPr>
        <w:t xml:space="preserve"> швейцарских франков </w:t>
      </w:r>
      <w:r w:rsidR="0066239C" w:rsidRPr="00F833B4">
        <w:rPr>
          <w:lang w:val="ru-RU"/>
        </w:rPr>
        <w:t>(17</w:t>
      </w:r>
      <w:r w:rsidR="00F62987" w:rsidRPr="00F833B4">
        <w:rPr>
          <w:lang w:val="ru-RU"/>
        </w:rPr>
        <w:t>,</w:t>
      </w:r>
      <w:r w:rsidR="0066239C" w:rsidRPr="00F833B4">
        <w:rPr>
          <w:lang w:val="ru-RU"/>
        </w:rPr>
        <w:t xml:space="preserve">3% </w:t>
      </w:r>
      <w:r w:rsidR="00F62987" w:rsidRPr="00F833B4">
        <w:rPr>
          <w:lang w:val="ru-RU"/>
        </w:rPr>
        <w:t xml:space="preserve">общего объема </w:t>
      </w:r>
      <w:proofErr w:type="spellStart"/>
      <w:r w:rsidR="00F62987" w:rsidRPr="00F833B4">
        <w:rPr>
          <w:lang w:val="ru-RU"/>
        </w:rPr>
        <w:t>нетекущих</w:t>
      </w:r>
      <w:proofErr w:type="spellEnd"/>
      <w:r w:rsidR="00F62987" w:rsidRPr="00F833B4">
        <w:rPr>
          <w:lang w:val="ru-RU"/>
        </w:rPr>
        <w:t xml:space="preserve"> активов</w:t>
      </w:r>
      <w:r w:rsidR="0066239C" w:rsidRPr="00F833B4">
        <w:rPr>
          <w:lang w:val="ru-RU"/>
        </w:rPr>
        <w:t xml:space="preserve">). </w:t>
      </w:r>
      <w:r w:rsidR="00F62987" w:rsidRPr="00F833B4">
        <w:rPr>
          <w:lang w:val="ru-RU"/>
        </w:rPr>
        <w:t>См. ниже в настоящем отчете, где обсуждается вознаграждение сотрудников, подробное описание этих элементов учета</w:t>
      </w:r>
      <w:r w:rsidR="0066239C" w:rsidRPr="00F833B4">
        <w:rPr>
          <w:lang w:val="ru-RU"/>
        </w:rPr>
        <w:t>.</w:t>
      </w:r>
    </w:p>
    <w:p w14:paraId="405BC7E2" w14:textId="0945A965" w:rsidR="00CE0E84" w:rsidRPr="00F833B4" w:rsidRDefault="00FE69E3" w:rsidP="00875388">
      <w:pPr>
        <w:rPr>
          <w:lang w:val="ru-RU"/>
        </w:rPr>
      </w:pPr>
      <w:r w:rsidRPr="00F833B4">
        <w:rPr>
          <w:lang w:val="ru-RU"/>
        </w:rPr>
        <w:t>2</w:t>
      </w:r>
      <w:r w:rsidR="0066239C" w:rsidRPr="00F833B4">
        <w:rPr>
          <w:lang w:val="ru-RU"/>
        </w:rPr>
        <w:t>5</w:t>
      </w:r>
      <w:r w:rsidR="00CE0E84" w:rsidRPr="00F833B4">
        <w:rPr>
          <w:lang w:val="ru-RU"/>
        </w:rPr>
        <w:tab/>
      </w:r>
      <w:r w:rsidR="00243C71" w:rsidRPr="00F833B4">
        <w:rPr>
          <w:lang w:val="ru-RU"/>
        </w:rPr>
        <w:t xml:space="preserve">Помимо этого, в данный раздел входят обычные подразделы: </w:t>
      </w:r>
      <w:r w:rsidR="00CE0E84" w:rsidRPr="00F833B4">
        <w:rPr>
          <w:lang w:val="ru-RU"/>
        </w:rPr>
        <w:t xml:space="preserve">"Материальные активы" на сумму </w:t>
      </w:r>
      <w:r w:rsidRPr="00F833B4">
        <w:rPr>
          <w:lang w:val="ru-RU"/>
        </w:rPr>
        <w:t>9</w:t>
      </w:r>
      <w:r w:rsidR="00243C71" w:rsidRPr="00F833B4">
        <w:rPr>
          <w:lang w:val="ru-RU"/>
        </w:rPr>
        <w:t>2</w:t>
      </w:r>
      <w:r w:rsidR="00CE0E84" w:rsidRPr="00F833B4">
        <w:rPr>
          <w:lang w:val="ru-RU"/>
        </w:rPr>
        <w:t>,</w:t>
      </w:r>
      <w:r w:rsidR="00243C71" w:rsidRPr="00F833B4">
        <w:rPr>
          <w:lang w:val="ru-RU"/>
        </w:rPr>
        <w:t>7</w:t>
      </w:r>
      <w:r w:rsidR="002D1BE1" w:rsidRPr="00F833B4">
        <w:rPr>
          <w:lang w:val="ru-RU"/>
        </w:rPr>
        <w:t xml:space="preserve"> млн. </w:t>
      </w:r>
      <w:r w:rsidR="00CE0E84" w:rsidRPr="00F833B4">
        <w:rPr>
          <w:lang w:val="ru-RU"/>
        </w:rPr>
        <w:t>швейцарских франков</w:t>
      </w:r>
      <w:r w:rsidRPr="00F833B4">
        <w:rPr>
          <w:lang w:val="ru-RU"/>
        </w:rPr>
        <w:t>,</w:t>
      </w:r>
      <w:r w:rsidR="00CE0E84" w:rsidRPr="00F833B4">
        <w:rPr>
          <w:lang w:val="ru-RU"/>
        </w:rPr>
        <w:t xml:space="preserve"> или </w:t>
      </w:r>
      <w:r w:rsidR="00243C71" w:rsidRPr="00F833B4">
        <w:rPr>
          <w:lang w:val="ru-RU"/>
        </w:rPr>
        <w:t>76,8</w:t>
      </w:r>
      <w:r w:rsidR="00CE0E84" w:rsidRPr="00F833B4">
        <w:rPr>
          <w:lang w:val="ru-RU"/>
        </w:rPr>
        <w:t>,</w:t>
      </w:r>
      <w:r w:rsidRPr="00F833B4">
        <w:rPr>
          <w:lang w:val="ru-RU"/>
        </w:rPr>
        <w:t>6</w:t>
      </w:r>
      <w:r w:rsidR="00CE0E84" w:rsidRPr="00F833B4">
        <w:rPr>
          <w:lang w:val="ru-RU"/>
        </w:rPr>
        <w:t xml:space="preserve">% от общего объема </w:t>
      </w:r>
      <w:proofErr w:type="spellStart"/>
      <w:r w:rsidR="00CE0E84" w:rsidRPr="00F833B4">
        <w:rPr>
          <w:lang w:val="ru-RU"/>
        </w:rPr>
        <w:t>нетекущих</w:t>
      </w:r>
      <w:proofErr w:type="spellEnd"/>
      <w:r w:rsidR="00CE0E84" w:rsidRPr="00F833B4">
        <w:rPr>
          <w:lang w:val="ru-RU"/>
        </w:rPr>
        <w:t xml:space="preserve"> активов (в 201</w:t>
      </w:r>
      <w:r w:rsidR="00243C71" w:rsidRPr="00F833B4">
        <w:rPr>
          <w:lang w:val="ru-RU"/>
        </w:rPr>
        <w:t>8</w:t>
      </w:r>
      <w:r w:rsidR="004D2F49" w:rsidRPr="00F833B4">
        <w:rPr>
          <w:lang w:val="ru-RU"/>
        </w:rPr>
        <w:t> г.</w:t>
      </w:r>
      <w:r w:rsidR="00CE0E84" w:rsidRPr="00F833B4">
        <w:rPr>
          <w:lang w:val="ru-RU"/>
        </w:rPr>
        <w:t xml:space="preserve"> его объем составлял </w:t>
      </w:r>
      <w:r w:rsidRPr="00F833B4">
        <w:rPr>
          <w:lang w:val="ru-RU"/>
        </w:rPr>
        <w:t>9</w:t>
      </w:r>
      <w:r w:rsidR="00243C71" w:rsidRPr="00F833B4">
        <w:rPr>
          <w:lang w:val="ru-RU"/>
        </w:rPr>
        <w:t>5</w:t>
      </w:r>
      <w:r w:rsidR="00CE0E84" w:rsidRPr="00F833B4">
        <w:rPr>
          <w:lang w:val="ru-RU"/>
        </w:rPr>
        <w:t>,</w:t>
      </w:r>
      <w:r w:rsidR="00243C71" w:rsidRPr="00F833B4">
        <w:rPr>
          <w:lang w:val="ru-RU"/>
        </w:rPr>
        <w:t>6</w:t>
      </w:r>
      <w:r w:rsidR="002D1BE1" w:rsidRPr="00F833B4">
        <w:rPr>
          <w:lang w:val="ru-RU"/>
        </w:rPr>
        <w:t xml:space="preserve"> млн. </w:t>
      </w:r>
      <w:r w:rsidR="00CE0E84" w:rsidRPr="00F833B4">
        <w:rPr>
          <w:lang w:val="ru-RU"/>
        </w:rPr>
        <w:t>швейцарских франков</w:t>
      </w:r>
      <w:r w:rsidRPr="00F833B4">
        <w:rPr>
          <w:lang w:val="ru-RU"/>
        </w:rPr>
        <w:t>,</w:t>
      </w:r>
      <w:r w:rsidR="00CE0E84" w:rsidRPr="00F833B4">
        <w:rPr>
          <w:lang w:val="ru-RU"/>
        </w:rPr>
        <w:t xml:space="preserve"> или 9</w:t>
      </w:r>
      <w:r w:rsidR="00243C71" w:rsidRPr="00F833B4">
        <w:rPr>
          <w:lang w:val="ru-RU"/>
        </w:rPr>
        <w:t>5</w:t>
      </w:r>
      <w:r w:rsidR="00CE0E84" w:rsidRPr="00F833B4">
        <w:rPr>
          <w:lang w:val="ru-RU"/>
        </w:rPr>
        <w:t>,</w:t>
      </w:r>
      <w:r w:rsidR="00243C71" w:rsidRPr="00F833B4">
        <w:rPr>
          <w:lang w:val="ru-RU"/>
        </w:rPr>
        <w:t>6</w:t>
      </w:r>
      <w:r w:rsidR="00CE0E84" w:rsidRPr="00F833B4">
        <w:rPr>
          <w:lang w:val="ru-RU"/>
        </w:rPr>
        <w:t xml:space="preserve">% </w:t>
      </w:r>
      <w:r w:rsidR="00243C71" w:rsidRPr="00F833B4">
        <w:rPr>
          <w:lang w:val="ru-RU"/>
        </w:rPr>
        <w:t>общего объема</w:t>
      </w:r>
      <w:r w:rsidR="00CE0E84" w:rsidRPr="00F833B4">
        <w:rPr>
          <w:lang w:val="ru-RU"/>
        </w:rPr>
        <w:t xml:space="preserve"> </w:t>
      </w:r>
      <w:proofErr w:type="spellStart"/>
      <w:r w:rsidR="00CE0E84" w:rsidRPr="00F833B4">
        <w:rPr>
          <w:lang w:val="ru-RU"/>
        </w:rPr>
        <w:t>нетекущих</w:t>
      </w:r>
      <w:proofErr w:type="spellEnd"/>
      <w:r w:rsidR="00CE0E84" w:rsidRPr="00F833B4">
        <w:rPr>
          <w:lang w:val="ru-RU"/>
        </w:rPr>
        <w:t xml:space="preserve"> активов), "Нематериальные активы" на сумму </w:t>
      </w:r>
      <w:r w:rsidR="00243C71" w:rsidRPr="00F833B4">
        <w:rPr>
          <w:lang w:val="ru-RU"/>
        </w:rPr>
        <w:t>1</w:t>
      </w:r>
      <w:r w:rsidR="00CE0E84" w:rsidRPr="00F833B4">
        <w:rPr>
          <w:lang w:val="ru-RU"/>
        </w:rPr>
        <w:t>,</w:t>
      </w:r>
      <w:r w:rsidR="00243C71" w:rsidRPr="00F833B4">
        <w:rPr>
          <w:lang w:val="ru-RU"/>
        </w:rPr>
        <w:t>9</w:t>
      </w:r>
      <w:r w:rsidR="002D1BE1" w:rsidRPr="00F833B4">
        <w:rPr>
          <w:lang w:val="ru-RU"/>
        </w:rPr>
        <w:t xml:space="preserve"> млн. </w:t>
      </w:r>
      <w:r w:rsidRPr="00F833B4">
        <w:rPr>
          <w:lang w:val="ru-RU"/>
        </w:rPr>
        <w:t xml:space="preserve">швейцарских франков, или </w:t>
      </w:r>
      <w:r w:rsidR="00BA0062" w:rsidRPr="00F833B4">
        <w:rPr>
          <w:lang w:val="ru-RU"/>
        </w:rPr>
        <w:t>1,6</w:t>
      </w:r>
      <w:r w:rsidR="00CE0E84" w:rsidRPr="00F833B4">
        <w:rPr>
          <w:lang w:val="ru-RU"/>
        </w:rPr>
        <w:t>% от общего объема (в 201</w:t>
      </w:r>
      <w:r w:rsidR="00BA0062" w:rsidRPr="00F833B4">
        <w:rPr>
          <w:lang w:val="ru-RU"/>
        </w:rPr>
        <w:t>8</w:t>
      </w:r>
      <w:r w:rsidR="004D2F49" w:rsidRPr="00F833B4">
        <w:rPr>
          <w:lang w:val="ru-RU"/>
        </w:rPr>
        <w:t> г.</w:t>
      </w:r>
      <w:r w:rsidRPr="00F833B4">
        <w:rPr>
          <w:lang w:val="ru-RU"/>
        </w:rPr>
        <w:t> </w:t>
      </w:r>
      <w:r w:rsidR="00BA0062" w:rsidRPr="00F833B4">
        <w:rPr>
          <w:lang w:val="ru-RU"/>
        </w:rPr>
        <w:t>–</w:t>
      </w:r>
      <w:r w:rsidRPr="00F833B4">
        <w:rPr>
          <w:lang w:val="ru-RU"/>
        </w:rPr>
        <w:t xml:space="preserve"> </w:t>
      </w:r>
      <w:r w:rsidR="00BA0062" w:rsidRPr="00F833B4">
        <w:rPr>
          <w:lang w:val="ru-RU"/>
        </w:rPr>
        <w:t>2,1</w:t>
      </w:r>
      <w:r w:rsidR="002D1BE1" w:rsidRPr="00F833B4">
        <w:rPr>
          <w:lang w:val="ru-RU"/>
        </w:rPr>
        <w:t xml:space="preserve"> млн. </w:t>
      </w:r>
      <w:r w:rsidR="00CE0E84" w:rsidRPr="00F833B4">
        <w:rPr>
          <w:lang w:val="ru-RU"/>
        </w:rPr>
        <w:t>швейцарских франков</w:t>
      </w:r>
      <w:r w:rsidRPr="00F833B4">
        <w:rPr>
          <w:lang w:val="ru-RU"/>
        </w:rPr>
        <w:t>, или </w:t>
      </w:r>
      <w:r w:rsidR="00BA0062" w:rsidRPr="00F833B4">
        <w:rPr>
          <w:lang w:val="ru-RU"/>
        </w:rPr>
        <w:t>2,</w:t>
      </w:r>
      <w:r w:rsidRPr="00F833B4">
        <w:rPr>
          <w:lang w:val="ru-RU"/>
        </w:rPr>
        <w:t>1</w:t>
      </w:r>
      <w:r w:rsidR="00CE0E84" w:rsidRPr="00F833B4">
        <w:rPr>
          <w:lang w:val="ru-RU"/>
        </w:rPr>
        <w:t>%) и "Активы на этапе строительства"</w:t>
      </w:r>
      <w:r w:rsidRPr="00F833B4">
        <w:rPr>
          <w:lang w:val="ru-RU"/>
        </w:rPr>
        <w:t xml:space="preserve"> на сумму </w:t>
      </w:r>
      <w:r w:rsidR="0066239C" w:rsidRPr="00F833B4">
        <w:rPr>
          <w:lang w:val="ru-RU"/>
        </w:rPr>
        <w:t>5</w:t>
      </w:r>
      <w:r w:rsidRPr="00F833B4">
        <w:rPr>
          <w:lang w:val="ru-RU"/>
        </w:rPr>
        <w:t>,</w:t>
      </w:r>
      <w:r w:rsidR="0066239C" w:rsidRPr="00F833B4">
        <w:rPr>
          <w:lang w:val="ru-RU"/>
        </w:rPr>
        <w:t>2</w:t>
      </w:r>
      <w:r w:rsidR="002D1BE1" w:rsidRPr="00F833B4">
        <w:rPr>
          <w:lang w:val="ru-RU"/>
        </w:rPr>
        <w:t xml:space="preserve"> млн. </w:t>
      </w:r>
      <w:r w:rsidRPr="00F833B4">
        <w:rPr>
          <w:lang w:val="ru-RU"/>
        </w:rPr>
        <w:t>швейцарских франков (</w:t>
      </w:r>
      <w:r w:rsidR="00CE0E84" w:rsidRPr="00F833B4">
        <w:rPr>
          <w:lang w:val="ru-RU"/>
        </w:rPr>
        <w:t>в</w:t>
      </w:r>
      <w:r w:rsidR="00875388" w:rsidRPr="00F833B4">
        <w:rPr>
          <w:lang w:val="ru-RU"/>
        </w:rPr>
        <w:t> </w:t>
      </w:r>
      <w:r w:rsidR="00CE0E84" w:rsidRPr="00F833B4">
        <w:rPr>
          <w:lang w:val="ru-RU"/>
        </w:rPr>
        <w:t>2017 г</w:t>
      </w:r>
      <w:r w:rsidR="00BA0062" w:rsidRPr="00F833B4">
        <w:rPr>
          <w:lang w:val="ru-RU"/>
        </w:rPr>
        <w:t>.</w:t>
      </w:r>
      <w:r w:rsidR="00CE0E84" w:rsidRPr="00F833B4">
        <w:rPr>
          <w:lang w:val="ru-RU"/>
        </w:rPr>
        <w:t xml:space="preserve"> </w:t>
      </w:r>
      <w:r w:rsidR="00875388" w:rsidRPr="00F833B4">
        <w:rPr>
          <w:lang w:val="ru-RU"/>
        </w:rPr>
        <w:t>эта сумма</w:t>
      </w:r>
      <w:r w:rsidRPr="00F833B4">
        <w:rPr>
          <w:lang w:val="ru-RU"/>
        </w:rPr>
        <w:t xml:space="preserve"> </w:t>
      </w:r>
      <w:r w:rsidR="00CE0E84" w:rsidRPr="00F833B4">
        <w:rPr>
          <w:lang w:val="ru-RU"/>
        </w:rPr>
        <w:t>составлял</w:t>
      </w:r>
      <w:r w:rsidR="00875388" w:rsidRPr="00F833B4">
        <w:rPr>
          <w:lang w:val="ru-RU"/>
        </w:rPr>
        <w:t>а</w:t>
      </w:r>
      <w:r w:rsidR="00CE0E84" w:rsidRPr="00F833B4">
        <w:rPr>
          <w:lang w:val="ru-RU"/>
        </w:rPr>
        <w:t xml:space="preserve"> </w:t>
      </w:r>
      <w:r w:rsidR="0066239C" w:rsidRPr="00F833B4">
        <w:rPr>
          <w:lang w:val="ru-RU"/>
        </w:rPr>
        <w:t>2</w:t>
      </w:r>
      <w:r w:rsidR="00CE0E84" w:rsidRPr="00F833B4">
        <w:rPr>
          <w:lang w:val="ru-RU"/>
        </w:rPr>
        <w:t>,</w:t>
      </w:r>
      <w:r w:rsidR="0066239C" w:rsidRPr="00F833B4">
        <w:rPr>
          <w:lang w:val="ru-RU"/>
        </w:rPr>
        <w:t>3</w:t>
      </w:r>
      <w:r w:rsidR="002D1BE1" w:rsidRPr="00F833B4">
        <w:rPr>
          <w:lang w:val="ru-RU"/>
        </w:rPr>
        <w:t xml:space="preserve"> млн. </w:t>
      </w:r>
      <w:r w:rsidR="00CE0E84" w:rsidRPr="00F833B4">
        <w:rPr>
          <w:lang w:val="ru-RU"/>
        </w:rPr>
        <w:t>швейцарских франков</w:t>
      </w:r>
      <w:r w:rsidRPr="00F833B4">
        <w:rPr>
          <w:lang w:val="ru-RU"/>
        </w:rPr>
        <w:t>),</w:t>
      </w:r>
      <w:r w:rsidR="00CE0E84" w:rsidRPr="00F833B4">
        <w:rPr>
          <w:lang w:val="ru-RU"/>
        </w:rPr>
        <w:t xml:space="preserve"> или </w:t>
      </w:r>
      <w:r w:rsidR="0066239C" w:rsidRPr="00F833B4">
        <w:rPr>
          <w:lang w:val="ru-RU"/>
        </w:rPr>
        <w:t>4</w:t>
      </w:r>
      <w:r w:rsidR="00CE0E84" w:rsidRPr="00F833B4">
        <w:rPr>
          <w:lang w:val="ru-RU"/>
        </w:rPr>
        <w:t>,</w:t>
      </w:r>
      <w:r w:rsidRPr="00F833B4">
        <w:rPr>
          <w:lang w:val="ru-RU"/>
        </w:rPr>
        <w:t>3</w:t>
      </w:r>
      <w:r w:rsidR="00CE0E84" w:rsidRPr="00F833B4">
        <w:rPr>
          <w:lang w:val="ru-RU"/>
        </w:rPr>
        <w:t xml:space="preserve">% от общей суммы </w:t>
      </w:r>
      <w:proofErr w:type="spellStart"/>
      <w:r w:rsidR="00CE0E84" w:rsidRPr="00F833B4">
        <w:rPr>
          <w:lang w:val="ru-RU"/>
        </w:rPr>
        <w:t>не</w:t>
      </w:r>
      <w:r w:rsidR="00BA0062" w:rsidRPr="00F833B4">
        <w:rPr>
          <w:lang w:val="ru-RU"/>
        </w:rPr>
        <w:t>текущих</w:t>
      </w:r>
      <w:proofErr w:type="spellEnd"/>
      <w:r w:rsidR="00CE0E84" w:rsidRPr="00F833B4">
        <w:rPr>
          <w:lang w:val="ru-RU"/>
        </w:rPr>
        <w:t xml:space="preserve"> активов). Первые два подраздела показаны, соответственно, в Примечаниях 11 и 12 к Отчету о финансовой деятельности. В Примечании 13 показан подраздел </w:t>
      </w:r>
      <w:r w:rsidR="00565384" w:rsidRPr="00F833B4">
        <w:rPr>
          <w:lang w:val="ru-RU"/>
        </w:rPr>
        <w:t>"Активы на этапе строительства"</w:t>
      </w:r>
      <w:r w:rsidR="00CE0E84" w:rsidRPr="00F833B4">
        <w:rPr>
          <w:lang w:val="ru-RU"/>
        </w:rPr>
        <w:t>.</w:t>
      </w:r>
    </w:p>
    <w:p w14:paraId="1C0FF3A8" w14:textId="77777777" w:rsidR="00CE0E84" w:rsidRPr="00F833B4" w:rsidRDefault="00CE0E84" w:rsidP="000608BD">
      <w:pPr>
        <w:pStyle w:val="Heading2"/>
        <w:rPr>
          <w:lang w:val="ru-RU"/>
        </w:rPr>
      </w:pPr>
      <w:bookmarkStart w:id="153" w:name="_Toc358192833"/>
      <w:bookmarkStart w:id="154" w:name="_Toc398125318"/>
      <w:bookmarkStart w:id="155" w:name="_Toc398125797"/>
      <w:bookmarkStart w:id="156" w:name="_Toc398127090"/>
      <w:bookmarkStart w:id="157" w:name="_Toc452157306"/>
      <w:bookmarkStart w:id="158" w:name="_Toc482995175"/>
      <w:bookmarkStart w:id="159" w:name="_Toc522633565"/>
      <w:bookmarkStart w:id="160" w:name="_Toc56179554"/>
      <w:bookmarkStart w:id="161" w:name="_Toc56180373"/>
      <w:r w:rsidRPr="00F833B4">
        <w:rPr>
          <w:lang w:val="ru-RU"/>
        </w:rPr>
        <w:t>Материальные активы</w:t>
      </w:r>
      <w:bookmarkEnd w:id="153"/>
      <w:bookmarkEnd w:id="154"/>
      <w:bookmarkEnd w:id="155"/>
      <w:bookmarkEnd w:id="156"/>
      <w:bookmarkEnd w:id="157"/>
      <w:bookmarkEnd w:id="158"/>
      <w:bookmarkEnd w:id="159"/>
      <w:bookmarkEnd w:id="160"/>
      <w:bookmarkEnd w:id="161"/>
    </w:p>
    <w:p w14:paraId="2B03439B" w14:textId="71C03DDA" w:rsidR="00CE0E84" w:rsidRPr="00F833B4" w:rsidRDefault="005F7572" w:rsidP="001B28CF">
      <w:pPr>
        <w:rPr>
          <w:lang w:val="ru-RU"/>
        </w:rPr>
      </w:pPr>
      <w:bookmarkStart w:id="162" w:name="_Ref355125291"/>
      <w:r w:rsidRPr="00F833B4">
        <w:rPr>
          <w:lang w:val="ru-RU"/>
        </w:rPr>
        <w:t>26</w:t>
      </w:r>
      <w:r w:rsidR="00CE0E84" w:rsidRPr="00F833B4">
        <w:rPr>
          <w:lang w:val="ru-RU"/>
        </w:rPr>
        <w:tab/>
        <w:t xml:space="preserve">В этом разделе </w:t>
      </w:r>
      <w:r w:rsidR="001B28CF" w:rsidRPr="00F833B4">
        <w:rPr>
          <w:lang w:val="ru-RU"/>
        </w:rPr>
        <w:t>показана</w:t>
      </w:r>
      <w:r w:rsidR="00CE0E84" w:rsidRPr="00F833B4">
        <w:rPr>
          <w:lang w:val="ru-RU"/>
        </w:rPr>
        <w:t xml:space="preserve"> </w:t>
      </w:r>
      <w:r w:rsidR="001B28CF" w:rsidRPr="00F833B4">
        <w:rPr>
          <w:lang w:val="ru-RU"/>
        </w:rPr>
        <w:t>сумма</w:t>
      </w:r>
      <w:r w:rsidR="00CE0E84" w:rsidRPr="00F833B4">
        <w:rPr>
          <w:lang w:val="ru-RU"/>
        </w:rPr>
        <w:t xml:space="preserve"> в 9</w:t>
      </w:r>
      <w:r w:rsidRPr="00F833B4">
        <w:rPr>
          <w:lang w:val="ru-RU"/>
        </w:rPr>
        <w:t>2</w:t>
      </w:r>
      <w:r w:rsidR="00CE0E84" w:rsidRPr="00F833B4">
        <w:rPr>
          <w:lang w:val="ru-RU"/>
        </w:rPr>
        <w:t>,</w:t>
      </w:r>
      <w:r w:rsidRPr="00F833B4">
        <w:rPr>
          <w:lang w:val="ru-RU"/>
        </w:rPr>
        <w:t>7</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00CE0E84" w:rsidRPr="00F833B4">
        <w:rPr>
          <w:lang w:val="ru-RU"/>
        </w:rPr>
        <w:t>швейцарских франков, которая представля</w:t>
      </w:r>
      <w:r w:rsidR="001B28CF" w:rsidRPr="00F833B4">
        <w:rPr>
          <w:lang w:val="ru-RU"/>
        </w:rPr>
        <w:t>ет</w:t>
      </w:r>
      <w:r w:rsidR="00CE0E84" w:rsidRPr="00F833B4">
        <w:rPr>
          <w:lang w:val="ru-RU"/>
        </w:rPr>
        <w:t xml:space="preserve"> собой чистую стоимость по состоянию на 31</w:t>
      </w:r>
      <w:r w:rsidR="004D2F49" w:rsidRPr="00F833B4">
        <w:rPr>
          <w:lang w:val="ru-RU"/>
        </w:rPr>
        <w:t> декабря</w:t>
      </w:r>
      <w:r w:rsidR="00CE0E84" w:rsidRPr="00F833B4">
        <w:rPr>
          <w:lang w:val="ru-RU"/>
        </w:rPr>
        <w:t xml:space="preserve"> 201</w:t>
      </w:r>
      <w:r w:rsidRPr="00F833B4">
        <w:rPr>
          <w:lang w:val="ru-RU"/>
        </w:rPr>
        <w:t>9</w:t>
      </w:r>
      <w:r w:rsidR="004D2F49" w:rsidRPr="00F833B4">
        <w:rPr>
          <w:lang w:val="ru-RU"/>
        </w:rPr>
        <w:t> год</w:t>
      </w:r>
      <w:r w:rsidR="00CE0E84" w:rsidRPr="00F833B4">
        <w:rPr>
          <w:lang w:val="ru-RU"/>
        </w:rPr>
        <w:t>а капитализированных затрат за вычетом соответствующей амортизации</w:t>
      </w:r>
      <w:r w:rsidR="00565384" w:rsidRPr="00F833B4">
        <w:rPr>
          <w:lang w:val="ru-RU"/>
        </w:rPr>
        <w:t xml:space="preserve">. </w:t>
      </w:r>
      <w:r w:rsidR="00FA295D" w:rsidRPr="00F833B4">
        <w:rPr>
          <w:lang w:val="ru-RU"/>
        </w:rPr>
        <w:t>К основным категориям относятся</w:t>
      </w:r>
      <w:r w:rsidR="00CE0E84" w:rsidRPr="00F833B4">
        <w:rPr>
          <w:lang w:val="ru-RU"/>
        </w:rPr>
        <w:t xml:space="preserve"> здания</w:t>
      </w:r>
      <w:r w:rsidR="00FA295D" w:rsidRPr="00F833B4">
        <w:rPr>
          <w:lang w:val="ru-RU"/>
        </w:rPr>
        <w:t xml:space="preserve"> </w:t>
      </w:r>
      <w:r w:rsidR="00CE0E84" w:rsidRPr="00F833B4">
        <w:rPr>
          <w:lang w:val="ru-RU"/>
        </w:rPr>
        <w:t>(в 201</w:t>
      </w:r>
      <w:r w:rsidRPr="00F833B4">
        <w:rPr>
          <w:lang w:val="ru-RU"/>
        </w:rPr>
        <w:t>9</w:t>
      </w:r>
      <w:r w:rsidR="004D2F49" w:rsidRPr="00F833B4">
        <w:rPr>
          <w:lang w:val="ru-RU"/>
        </w:rPr>
        <w:t> г.</w:t>
      </w:r>
      <w:r w:rsidR="00CE0E84" w:rsidRPr="00F833B4">
        <w:rPr>
          <w:lang w:val="ru-RU"/>
        </w:rPr>
        <w:t xml:space="preserve"> были учтены </w:t>
      </w:r>
      <w:r w:rsidR="00565384" w:rsidRPr="00F833B4">
        <w:rPr>
          <w:lang w:val="ru-RU"/>
        </w:rPr>
        <w:t>по чистой стоимости в размере 9</w:t>
      </w:r>
      <w:r w:rsidRPr="00F833B4">
        <w:rPr>
          <w:lang w:val="ru-RU"/>
        </w:rPr>
        <w:t>1</w:t>
      </w:r>
      <w:r w:rsidR="00CE0E84" w:rsidRPr="00F833B4">
        <w:rPr>
          <w:lang w:val="ru-RU"/>
        </w:rPr>
        <w:t>,7</w:t>
      </w:r>
      <w:r w:rsidR="002D1BE1" w:rsidRPr="00F833B4">
        <w:rPr>
          <w:lang w:val="ru-RU"/>
        </w:rPr>
        <w:t xml:space="preserve"> млн. </w:t>
      </w:r>
      <w:r w:rsidR="00CE0E84" w:rsidRPr="00F833B4">
        <w:rPr>
          <w:lang w:val="ru-RU"/>
        </w:rPr>
        <w:t>швейцарских франков; в 201</w:t>
      </w:r>
      <w:r w:rsidRPr="00F833B4">
        <w:rPr>
          <w:lang w:val="ru-RU"/>
        </w:rPr>
        <w:t>8</w:t>
      </w:r>
      <w:r w:rsidR="004D2F49" w:rsidRPr="00F833B4">
        <w:rPr>
          <w:lang w:val="ru-RU"/>
        </w:rPr>
        <w:t> г.</w:t>
      </w:r>
      <w:r w:rsidR="00CE0E84" w:rsidRPr="00F833B4">
        <w:rPr>
          <w:lang w:val="ru-RU"/>
        </w:rPr>
        <w:t xml:space="preserve"> − </w:t>
      </w:r>
      <w:r w:rsidR="00565384" w:rsidRPr="00F833B4">
        <w:rPr>
          <w:lang w:val="ru-RU"/>
        </w:rPr>
        <w:t>9</w:t>
      </w:r>
      <w:r w:rsidRPr="00F833B4">
        <w:rPr>
          <w:lang w:val="ru-RU"/>
        </w:rPr>
        <w:t>4</w:t>
      </w:r>
      <w:r w:rsidR="00CE0E84" w:rsidRPr="00F833B4">
        <w:rPr>
          <w:lang w:val="ru-RU"/>
        </w:rPr>
        <w:t>,</w:t>
      </w:r>
      <w:r w:rsidR="00565384" w:rsidRPr="00F833B4">
        <w:rPr>
          <w:lang w:val="ru-RU"/>
        </w:rPr>
        <w:t>7</w:t>
      </w:r>
      <w:r w:rsidR="002D1BE1" w:rsidRPr="00F833B4">
        <w:rPr>
          <w:lang w:val="ru-RU"/>
        </w:rPr>
        <w:t xml:space="preserve"> млн. </w:t>
      </w:r>
      <w:r w:rsidR="00565384" w:rsidRPr="00F833B4">
        <w:rPr>
          <w:lang w:val="ru-RU"/>
        </w:rPr>
        <w:t>швейцарских франков) и</w:t>
      </w:r>
      <w:r w:rsidR="00CE0E84" w:rsidRPr="00F833B4">
        <w:rPr>
          <w:lang w:val="ru-RU"/>
        </w:rPr>
        <w:t xml:space="preserve"> </w:t>
      </w:r>
      <w:r w:rsidR="00497C35" w:rsidRPr="00F833B4">
        <w:rPr>
          <w:lang w:val="ru-RU"/>
        </w:rPr>
        <w:t>ИТ-</w:t>
      </w:r>
      <w:r w:rsidR="00CE0E84" w:rsidRPr="00F833B4">
        <w:rPr>
          <w:lang w:val="ru-RU"/>
        </w:rPr>
        <w:t>оборудовани</w:t>
      </w:r>
      <w:r w:rsidR="00FA295D" w:rsidRPr="00F833B4">
        <w:rPr>
          <w:lang w:val="ru-RU"/>
        </w:rPr>
        <w:t>е</w:t>
      </w:r>
      <w:r w:rsidR="00CE0E84" w:rsidRPr="00F833B4">
        <w:rPr>
          <w:lang w:val="ru-RU"/>
        </w:rPr>
        <w:t xml:space="preserve"> (</w:t>
      </w:r>
      <w:r w:rsidR="00FA295D" w:rsidRPr="00F833B4">
        <w:rPr>
          <w:lang w:val="ru-RU"/>
        </w:rPr>
        <w:t>в 201</w:t>
      </w:r>
      <w:r w:rsidRPr="00F833B4">
        <w:rPr>
          <w:lang w:val="ru-RU"/>
        </w:rPr>
        <w:t>9</w:t>
      </w:r>
      <w:r w:rsidR="004D2F49" w:rsidRPr="00F833B4">
        <w:rPr>
          <w:lang w:val="ru-RU"/>
        </w:rPr>
        <w:t> г.</w:t>
      </w:r>
      <w:r w:rsidR="00FA295D" w:rsidRPr="00F833B4">
        <w:rPr>
          <w:lang w:val="ru-RU"/>
        </w:rPr>
        <w:t xml:space="preserve"> учтен</w:t>
      </w:r>
      <w:r w:rsidR="001B28CF" w:rsidRPr="00F833B4">
        <w:rPr>
          <w:lang w:val="ru-RU"/>
        </w:rPr>
        <w:t>о</w:t>
      </w:r>
      <w:r w:rsidR="00FA295D" w:rsidRPr="00F833B4">
        <w:rPr>
          <w:lang w:val="ru-RU"/>
        </w:rPr>
        <w:t xml:space="preserve"> по чистой стоимости в размере </w:t>
      </w:r>
      <w:r w:rsidR="00565384" w:rsidRPr="00F833B4">
        <w:rPr>
          <w:lang w:val="ru-RU"/>
        </w:rPr>
        <w:t>0,</w:t>
      </w:r>
      <w:r w:rsidRPr="00F833B4">
        <w:rPr>
          <w:lang w:val="ru-RU"/>
        </w:rPr>
        <w:t>9</w:t>
      </w:r>
      <w:r w:rsidR="002D1BE1" w:rsidRPr="00F833B4">
        <w:rPr>
          <w:lang w:val="ru-RU"/>
        </w:rPr>
        <w:t xml:space="preserve"> млн. </w:t>
      </w:r>
      <w:r w:rsidR="00565384" w:rsidRPr="00F833B4">
        <w:rPr>
          <w:lang w:val="ru-RU"/>
        </w:rPr>
        <w:t xml:space="preserve">швейцарских франков, </w:t>
      </w:r>
      <w:r w:rsidR="00BA0062" w:rsidRPr="00F833B4">
        <w:rPr>
          <w:lang w:val="ru-RU"/>
        </w:rPr>
        <w:t>близко к показателю 2018 г.</w:t>
      </w:r>
      <w:r w:rsidR="00CE0E84" w:rsidRPr="00F833B4">
        <w:rPr>
          <w:lang w:val="ru-RU"/>
        </w:rPr>
        <w:t>). Это иллюстрир</w:t>
      </w:r>
      <w:r w:rsidR="00FA295D" w:rsidRPr="00F833B4">
        <w:rPr>
          <w:lang w:val="ru-RU"/>
        </w:rPr>
        <w:t>уется</w:t>
      </w:r>
      <w:r w:rsidR="00CE0E84" w:rsidRPr="00F833B4">
        <w:rPr>
          <w:lang w:val="ru-RU"/>
        </w:rPr>
        <w:t xml:space="preserve"> в Примечании</w:t>
      </w:r>
      <w:r w:rsidR="00FA295D" w:rsidRPr="00F833B4">
        <w:rPr>
          <w:lang w:val="ru-RU"/>
        </w:rPr>
        <w:t> </w:t>
      </w:r>
      <w:r w:rsidR="00CE0E84" w:rsidRPr="00F833B4">
        <w:rPr>
          <w:lang w:val="ru-RU"/>
        </w:rPr>
        <w:t>11 к Отчету о финансовой деятельности.</w:t>
      </w:r>
    </w:p>
    <w:bookmarkEnd w:id="162"/>
    <w:p w14:paraId="37456767" w14:textId="6E4A936D" w:rsidR="00CE0E84" w:rsidRPr="00F833B4" w:rsidRDefault="00565384" w:rsidP="00FA295D">
      <w:pPr>
        <w:rPr>
          <w:lang w:val="ru-RU"/>
        </w:rPr>
      </w:pPr>
      <w:r w:rsidRPr="00F833B4">
        <w:rPr>
          <w:lang w:val="ru-RU"/>
        </w:rPr>
        <w:t>2</w:t>
      </w:r>
      <w:r w:rsidR="005F7572" w:rsidRPr="00F833B4">
        <w:rPr>
          <w:lang w:val="ru-RU"/>
        </w:rPr>
        <w:t>7</w:t>
      </w:r>
      <w:r w:rsidR="00CE0E84" w:rsidRPr="00F833B4">
        <w:rPr>
          <w:lang w:val="ru-RU"/>
        </w:rPr>
        <w:tab/>
        <w:t>Согласно стандарту IPSAS</w:t>
      </w:r>
      <w:r w:rsidR="00FA295D" w:rsidRPr="00F833B4">
        <w:rPr>
          <w:lang w:val="ru-RU"/>
        </w:rPr>
        <w:t> </w:t>
      </w:r>
      <w:r w:rsidR="00CE0E84" w:rsidRPr="00F833B4">
        <w:rPr>
          <w:lang w:val="ru-RU"/>
        </w:rPr>
        <w:t xml:space="preserve">1, требуется, чтобы </w:t>
      </w:r>
      <w:r w:rsidR="00BA0062" w:rsidRPr="00F833B4">
        <w:rPr>
          <w:lang w:val="ru-RU"/>
        </w:rPr>
        <w:t xml:space="preserve">здания учитывались в качестве активов </w:t>
      </w:r>
      <w:r w:rsidR="00CE0E84" w:rsidRPr="00F833B4">
        <w:rPr>
          <w:lang w:val="ru-RU"/>
        </w:rPr>
        <w:t xml:space="preserve">в Отчете о финансовом положении. В стандарте IPSAS 17 отмечается, что при первоначальном учете должна указываться стоимость этих позиций или надежные данные по текущей стоимости. Амортизация систематически начисляется в течение срока полезного использования актива, а метод амортизации должен отражать модель, на основе которой, как ожидается, организация будет использовать будущие экономические выгоды от актива или потенциал услуг. Остаточную стоимость необходимо оценивать по крайней мере ежегодно, и она должна быть равна той сумме, которую организация могла бы сейчас получить, если бы данный актив уже достиг возраста и состояния, которые </w:t>
      </w:r>
      <w:r w:rsidR="00CE0E84" w:rsidRPr="00F833B4">
        <w:rPr>
          <w:lang w:val="ru-RU"/>
        </w:rPr>
        <w:lastRenderedPageBreak/>
        <w:t xml:space="preserve">ожидаются в конце срока его полезного использования. Земля и здания являются делимыми активами и учитываются отдельно, даже если они приобретены вместе. </w:t>
      </w:r>
    </w:p>
    <w:p w14:paraId="7C9CA8F0" w14:textId="77777777" w:rsidR="00CE0E84" w:rsidRPr="00F833B4" w:rsidRDefault="00565384" w:rsidP="00FA295D">
      <w:pPr>
        <w:rPr>
          <w:lang w:val="ru-RU"/>
        </w:rPr>
      </w:pPr>
      <w:r w:rsidRPr="00F833B4">
        <w:rPr>
          <w:lang w:val="ru-RU"/>
        </w:rPr>
        <w:t>2</w:t>
      </w:r>
      <w:r w:rsidR="005F7572" w:rsidRPr="00F833B4">
        <w:rPr>
          <w:lang w:val="ru-RU"/>
        </w:rPr>
        <w:t>8</w:t>
      </w:r>
      <w:r w:rsidR="00CE0E84" w:rsidRPr="00F833B4">
        <w:rPr>
          <w:lang w:val="ru-RU"/>
        </w:rPr>
        <w:tab/>
        <w:t>Согласно Приложению</w:t>
      </w:r>
      <w:r w:rsidR="00FA295D" w:rsidRPr="00F833B4">
        <w:rPr>
          <w:lang w:val="ru-RU"/>
        </w:rPr>
        <w:t> </w:t>
      </w:r>
      <w:r w:rsidR="00CE0E84" w:rsidRPr="00F833B4">
        <w:rPr>
          <w:lang w:val="ru-RU"/>
        </w:rPr>
        <w:t xml:space="preserve">II к Финансовому регламенту МСЭ Внешний аудитор должен высказать мнение по поводу того, что "при учете всех активов, пассивов, излишков и дефицитов средств применялись процедуры, которые Внешний аудитор считает удовлетворительными". </w:t>
      </w:r>
    </w:p>
    <w:p w14:paraId="210A0D2E" w14:textId="77777777" w:rsidR="00CE0E84" w:rsidRPr="00F833B4" w:rsidRDefault="00565384" w:rsidP="00CE0E84">
      <w:pPr>
        <w:rPr>
          <w:lang w:val="ru-RU"/>
        </w:rPr>
      </w:pPr>
      <w:r w:rsidRPr="00F833B4">
        <w:rPr>
          <w:lang w:val="ru-RU"/>
        </w:rPr>
        <w:t>2</w:t>
      </w:r>
      <w:r w:rsidR="005F7572" w:rsidRPr="00F833B4">
        <w:rPr>
          <w:lang w:val="ru-RU"/>
        </w:rPr>
        <w:t>9</w:t>
      </w:r>
      <w:r w:rsidR="00CE0E84" w:rsidRPr="00F833B4">
        <w:rPr>
          <w:lang w:val="ru-RU"/>
        </w:rPr>
        <w:tab/>
        <w:t>В Примечании 2 к Отчету о финансовой деятельности "Основные принципы бухгалтерского учета" в подпункте "Материальные активы" отмечается, что первоначальный учет зданий был произведен по "</w:t>
      </w:r>
      <w:r w:rsidR="00CE0E84" w:rsidRPr="00F833B4">
        <w:rPr>
          <w:i/>
          <w:lang w:val="ru-RU"/>
        </w:rPr>
        <w:t>фактической стоимости</w:t>
      </w:r>
      <w:r w:rsidR="00CE0E84" w:rsidRPr="00F833B4">
        <w:rPr>
          <w:lang w:val="ru-RU"/>
        </w:rPr>
        <w:t>" "</w:t>
      </w:r>
      <w:r w:rsidR="00CE0E84" w:rsidRPr="00F833B4">
        <w:rPr>
          <w:i/>
          <w:lang w:val="ru-RU"/>
        </w:rPr>
        <w:t>на основе оценки, проведенной внешней организацией</w:t>
      </w:r>
      <w:r w:rsidR="00CE0E84" w:rsidRPr="00F833B4">
        <w:rPr>
          <w:lang w:val="ru-RU"/>
        </w:rPr>
        <w:t>" для определения величины начального баланса согласно IPSAS. Эта величина считалась "стоимостью приобретения", а амортизация рассчитывалась на основе "</w:t>
      </w:r>
      <w:r w:rsidR="00CE0E84" w:rsidRPr="00F833B4">
        <w:rPr>
          <w:i/>
          <w:lang w:val="ru-RU"/>
        </w:rPr>
        <w:t>прогнозируемой продолжительности полезного использования</w:t>
      </w:r>
      <w:r w:rsidR="00CE0E84" w:rsidRPr="00F833B4">
        <w:rPr>
          <w:lang w:val="ru-RU"/>
        </w:rPr>
        <w:t>", которая составляет для сооружений 100 лет. При определении первоначальной стоимости зданий не учитывались земельные площади, на которые МСЭ имеет бесплатное "</w:t>
      </w:r>
      <w:r w:rsidR="00CE0E84" w:rsidRPr="00F833B4">
        <w:rPr>
          <w:i/>
          <w:lang w:val="ru-RU"/>
        </w:rPr>
        <w:t xml:space="preserve">право </w:t>
      </w:r>
      <w:proofErr w:type="spellStart"/>
      <w:r w:rsidR="00CE0E84" w:rsidRPr="00F833B4">
        <w:rPr>
          <w:i/>
          <w:lang w:val="ru-RU"/>
        </w:rPr>
        <w:t>суперфиция</w:t>
      </w:r>
      <w:proofErr w:type="spellEnd"/>
      <w:r w:rsidR="00CE0E84" w:rsidRPr="00F833B4">
        <w:rPr>
          <w:lang w:val="ru-RU"/>
        </w:rPr>
        <w:t xml:space="preserve">". </w:t>
      </w:r>
    </w:p>
    <w:p w14:paraId="19A85948" w14:textId="77777777" w:rsidR="00565384" w:rsidRPr="00F833B4" w:rsidRDefault="005F7572" w:rsidP="001B28CF">
      <w:pPr>
        <w:rPr>
          <w:lang w:val="ru-RU"/>
        </w:rPr>
      </w:pPr>
      <w:r w:rsidRPr="00F833B4">
        <w:rPr>
          <w:lang w:val="ru-RU"/>
        </w:rPr>
        <w:t>30</w:t>
      </w:r>
      <w:r w:rsidR="00565384" w:rsidRPr="00F833B4">
        <w:rPr>
          <w:lang w:val="ru-RU"/>
        </w:rPr>
        <w:tab/>
        <w:t xml:space="preserve">Швейцарская Конфедерация </w:t>
      </w:r>
      <w:r w:rsidR="00FA295D" w:rsidRPr="00F833B4">
        <w:rPr>
          <w:lang w:val="ru-RU"/>
        </w:rPr>
        <w:t>обеспечивает</w:t>
      </w:r>
      <w:r w:rsidR="00565384" w:rsidRPr="00F833B4">
        <w:rPr>
          <w:lang w:val="ru-RU"/>
        </w:rPr>
        <w:t xml:space="preserve"> финансирование строительства зданий для международных организаций через Фонд недвижимого имущества для международных организаций (ФИПОИ) в форме займа, предоставляемого на благоприятных условиях, а именно на период 50</w:t>
      </w:r>
      <w:r w:rsidR="001B28CF" w:rsidRPr="00F833B4">
        <w:rPr>
          <w:lang w:val="ru-RU"/>
        </w:rPr>
        <w:t> </w:t>
      </w:r>
      <w:r w:rsidR="00565384" w:rsidRPr="00F833B4">
        <w:rPr>
          <w:lang w:val="ru-RU"/>
        </w:rPr>
        <w:t xml:space="preserve">лет с процентной ставкой в размере 0%. </w:t>
      </w:r>
      <w:r w:rsidR="00FA295D" w:rsidRPr="00F833B4">
        <w:rPr>
          <w:lang w:val="ru-RU"/>
        </w:rPr>
        <w:t xml:space="preserve">Как уже отмечалось, </w:t>
      </w:r>
      <w:r w:rsidR="00FA295D" w:rsidRPr="00F833B4">
        <w:rPr>
          <w:color w:val="000000"/>
          <w:lang w:val="ru-RU"/>
        </w:rPr>
        <w:t xml:space="preserve">земельные площади предоставляются на бесплатной основе кантоном Женева с использованием "права </w:t>
      </w:r>
      <w:proofErr w:type="spellStart"/>
      <w:r w:rsidR="00FA295D" w:rsidRPr="00F833B4">
        <w:rPr>
          <w:color w:val="000000"/>
          <w:lang w:val="ru-RU"/>
        </w:rPr>
        <w:t>суперфиция</w:t>
      </w:r>
      <w:proofErr w:type="spellEnd"/>
      <w:r w:rsidR="00FA295D" w:rsidRPr="00F833B4">
        <w:rPr>
          <w:color w:val="000000"/>
          <w:lang w:val="ru-RU"/>
        </w:rPr>
        <w:t>".</w:t>
      </w:r>
      <w:r w:rsidR="00565384" w:rsidRPr="00F833B4">
        <w:rPr>
          <w:lang w:val="ru-RU"/>
        </w:rPr>
        <w:t xml:space="preserve"> </w:t>
      </w:r>
      <w:r w:rsidR="00155552" w:rsidRPr="00F833B4">
        <w:rPr>
          <w:color w:val="000000"/>
          <w:lang w:val="ru-RU"/>
        </w:rPr>
        <w:t>Объем займов из ФИПОИ показан в Примечании</w:t>
      </w:r>
      <w:r w:rsidR="00C619B3" w:rsidRPr="00F833B4">
        <w:rPr>
          <w:color w:val="000000"/>
          <w:lang w:val="ru-RU"/>
        </w:rPr>
        <w:t> </w:t>
      </w:r>
      <w:r w:rsidR="00155552" w:rsidRPr="00F833B4">
        <w:rPr>
          <w:color w:val="000000"/>
          <w:lang w:val="ru-RU"/>
        </w:rPr>
        <w:t>16 к Отчету о финансовой деятельности</w:t>
      </w:r>
      <w:r w:rsidR="00565384" w:rsidRPr="00F833B4">
        <w:rPr>
          <w:lang w:val="ru-RU"/>
        </w:rPr>
        <w:t xml:space="preserve">, </w:t>
      </w:r>
      <w:r w:rsidR="00155552" w:rsidRPr="00F833B4">
        <w:rPr>
          <w:lang w:val="ru-RU"/>
        </w:rPr>
        <w:t>в котором также указано, что</w:t>
      </w:r>
      <w:r w:rsidR="00155552" w:rsidRPr="00F833B4">
        <w:rPr>
          <w:lang w:val="ru-RU" w:eastAsia="fr-FR"/>
        </w:rPr>
        <w:t xml:space="preserve"> погашение ссуды, предоставленной для новых помещений, начнется </w:t>
      </w:r>
      <w:r w:rsidR="00155552" w:rsidRPr="00F833B4">
        <w:rPr>
          <w:lang w:val="ru-RU"/>
        </w:rPr>
        <w:t>только после успешной приемки нового здания в эксплуатацию, самый ранний срок которой – начало 2026 года</w:t>
      </w:r>
      <w:r w:rsidR="00155552" w:rsidRPr="00F833B4">
        <w:rPr>
          <w:lang w:val="ru-RU" w:eastAsia="fr-FR"/>
        </w:rPr>
        <w:t>.</w:t>
      </w:r>
    </w:p>
    <w:p w14:paraId="6A75E224" w14:textId="48DB34D1" w:rsidR="00CE0E84" w:rsidRPr="00F833B4" w:rsidRDefault="005F7572" w:rsidP="001B28CF">
      <w:pPr>
        <w:rPr>
          <w:lang w:val="ru-RU"/>
        </w:rPr>
      </w:pPr>
      <w:r w:rsidRPr="00F833B4">
        <w:rPr>
          <w:lang w:val="ru-RU"/>
        </w:rPr>
        <w:t>31</w:t>
      </w:r>
      <w:r w:rsidR="00CE0E84" w:rsidRPr="00F833B4">
        <w:rPr>
          <w:lang w:val="ru-RU"/>
        </w:rPr>
        <w:tab/>
        <w:t>В первый год действия нашего мандата мы выпустили рекомендацию</w:t>
      </w:r>
      <w:r w:rsidR="00C619B3" w:rsidRPr="00F833B4">
        <w:rPr>
          <w:lang w:val="ru-RU"/>
        </w:rPr>
        <w:t> </w:t>
      </w:r>
      <w:r w:rsidR="00CE0E84" w:rsidRPr="00F833B4">
        <w:rPr>
          <w:lang w:val="ru-RU"/>
        </w:rPr>
        <w:t xml:space="preserve">3/2012, касающуюся </w:t>
      </w:r>
      <w:r w:rsidR="00CE0E84" w:rsidRPr="00F833B4">
        <w:rPr>
          <w:color w:val="000000"/>
          <w:lang w:val="ru-RU"/>
        </w:rPr>
        <w:t>пересмотра Соглашения с принимающей страной</w:t>
      </w:r>
      <w:r w:rsidR="00CE0E84" w:rsidRPr="00F833B4">
        <w:rPr>
          <w:lang w:val="ru-RU"/>
        </w:rPr>
        <w:t xml:space="preserve">. Мы </w:t>
      </w:r>
      <w:r w:rsidR="00C619B3" w:rsidRPr="00F833B4">
        <w:rPr>
          <w:lang w:val="ru-RU"/>
        </w:rPr>
        <w:t>контролируем выполнение</w:t>
      </w:r>
      <w:r w:rsidR="00CE0E84" w:rsidRPr="00F833B4">
        <w:rPr>
          <w:lang w:val="ru-RU"/>
        </w:rPr>
        <w:t xml:space="preserve"> этой рекомендации: в 2017 году была создана Рабочая группа МСЭ/принимающей страны</w:t>
      </w:r>
      <w:r w:rsidR="00C619B3" w:rsidRPr="00F833B4">
        <w:rPr>
          <w:lang w:val="ru-RU"/>
        </w:rPr>
        <w:t xml:space="preserve"> в составе</w:t>
      </w:r>
      <w:r w:rsidR="00CE0E84" w:rsidRPr="00F833B4">
        <w:rPr>
          <w:lang w:val="ru-RU"/>
        </w:rPr>
        <w:t xml:space="preserve"> представител</w:t>
      </w:r>
      <w:r w:rsidR="00C619B3" w:rsidRPr="00F833B4">
        <w:rPr>
          <w:lang w:val="ru-RU"/>
        </w:rPr>
        <w:t>ей</w:t>
      </w:r>
      <w:r w:rsidR="00CE0E84" w:rsidRPr="00F833B4">
        <w:rPr>
          <w:lang w:val="ru-RU"/>
        </w:rPr>
        <w:t xml:space="preserve"> МСЭ, кантона Женева (землевладелец), Швейцарской Конфедерации и ФИПОИ, </w:t>
      </w:r>
      <w:r w:rsidR="00C619B3" w:rsidRPr="00F833B4">
        <w:rPr>
          <w:lang w:val="ru-RU"/>
        </w:rPr>
        <w:t xml:space="preserve">для того </w:t>
      </w:r>
      <w:r w:rsidR="00CE0E84" w:rsidRPr="00F833B4">
        <w:rPr>
          <w:lang w:val="ru-RU"/>
        </w:rPr>
        <w:t xml:space="preserve">чтобы обсудить конкретно вопрос "права </w:t>
      </w:r>
      <w:proofErr w:type="spellStart"/>
      <w:r w:rsidR="00CE0E84" w:rsidRPr="00F833B4">
        <w:rPr>
          <w:lang w:val="ru-RU"/>
        </w:rPr>
        <w:t>суперфиция</w:t>
      </w:r>
      <w:proofErr w:type="spellEnd"/>
      <w:r w:rsidR="00CE0E84" w:rsidRPr="00F833B4">
        <w:rPr>
          <w:lang w:val="ru-RU"/>
        </w:rPr>
        <w:t>"</w:t>
      </w:r>
      <w:r w:rsidR="00C619B3" w:rsidRPr="00F833B4">
        <w:rPr>
          <w:lang w:val="ru-RU"/>
        </w:rPr>
        <w:t xml:space="preserve">. По состоянию на </w:t>
      </w:r>
      <w:r w:rsidRPr="00F833B4">
        <w:rPr>
          <w:lang w:val="ru-RU"/>
        </w:rPr>
        <w:t>сентябрь</w:t>
      </w:r>
      <w:r w:rsidR="00C619B3" w:rsidRPr="00F833B4">
        <w:rPr>
          <w:lang w:val="ru-RU"/>
        </w:rPr>
        <w:t xml:space="preserve"> 20</w:t>
      </w:r>
      <w:r w:rsidRPr="00F833B4">
        <w:rPr>
          <w:lang w:val="ru-RU"/>
        </w:rPr>
        <w:t>20</w:t>
      </w:r>
      <w:r w:rsidR="00C619B3" w:rsidRPr="00F833B4">
        <w:rPr>
          <w:lang w:val="ru-RU"/>
        </w:rPr>
        <w:t> года нам было сообщено, что проект все еще находится на стадии обсуждения</w:t>
      </w:r>
      <w:r w:rsidR="00CE0E84" w:rsidRPr="00F833B4">
        <w:rPr>
          <w:lang w:val="ru-RU"/>
        </w:rPr>
        <w:t>,</w:t>
      </w:r>
      <w:r w:rsidR="00C619B3" w:rsidRPr="00F833B4">
        <w:rPr>
          <w:lang w:val="ru-RU"/>
        </w:rPr>
        <w:t xml:space="preserve"> и вопрос о сокращении </w:t>
      </w:r>
      <w:r w:rsidR="00F1704A" w:rsidRPr="00F833B4">
        <w:rPr>
          <w:lang w:val="ru-RU"/>
        </w:rPr>
        <w:t>предоставляемого срока</w:t>
      </w:r>
      <w:r w:rsidR="00C619B3" w:rsidRPr="00F833B4">
        <w:rPr>
          <w:lang w:val="ru-RU"/>
        </w:rPr>
        <w:t xml:space="preserve">, поставленный </w:t>
      </w:r>
      <w:r w:rsidR="001B28CF" w:rsidRPr="00F833B4">
        <w:rPr>
          <w:lang w:val="ru-RU"/>
        </w:rPr>
        <w:t>компетентными органами</w:t>
      </w:r>
      <w:r w:rsidR="00C619B3" w:rsidRPr="00F833B4">
        <w:rPr>
          <w:lang w:val="ru-RU"/>
        </w:rPr>
        <w:t xml:space="preserve"> Швейцарии, требует дальнейших переговоров</w:t>
      </w:r>
      <w:r w:rsidR="00CE0E84" w:rsidRPr="00F833B4">
        <w:rPr>
          <w:lang w:val="ru-RU"/>
        </w:rPr>
        <w:t xml:space="preserve">. </w:t>
      </w:r>
      <w:r w:rsidR="00C619B3" w:rsidRPr="00F833B4">
        <w:rPr>
          <w:lang w:val="ru-RU"/>
        </w:rPr>
        <w:t>По завершении</w:t>
      </w:r>
      <w:r w:rsidR="00CE0E84" w:rsidRPr="00F833B4">
        <w:rPr>
          <w:lang w:val="ru-RU"/>
        </w:rPr>
        <w:t xml:space="preserve"> подготовк</w:t>
      </w:r>
      <w:r w:rsidR="00C619B3" w:rsidRPr="00F833B4">
        <w:rPr>
          <w:lang w:val="ru-RU"/>
        </w:rPr>
        <w:t>и</w:t>
      </w:r>
      <w:r w:rsidR="00CE0E84" w:rsidRPr="00F833B4">
        <w:rPr>
          <w:lang w:val="ru-RU"/>
        </w:rPr>
        <w:t xml:space="preserve"> данного соглашения следует соответствующим образом скорректировать остаточн</w:t>
      </w:r>
      <w:r w:rsidR="009D033C" w:rsidRPr="00F833B4">
        <w:rPr>
          <w:lang w:val="ru-RU"/>
        </w:rPr>
        <w:t>ые</w:t>
      </w:r>
      <w:r w:rsidR="00CE0E84" w:rsidRPr="00F833B4">
        <w:rPr>
          <w:lang w:val="ru-RU"/>
        </w:rPr>
        <w:t xml:space="preserve"> балансов</w:t>
      </w:r>
      <w:r w:rsidR="009D033C" w:rsidRPr="00F833B4">
        <w:rPr>
          <w:lang w:val="ru-RU"/>
        </w:rPr>
        <w:t>ые</w:t>
      </w:r>
      <w:r w:rsidR="00CE0E84" w:rsidRPr="00F833B4">
        <w:rPr>
          <w:lang w:val="ru-RU"/>
        </w:rPr>
        <w:t xml:space="preserve"> стоимост</w:t>
      </w:r>
      <w:r w:rsidR="009D033C" w:rsidRPr="00F833B4">
        <w:rPr>
          <w:lang w:val="ru-RU"/>
        </w:rPr>
        <w:t>и</w:t>
      </w:r>
      <w:r w:rsidR="00CE0E84" w:rsidRPr="00F833B4">
        <w:rPr>
          <w:lang w:val="ru-RU"/>
        </w:rPr>
        <w:t>.</w:t>
      </w:r>
    </w:p>
    <w:p w14:paraId="477167C1" w14:textId="557E734E" w:rsidR="00CE0E84" w:rsidRPr="00F833B4" w:rsidRDefault="00565384" w:rsidP="00824C3F">
      <w:pPr>
        <w:rPr>
          <w:lang w:val="ru-RU"/>
        </w:rPr>
      </w:pPr>
      <w:r w:rsidRPr="00F833B4">
        <w:rPr>
          <w:lang w:val="ru-RU"/>
        </w:rPr>
        <w:t>3</w:t>
      </w:r>
      <w:r w:rsidR="005F7572" w:rsidRPr="00F833B4">
        <w:rPr>
          <w:lang w:val="ru-RU"/>
        </w:rPr>
        <w:t>2</w:t>
      </w:r>
      <w:r w:rsidR="00CE0E84" w:rsidRPr="00F833B4">
        <w:rPr>
          <w:lang w:val="ru-RU"/>
        </w:rPr>
        <w:tab/>
      </w:r>
      <w:r w:rsidR="00F01F2A" w:rsidRPr="00F833B4">
        <w:rPr>
          <w:lang w:val="ru-RU"/>
        </w:rPr>
        <w:t>Как указано в Примечании </w:t>
      </w:r>
      <w:r w:rsidRPr="00F833B4">
        <w:rPr>
          <w:lang w:val="ru-RU"/>
        </w:rPr>
        <w:t xml:space="preserve">13, </w:t>
      </w:r>
      <w:r w:rsidR="00F01F2A" w:rsidRPr="00F833B4">
        <w:rPr>
          <w:lang w:val="ru-RU"/>
        </w:rPr>
        <w:t>в</w:t>
      </w:r>
      <w:r w:rsidRPr="00F833B4">
        <w:rPr>
          <w:lang w:val="ru-RU"/>
        </w:rPr>
        <w:t xml:space="preserve"> 201</w:t>
      </w:r>
      <w:r w:rsidR="005F7572" w:rsidRPr="00F833B4">
        <w:rPr>
          <w:lang w:val="ru-RU"/>
        </w:rPr>
        <w:t>9</w:t>
      </w:r>
      <w:r w:rsidR="00F01F2A" w:rsidRPr="00F833B4">
        <w:rPr>
          <w:lang w:val="ru-RU"/>
        </w:rPr>
        <w:t> году руководство приняло решение об отдельном представлении информации</w:t>
      </w:r>
      <w:r w:rsidRPr="00F833B4">
        <w:rPr>
          <w:lang w:val="ru-RU"/>
        </w:rPr>
        <w:t xml:space="preserve"> </w:t>
      </w:r>
      <w:r w:rsidR="00824C3F" w:rsidRPr="00F833B4">
        <w:rPr>
          <w:lang w:val="ru-RU"/>
        </w:rPr>
        <w:t>о стоимости активов</w:t>
      </w:r>
      <w:r w:rsidRPr="00F833B4">
        <w:rPr>
          <w:lang w:val="ru-RU"/>
        </w:rPr>
        <w:t xml:space="preserve"> (</w:t>
      </w:r>
      <w:r w:rsidR="005F7572" w:rsidRPr="00F833B4">
        <w:rPr>
          <w:lang w:val="ru-RU"/>
        </w:rPr>
        <w:t>1 242</w:t>
      </w:r>
      <w:r w:rsidR="00F01F2A" w:rsidRPr="00F833B4">
        <w:rPr>
          <w:lang w:val="ru-RU"/>
        </w:rPr>
        <w:t> </w:t>
      </w:r>
      <w:r w:rsidR="005F7572" w:rsidRPr="00F833B4">
        <w:rPr>
          <w:lang w:val="ru-RU"/>
        </w:rPr>
        <w:t>000</w:t>
      </w:r>
      <w:r w:rsidR="005B75DC" w:rsidRPr="00F833B4">
        <w:rPr>
          <w:lang w:val="ru-RU"/>
        </w:rPr>
        <w:t> </w:t>
      </w:r>
      <w:r w:rsidR="00F01F2A" w:rsidRPr="00F833B4">
        <w:rPr>
          <w:lang w:val="ru-RU"/>
        </w:rPr>
        <w:t>швейцарских франков</w:t>
      </w:r>
      <w:r w:rsidRPr="00F833B4">
        <w:rPr>
          <w:lang w:val="ru-RU"/>
        </w:rPr>
        <w:t xml:space="preserve">) </w:t>
      </w:r>
      <w:r w:rsidR="00F01F2A" w:rsidRPr="00F833B4">
        <w:rPr>
          <w:lang w:val="ru-RU"/>
        </w:rPr>
        <w:t xml:space="preserve">от </w:t>
      </w:r>
      <w:r w:rsidR="00824C3F" w:rsidRPr="00F833B4">
        <w:rPr>
          <w:lang w:val="ru-RU"/>
        </w:rPr>
        <w:t>активов</w:t>
      </w:r>
      <w:r w:rsidR="00F01F2A" w:rsidRPr="00F833B4">
        <w:rPr>
          <w:lang w:val="ru-RU"/>
        </w:rPr>
        <w:t>, относящихся к здани</w:t>
      </w:r>
      <w:r w:rsidR="00497C35" w:rsidRPr="00F833B4">
        <w:rPr>
          <w:lang w:val="ru-RU"/>
        </w:rPr>
        <w:t>ям</w:t>
      </w:r>
      <w:r w:rsidR="00F01F2A" w:rsidRPr="00F833B4">
        <w:rPr>
          <w:lang w:val="ru-RU"/>
        </w:rPr>
        <w:t xml:space="preserve"> на этапе строительства</w:t>
      </w:r>
      <w:r w:rsidRPr="00F833B4">
        <w:rPr>
          <w:lang w:val="ru-RU"/>
        </w:rPr>
        <w:t xml:space="preserve"> (</w:t>
      </w:r>
      <w:r w:rsidR="005F7572" w:rsidRPr="00F833B4">
        <w:rPr>
          <w:lang w:val="ru-RU"/>
        </w:rPr>
        <w:t>3</w:t>
      </w:r>
      <w:r w:rsidR="00F01F2A" w:rsidRPr="00F833B4">
        <w:rPr>
          <w:lang w:val="ru-RU"/>
        </w:rPr>
        <w:t> </w:t>
      </w:r>
      <w:r w:rsidR="005F7572" w:rsidRPr="00F833B4">
        <w:rPr>
          <w:lang w:val="ru-RU"/>
        </w:rPr>
        <w:t>948</w:t>
      </w:r>
      <w:r w:rsidR="00F01F2A" w:rsidRPr="00F833B4">
        <w:rPr>
          <w:lang w:val="ru-RU"/>
        </w:rPr>
        <w:t> 000 швейцарских франков</w:t>
      </w:r>
      <w:r w:rsidRPr="00F833B4">
        <w:rPr>
          <w:lang w:val="ru-RU"/>
        </w:rPr>
        <w:t>)</w:t>
      </w:r>
      <w:r w:rsidR="00824C3F" w:rsidRPr="00F833B4">
        <w:rPr>
          <w:lang w:val="ru-RU"/>
        </w:rPr>
        <w:t>,</w:t>
      </w:r>
      <w:r w:rsidRPr="00F833B4">
        <w:rPr>
          <w:lang w:val="ru-RU"/>
        </w:rPr>
        <w:t xml:space="preserve"> </w:t>
      </w:r>
      <w:r w:rsidR="00FD44B9" w:rsidRPr="00F833B4">
        <w:rPr>
          <w:i/>
          <w:iCs/>
          <w:lang w:val="ru-RU"/>
        </w:rPr>
        <w:t>"в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r w:rsidRPr="00F833B4">
        <w:rPr>
          <w:lang w:val="ru-RU"/>
        </w:rPr>
        <w:t>.</w:t>
      </w:r>
    </w:p>
    <w:p w14:paraId="64A6276F" w14:textId="77777777" w:rsidR="00CE0E84" w:rsidRPr="00F833B4" w:rsidRDefault="00CE0E84" w:rsidP="000608BD">
      <w:pPr>
        <w:pStyle w:val="Heading3"/>
        <w:rPr>
          <w:i/>
          <w:iCs/>
          <w:lang w:val="ru-RU"/>
        </w:rPr>
      </w:pPr>
      <w:bookmarkStart w:id="163" w:name="_Toc517093865"/>
      <w:bookmarkStart w:id="164" w:name="_Toc522633566"/>
      <w:bookmarkStart w:id="165" w:name="_Toc56180374"/>
      <w:r w:rsidRPr="00F833B4">
        <w:rPr>
          <w:i/>
          <w:iCs/>
          <w:lang w:val="ru-RU"/>
        </w:rPr>
        <w:t>Здания штаб-квартиры Союза</w:t>
      </w:r>
      <w:bookmarkEnd w:id="163"/>
      <w:bookmarkEnd w:id="164"/>
      <w:bookmarkEnd w:id="165"/>
    </w:p>
    <w:p w14:paraId="5543C2BC" w14:textId="77777777" w:rsidR="00FD44B9" w:rsidRPr="00F833B4" w:rsidRDefault="00FD44B9" w:rsidP="00A57BE0">
      <w:pPr>
        <w:rPr>
          <w:lang w:val="ru-RU"/>
        </w:rPr>
      </w:pPr>
      <w:r w:rsidRPr="00F833B4">
        <w:rPr>
          <w:lang w:val="ru-RU"/>
        </w:rPr>
        <w:t>3</w:t>
      </w:r>
      <w:r w:rsidR="000E2BE6" w:rsidRPr="00F833B4">
        <w:rPr>
          <w:lang w:val="ru-RU"/>
        </w:rPr>
        <w:t>3</w:t>
      </w:r>
      <w:r w:rsidRPr="00F833B4">
        <w:rPr>
          <w:lang w:val="ru-RU"/>
        </w:rPr>
        <w:tab/>
      </w:r>
      <w:r w:rsidR="00824C3F" w:rsidRPr="00F833B4">
        <w:rPr>
          <w:lang w:val="ru-RU"/>
        </w:rPr>
        <w:t>Приняв Резолюцию </w:t>
      </w:r>
      <w:r w:rsidRPr="00F833B4">
        <w:rPr>
          <w:lang w:val="ru-RU"/>
        </w:rPr>
        <w:t xml:space="preserve">194, </w:t>
      </w:r>
      <w:r w:rsidR="00824C3F" w:rsidRPr="00F833B4">
        <w:rPr>
          <w:lang w:val="ru-RU"/>
        </w:rPr>
        <w:t>Полномочная конференция МСЭ, проходившая в Пусане</w:t>
      </w:r>
      <w:r w:rsidR="00A57BE0" w:rsidRPr="00F833B4">
        <w:rPr>
          <w:lang w:val="ru-RU"/>
        </w:rPr>
        <w:t xml:space="preserve"> в 2014 году</w:t>
      </w:r>
      <w:r w:rsidR="00824C3F" w:rsidRPr="00F833B4">
        <w:rPr>
          <w:lang w:val="ru-RU"/>
        </w:rPr>
        <w:t>, уполномочила Совет создать Рабочую группу Совета по вариантам помещений штаб-квартиры Союза в долгосрочной перспективе (РГС-ПШК)</w:t>
      </w:r>
      <w:r w:rsidRPr="00F833B4">
        <w:rPr>
          <w:lang w:val="ru-RU"/>
        </w:rPr>
        <w:t xml:space="preserve">. </w:t>
      </w:r>
      <w:r w:rsidR="00824C3F" w:rsidRPr="00F833B4">
        <w:rPr>
          <w:lang w:val="ru-RU"/>
        </w:rPr>
        <w:t>Результаты работы этой РГС были представлены Совету в</w:t>
      </w:r>
      <w:r w:rsidRPr="00F833B4">
        <w:rPr>
          <w:lang w:val="ru-RU"/>
        </w:rPr>
        <w:t xml:space="preserve"> 2016</w:t>
      </w:r>
      <w:r w:rsidR="00824C3F" w:rsidRPr="00F833B4">
        <w:rPr>
          <w:lang w:val="ru-RU"/>
        </w:rPr>
        <w:t> году</w:t>
      </w:r>
      <w:r w:rsidRPr="00F833B4">
        <w:rPr>
          <w:lang w:val="ru-RU"/>
        </w:rPr>
        <w:t>.</w:t>
      </w:r>
    </w:p>
    <w:p w14:paraId="23929857" w14:textId="47837530" w:rsidR="00CE0E84" w:rsidRPr="00F833B4" w:rsidRDefault="000E2BE6" w:rsidP="009D1C7C">
      <w:pPr>
        <w:rPr>
          <w:lang w:val="ru-RU"/>
        </w:rPr>
      </w:pPr>
      <w:r w:rsidRPr="00F833B4">
        <w:rPr>
          <w:lang w:val="ru-RU"/>
        </w:rPr>
        <w:t>34</w:t>
      </w:r>
      <w:r w:rsidR="00CE0E84" w:rsidRPr="00F833B4">
        <w:rPr>
          <w:lang w:val="ru-RU"/>
        </w:rPr>
        <w:tab/>
      </w:r>
      <w:r w:rsidR="005B75DC" w:rsidRPr="00F833B4">
        <w:rPr>
          <w:lang w:val="ru-RU"/>
        </w:rPr>
        <w:t>В</w:t>
      </w:r>
      <w:r w:rsidR="00CE0E84" w:rsidRPr="00F833B4">
        <w:rPr>
          <w:lang w:val="ru-RU"/>
        </w:rPr>
        <w:t xml:space="preserve"> Решении 588</w:t>
      </w:r>
      <w:r w:rsidR="004E4851" w:rsidRPr="00F833B4">
        <w:rPr>
          <w:lang w:val="ru-RU"/>
        </w:rPr>
        <w:t>, принятом</w:t>
      </w:r>
      <w:r w:rsidR="00CE0E84" w:rsidRPr="00F833B4">
        <w:rPr>
          <w:lang w:val="ru-RU"/>
        </w:rPr>
        <w:t xml:space="preserve"> 10 июня 2016 года</w:t>
      </w:r>
      <w:r w:rsidR="004E4851" w:rsidRPr="00F833B4">
        <w:rPr>
          <w:lang w:val="ru-RU"/>
        </w:rPr>
        <w:t>,</w:t>
      </w:r>
      <w:r w:rsidR="00CE0E84" w:rsidRPr="00F833B4">
        <w:rPr>
          <w:lang w:val="ru-RU"/>
        </w:rPr>
        <w:t xml:space="preserve"> </w:t>
      </w:r>
      <w:r w:rsidR="005B75DC" w:rsidRPr="00F833B4">
        <w:rPr>
          <w:lang w:val="ru-RU"/>
        </w:rPr>
        <w:t xml:space="preserve">Совет МСЭ 2016 года </w:t>
      </w:r>
      <w:r w:rsidR="00CE0E84" w:rsidRPr="00F833B4">
        <w:rPr>
          <w:lang w:val="ru-RU"/>
        </w:rPr>
        <w:t>утвердил замену здания "</w:t>
      </w:r>
      <w:proofErr w:type="spellStart"/>
      <w:r w:rsidR="00CE0E84" w:rsidRPr="00F833B4">
        <w:rPr>
          <w:lang w:val="ru-RU"/>
        </w:rPr>
        <w:t>Варембе</w:t>
      </w:r>
      <w:proofErr w:type="spellEnd"/>
      <w:r w:rsidR="00CE0E84" w:rsidRPr="00F833B4">
        <w:rPr>
          <w:lang w:val="ru-RU"/>
        </w:rPr>
        <w:t xml:space="preserve">" новым зданием, в котором также разместятся </w:t>
      </w:r>
      <w:r w:rsidR="00925695" w:rsidRPr="00F833B4">
        <w:rPr>
          <w:lang w:val="ru-RU"/>
        </w:rPr>
        <w:t xml:space="preserve">служебные и иные функциональные помещения </w:t>
      </w:r>
      <w:r w:rsidR="00CE0E84" w:rsidRPr="00F833B4">
        <w:rPr>
          <w:lang w:val="ru-RU"/>
        </w:rPr>
        <w:t xml:space="preserve">здания "Башня", </w:t>
      </w:r>
      <w:r w:rsidR="009D1C7C" w:rsidRPr="00F833B4">
        <w:rPr>
          <w:lang w:val="ru-RU"/>
        </w:rPr>
        <w:t xml:space="preserve">и </w:t>
      </w:r>
      <w:r w:rsidR="00CE0E84" w:rsidRPr="00F833B4">
        <w:rPr>
          <w:lang w:val="ru-RU"/>
        </w:rPr>
        <w:t xml:space="preserve">сохранение и </w:t>
      </w:r>
      <w:r w:rsidR="009D1C7C" w:rsidRPr="00F833B4">
        <w:rPr>
          <w:lang w:val="ru-RU"/>
        </w:rPr>
        <w:t>переоборудование</w:t>
      </w:r>
      <w:r w:rsidR="00CE0E84" w:rsidRPr="00F833B4">
        <w:rPr>
          <w:lang w:val="ru-RU"/>
        </w:rPr>
        <w:t xml:space="preserve"> здания "</w:t>
      </w:r>
      <w:proofErr w:type="spellStart"/>
      <w:r w:rsidR="00CE0E84" w:rsidRPr="00F833B4">
        <w:rPr>
          <w:lang w:val="ru-RU"/>
        </w:rPr>
        <w:t>Монбрийан</w:t>
      </w:r>
      <w:proofErr w:type="spellEnd"/>
      <w:r w:rsidR="00CE0E84" w:rsidRPr="00F833B4">
        <w:rPr>
          <w:lang w:val="ru-RU"/>
        </w:rPr>
        <w:t>"; эта мера была сочтена наиболее экономически эффективной, при условии успешной продажи здания "Башня".</w:t>
      </w:r>
      <w:r w:rsidR="00FD44B9" w:rsidRPr="00F833B4">
        <w:rPr>
          <w:lang w:val="ru-RU"/>
        </w:rPr>
        <w:t xml:space="preserve"> </w:t>
      </w:r>
      <w:r w:rsidR="004E4851" w:rsidRPr="00F833B4">
        <w:rPr>
          <w:lang w:val="ru-RU"/>
        </w:rPr>
        <w:t xml:space="preserve">Была создана </w:t>
      </w:r>
      <w:r w:rsidR="004E4851" w:rsidRPr="00F833B4">
        <w:rPr>
          <w:color w:val="000000"/>
          <w:lang w:val="ru-RU"/>
        </w:rPr>
        <w:t>Консультативная группа Государств-Членов (КГГЧ)</w:t>
      </w:r>
      <w:r w:rsidR="00FD44B9" w:rsidRPr="00F833B4">
        <w:rPr>
          <w:lang w:val="ru-RU"/>
        </w:rPr>
        <w:t>.</w:t>
      </w:r>
    </w:p>
    <w:p w14:paraId="49EB069D" w14:textId="77777777" w:rsidR="00FD44B9" w:rsidRPr="00F833B4" w:rsidRDefault="00FD44B9" w:rsidP="00FD57CA">
      <w:pPr>
        <w:rPr>
          <w:lang w:val="ru-RU"/>
        </w:rPr>
      </w:pPr>
      <w:r w:rsidRPr="00F833B4">
        <w:rPr>
          <w:lang w:val="ru-RU"/>
        </w:rPr>
        <w:t>3</w:t>
      </w:r>
      <w:r w:rsidR="000E2BE6" w:rsidRPr="00F833B4">
        <w:rPr>
          <w:lang w:val="ru-RU"/>
        </w:rPr>
        <w:t>5</w:t>
      </w:r>
      <w:r w:rsidRPr="00F833B4">
        <w:rPr>
          <w:lang w:val="ru-RU"/>
        </w:rPr>
        <w:tab/>
      </w:r>
      <w:r w:rsidR="009D1C7C" w:rsidRPr="00F833B4">
        <w:rPr>
          <w:lang w:val="ru-RU"/>
        </w:rPr>
        <w:t>В Резолюции </w:t>
      </w:r>
      <w:r w:rsidRPr="00F833B4">
        <w:rPr>
          <w:lang w:val="ru-RU"/>
        </w:rPr>
        <w:t xml:space="preserve">212, </w:t>
      </w:r>
      <w:r w:rsidR="009D1C7C" w:rsidRPr="00F833B4">
        <w:rPr>
          <w:lang w:val="ru-RU"/>
        </w:rPr>
        <w:t>принятой ПК в Дубае в</w:t>
      </w:r>
      <w:r w:rsidRPr="00F833B4">
        <w:rPr>
          <w:lang w:val="ru-RU"/>
        </w:rPr>
        <w:t xml:space="preserve"> 2018</w:t>
      </w:r>
      <w:r w:rsidR="009D1C7C" w:rsidRPr="00F833B4">
        <w:rPr>
          <w:lang w:val="ru-RU"/>
        </w:rPr>
        <w:t> году</w:t>
      </w:r>
      <w:r w:rsidRPr="00F833B4">
        <w:rPr>
          <w:lang w:val="ru-RU"/>
        </w:rPr>
        <w:t xml:space="preserve">, </w:t>
      </w:r>
      <w:r w:rsidR="009D1C7C" w:rsidRPr="00F833B4">
        <w:rPr>
          <w:lang w:val="ru-RU"/>
        </w:rPr>
        <w:t xml:space="preserve">была признана необходимость привлечения Государств − Членов МСЭ к принятию решений, касающихся строительства будущей </w:t>
      </w:r>
      <w:r w:rsidR="009D1C7C" w:rsidRPr="00F833B4">
        <w:rPr>
          <w:lang w:val="ru-RU"/>
        </w:rPr>
        <w:lastRenderedPageBreak/>
        <w:t>штаб-квартиры МСЭ, и подтверждено, что проект будет финансироваться в первую очередь за счет беспроцентной ссуды в</w:t>
      </w:r>
      <w:r w:rsidRPr="00F833B4">
        <w:rPr>
          <w:lang w:val="ru-RU"/>
        </w:rPr>
        <w:t xml:space="preserve"> 150</w:t>
      </w:r>
      <w:r w:rsidR="002D1BE1" w:rsidRPr="00F833B4">
        <w:rPr>
          <w:lang w:val="ru-RU"/>
        </w:rPr>
        <w:t xml:space="preserve"> млн. </w:t>
      </w:r>
      <w:r w:rsidR="009D1C7C" w:rsidRPr="00F833B4">
        <w:rPr>
          <w:lang w:val="ru-RU"/>
        </w:rPr>
        <w:t>швейцарских франков, которую предоставляет принимающая страна</w:t>
      </w:r>
      <w:r w:rsidRPr="00F833B4">
        <w:rPr>
          <w:lang w:val="ru-RU"/>
        </w:rPr>
        <w:t xml:space="preserve"> (</w:t>
      </w:r>
      <w:r w:rsidR="009D1C7C" w:rsidRPr="00F833B4">
        <w:rPr>
          <w:lang w:val="ru-RU"/>
        </w:rPr>
        <w:t>при том что размер этой ссуды не превысит указанного значения</w:t>
      </w:r>
      <w:r w:rsidRPr="00F833B4">
        <w:rPr>
          <w:lang w:val="ru-RU"/>
        </w:rPr>
        <w:t>)</w:t>
      </w:r>
      <w:r w:rsidR="009D1C7C" w:rsidRPr="00F833B4">
        <w:rPr>
          <w:lang w:val="ru-RU"/>
        </w:rPr>
        <w:t>, а также, что проект может дополнительно финансироваться за счет спонсорской поддержки и пожертвований и из средств временного фонда, учрежденного Советом</w:t>
      </w:r>
      <w:r w:rsidRPr="00F833B4">
        <w:rPr>
          <w:lang w:val="ru-RU"/>
        </w:rPr>
        <w:t xml:space="preserve">. </w:t>
      </w:r>
      <w:r w:rsidR="00FD57CA" w:rsidRPr="00F833B4">
        <w:rPr>
          <w:lang w:val="ru-RU"/>
        </w:rPr>
        <w:t>Также была подтверждена КГГЧ, круг ведения которой предусматривает рассмотрение хода осуществления проекта и предоставление руководящих указаний относительно масштаба, стоимости и сроков реализации проекта.</w:t>
      </w:r>
    </w:p>
    <w:p w14:paraId="58699A0A" w14:textId="322C6EDE" w:rsidR="00FD44B9" w:rsidRPr="00F833B4" w:rsidRDefault="00FD44B9" w:rsidP="00570C03">
      <w:pPr>
        <w:rPr>
          <w:lang w:val="ru-RU"/>
        </w:rPr>
      </w:pPr>
      <w:r w:rsidRPr="00F833B4">
        <w:rPr>
          <w:lang w:val="ru-RU"/>
        </w:rPr>
        <w:t>3</w:t>
      </w:r>
      <w:r w:rsidR="000E2BE6" w:rsidRPr="00F833B4">
        <w:rPr>
          <w:lang w:val="ru-RU"/>
        </w:rPr>
        <w:t>6</w:t>
      </w:r>
      <w:r w:rsidRPr="00F833B4">
        <w:rPr>
          <w:lang w:val="ru-RU"/>
        </w:rPr>
        <w:tab/>
      </w:r>
      <w:r w:rsidR="00FD57CA" w:rsidRPr="00F833B4">
        <w:rPr>
          <w:lang w:val="ru-RU"/>
        </w:rPr>
        <w:t xml:space="preserve">На счетах </w:t>
      </w:r>
      <w:r w:rsidRPr="00F833B4">
        <w:rPr>
          <w:lang w:val="ru-RU"/>
        </w:rPr>
        <w:t>(</w:t>
      </w:r>
      <w:r w:rsidR="002D1BE1" w:rsidRPr="00F833B4">
        <w:rPr>
          <w:lang w:val="ru-RU"/>
        </w:rPr>
        <w:t>"</w:t>
      </w:r>
      <w:r w:rsidR="00FD57CA" w:rsidRPr="00F833B4">
        <w:rPr>
          <w:lang w:val="ru-RU"/>
        </w:rPr>
        <w:t>Представление по сегментам</w:t>
      </w:r>
      <w:r w:rsidR="002D1BE1" w:rsidRPr="00F833B4">
        <w:rPr>
          <w:lang w:val="ru-RU"/>
        </w:rPr>
        <w:t>"</w:t>
      </w:r>
      <w:r w:rsidR="00FD57CA" w:rsidRPr="00F833B4">
        <w:rPr>
          <w:lang w:val="ru-RU"/>
        </w:rPr>
        <w:t xml:space="preserve"> и Приложение</w:t>
      </w:r>
      <w:r w:rsidR="002D1BE1" w:rsidRPr="00F833B4">
        <w:rPr>
          <w:lang w:val="ru-RU"/>
        </w:rPr>
        <w:t> </w:t>
      </w:r>
      <w:r w:rsidRPr="00F833B4">
        <w:rPr>
          <w:lang w:val="ru-RU"/>
        </w:rPr>
        <w:t xml:space="preserve">B2) </w:t>
      </w:r>
      <w:r w:rsidR="00FD57CA" w:rsidRPr="00F833B4">
        <w:rPr>
          <w:lang w:val="ru-RU"/>
        </w:rPr>
        <w:t>показаны два разных фонда, относящиеся к новому зданию</w:t>
      </w:r>
      <w:r w:rsidRPr="00F833B4">
        <w:rPr>
          <w:lang w:val="ru-RU"/>
        </w:rPr>
        <w:t xml:space="preserve">: </w:t>
      </w:r>
      <w:r w:rsidR="00570C03" w:rsidRPr="00F833B4">
        <w:rPr>
          <w:lang w:val="ru-RU"/>
        </w:rPr>
        <w:t>средства на</w:t>
      </w:r>
      <w:r w:rsidR="00606F03" w:rsidRPr="00F833B4">
        <w:rPr>
          <w:lang w:val="ru-RU"/>
        </w:rPr>
        <w:t xml:space="preserve"> ново</w:t>
      </w:r>
      <w:r w:rsidR="00570C03" w:rsidRPr="00F833B4">
        <w:rPr>
          <w:lang w:val="ru-RU"/>
        </w:rPr>
        <w:t>е</w:t>
      </w:r>
      <w:r w:rsidR="00606F03" w:rsidRPr="00F833B4">
        <w:rPr>
          <w:lang w:val="ru-RU"/>
        </w:rPr>
        <w:t xml:space="preserve"> здани</w:t>
      </w:r>
      <w:r w:rsidR="00570C03" w:rsidRPr="00F833B4">
        <w:rPr>
          <w:lang w:val="ru-RU"/>
        </w:rPr>
        <w:t>е</w:t>
      </w:r>
      <w:r w:rsidRPr="00F833B4">
        <w:rPr>
          <w:lang w:val="ru-RU"/>
        </w:rPr>
        <w:t xml:space="preserve"> (</w:t>
      </w:r>
      <w:r w:rsidR="00606F03" w:rsidRPr="00F833B4">
        <w:rPr>
          <w:lang w:val="ru-RU"/>
        </w:rPr>
        <w:t>финансир</w:t>
      </w:r>
      <w:r w:rsidR="00570C03" w:rsidRPr="00F833B4">
        <w:rPr>
          <w:lang w:val="ru-RU"/>
        </w:rPr>
        <w:t>ует</w:t>
      </w:r>
      <w:r w:rsidR="00606F03" w:rsidRPr="00F833B4">
        <w:rPr>
          <w:lang w:val="ru-RU"/>
        </w:rPr>
        <w:t>ся из средств ссуды</w:t>
      </w:r>
      <w:r w:rsidRPr="00F833B4">
        <w:rPr>
          <w:lang w:val="ru-RU"/>
        </w:rPr>
        <w:t xml:space="preserve">) </w:t>
      </w:r>
      <w:r w:rsidR="00606F03" w:rsidRPr="00F833B4">
        <w:rPr>
          <w:lang w:val="ru-RU"/>
        </w:rPr>
        <w:t xml:space="preserve">и </w:t>
      </w:r>
      <w:r w:rsidR="002D1BE1" w:rsidRPr="00F833B4">
        <w:rPr>
          <w:lang w:val="ru-RU"/>
        </w:rPr>
        <w:t>р</w:t>
      </w:r>
      <w:r w:rsidR="00606F03" w:rsidRPr="00F833B4">
        <w:rPr>
          <w:lang w:val="ru-RU"/>
        </w:rPr>
        <w:t>езервный фонд для нового здания</w:t>
      </w:r>
      <w:r w:rsidRPr="00F833B4">
        <w:rPr>
          <w:lang w:val="ru-RU"/>
        </w:rPr>
        <w:t xml:space="preserve">, </w:t>
      </w:r>
      <w:r w:rsidR="00606F03" w:rsidRPr="00F833B4">
        <w:rPr>
          <w:lang w:val="ru-RU"/>
        </w:rPr>
        <w:t>для которого Генеральный секретарь выдел</w:t>
      </w:r>
      <w:r w:rsidR="00BE08B1" w:rsidRPr="00F833B4">
        <w:rPr>
          <w:lang w:val="ru-RU"/>
        </w:rPr>
        <w:t>яет</w:t>
      </w:r>
      <w:r w:rsidR="00606F03" w:rsidRPr="00F833B4">
        <w:rPr>
          <w:lang w:val="ru-RU"/>
        </w:rPr>
        <w:t xml:space="preserve"> </w:t>
      </w:r>
      <w:r w:rsidR="000E2BE6" w:rsidRPr="00F833B4">
        <w:rPr>
          <w:lang w:val="ru-RU"/>
        </w:rPr>
        <w:t>3</w:t>
      </w:r>
      <w:r w:rsidR="00FC160F" w:rsidRPr="00F833B4">
        <w:rPr>
          <w:lang w:val="ru-RU"/>
        </w:rPr>
        <w:t>,</w:t>
      </w:r>
      <w:r w:rsidR="000E2BE6" w:rsidRPr="00F833B4">
        <w:rPr>
          <w:lang w:val="ru-RU"/>
        </w:rPr>
        <w:t>04</w:t>
      </w:r>
      <w:r w:rsidR="002D1BE1" w:rsidRPr="00F833B4">
        <w:rPr>
          <w:lang w:val="ru-RU"/>
        </w:rPr>
        <w:t xml:space="preserve"> млн. </w:t>
      </w:r>
      <w:r w:rsidR="00606F03" w:rsidRPr="00F833B4">
        <w:rPr>
          <w:lang w:val="ru-RU"/>
        </w:rPr>
        <w:t>швейцарских франков</w:t>
      </w:r>
      <w:r w:rsidRPr="00F833B4">
        <w:rPr>
          <w:lang w:val="ru-RU"/>
        </w:rPr>
        <w:t xml:space="preserve"> </w:t>
      </w:r>
      <w:r w:rsidR="00606F03" w:rsidRPr="00F833B4">
        <w:rPr>
          <w:lang w:val="ru-RU"/>
        </w:rPr>
        <w:t>из активного бюджетного сальдо</w:t>
      </w:r>
      <w:r w:rsidRPr="00F833B4">
        <w:rPr>
          <w:lang w:val="ru-RU"/>
        </w:rPr>
        <w:t xml:space="preserve">. </w:t>
      </w:r>
    </w:p>
    <w:p w14:paraId="664745C6" w14:textId="2719A0CA" w:rsidR="000E2BE6" w:rsidRPr="00F833B4" w:rsidRDefault="00875AB9" w:rsidP="00570C03">
      <w:pPr>
        <w:rPr>
          <w:lang w:val="ru-RU"/>
        </w:rPr>
      </w:pPr>
      <w:r w:rsidRPr="00F833B4">
        <w:rPr>
          <w:lang w:val="ru-RU"/>
        </w:rPr>
        <w:t>37</w:t>
      </w:r>
      <w:r w:rsidRPr="00F833B4">
        <w:rPr>
          <w:lang w:val="ru-RU"/>
        </w:rPr>
        <w:tab/>
      </w:r>
      <w:r w:rsidR="00FC160F" w:rsidRPr="00F833B4">
        <w:rPr>
          <w:lang w:val="ru-RU"/>
        </w:rPr>
        <w:t>Совет</w:t>
      </w:r>
      <w:r w:rsidRPr="00F833B4">
        <w:rPr>
          <w:lang w:val="ru-RU"/>
        </w:rPr>
        <w:t xml:space="preserve"> на </w:t>
      </w:r>
      <w:r w:rsidR="00FC160F" w:rsidRPr="00F833B4">
        <w:rPr>
          <w:lang w:val="ru-RU"/>
        </w:rPr>
        <w:t xml:space="preserve">своей </w:t>
      </w:r>
      <w:r w:rsidRPr="00F833B4">
        <w:rPr>
          <w:lang w:val="ru-RU"/>
        </w:rPr>
        <w:t>дополнительной сессии, состоявшейся 27 сентября 2019 года в Женеве</w:t>
      </w:r>
      <w:r w:rsidR="00FC160F" w:rsidRPr="00F833B4">
        <w:rPr>
          <w:lang w:val="ru-RU"/>
        </w:rPr>
        <w:t>, принял Решение 619</w:t>
      </w:r>
      <w:r w:rsidRPr="00F833B4">
        <w:rPr>
          <w:lang w:val="ru-RU"/>
        </w:rPr>
        <w:t>; в нем были утверждены окончательные прямые затраты по проекту строительства нового здания штаб-квартиры Союза в размере 170 139 000 швейцарских франков, , финансируемые в полном объеме за счет имеющихся средств: 150 000 000 швейцарских франков – ссуда страны пребывания, 15 140 000 швейцарских франков – спонсорская поддержка и пожертвования, а 5 000 000 – фонд строительства нового здания.</w:t>
      </w:r>
    </w:p>
    <w:p w14:paraId="574CBC75" w14:textId="6AFDC16D" w:rsidR="00875AB9" w:rsidRPr="00F833B4" w:rsidRDefault="00875AB9" w:rsidP="00570C03">
      <w:pPr>
        <w:rPr>
          <w:lang w:val="ru-RU"/>
        </w:rPr>
      </w:pPr>
      <w:r w:rsidRPr="00F833B4">
        <w:rPr>
          <w:lang w:val="ru-RU"/>
        </w:rPr>
        <w:t>38</w:t>
      </w:r>
      <w:r w:rsidRPr="00F833B4">
        <w:rPr>
          <w:lang w:val="ru-RU"/>
        </w:rPr>
        <w:tab/>
        <w:t xml:space="preserve">На своей сессии в сентябре 2019 года Совет принял решение создать дополнительный фонд реестра рисков (пункт 3 раздела </w:t>
      </w:r>
      <w:r w:rsidRPr="00F833B4">
        <w:rPr>
          <w:i/>
          <w:lang w:val="ru-RU"/>
        </w:rPr>
        <w:t>решает</w:t>
      </w:r>
      <w:r w:rsidRPr="00F833B4">
        <w:rPr>
          <w:lang w:val="ru-RU"/>
        </w:rPr>
        <w:t xml:space="preserve"> Решения 619), с тем чтобы обеспечить дополнительный финансовый резерв для </w:t>
      </w:r>
      <w:proofErr w:type="spellStart"/>
      <w:r w:rsidRPr="00F833B4">
        <w:rPr>
          <w:lang w:val="ru-RU"/>
        </w:rPr>
        <w:t>несниженных</w:t>
      </w:r>
      <w:proofErr w:type="spellEnd"/>
      <w:r w:rsidRPr="00F833B4">
        <w:rPr>
          <w:lang w:val="ru-RU"/>
        </w:rPr>
        <w:t xml:space="preserve"> рисков, который будет финансироваться на основании решений последующих сессий Совета начиная с 2020 года. На настоящий момент фонду реестра рисков выделена сумма 1 425 000 швейцарских франков.</w:t>
      </w:r>
    </w:p>
    <w:p w14:paraId="35E6B430" w14:textId="7F242132" w:rsidR="00875AB9" w:rsidRPr="00F833B4" w:rsidRDefault="00875AB9" w:rsidP="00570C03">
      <w:pPr>
        <w:rPr>
          <w:lang w:val="ru-RU"/>
        </w:rPr>
      </w:pPr>
      <w:r w:rsidRPr="00F833B4">
        <w:rPr>
          <w:lang w:val="ru-RU"/>
        </w:rPr>
        <w:t>39</w:t>
      </w:r>
      <w:r w:rsidRPr="00F833B4">
        <w:rPr>
          <w:lang w:val="ru-RU"/>
        </w:rPr>
        <w:tab/>
      </w:r>
      <w:r w:rsidR="005B75DC" w:rsidRPr="00F833B4">
        <w:rPr>
          <w:color w:val="000000"/>
          <w:lang w:val="ru-RU"/>
        </w:rPr>
        <w:t>В настоящее время продолжается осуществление всей этой процедуры</w:t>
      </w:r>
      <w:r w:rsidRPr="00F833B4">
        <w:rPr>
          <w:lang w:val="ru-RU"/>
        </w:rPr>
        <w:t xml:space="preserve">, </w:t>
      </w:r>
      <w:r w:rsidR="0091769D" w:rsidRPr="00F833B4">
        <w:rPr>
          <w:lang w:val="ru-RU"/>
        </w:rPr>
        <w:t>и происходит рассмотрение просьбы о ссуде</w:t>
      </w:r>
      <w:r w:rsidRPr="00F833B4">
        <w:rPr>
          <w:lang w:val="ru-RU"/>
        </w:rPr>
        <w:t xml:space="preserve">. </w:t>
      </w:r>
      <w:r w:rsidR="0091769D" w:rsidRPr="00F833B4">
        <w:rPr>
          <w:lang w:val="ru-RU"/>
        </w:rPr>
        <w:t xml:space="preserve">Принимающая страна подтвердила, </w:t>
      </w:r>
      <w:r w:rsidR="00415408" w:rsidRPr="00F833B4">
        <w:rPr>
          <w:lang w:val="ru-RU"/>
        </w:rPr>
        <w:t xml:space="preserve">что </w:t>
      </w:r>
      <w:r w:rsidR="0091769D" w:rsidRPr="00F833B4">
        <w:rPr>
          <w:lang w:val="ru-RU"/>
        </w:rPr>
        <w:t xml:space="preserve">кантон Женева разработал законопроект для представления </w:t>
      </w:r>
      <w:r w:rsidR="00415408" w:rsidRPr="00F833B4">
        <w:rPr>
          <w:lang w:val="ru-RU"/>
        </w:rPr>
        <w:t>на утверждение Большому совету к концу 2020 года</w:t>
      </w:r>
      <w:r w:rsidRPr="00F833B4">
        <w:rPr>
          <w:lang w:val="ru-RU"/>
        </w:rPr>
        <w:t xml:space="preserve">. </w:t>
      </w:r>
      <w:r w:rsidR="00415408" w:rsidRPr="00F833B4">
        <w:rPr>
          <w:lang w:val="ru-RU"/>
        </w:rPr>
        <w:t>Федеральные органы власти объявили, что Финансовый комитет единогласно утвердил просьбу, которая на осенней сессии 2020 года будет представлена первой палате парламента</w:t>
      </w:r>
      <w:r w:rsidRPr="00F833B4">
        <w:rPr>
          <w:lang w:val="ru-RU"/>
        </w:rPr>
        <w:t>.</w:t>
      </w:r>
    </w:p>
    <w:p w14:paraId="6E9B6D8D" w14:textId="544D0D52" w:rsidR="00875AB9" w:rsidRPr="00F833B4" w:rsidRDefault="00BB18C2" w:rsidP="00875AB9">
      <w:pPr>
        <w:pStyle w:val="Heading2"/>
        <w:rPr>
          <w:lang w:val="ru-RU"/>
        </w:rPr>
      </w:pPr>
      <w:bookmarkStart w:id="166" w:name="_Toc54769146"/>
      <w:bookmarkStart w:id="167" w:name="_Toc56179555"/>
      <w:bookmarkStart w:id="168" w:name="_Toc56180375"/>
      <w:r w:rsidRPr="00F833B4">
        <w:rPr>
          <w:lang w:val="ru-RU"/>
        </w:rPr>
        <w:t>Личное оборудование</w:t>
      </w:r>
      <w:bookmarkEnd w:id="166"/>
      <w:bookmarkEnd w:id="167"/>
      <w:bookmarkEnd w:id="168"/>
      <w:r w:rsidR="00875AB9" w:rsidRPr="00F833B4">
        <w:rPr>
          <w:lang w:val="ru-RU"/>
        </w:rPr>
        <w:t xml:space="preserve"> </w:t>
      </w:r>
    </w:p>
    <w:p w14:paraId="5BC6AB70" w14:textId="71D78D65" w:rsidR="00875AB9" w:rsidRPr="00F833B4" w:rsidRDefault="00875AB9" w:rsidP="00875AB9">
      <w:pPr>
        <w:rPr>
          <w:lang w:val="ru-RU"/>
        </w:rPr>
      </w:pPr>
      <w:r w:rsidRPr="00F833B4">
        <w:rPr>
          <w:lang w:val="ru-RU"/>
        </w:rPr>
        <w:t>40</w:t>
      </w:r>
      <w:r w:rsidRPr="00F833B4">
        <w:rPr>
          <w:lang w:val="ru-RU"/>
        </w:rPr>
        <w:tab/>
      </w:r>
      <w:r w:rsidR="00684C5C" w:rsidRPr="00F833B4">
        <w:rPr>
          <w:lang w:val="ru-RU"/>
        </w:rPr>
        <w:t xml:space="preserve">Руководство указало в Примечании 11, что все </w:t>
      </w:r>
      <w:proofErr w:type="spellStart"/>
      <w:r w:rsidR="00684C5C" w:rsidRPr="00F833B4">
        <w:rPr>
          <w:lang w:val="ru-RU"/>
        </w:rPr>
        <w:t>б</w:t>
      </w:r>
      <w:r w:rsidR="00684C5C" w:rsidRPr="00F833B4">
        <w:rPr>
          <w:rFonts w:cs="Calibri"/>
          <w:lang w:val="ru-RU"/>
        </w:rPr>
        <w:t>ó</w:t>
      </w:r>
      <w:r w:rsidR="00684C5C" w:rsidRPr="00F833B4">
        <w:rPr>
          <w:lang w:val="ru-RU"/>
        </w:rPr>
        <w:t>льшая</w:t>
      </w:r>
      <w:proofErr w:type="spellEnd"/>
      <w:r w:rsidR="00684C5C" w:rsidRPr="00F833B4">
        <w:rPr>
          <w:lang w:val="ru-RU"/>
        </w:rPr>
        <w:t xml:space="preserve"> часть оборудования относится к переносному или </w:t>
      </w:r>
      <w:r w:rsidR="00FC160F" w:rsidRPr="00F833B4">
        <w:rPr>
          <w:lang w:val="ru-RU"/>
        </w:rPr>
        <w:t xml:space="preserve">по меньшей мере </w:t>
      </w:r>
      <w:r w:rsidR="00684C5C" w:rsidRPr="00F833B4">
        <w:rPr>
          <w:lang w:val="ru-RU"/>
        </w:rPr>
        <w:t>подвижному типу, а вследствие событий после закрытия счетов доля персонала, работающего дистанционно, значительно возросла</w:t>
      </w:r>
      <w:r w:rsidRPr="00F833B4">
        <w:rPr>
          <w:lang w:val="ru-RU"/>
        </w:rPr>
        <w:t xml:space="preserve">. </w:t>
      </w:r>
      <w:r w:rsidR="00684C5C" w:rsidRPr="00F833B4">
        <w:rPr>
          <w:lang w:val="ru-RU"/>
        </w:rPr>
        <w:t xml:space="preserve">Мы признаем, что для отслеживания этого оборудования требуются людские </w:t>
      </w:r>
      <w:r w:rsidR="00100AA6" w:rsidRPr="00F833B4">
        <w:rPr>
          <w:lang w:val="ru-RU"/>
        </w:rPr>
        <w:t>ресурсы</w:t>
      </w:r>
      <w:r w:rsidR="00684C5C" w:rsidRPr="00F833B4">
        <w:rPr>
          <w:lang w:val="ru-RU"/>
        </w:rPr>
        <w:t xml:space="preserve"> и время</w:t>
      </w:r>
      <w:r w:rsidR="00100AA6" w:rsidRPr="00F833B4">
        <w:rPr>
          <w:lang w:val="ru-RU"/>
        </w:rPr>
        <w:t xml:space="preserve"> и что это было непросто осуществить в ограниченный имевшийся период</w:t>
      </w:r>
      <w:r w:rsidRPr="00F833B4">
        <w:rPr>
          <w:lang w:val="ru-RU"/>
        </w:rPr>
        <w:t xml:space="preserve">. </w:t>
      </w:r>
      <w:r w:rsidR="00100AA6" w:rsidRPr="00F833B4">
        <w:rPr>
          <w:lang w:val="ru-RU"/>
        </w:rPr>
        <w:t>В служебном приказе </w:t>
      </w:r>
      <w:r w:rsidRPr="00F833B4">
        <w:rPr>
          <w:lang w:val="ru-RU"/>
        </w:rPr>
        <w:t xml:space="preserve">17/10 </w:t>
      </w:r>
      <w:r w:rsidR="00100AA6" w:rsidRPr="00F833B4">
        <w:rPr>
          <w:lang w:val="ru-RU"/>
        </w:rPr>
        <w:t>установлена ответственность отдельных сотрудников за проверку и обновление своих инвентарных записей</w:t>
      </w:r>
      <w:r w:rsidRPr="00F833B4">
        <w:rPr>
          <w:lang w:val="ru-RU"/>
        </w:rPr>
        <w:t xml:space="preserve">. </w:t>
      </w:r>
      <w:r w:rsidR="00100AA6" w:rsidRPr="00F833B4">
        <w:rPr>
          <w:lang w:val="ru-RU"/>
        </w:rPr>
        <w:t xml:space="preserve">Тем не менее, было признано, что </w:t>
      </w:r>
      <w:r w:rsidR="003E7D88" w:rsidRPr="00F833B4">
        <w:rPr>
          <w:lang w:val="ru-RU"/>
        </w:rPr>
        <w:t>имеются предметы оборудования, которые еще не были должным образом зарегистрированы</w:t>
      </w:r>
      <w:r w:rsidRPr="00F833B4">
        <w:rPr>
          <w:lang w:val="ru-RU"/>
        </w:rPr>
        <w:t xml:space="preserve">. </w:t>
      </w:r>
    </w:p>
    <w:p w14:paraId="6FABD335" w14:textId="7A8CC2F3" w:rsidR="00875AB9" w:rsidRPr="00F833B4" w:rsidRDefault="00875AB9" w:rsidP="00875AB9">
      <w:pPr>
        <w:spacing w:after="120"/>
        <w:rPr>
          <w:lang w:val="ru-RU"/>
        </w:rPr>
      </w:pPr>
      <w:r w:rsidRPr="00F833B4">
        <w:rPr>
          <w:lang w:val="ru-RU"/>
        </w:rPr>
        <w:t>41</w:t>
      </w:r>
      <w:r w:rsidRPr="00F833B4">
        <w:rPr>
          <w:lang w:val="ru-RU"/>
        </w:rPr>
        <w:tab/>
      </w:r>
      <w:r w:rsidR="003E7D88" w:rsidRPr="00F833B4">
        <w:rPr>
          <w:lang w:val="ru-RU"/>
        </w:rPr>
        <w:t>Во время нашей последней рабочей поездки летом 2020 года мы получили данные, согласно которым определенное число компьютеров, внешних экранов и других переносных предметов ИТ</w:t>
      </w:r>
      <w:r w:rsidR="00FC160F" w:rsidRPr="00F833B4">
        <w:rPr>
          <w:lang w:val="ru-RU"/>
        </w:rPr>
        <w:noBreakHyphen/>
      </w:r>
      <w:r w:rsidR="003E7D88" w:rsidRPr="00F833B4">
        <w:rPr>
          <w:lang w:val="ru-RU"/>
        </w:rPr>
        <w:t>оборудования вывезен</w:t>
      </w:r>
      <w:r w:rsidR="00FC160F" w:rsidRPr="00F833B4">
        <w:rPr>
          <w:lang w:val="ru-RU"/>
        </w:rPr>
        <w:t>о</w:t>
      </w:r>
      <w:r w:rsidR="003E7D88" w:rsidRPr="00F833B4">
        <w:rPr>
          <w:lang w:val="ru-RU"/>
        </w:rPr>
        <w:t xml:space="preserve"> сотрудниками для дистанционной работы дома</w:t>
      </w:r>
      <w:r w:rsidRPr="00F833B4">
        <w:rPr>
          <w:lang w:val="ru-RU"/>
        </w:rPr>
        <w:t xml:space="preserve">. </w:t>
      </w:r>
      <w:r w:rsidR="003E7D88" w:rsidRPr="00F833B4">
        <w:rPr>
          <w:lang w:val="ru-RU"/>
        </w:rPr>
        <w:t>Нам подтвердили, что эти перемещения полностью не учтены</w:t>
      </w:r>
      <w:r w:rsidRPr="00F833B4">
        <w:rPr>
          <w:lang w:val="ru-RU"/>
        </w:rPr>
        <w:t>.</w:t>
      </w:r>
    </w:p>
    <w:tbl>
      <w:tblPr>
        <w:tblStyle w:val="TableGrid"/>
        <w:tblW w:w="0" w:type="auto"/>
        <w:tblLook w:val="04A0" w:firstRow="1" w:lastRow="0" w:firstColumn="1" w:lastColumn="0" w:noHBand="0" w:noVBand="1"/>
      </w:tblPr>
      <w:tblGrid>
        <w:gridCol w:w="9629"/>
      </w:tblGrid>
      <w:tr w:rsidR="00875AB9" w:rsidRPr="00FE280E" w14:paraId="7B9DFDC6" w14:textId="77777777" w:rsidTr="00875AB9">
        <w:tc>
          <w:tcPr>
            <w:tcW w:w="9629" w:type="dxa"/>
          </w:tcPr>
          <w:p w14:paraId="2DD28B32" w14:textId="3FAD1021" w:rsidR="00875AB9" w:rsidRPr="00F833B4" w:rsidRDefault="00FC160F" w:rsidP="00875AB9">
            <w:pPr>
              <w:keepNext/>
              <w:keepLines/>
              <w:spacing w:after="120"/>
              <w:rPr>
                <w:b/>
                <w:bCs/>
                <w:i/>
                <w:iCs/>
                <w:lang w:val="ru-RU"/>
              </w:rPr>
            </w:pPr>
            <w:r w:rsidRPr="00F833B4">
              <w:rPr>
                <w:b/>
                <w:bCs/>
                <w:i/>
                <w:iCs/>
                <w:lang w:val="ru-RU"/>
              </w:rPr>
              <w:lastRenderedPageBreak/>
              <w:t>Рекомендация 1</w:t>
            </w:r>
          </w:p>
          <w:p w14:paraId="0132C938" w14:textId="596621B4" w:rsidR="00875AB9" w:rsidRPr="00F833B4" w:rsidRDefault="00875AB9" w:rsidP="00875AB9">
            <w:pPr>
              <w:keepNext/>
              <w:keepLines/>
              <w:spacing w:after="120"/>
              <w:rPr>
                <w:lang w:val="ru-RU"/>
              </w:rPr>
            </w:pPr>
            <w:r w:rsidRPr="00F833B4">
              <w:rPr>
                <w:lang w:val="ru-RU"/>
              </w:rPr>
              <w:t>42</w:t>
            </w:r>
            <w:r w:rsidRPr="00F833B4">
              <w:rPr>
                <w:lang w:val="ru-RU"/>
              </w:rPr>
              <w:tab/>
              <w:t xml:space="preserve">A) </w:t>
            </w:r>
            <w:r w:rsidR="00B30DEC" w:rsidRPr="00F833B4">
              <w:rPr>
                <w:lang w:val="ru-RU"/>
              </w:rPr>
              <w:t xml:space="preserve">Мы </w:t>
            </w:r>
            <w:r w:rsidR="00B30DEC" w:rsidRPr="00F833B4">
              <w:rPr>
                <w:b/>
                <w:bCs/>
                <w:lang w:val="ru-RU"/>
              </w:rPr>
              <w:t xml:space="preserve">рекомендуем </w:t>
            </w:r>
            <w:r w:rsidR="00B30DEC" w:rsidRPr="00F833B4">
              <w:rPr>
                <w:lang w:val="ru-RU"/>
              </w:rPr>
              <w:t>руководству собрать информацию о местоположении ИТ</w:t>
            </w:r>
            <w:r w:rsidR="00B30DEC" w:rsidRPr="00F833B4">
              <w:rPr>
                <w:lang w:val="ru-RU"/>
              </w:rPr>
              <w:noBreakHyphen/>
              <w:t xml:space="preserve">оборудования </w:t>
            </w:r>
            <w:r w:rsidR="000E2185" w:rsidRPr="00F833B4">
              <w:rPr>
                <w:lang w:val="ru-RU"/>
              </w:rPr>
              <w:t>и обязать отдельных сотрудников обновить свои инвентарные записи, внеся в них эту информацию</w:t>
            </w:r>
            <w:r w:rsidRPr="00F833B4">
              <w:rPr>
                <w:lang w:val="ru-RU"/>
              </w:rPr>
              <w:t>.</w:t>
            </w:r>
          </w:p>
          <w:p w14:paraId="145E2AD6" w14:textId="6111461C" w:rsidR="00875AB9" w:rsidRPr="00F833B4" w:rsidRDefault="00875AB9" w:rsidP="00875AB9">
            <w:pPr>
              <w:keepNext/>
              <w:keepLines/>
              <w:spacing w:after="120"/>
              <w:rPr>
                <w:lang w:val="ru-RU"/>
              </w:rPr>
            </w:pPr>
            <w:r w:rsidRPr="00F833B4">
              <w:rPr>
                <w:lang w:val="ru-RU"/>
              </w:rPr>
              <w:t>43</w:t>
            </w:r>
            <w:r w:rsidRPr="00F833B4">
              <w:rPr>
                <w:lang w:val="ru-RU"/>
              </w:rPr>
              <w:tab/>
              <w:t xml:space="preserve">B) </w:t>
            </w:r>
            <w:r w:rsidR="000E2185" w:rsidRPr="00F833B4">
              <w:rPr>
                <w:lang w:val="ru-RU"/>
              </w:rPr>
              <w:t xml:space="preserve">В связи с этим мы </w:t>
            </w:r>
            <w:r w:rsidR="000E2185" w:rsidRPr="00F833B4">
              <w:rPr>
                <w:b/>
                <w:bCs/>
                <w:lang w:val="ru-RU"/>
              </w:rPr>
              <w:t xml:space="preserve">рекомендуем </w:t>
            </w:r>
            <w:r w:rsidR="000E2185" w:rsidRPr="00F833B4">
              <w:rPr>
                <w:lang w:val="ru-RU"/>
              </w:rPr>
              <w:t>укрепить эту обязанность, приняв более строгие правила</w:t>
            </w:r>
            <w:r w:rsidRPr="00F833B4">
              <w:rPr>
                <w:lang w:val="ru-RU"/>
              </w:rPr>
              <w:t>.</w:t>
            </w:r>
          </w:p>
        </w:tc>
      </w:tr>
    </w:tbl>
    <w:p w14:paraId="771D9CCF" w14:textId="0A42E79D" w:rsidR="00875AB9" w:rsidRPr="00F833B4" w:rsidRDefault="00875AB9" w:rsidP="00072F51">
      <w:pPr>
        <w:spacing w:before="0"/>
        <w:rPr>
          <w:lang w:val="ru-RU"/>
        </w:rPr>
      </w:pPr>
    </w:p>
    <w:tbl>
      <w:tblPr>
        <w:tblStyle w:val="TableGrid"/>
        <w:tblW w:w="0" w:type="auto"/>
        <w:tblLook w:val="04A0" w:firstRow="1" w:lastRow="0" w:firstColumn="1" w:lastColumn="0" w:noHBand="0" w:noVBand="1"/>
      </w:tblPr>
      <w:tblGrid>
        <w:gridCol w:w="9629"/>
      </w:tblGrid>
      <w:tr w:rsidR="00A2720A" w:rsidRPr="00F833B4" w14:paraId="15E2F8B0" w14:textId="77777777" w:rsidTr="00012D1B">
        <w:tc>
          <w:tcPr>
            <w:tcW w:w="9629" w:type="dxa"/>
          </w:tcPr>
          <w:p w14:paraId="4D15EF6A" w14:textId="6FC59BED" w:rsidR="00A2720A" w:rsidRPr="00F833B4" w:rsidRDefault="00A2720A" w:rsidP="00012D1B">
            <w:pPr>
              <w:keepNext/>
              <w:keepLines/>
              <w:spacing w:after="120"/>
              <w:rPr>
                <w:b/>
                <w:bCs/>
                <w:i/>
                <w:iCs/>
                <w:lang w:val="ru-RU"/>
              </w:rPr>
            </w:pPr>
            <w:r w:rsidRPr="00F833B4">
              <w:rPr>
                <w:b/>
                <w:bCs/>
                <w:i/>
                <w:iCs/>
                <w:u w:val="single"/>
                <w:lang w:val="ru-RU"/>
              </w:rPr>
              <w:t>Комментарии Генерального секретаря</w:t>
            </w:r>
          </w:p>
          <w:p w14:paraId="5E1B4F28" w14:textId="77777777" w:rsidR="00A2720A" w:rsidRPr="00F833B4" w:rsidRDefault="00A2720A" w:rsidP="00012D1B">
            <w:pPr>
              <w:keepNext/>
              <w:keepLines/>
              <w:spacing w:after="120"/>
              <w:rPr>
                <w:lang w:val="ru-RU"/>
              </w:rPr>
            </w:pPr>
            <w:r w:rsidRPr="00F833B4">
              <w:rPr>
                <w:lang w:val="ru-RU"/>
              </w:rPr>
              <w:t xml:space="preserve">Ежегодная "инвентаризация наличных запасов" планируется на конец 2020 года – начало 2021 года. Это позволит МСЭ собрать информацию по оборудованию. В служебном приказе 17/10 установлена ответственность отдельных сотрудников МСЭ за проверку и обновление своих инвентарных записей, что может осуществляться в электронном формате с интернет-портала. </w:t>
            </w:r>
          </w:p>
          <w:p w14:paraId="3F46B037" w14:textId="6F2AF58F" w:rsidR="00A2720A" w:rsidRPr="00F833B4" w:rsidRDefault="00A2720A" w:rsidP="00012D1B">
            <w:pPr>
              <w:keepNext/>
              <w:keepLines/>
              <w:spacing w:after="120"/>
              <w:rPr>
                <w:lang w:val="ru-RU"/>
              </w:rPr>
            </w:pPr>
            <w:r w:rsidRPr="00F833B4">
              <w:rPr>
                <w:lang w:val="ru-RU"/>
              </w:rPr>
              <w:t>МСЭ ищет более совершенный способ напоминания сотрудникам об остающихся невыполненными запросах о подтверждении инвентарных записей. Мы будем стремиться эффективнее выполнять служебный приказ 17/10.</w:t>
            </w:r>
          </w:p>
        </w:tc>
      </w:tr>
    </w:tbl>
    <w:p w14:paraId="030E8AC6" w14:textId="77777777" w:rsidR="00CE0E84" w:rsidRPr="00F833B4" w:rsidRDefault="00CE0E84" w:rsidP="000608BD">
      <w:pPr>
        <w:pStyle w:val="Heading2"/>
        <w:rPr>
          <w:lang w:val="ru-RU"/>
        </w:rPr>
      </w:pPr>
      <w:bookmarkStart w:id="169" w:name="_Toc452157311"/>
      <w:bookmarkStart w:id="170" w:name="_Toc482995177"/>
      <w:bookmarkStart w:id="171" w:name="_Toc522633568"/>
      <w:bookmarkStart w:id="172" w:name="_Toc56179556"/>
      <w:bookmarkStart w:id="173" w:name="_Toc56180376"/>
      <w:r w:rsidRPr="00F833B4">
        <w:rPr>
          <w:lang w:val="ru-RU"/>
        </w:rPr>
        <w:t>Нематериальные активы</w:t>
      </w:r>
      <w:bookmarkEnd w:id="169"/>
      <w:bookmarkEnd w:id="170"/>
      <w:bookmarkEnd w:id="171"/>
      <w:bookmarkEnd w:id="172"/>
      <w:bookmarkEnd w:id="173"/>
    </w:p>
    <w:p w14:paraId="5FEE8347" w14:textId="57F7870D" w:rsidR="00CE0E84" w:rsidRPr="00F833B4" w:rsidRDefault="00875AB9" w:rsidP="00191BE6">
      <w:pPr>
        <w:rPr>
          <w:lang w:val="ru-RU"/>
        </w:rPr>
      </w:pPr>
      <w:r w:rsidRPr="00F833B4">
        <w:rPr>
          <w:lang w:val="ru-RU"/>
        </w:rPr>
        <w:t>44</w:t>
      </w:r>
      <w:r w:rsidR="00CE0E84" w:rsidRPr="00F833B4">
        <w:rPr>
          <w:lang w:val="ru-RU"/>
        </w:rPr>
        <w:tab/>
        <w:t>В 201</w:t>
      </w:r>
      <w:r w:rsidRPr="00F833B4">
        <w:rPr>
          <w:lang w:val="ru-RU"/>
        </w:rPr>
        <w:t>9</w:t>
      </w:r>
      <w:r w:rsidR="004D2F49" w:rsidRPr="00F833B4">
        <w:rPr>
          <w:lang w:val="ru-RU"/>
        </w:rPr>
        <w:t> год</w:t>
      </w:r>
      <w:r w:rsidR="00CE0E84" w:rsidRPr="00F833B4">
        <w:rPr>
          <w:lang w:val="ru-RU"/>
        </w:rPr>
        <w:t xml:space="preserve">у размер нематериальных активов составил </w:t>
      </w:r>
      <w:r w:rsidRPr="00F833B4">
        <w:rPr>
          <w:lang w:val="ru-RU"/>
        </w:rPr>
        <w:t>1</w:t>
      </w:r>
      <w:r w:rsidR="00191BE6" w:rsidRPr="00F833B4">
        <w:rPr>
          <w:lang w:val="ru-RU"/>
        </w:rPr>
        <w:t>,</w:t>
      </w:r>
      <w:r w:rsidRPr="00F833B4">
        <w:rPr>
          <w:lang w:val="ru-RU"/>
        </w:rPr>
        <w:t>9</w:t>
      </w:r>
      <w:r w:rsidR="002D1BE1" w:rsidRPr="00F833B4">
        <w:rPr>
          <w:lang w:val="ru-RU"/>
        </w:rPr>
        <w:t xml:space="preserve"> млн. </w:t>
      </w:r>
      <w:r w:rsidR="00CE0E84" w:rsidRPr="00F833B4">
        <w:rPr>
          <w:lang w:val="ru-RU"/>
        </w:rPr>
        <w:t xml:space="preserve">швейцарских франков, </w:t>
      </w:r>
      <w:r w:rsidR="00191BE6" w:rsidRPr="00F833B4">
        <w:rPr>
          <w:lang w:val="ru-RU"/>
        </w:rPr>
        <w:t xml:space="preserve">что </w:t>
      </w:r>
      <w:r w:rsidR="00985FB2" w:rsidRPr="00F833B4">
        <w:rPr>
          <w:lang w:val="ru-RU"/>
        </w:rPr>
        <w:t>свидетельствует об уменьшении по сравнению с суммой</w:t>
      </w:r>
      <w:r w:rsidR="00191BE6" w:rsidRPr="00F833B4">
        <w:rPr>
          <w:lang w:val="ru-RU"/>
        </w:rPr>
        <w:t>, зафиксированн</w:t>
      </w:r>
      <w:r w:rsidR="00985FB2" w:rsidRPr="00F833B4">
        <w:rPr>
          <w:lang w:val="ru-RU"/>
        </w:rPr>
        <w:t>о</w:t>
      </w:r>
      <w:r w:rsidR="00191BE6" w:rsidRPr="00F833B4">
        <w:rPr>
          <w:lang w:val="ru-RU"/>
        </w:rPr>
        <w:t>й в 201</w:t>
      </w:r>
      <w:r w:rsidRPr="00F833B4">
        <w:rPr>
          <w:lang w:val="ru-RU"/>
        </w:rPr>
        <w:t>8</w:t>
      </w:r>
      <w:r w:rsidR="004D2F49" w:rsidRPr="00F833B4">
        <w:rPr>
          <w:lang w:val="ru-RU"/>
        </w:rPr>
        <w:t> год</w:t>
      </w:r>
      <w:r w:rsidR="00191BE6" w:rsidRPr="00F833B4">
        <w:rPr>
          <w:lang w:val="ru-RU"/>
        </w:rPr>
        <w:t>у (</w:t>
      </w:r>
      <w:r w:rsidRPr="00F833B4">
        <w:rPr>
          <w:lang w:val="ru-RU"/>
        </w:rPr>
        <w:t>2,</w:t>
      </w:r>
      <w:r w:rsidR="00191BE6" w:rsidRPr="00F833B4">
        <w:rPr>
          <w:lang w:val="ru-RU"/>
        </w:rPr>
        <w:t>1</w:t>
      </w:r>
      <w:r w:rsidR="002D1BE1" w:rsidRPr="00F833B4">
        <w:rPr>
          <w:lang w:val="ru-RU"/>
        </w:rPr>
        <w:t xml:space="preserve"> млн. </w:t>
      </w:r>
      <w:r w:rsidR="00CE0E84" w:rsidRPr="00F833B4">
        <w:rPr>
          <w:lang w:val="ru-RU"/>
        </w:rPr>
        <w:t>швейцарских франков).</w:t>
      </w:r>
      <w:r w:rsidRPr="00F833B4">
        <w:rPr>
          <w:rFonts w:ascii="Arial" w:eastAsiaTheme="minorHAnsi" w:hAnsi="Arial" w:cs="Arial"/>
          <w:sz w:val="24"/>
          <w:szCs w:val="24"/>
          <w:lang w:val="ru-RU"/>
        </w:rPr>
        <w:t xml:space="preserve"> </w:t>
      </w:r>
      <w:r w:rsidR="00985FB2" w:rsidRPr="00F833B4">
        <w:rPr>
          <w:rFonts w:asciiTheme="minorHAnsi" w:eastAsiaTheme="minorHAnsi" w:hAnsiTheme="minorHAnsi" w:cstheme="minorHAnsi"/>
          <w:szCs w:val="22"/>
          <w:lang w:val="ru-RU"/>
        </w:rPr>
        <w:t>Это уменьшение объясняется в основном амортизацией программного обеспечения</w:t>
      </w:r>
      <w:r w:rsidRPr="00F833B4">
        <w:rPr>
          <w:lang w:val="ru-RU"/>
        </w:rPr>
        <w:t>.</w:t>
      </w:r>
    </w:p>
    <w:p w14:paraId="5C2F2139" w14:textId="77777777" w:rsidR="00CE0E84" w:rsidRPr="00F833B4" w:rsidRDefault="00875AB9" w:rsidP="00CE0E84">
      <w:pPr>
        <w:rPr>
          <w:lang w:val="ru-RU"/>
        </w:rPr>
      </w:pPr>
      <w:r w:rsidRPr="00F833B4">
        <w:rPr>
          <w:lang w:val="ru-RU"/>
        </w:rPr>
        <w:t>45</w:t>
      </w:r>
      <w:r w:rsidR="00CE0E84" w:rsidRPr="00F833B4">
        <w:rPr>
          <w:lang w:val="ru-RU"/>
        </w:rPr>
        <w:tab/>
        <w:t xml:space="preserve">Как указано руководством в Примечании 12 к Отчету о финансовой деятельности, капитализация, согласно стандарту IPSAS 31, касалась i) внутренних разработок, связанных с совершенствованием некоторых конкретных услуг, предлагаемых членам, в частности в отношении доступа к документам МСЭ, управления документами и их архивирования; </w:t>
      </w:r>
      <w:proofErr w:type="spellStart"/>
      <w:r w:rsidR="00CE0E84" w:rsidRPr="00F833B4">
        <w:rPr>
          <w:lang w:val="ru-RU"/>
        </w:rPr>
        <w:t>ii</w:t>
      </w:r>
      <w:proofErr w:type="spellEnd"/>
      <w:r w:rsidR="00CE0E84" w:rsidRPr="00F833B4">
        <w:rPr>
          <w:lang w:val="ru-RU"/>
        </w:rPr>
        <w:t xml:space="preserve">) стандартных пакетов программного обеспечения и обновления, используемых в оперативной деятельности МСЭ. </w:t>
      </w:r>
    </w:p>
    <w:p w14:paraId="171A5DCD" w14:textId="77777777" w:rsidR="00CE0E84" w:rsidRPr="00F833B4" w:rsidRDefault="00CE0E84" w:rsidP="00CE0E84">
      <w:pPr>
        <w:pStyle w:val="Heading1"/>
        <w:rPr>
          <w:lang w:val="ru-RU"/>
        </w:rPr>
      </w:pPr>
      <w:bookmarkStart w:id="174" w:name="_Toc358192836"/>
      <w:bookmarkStart w:id="175" w:name="_Toc398125320"/>
      <w:bookmarkStart w:id="176" w:name="_Toc398125799"/>
      <w:bookmarkStart w:id="177" w:name="_Toc398127092"/>
      <w:bookmarkStart w:id="178" w:name="_Toc452157312"/>
      <w:bookmarkStart w:id="179" w:name="_Toc482995178"/>
      <w:bookmarkStart w:id="180" w:name="_Toc522633569"/>
      <w:bookmarkStart w:id="181" w:name="_Toc56179557"/>
      <w:bookmarkStart w:id="182" w:name="_Toc56180377"/>
      <w:r w:rsidRPr="00F833B4">
        <w:rPr>
          <w:lang w:val="ru-RU"/>
        </w:rPr>
        <w:t>ПАССИВЫ</w:t>
      </w:r>
      <w:bookmarkEnd w:id="174"/>
      <w:bookmarkEnd w:id="175"/>
      <w:bookmarkEnd w:id="176"/>
      <w:bookmarkEnd w:id="177"/>
      <w:bookmarkEnd w:id="178"/>
      <w:bookmarkEnd w:id="179"/>
      <w:bookmarkEnd w:id="180"/>
      <w:bookmarkEnd w:id="181"/>
      <w:bookmarkEnd w:id="182"/>
    </w:p>
    <w:p w14:paraId="698D4FFF" w14:textId="2B2713FE" w:rsidR="00CE0E84" w:rsidRPr="00F833B4" w:rsidRDefault="00875AB9" w:rsidP="007711D2">
      <w:pPr>
        <w:rPr>
          <w:lang w:val="ru-RU"/>
        </w:rPr>
      </w:pPr>
      <w:r w:rsidRPr="00F833B4">
        <w:rPr>
          <w:lang w:val="ru-RU"/>
        </w:rPr>
        <w:t>46</w:t>
      </w:r>
      <w:r w:rsidR="00CE0E84" w:rsidRPr="00F833B4">
        <w:rPr>
          <w:lang w:val="ru-RU"/>
        </w:rPr>
        <w:tab/>
        <w:t>В 201</w:t>
      </w:r>
      <w:r w:rsidRPr="00F833B4">
        <w:rPr>
          <w:lang w:val="ru-RU"/>
        </w:rPr>
        <w:t>9</w:t>
      </w:r>
      <w:r w:rsidR="004D2F49" w:rsidRPr="00F833B4">
        <w:rPr>
          <w:lang w:val="ru-RU"/>
        </w:rPr>
        <w:t> год</w:t>
      </w:r>
      <w:r w:rsidR="00CE0E84" w:rsidRPr="00F833B4">
        <w:rPr>
          <w:lang w:val="ru-RU"/>
        </w:rPr>
        <w:t xml:space="preserve">у общий размер пассивов составил </w:t>
      </w:r>
      <w:r w:rsidRPr="00F833B4">
        <w:rPr>
          <w:lang w:val="ru-RU"/>
        </w:rPr>
        <w:t>910</w:t>
      </w:r>
      <w:r w:rsidR="00CE0E84" w:rsidRPr="00F833B4">
        <w:rPr>
          <w:lang w:val="ru-RU"/>
        </w:rPr>
        <w:t>,</w:t>
      </w:r>
      <w:r w:rsidRPr="00F833B4">
        <w:rPr>
          <w:lang w:val="ru-RU"/>
        </w:rPr>
        <w:t>1</w:t>
      </w:r>
      <w:r w:rsidR="002D1BE1" w:rsidRPr="00F833B4">
        <w:rPr>
          <w:lang w:val="ru-RU"/>
        </w:rPr>
        <w:t xml:space="preserve"> млн. </w:t>
      </w:r>
      <w:r w:rsidR="00CE0E84" w:rsidRPr="00F833B4">
        <w:rPr>
          <w:lang w:val="ru-RU"/>
        </w:rPr>
        <w:t xml:space="preserve">швейцарских франков, </w:t>
      </w:r>
      <w:r w:rsidR="007711D2" w:rsidRPr="00F833B4">
        <w:rPr>
          <w:lang w:val="ru-RU"/>
        </w:rPr>
        <w:t xml:space="preserve">что соответствует </w:t>
      </w:r>
      <w:r w:rsidR="007A2BAF" w:rsidRPr="00F833B4">
        <w:rPr>
          <w:lang w:val="ru-RU"/>
        </w:rPr>
        <w:t>увеличению</w:t>
      </w:r>
      <w:r w:rsidR="00CE0E84" w:rsidRPr="00F833B4">
        <w:rPr>
          <w:lang w:val="ru-RU"/>
        </w:rPr>
        <w:t xml:space="preserve"> на</w:t>
      </w:r>
      <w:r w:rsidRPr="00F833B4">
        <w:rPr>
          <w:lang w:val="ru-RU"/>
        </w:rPr>
        <w:t xml:space="preserve"> 104</w:t>
      </w:r>
      <w:r w:rsidR="00CE0E84" w:rsidRPr="00F833B4">
        <w:rPr>
          <w:lang w:val="ru-RU"/>
        </w:rPr>
        <w:t>,</w:t>
      </w:r>
      <w:r w:rsidRPr="00F833B4">
        <w:rPr>
          <w:lang w:val="ru-RU"/>
        </w:rPr>
        <w:t>3</w:t>
      </w:r>
      <w:r w:rsidR="002D1BE1" w:rsidRPr="00F833B4">
        <w:rPr>
          <w:lang w:val="ru-RU"/>
        </w:rPr>
        <w:t xml:space="preserve"> млн. </w:t>
      </w:r>
      <w:r w:rsidR="00CE0E84" w:rsidRPr="00F833B4">
        <w:rPr>
          <w:lang w:val="ru-RU"/>
        </w:rPr>
        <w:t>швейцарских франков (</w:t>
      </w:r>
      <w:r w:rsidRPr="00F833B4">
        <w:rPr>
          <w:lang w:val="ru-RU"/>
        </w:rPr>
        <w:t>12</w:t>
      </w:r>
      <w:r w:rsidR="00CE0E84" w:rsidRPr="00F833B4">
        <w:rPr>
          <w:lang w:val="ru-RU"/>
        </w:rPr>
        <w:t>,</w:t>
      </w:r>
      <w:r w:rsidRPr="00F833B4">
        <w:rPr>
          <w:lang w:val="ru-RU"/>
        </w:rPr>
        <w:t>9</w:t>
      </w:r>
      <w:r w:rsidR="00CE0E84" w:rsidRPr="00F833B4">
        <w:rPr>
          <w:lang w:val="ru-RU"/>
        </w:rPr>
        <w:t>%) по сравнению с величиной, учтенной в 201</w:t>
      </w:r>
      <w:r w:rsidRPr="00F833B4">
        <w:rPr>
          <w:lang w:val="ru-RU"/>
        </w:rPr>
        <w:t>8</w:t>
      </w:r>
      <w:r w:rsidR="00CE0E84" w:rsidRPr="00F833B4">
        <w:rPr>
          <w:lang w:val="ru-RU"/>
        </w:rPr>
        <w:t> году (</w:t>
      </w:r>
      <w:r w:rsidR="00191BE6" w:rsidRPr="00F833B4">
        <w:rPr>
          <w:lang w:val="ru-RU"/>
        </w:rPr>
        <w:t>8</w:t>
      </w:r>
      <w:r w:rsidRPr="00F833B4">
        <w:rPr>
          <w:lang w:val="ru-RU"/>
        </w:rPr>
        <w:t>0</w:t>
      </w:r>
      <w:r w:rsidR="00191BE6" w:rsidRPr="00F833B4">
        <w:rPr>
          <w:lang w:val="ru-RU"/>
        </w:rPr>
        <w:t>5</w:t>
      </w:r>
      <w:r w:rsidR="00CE0E84" w:rsidRPr="00F833B4">
        <w:rPr>
          <w:lang w:val="ru-RU"/>
        </w:rPr>
        <w:t>,</w:t>
      </w:r>
      <w:r w:rsidRPr="00F833B4">
        <w:rPr>
          <w:lang w:val="ru-RU"/>
        </w:rPr>
        <w:t>8</w:t>
      </w:r>
      <w:r w:rsidR="002D1BE1" w:rsidRPr="00F833B4">
        <w:rPr>
          <w:lang w:val="ru-RU"/>
        </w:rPr>
        <w:t xml:space="preserve"> млн. </w:t>
      </w:r>
      <w:r w:rsidR="00CE0E84" w:rsidRPr="00F833B4">
        <w:rPr>
          <w:lang w:val="ru-RU"/>
        </w:rPr>
        <w:t>швейцарских франков). Пассивы включают:</w:t>
      </w:r>
    </w:p>
    <w:p w14:paraId="6D42D143" w14:textId="77777777" w:rsidR="00CE0E84" w:rsidRPr="00F833B4" w:rsidRDefault="00CE0E84" w:rsidP="007711D2">
      <w:pPr>
        <w:pStyle w:val="enumlev1"/>
        <w:rPr>
          <w:lang w:val="ru-RU"/>
        </w:rPr>
      </w:pPr>
      <w:r w:rsidRPr="00F833B4">
        <w:rPr>
          <w:lang w:val="ru-RU"/>
        </w:rPr>
        <w:t>a)</w:t>
      </w:r>
      <w:r w:rsidRPr="00F833B4">
        <w:rPr>
          <w:lang w:val="ru-RU"/>
        </w:rPr>
        <w:tab/>
      </w:r>
      <w:r w:rsidRPr="00F833B4">
        <w:rPr>
          <w:i/>
          <w:iCs/>
          <w:lang w:val="ru-RU"/>
        </w:rPr>
        <w:t>текущие пассивы</w:t>
      </w:r>
      <w:r w:rsidRPr="00F833B4">
        <w:rPr>
          <w:lang w:val="ru-RU"/>
        </w:rPr>
        <w:t xml:space="preserve"> в размере </w:t>
      </w:r>
      <w:r w:rsidR="00191BE6" w:rsidRPr="00F833B4">
        <w:rPr>
          <w:lang w:val="ru-RU"/>
        </w:rPr>
        <w:t>1</w:t>
      </w:r>
      <w:r w:rsidR="00875AB9" w:rsidRPr="00F833B4">
        <w:rPr>
          <w:lang w:val="ru-RU"/>
        </w:rPr>
        <w:t>72</w:t>
      </w:r>
      <w:r w:rsidRPr="00F833B4">
        <w:rPr>
          <w:lang w:val="ru-RU"/>
        </w:rPr>
        <w:t>,</w:t>
      </w:r>
      <w:r w:rsidR="00875AB9" w:rsidRPr="00F833B4">
        <w:rPr>
          <w:lang w:val="ru-RU"/>
        </w:rPr>
        <w:t>6</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Pr="00F833B4">
        <w:rPr>
          <w:lang w:val="ru-RU"/>
        </w:rPr>
        <w:t xml:space="preserve">швейцарских франков, что составляет </w:t>
      </w:r>
      <w:r w:rsidR="00191BE6" w:rsidRPr="00F833B4">
        <w:rPr>
          <w:lang w:val="ru-RU"/>
        </w:rPr>
        <w:t>19</w:t>
      </w:r>
      <w:r w:rsidRPr="00F833B4">
        <w:rPr>
          <w:lang w:val="ru-RU"/>
        </w:rPr>
        <w:t>% от общего размера пассивов (в 201</w:t>
      </w:r>
      <w:r w:rsidR="00875AB9" w:rsidRPr="00F833B4">
        <w:rPr>
          <w:lang w:val="ru-RU"/>
        </w:rPr>
        <w:t>8</w:t>
      </w:r>
      <w:r w:rsidR="004D2F49" w:rsidRPr="00F833B4">
        <w:rPr>
          <w:lang w:val="ru-RU"/>
        </w:rPr>
        <w:t> г.</w:t>
      </w:r>
      <w:r w:rsidRPr="00F833B4">
        <w:rPr>
          <w:lang w:val="ru-RU"/>
        </w:rPr>
        <w:t xml:space="preserve"> </w:t>
      </w:r>
      <w:r w:rsidR="007711D2" w:rsidRPr="00F833B4">
        <w:rPr>
          <w:lang w:val="ru-RU"/>
        </w:rPr>
        <w:t>−</w:t>
      </w:r>
      <w:r w:rsidRPr="00F833B4">
        <w:rPr>
          <w:lang w:val="ru-RU"/>
        </w:rPr>
        <w:t xml:space="preserve"> </w:t>
      </w:r>
      <w:r w:rsidR="00191BE6" w:rsidRPr="00F833B4">
        <w:rPr>
          <w:lang w:val="ru-RU"/>
        </w:rPr>
        <w:t>1</w:t>
      </w:r>
      <w:r w:rsidR="00D139EC" w:rsidRPr="00F833B4">
        <w:rPr>
          <w:lang w:val="ru-RU"/>
        </w:rPr>
        <w:t>9</w:t>
      </w:r>
      <w:r w:rsidR="00191BE6" w:rsidRPr="00F833B4">
        <w:rPr>
          <w:lang w:val="ru-RU"/>
        </w:rPr>
        <w:t>,</w:t>
      </w:r>
      <w:r w:rsidR="00D139EC" w:rsidRPr="00F833B4">
        <w:rPr>
          <w:lang w:val="ru-RU"/>
        </w:rPr>
        <w:t>5</w:t>
      </w:r>
      <w:r w:rsidR="00191BE6" w:rsidRPr="00F833B4">
        <w:rPr>
          <w:lang w:val="ru-RU"/>
        </w:rPr>
        <w:t>% на общую сумму 1</w:t>
      </w:r>
      <w:r w:rsidR="00D139EC" w:rsidRPr="00F833B4">
        <w:rPr>
          <w:lang w:val="ru-RU"/>
        </w:rPr>
        <w:t>56</w:t>
      </w:r>
      <w:r w:rsidRPr="00F833B4">
        <w:rPr>
          <w:lang w:val="ru-RU"/>
        </w:rPr>
        <w:t>,</w:t>
      </w:r>
      <w:r w:rsidR="00D139EC" w:rsidRPr="00F833B4">
        <w:rPr>
          <w:lang w:val="ru-RU"/>
        </w:rPr>
        <w:t>9</w:t>
      </w:r>
      <w:r w:rsidR="002D1BE1" w:rsidRPr="00F833B4">
        <w:rPr>
          <w:lang w:val="ru-RU"/>
        </w:rPr>
        <w:t xml:space="preserve"> млн. </w:t>
      </w:r>
      <w:r w:rsidRPr="00F833B4">
        <w:rPr>
          <w:lang w:val="ru-RU"/>
        </w:rPr>
        <w:t>швейцарских франков); и</w:t>
      </w:r>
    </w:p>
    <w:p w14:paraId="3762D932" w14:textId="3AA27869" w:rsidR="00CE0E84" w:rsidRPr="00F833B4" w:rsidRDefault="00CE0E84" w:rsidP="007711D2">
      <w:pPr>
        <w:pStyle w:val="enumlev1"/>
        <w:rPr>
          <w:lang w:val="ru-RU"/>
        </w:rPr>
      </w:pPr>
      <w:r w:rsidRPr="00F833B4">
        <w:rPr>
          <w:lang w:val="ru-RU"/>
        </w:rPr>
        <w:t>b)</w:t>
      </w:r>
      <w:r w:rsidRPr="00F833B4">
        <w:rPr>
          <w:lang w:val="ru-RU"/>
        </w:rPr>
        <w:tab/>
      </w:r>
      <w:proofErr w:type="spellStart"/>
      <w:r w:rsidRPr="00F833B4">
        <w:rPr>
          <w:i/>
          <w:iCs/>
          <w:lang w:val="ru-RU"/>
        </w:rPr>
        <w:t>нетекущие</w:t>
      </w:r>
      <w:proofErr w:type="spellEnd"/>
      <w:r w:rsidRPr="00F833B4">
        <w:rPr>
          <w:i/>
          <w:iCs/>
          <w:lang w:val="ru-RU"/>
        </w:rPr>
        <w:t xml:space="preserve"> пассивы</w:t>
      </w:r>
      <w:r w:rsidRPr="00F833B4">
        <w:rPr>
          <w:lang w:val="ru-RU"/>
        </w:rPr>
        <w:t xml:space="preserve"> в размере </w:t>
      </w:r>
      <w:r w:rsidR="00D139EC" w:rsidRPr="00F833B4">
        <w:rPr>
          <w:lang w:val="ru-RU"/>
        </w:rPr>
        <w:t>737</w:t>
      </w:r>
      <w:r w:rsidRPr="00F833B4">
        <w:rPr>
          <w:lang w:val="ru-RU"/>
        </w:rPr>
        <w:t>,</w:t>
      </w:r>
      <w:r w:rsidR="00D139EC" w:rsidRPr="00F833B4">
        <w:rPr>
          <w:lang w:val="ru-RU"/>
        </w:rPr>
        <w:t>5</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Pr="00F833B4">
        <w:rPr>
          <w:lang w:val="ru-RU"/>
        </w:rPr>
        <w:t xml:space="preserve">швейцарских франков, </w:t>
      </w:r>
      <w:r w:rsidR="007711D2" w:rsidRPr="00F833B4">
        <w:rPr>
          <w:lang w:val="ru-RU"/>
        </w:rPr>
        <w:t xml:space="preserve">что </w:t>
      </w:r>
      <w:r w:rsidRPr="00F833B4">
        <w:rPr>
          <w:lang w:val="ru-RU"/>
        </w:rPr>
        <w:t>составля</w:t>
      </w:r>
      <w:r w:rsidR="007711D2" w:rsidRPr="00F833B4">
        <w:rPr>
          <w:lang w:val="ru-RU"/>
        </w:rPr>
        <w:t>ет</w:t>
      </w:r>
      <w:r w:rsidRPr="00F833B4">
        <w:rPr>
          <w:lang w:val="ru-RU"/>
        </w:rPr>
        <w:t xml:space="preserve"> </w:t>
      </w:r>
      <w:r w:rsidR="00191BE6" w:rsidRPr="00F833B4">
        <w:rPr>
          <w:lang w:val="ru-RU"/>
        </w:rPr>
        <w:t>8</w:t>
      </w:r>
      <w:r w:rsidR="00D139EC" w:rsidRPr="00F833B4">
        <w:rPr>
          <w:lang w:val="ru-RU"/>
        </w:rPr>
        <w:t>1</w:t>
      </w:r>
      <w:r w:rsidRPr="00F833B4">
        <w:rPr>
          <w:lang w:val="ru-RU"/>
        </w:rPr>
        <w:t>% от общего размера пассивов (в 201</w:t>
      </w:r>
      <w:r w:rsidR="00D139EC" w:rsidRPr="00F833B4">
        <w:rPr>
          <w:lang w:val="ru-RU"/>
        </w:rPr>
        <w:t>8</w:t>
      </w:r>
      <w:r w:rsidR="004D2F49" w:rsidRPr="00F833B4">
        <w:rPr>
          <w:lang w:val="ru-RU"/>
        </w:rPr>
        <w:t> г.</w:t>
      </w:r>
      <w:r w:rsidRPr="00F833B4">
        <w:rPr>
          <w:lang w:val="ru-RU"/>
        </w:rPr>
        <w:t xml:space="preserve"> </w:t>
      </w:r>
      <w:proofErr w:type="spellStart"/>
      <w:r w:rsidR="007A2BAF" w:rsidRPr="00F833B4">
        <w:rPr>
          <w:lang w:val="ru-RU"/>
        </w:rPr>
        <w:t>нетекущие</w:t>
      </w:r>
      <w:proofErr w:type="spellEnd"/>
      <w:r w:rsidR="007A2BAF" w:rsidRPr="00F833B4">
        <w:rPr>
          <w:lang w:val="ru-RU"/>
        </w:rPr>
        <w:t xml:space="preserve"> пассивы составляли </w:t>
      </w:r>
      <w:r w:rsidR="00191BE6" w:rsidRPr="00F833B4">
        <w:rPr>
          <w:lang w:val="ru-RU"/>
        </w:rPr>
        <w:t>8</w:t>
      </w:r>
      <w:r w:rsidR="00D139EC" w:rsidRPr="00F833B4">
        <w:rPr>
          <w:lang w:val="ru-RU"/>
        </w:rPr>
        <w:t>0</w:t>
      </w:r>
      <w:r w:rsidRPr="00F833B4">
        <w:rPr>
          <w:lang w:val="ru-RU"/>
        </w:rPr>
        <w:t>,</w:t>
      </w:r>
      <w:r w:rsidR="00D139EC" w:rsidRPr="00F833B4">
        <w:rPr>
          <w:lang w:val="ru-RU"/>
        </w:rPr>
        <w:t>5</w:t>
      </w:r>
      <w:r w:rsidRPr="00F833B4">
        <w:rPr>
          <w:lang w:val="ru-RU"/>
        </w:rPr>
        <w:t xml:space="preserve">% на общую сумму </w:t>
      </w:r>
      <w:r w:rsidR="00D139EC" w:rsidRPr="00F833B4">
        <w:rPr>
          <w:lang w:val="ru-RU"/>
        </w:rPr>
        <w:t>648</w:t>
      </w:r>
      <w:r w:rsidRPr="00F833B4">
        <w:rPr>
          <w:lang w:val="ru-RU"/>
        </w:rPr>
        <w:t>,</w:t>
      </w:r>
      <w:r w:rsidR="00D139EC" w:rsidRPr="00F833B4">
        <w:rPr>
          <w:lang w:val="ru-RU"/>
        </w:rPr>
        <w:t>9</w:t>
      </w:r>
      <w:r w:rsidR="002D1BE1" w:rsidRPr="00F833B4">
        <w:rPr>
          <w:lang w:val="ru-RU"/>
        </w:rPr>
        <w:t xml:space="preserve"> млн. </w:t>
      </w:r>
      <w:r w:rsidRPr="00F833B4">
        <w:rPr>
          <w:lang w:val="ru-RU"/>
        </w:rPr>
        <w:t>швейцарских франков).</w:t>
      </w:r>
    </w:p>
    <w:p w14:paraId="663335B1" w14:textId="77777777" w:rsidR="00CE0E84" w:rsidRPr="00F833B4" w:rsidRDefault="00CE0E84" w:rsidP="000608BD">
      <w:pPr>
        <w:pStyle w:val="Heading2"/>
        <w:rPr>
          <w:lang w:val="ru-RU"/>
        </w:rPr>
      </w:pPr>
      <w:bookmarkStart w:id="183" w:name="_Toc358192837"/>
      <w:bookmarkStart w:id="184" w:name="_Toc398125321"/>
      <w:bookmarkStart w:id="185" w:name="_Toc398125800"/>
      <w:bookmarkStart w:id="186" w:name="_Toc398127093"/>
      <w:bookmarkStart w:id="187" w:name="_Toc452157313"/>
      <w:bookmarkStart w:id="188" w:name="_Toc482995179"/>
      <w:bookmarkStart w:id="189" w:name="_Toc522633570"/>
      <w:bookmarkStart w:id="190" w:name="_Toc56179558"/>
      <w:bookmarkStart w:id="191" w:name="_Toc56180378"/>
      <w:r w:rsidRPr="00F833B4">
        <w:rPr>
          <w:lang w:val="ru-RU"/>
        </w:rPr>
        <w:t>Текущие пассивы</w:t>
      </w:r>
      <w:bookmarkEnd w:id="183"/>
      <w:bookmarkEnd w:id="184"/>
      <w:bookmarkEnd w:id="185"/>
      <w:bookmarkEnd w:id="186"/>
      <w:bookmarkEnd w:id="187"/>
      <w:bookmarkEnd w:id="188"/>
      <w:bookmarkEnd w:id="189"/>
      <w:bookmarkEnd w:id="190"/>
      <w:bookmarkEnd w:id="191"/>
    </w:p>
    <w:p w14:paraId="559FC208" w14:textId="77777777" w:rsidR="00D139EC" w:rsidRPr="00F833B4" w:rsidRDefault="00D139EC" w:rsidP="00B05C0D">
      <w:pPr>
        <w:rPr>
          <w:lang w:val="ru-RU"/>
        </w:rPr>
      </w:pPr>
      <w:r w:rsidRPr="00F833B4">
        <w:rPr>
          <w:lang w:val="ru-RU"/>
        </w:rPr>
        <w:t>47</w:t>
      </w:r>
      <w:r w:rsidR="00CE0E84" w:rsidRPr="00F833B4">
        <w:rPr>
          <w:lang w:val="ru-RU"/>
        </w:rPr>
        <w:tab/>
        <w:t>Общий размер текущих пассивов в 201</w:t>
      </w:r>
      <w:r w:rsidRPr="00F833B4">
        <w:rPr>
          <w:lang w:val="ru-RU"/>
        </w:rPr>
        <w:t>9</w:t>
      </w:r>
      <w:r w:rsidR="004D2F49" w:rsidRPr="00F833B4">
        <w:rPr>
          <w:lang w:val="ru-RU"/>
        </w:rPr>
        <w:t> год</w:t>
      </w:r>
      <w:r w:rsidR="00CE0E84" w:rsidRPr="00F833B4">
        <w:rPr>
          <w:lang w:val="ru-RU"/>
        </w:rPr>
        <w:t xml:space="preserve">у, как показано выше, составил </w:t>
      </w:r>
      <w:r w:rsidR="00191BE6" w:rsidRPr="00F833B4">
        <w:rPr>
          <w:lang w:val="ru-RU"/>
        </w:rPr>
        <w:t>1</w:t>
      </w:r>
      <w:r w:rsidRPr="00F833B4">
        <w:rPr>
          <w:lang w:val="ru-RU"/>
        </w:rPr>
        <w:t>72</w:t>
      </w:r>
      <w:r w:rsidR="00CE0E84" w:rsidRPr="00F833B4">
        <w:rPr>
          <w:lang w:val="ru-RU"/>
        </w:rPr>
        <w:t>,</w:t>
      </w:r>
      <w:r w:rsidRPr="00F833B4">
        <w:rPr>
          <w:lang w:val="ru-RU"/>
        </w:rPr>
        <w:t>6</w:t>
      </w:r>
      <w:r w:rsidR="002D1BE1" w:rsidRPr="00F833B4">
        <w:rPr>
          <w:lang w:val="ru-RU"/>
        </w:rPr>
        <w:t xml:space="preserve"> млн. </w:t>
      </w:r>
      <w:r w:rsidR="00CE0E84" w:rsidRPr="00F833B4">
        <w:rPr>
          <w:lang w:val="ru-RU"/>
        </w:rPr>
        <w:t xml:space="preserve">швейцарских франков, </w:t>
      </w:r>
      <w:r w:rsidR="007711D2" w:rsidRPr="00F833B4">
        <w:rPr>
          <w:lang w:val="ru-RU"/>
        </w:rPr>
        <w:t>что соответствует увеличению</w:t>
      </w:r>
      <w:r w:rsidR="00CE0E84" w:rsidRPr="00F833B4">
        <w:rPr>
          <w:lang w:val="ru-RU"/>
        </w:rPr>
        <w:t xml:space="preserve"> на </w:t>
      </w:r>
      <w:r w:rsidRPr="00F833B4">
        <w:rPr>
          <w:lang w:val="ru-RU"/>
        </w:rPr>
        <w:t>15</w:t>
      </w:r>
      <w:r w:rsidR="00CE0E84" w:rsidRPr="00F833B4">
        <w:rPr>
          <w:lang w:val="ru-RU"/>
        </w:rPr>
        <w:t>,</w:t>
      </w:r>
      <w:r w:rsidRPr="00F833B4">
        <w:rPr>
          <w:lang w:val="ru-RU"/>
        </w:rPr>
        <w:t>7</w:t>
      </w:r>
      <w:r w:rsidR="002D1BE1" w:rsidRPr="00F833B4">
        <w:rPr>
          <w:lang w:val="ru-RU"/>
        </w:rPr>
        <w:t xml:space="preserve"> млн. </w:t>
      </w:r>
      <w:r w:rsidR="00CE0E84" w:rsidRPr="00F833B4">
        <w:rPr>
          <w:lang w:val="ru-RU"/>
        </w:rPr>
        <w:t>швейцар</w:t>
      </w:r>
      <w:r w:rsidR="00191BE6" w:rsidRPr="00F833B4">
        <w:rPr>
          <w:lang w:val="ru-RU"/>
        </w:rPr>
        <w:t>ских франков по сравнению с 201</w:t>
      </w:r>
      <w:r w:rsidRPr="00F833B4">
        <w:rPr>
          <w:lang w:val="ru-RU"/>
        </w:rPr>
        <w:t>8</w:t>
      </w:r>
      <w:r w:rsidR="004D2F49" w:rsidRPr="00F833B4">
        <w:rPr>
          <w:lang w:val="ru-RU"/>
        </w:rPr>
        <w:t> год</w:t>
      </w:r>
      <w:r w:rsidR="00CE0E84" w:rsidRPr="00F833B4">
        <w:rPr>
          <w:lang w:val="ru-RU"/>
        </w:rPr>
        <w:t>ом (1</w:t>
      </w:r>
      <w:r w:rsidRPr="00F833B4">
        <w:rPr>
          <w:lang w:val="ru-RU"/>
        </w:rPr>
        <w:t>56</w:t>
      </w:r>
      <w:r w:rsidR="00CE0E84" w:rsidRPr="00F833B4">
        <w:rPr>
          <w:lang w:val="ru-RU"/>
        </w:rPr>
        <w:t>,</w:t>
      </w:r>
      <w:r w:rsidRPr="00F833B4">
        <w:rPr>
          <w:lang w:val="ru-RU"/>
        </w:rPr>
        <w:t>9</w:t>
      </w:r>
      <w:r w:rsidR="002D1BE1" w:rsidRPr="00F833B4">
        <w:rPr>
          <w:lang w:val="ru-RU"/>
        </w:rPr>
        <w:t xml:space="preserve"> млн. </w:t>
      </w:r>
      <w:r w:rsidR="00CE0E84" w:rsidRPr="00F833B4">
        <w:rPr>
          <w:lang w:val="ru-RU"/>
        </w:rPr>
        <w:t>швейцарских франков).</w:t>
      </w:r>
    </w:p>
    <w:p w14:paraId="6CE39AF9" w14:textId="31AAC03B" w:rsidR="00D139EC" w:rsidRPr="00F833B4" w:rsidRDefault="00D139EC" w:rsidP="00B05C0D">
      <w:pPr>
        <w:rPr>
          <w:lang w:val="ru-RU"/>
        </w:rPr>
      </w:pPr>
      <w:r w:rsidRPr="00F833B4">
        <w:rPr>
          <w:lang w:val="ru-RU"/>
        </w:rPr>
        <w:t>48</w:t>
      </w:r>
      <w:r w:rsidRPr="00F833B4">
        <w:rPr>
          <w:lang w:val="ru-RU"/>
        </w:rPr>
        <w:tab/>
      </w:r>
      <w:r w:rsidR="0019033C" w:rsidRPr="00F833B4">
        <w:rPr>
          <w:lang w:val="ru-RU"/>
        </w:rPr>
        <w:t xml:space="preserve">Увеличение вызвано добавлением нового подраздела </w:t>
      </w:r>
      <w:r w:rsidRPr="00F833B4">
        <w:rPr>
          <w:lang w:val="ru-RU"/>
        </w:rPr>
        <w:t>"</w:t>
      </w:r>
      <w:r w:rsidR="00C0120A" w:rsidRPr="00F833B4">
        <w:rPr>
          <w:lang w:val="ru-RU"/>
        </w:rPr>
        <w:t xml:space="preserve">Фонд компенсации </w:t>
      </w:r>
      <w:r w:rsidR="005C7D63" w:rsidRPr="00F833B4">
        <w:rPr>
          <w:color w:val="000000"/>
          <w:lang w:val="ru-RU"/>
        </w:rPr>
        <w:t xml:space="preserve">ЮНСМИС", на сумму </w:t>
      </w:r>
      <w:r w:rsidRPr="00F833B4">
        <w:rPr>
          <w:lang w:val="ru-RU"/>
        </w:rPr>
        <w:t>21</w:t>
      </w:r>
      <w:r w:rsidR="005C7D63" w:rsidRPr="00F833B4">
        <w:rPr>
          <w:lang w:val="ru-RU"/>
        </w:rPr>
        <w:t>,</w:t>
      </w:r>
      <w:r w:rsidRPr="00F833B4">
        <w:rPr>
          <w:lang w:val="ru-RU"/>
        </w:rPr>
        <w:t>2</w:t>
      </w:r>
      <w:r w:rsidR="005C7D63" w:rsidRPr="00F833B4">
        <w:rPr>
          <w:lang w:val="ru-RU"/>
        </w:rPr>
        <w:t xml:space="preserve"> млн. швейцарских франков </w:t>
      </w:r>
      <w:r w:rsidRPr="00F833B4">
        <w:rPr>
          <w:lang w:val="ru-RU"/>
        </w:rPr>
        <w:t>(</w:t>
      </w:r>
      <w:r w:rsidR="005C7D63" w:rsidRPr="00F833B4">
        <w:rPr>
          <w:lang w:val="ru-RU"/>
        </w:rPr>
        <w:t>эквивалентн</w:t>
      </w:r>
      <w:r w:rsidR="003025B5" w:rsidRPr="00F833B4">
        <w:rPr>
          <w:lang w:val="ru-RU"/>
        </w:rPr>
        <w:t xml:space="preserve">о сумме, учитываемой как </w:t>
      </w:r>
      <w:r w:rsidRPr="00F833B4">
        <w:rPr>
          <w:lang w:val="ru-RU"/>
        </w:rPr>
        <w:t>"</w:t>
      </w:r>
      <w:r w:rsidR="003025B5" w:rsidRPr="00F833B4">
        <w:rPr>
          <w:lang w:val="ru-RU"/>
        </w:rPr>
        <w:t>расходы</w:t>
      </w:r>
      <w:r w:rsidR="003868EE" w:rsidRPr="00F833B4">
        <w:rPr>
          <w:lang w:val="ru-RU"/>
        </w:rPr>
        <w:t xml:space="preserve"> будущих периодов</w:t>
      </w:r>
      <w:r w:rsidRPr="00F833B4">
        <w:rPr>
          <w:lang w:val="ru-RU"/>
        </w:rPr>
        <w:t xml:space="preserve">" </w:t>
      </w:r>
      <w:r w:rsidR="003025B5" w:rsidRPr="00F833B4">
        <w:rPr>
          <w:lang w:val="ru-RU"/>
        </w:rPr>
        <w:t>в текущих активах</w:t>
      </w:r>
      <w:r w:rsidRPr="00F833B4">
        <w:rPr>
          <w:lang w:val="ru-RU"/>
        </w:rPr>
        <w:t xml:space="preserve">), </w:t>
      </w:r>
      <w:r w:rsidR="008C1975" w:rsidRPr="00F833B4">
        <w:rPr>
          <w:lang w:val="ru-RU"/>
        </w:rPr>
        <w:t xml:space="preserve">связанного с присоединением МСЭ к новой программе медицинского </w:t>
      </w:r>
      <w:r w:rsidR="008C1975" w:rsidRPr="00F833B4">
        <w:rPr>
          <w:lang w:val="ru-RU"/>
        </w:rPr>
        <w:lastRenderedPageBreak/>
        <w:t>страхования с 2020 года</w:t>
      </w:r>
      <w:r w:rsidRPr="00F833B4">
        <w:rPr>
          <w:lang w:val="ru-RU"/>
        </w:rPr>
        <w:t xml:space="preserve">; </w:t>
      </w:r>
      <w:r w:rsidR="008C1975" w:rsidRPr="00F833B4">
        <w:rPr>
          <w:lang w:val="ru-RU"/>
        </w:rPr>
        <w:t>см. подробное описание этих элементов учета ниже в настоящем отчете, где мы рассматриваем вознаграждение сотрудников</w:t>
      </w:r>
      <w:r w:rsidRPr="00F833B4">
        <w:rPr>
          <w:lang w:val="ru-RU"/>
        </w:rPr>
        <w:t>.</w:t>
      </w:r>
    </w:p>
    <w:p w14:paraId="72BD3C23" w14:textId="0A1BF7DA" w:rsidR="00CE0E84" w:rsidRPr="00F833B4" w:rsidRDefault="00D139EC" w:rsidP="00B05C0D">
      <w:pPr>
        <w:rPr>
          <w:lang w:val="ru-RU"/>
        </w:rPr>
      </w:pPr>
      <w:r w:rsidRPr="00F833B4">
        <w:rPr>
          <w:lang w:val="ru-RU"/>
        </w:rPr>
        <w:t>49</w:t>
      </w:r>
      <w:r w:rsidRPr="00F833B4">
        <w:rPr>
          <w:lang w:val="ru-RU"/>
        </w:rPr>
        <w:tab/>
      </w:r>
      <w:r w:rsidR="00B05C0D" w:rsidRPr="00F833B4">
        <w:rPr>
          <w:lang w:val="ru-RU"/>
        </w:rPr>
        <w:t xml:space="preserve">В </w:t>
      </w:r>
      <w:r w:rsidR="00CD1402" w:rsidRPr="00F833B4">
        <w:rPr>
          <w:lang w:val="ru-RU"/>
        </w:rPr>
        <w:t xml:space="preserve">числе других подразделов </w:t>
      </w:r>
      <w:r w:rsidR="0091144B" w:rsidRPr="00F833B4">
        <w:rPr>
          <w:lang w:val="ru-RU"/>
        </w:rPr>
        <w:t xml:space="preserve">по сравнению с 2018 годом </w:t>
      </w:r>
      <w:r w:rsidR="00CD1402" w:rsidRPr="00F833B4">
        <w:rPr>
          <w:lang w:val="ru-RU"/>
        </w:rPr>
        <w:t xml:space="preserve">уменьшились объемы подразделов "Резервные фонды" </w:t>
      </w:r>
      <w:r w:rsidR="0091144B" w:rsidRPr="00F833B4">
        <w:rPr>
          <w:lang w:val="ru-RU"/>
        </w:rPr>
        <w:t>(–6,1 млн. швейцарских франков) и "Доходы будущих периодов" (–0,6 млн. швейцарских франков) , тогда как возрос объем подраздела</w:t>
      </w:r>
      <w:r w:rsidR="00B41FBF" w:rsidRPr="00F833B4">
        <w:rPr>
          <w:lang w:val="ru-RU"/>
        </w:rPr>
        <w:t xml:space="preserve"> "Прочая задолженность" (1,</w:t>
      </w:r>
      <w:r w:rsidRPr="00F833B4">
        <w:rPr>
          <w:lang w:val="ru-RU"/>
        </w:rPr>
        <w:t>7</w:t>
      </w:r>
      <w:r w:rsidR="002D1BE1" w:rsidRPr="00F833B4">
        <w:rPr>
          <w:lang w:val="ru-RU"/>
        </w:rPr>
        <w:t xml:space="preserve"> млн. </w:t>
      </w:r>
      <w:r w:rsidR="00CE0E84" w:rsidRPr="00F833B4">
        <w:rPr>
          <w:lang w:val="ru-RU"/>
        </w:rPr>
        <w:t xml:space="preserve">швейцарских франков). Основа оценки текущих пассивов изложена в </w:t>
      </w:r>
      <w:r w:rsidR="00B05C0D" w:rsidRPr="00F833B4">
        <w:rPr>
          <w:lang w:val="ru-RU"/>
        </w:rPr>
        <w:t>разделе "</w:t>
      </w:r>
      <w:r w:rsidR="00CE0E84" w:rsidRPr="00F833B4">
        <w:rPr>
          <w:lang w:val="ru-RU"/>
        </w:rPr>
        <w:t>Принцип</w:t>
      </w:r>
      <w:r w:rsidR="00B05C0D" w:rsidRPr="00F833B4">
        <w:rPr>
          <w:lang w:val="ru-RU"/>
        </w:rPr>
        <w:t>ы</w:t>
      </w:r>
      <w:r w:rsidR="00CE0E84" w:rsidRPr="00F833B4">
        <w:rPr>
          <w:lang w:val="ru-RU"/>
        </w:rPr>
        <w:t xml:space="preserve"> бухгалтерского учета</w:t>
      </w:r>
      <w:r w:rsidR="00B05C0D" w:rsidRPr="00F833B4">
        <w:rPr>
          <w:lang w:val="ru-RU"/>
        </w:rPr>
        <w:t>"</w:t>
      </w:r>
      <w:r w:rsidR="00CE0E84" w:rsidRPr="00F833B4">
        <w:rPr>
          <w:lang w:val="ru-RU"/>
        </w:rPr>
        <w:t xml:space="preserve"> (Примечание</w:t>
      </w:r>
      <w:r w:rsidR="00B05C0D" w:rsidRPr="00F833B4">
        <w:rPr>
          <w:lang w:val="ru-RU"/>
        </w:rPr>
        <w:t> </w:t>
      </w:r>
      <w:r w:rsidR="00CE0E84" w:rsidRPr="00F833B4">
        <w:rPr>
          <w:lang w:val="ru-RU"/>
        </w:rPr>
        <w:t xml:space="preserve">2). </w:t>
      </w:r>
    </w:p>
    <w:p w14:paraId="60B90A51" w14:textId="77777777" w:rsidR="00CE0E84" w:rsidRPr="00F833B4" w:rsidRDefault="00CE0E84" w:rsidP="000608BD">
      <w:pPr>
        <w:pStyle w:val="Heading2"/>
        <w:rPr>
          <w:spacing w:val="6"/>
          <w:lang w:val="ru-RU"/>
        </w:rPr>
      </w:pPr>
      <w:bookmarkStart w:id="192" w:name="_Toc358192838"/>
      <w:bookmarkStart w:id="193" w:name="_Toc398125322"/>
      <w:bookmarkStart w:id="194" w:name="_Toc398125801"/>
      <w:bookmarkStart w:id="195" w:name="_Toc398127094"/>
      <w:bookmarkStart w:id="196" w:name="_Toc452157314"/>
      <w:bookmarkStart w:id="197" w:name="_Toc482995180"/>
      <w:bookmarkStart w:id="198" w:name="_Toc522633571"/>
      <w:bookmarkStart w:id="199" w:name="_Toc56179559"/>
      <w:bookmarkStart w:id="200" w:name="_Toc56180379"/>
      <w:r w:rsidRPr="00F833B4">
        <w:rPr>
          <w:lang w:val="ru-RU"/>
        </w:rPr>
        <w:t>Поставщики и прочие кредиторы</w:t>
      </w:r>
      <w:bookmarkEnd w:id="192"/>
      <w:bookmarkEnd w:id="193"/>
      <w:bookmarkEnd w:id="194"/>
      <w:bookmarkEnd w:id="195"/>
      <w:bookmarkEnd w:id="196"/>
      <w:bookmarkEnd w:id="197"/>
      <w:bookmarkEnd w:id="198"/>
      <w:bookmarkEnd w:id="199"/>
      <w:bookmarkEnd w:id="200"/>
      <w:r w:rsidRPr="00F833B4">
        <w:rPr>
          <w:spacing w:val="6"/>
          <w:lang w:val="ru-RU"/>
        </w:rPr>
        <w:t xml:space="preserve"> </w:t>
      </w:r>
    </w:p>
    <w:p w14:paraId="35CDAC27" w14:textId="77777777" w:rsidR="00CE0E84" w:rsidRPr="00F833B4" w:rsidRDefault="00335229" w:rsidP="00C84E06">
      <w:pPr>
        <w:rPr>
          <w:lang w:val="ru-RU"/>
        </w:rPr>
      </w:pPr>
      <w:r w:rsidRPr="00F833B4">
        <w:rPr>
          <w:lang w:val="ru-RU"/>
        </w:rPr>
        <w:t>50</w:t>
      </w:r>
      <w:r w:rsidR="00CE0E84" w:rsidRPr="00F833B4">
        <w:rPr>
          <w:lang w:val="ru-RU"/>
        </w:rPr>
        <w:tab/>
        <w:t>В разделе "Поставщики и прочие кредиторы" заключительного бала</w:t>
      </w:r>
      <w:r w:rsidR="00B41FBF" w:rsidRPr="00F833B4">
        <w:rPr>
          <w:lang w:val="ru-RU"/>
        </w:rPr>
        <w:t xml:space="preserve">нса </w:t>
      </w:r>
      <w:r w:rsidR="00C84E06" w:rsidRPr="00F833B4">
        <w:rPr>
          <w:lang w:val="ru-RU"/>
        </w:rPr>
        <w:t>показана</w:t>
      </w:r>
      <w:r w:rsidR="00B41FBF" w:rsidRPr="00F833B4">
        <w:rPr>
          <w:lang w:val="ru-RU"/>
        </w:rPr>
        <w:t xml:space="preserve"> сумма в размере 8</w:t>
      </w:r>
      <w:r w:rsidR="00CE0E84" w:rsidRPr="00F833B4">
        <w:rPr>
          <w:lang w:val="ru-RU"/>
        </w:rPr>
        <w:t>,</w:t>
      </w:r>
      <w:r w:rsidRPr="00F833B4">
        <w:rPr>
          <w:lang w:val="ru-RU"/>
        </w:rPr>
        <w:t>5</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00CE0E84" w:rsidRPr="00F833B4">
        <w:rPr>
          <w:lang w:val="ru-RU"/>
        </w:rPr>
        <w:t>швейцарских франков (в 201</w:t>
      </w:r>
      <w:r w:rsidRPr="00F833B4">
        <w:rPr>
          <w:lang w:val="ru-RU"/>
        </w:rPr>
        <w:t>8</w:t>
      </w:r>
      <w:r w:rsidR="004D2F49" w:rsidRPr="00F833B4">
        <w:rPr>
          <w:lang w:val="ru-RU"/>
        </w:rPr>
        <w:t> г.</w:t>
      </w:r>
      <w:r w:rsidR="002D1BE1" w:rsidRPr="00F833B4">
        <w:rPr>
          <w:lang w:val="ru-RU"/>
        </w:rPr>
        <w:t> </w:t>
      </w:r>
      <w:r w:rsidR="00CE0E84" w:rsidRPr="00F833B4">
        <w:rPr>
          <w:lang w:val="ru-RU"/>
        </w:rPr>
        <w:t xml:space="preserve">− </w:t>
      </w:r>
      <w:r w:rsidRPr="00F833B4">
        <w:rPr>
          <w:lang w:val="ru-RU"/>
        </w:rPr>
        <w:t>8</w:t>
      </w:r>
      <w:r w:rsidR="00CE0E84" w:rsidRPr="00F833B4">
        <w:rPr>
          <w:lang w:val="ru-RU"/>
        </w:rPr>
        <w:t>,</w:t>
      </w:r>
      <w:r w:rsidRPr="00F833B4">
        <w:rPr>
          <w:lang w:val="ru-RU"/>
        </w:rPr>
        <w:t>9</w:t>
      </w:r>
      <w:r w:rsidR="002D1BE1" w:rsidRPr="00F833B4">
        <w:rPr>
          <w:lang w:val="ru-RU"/>
        </w:rPr>
        <w:t xml:space="preserve"> млн. </w:t>
      </w:r>
      <w:r w:rsidR="00CE0E84" w:rsidRPr="00F833B4">
        <w:rPr>
          <w:lang w:val="ru-RU"/>
        </w:rPr>
        <w:t>швейцарских франков). Подробная разбивка показана в Примечании</w:t>
      </w:r>
      <w:r w:rsidR="002D1BE1" w:rsidRPr="00F833B4">
        <w:rPr>
          <w:lang w:val="ru-RU"/>
        </w:rPr>
        <w:t> </w:t>
      </w:r>
      <w:r w:rsidR="00CE0E84" w:rsidRPr="00F833B4">
        <w:rPr>
          <w:lang w:val="ru-RU"/>
        </w:rPr>
        <w:t>14 к Отчету о финансовой деятельности, где перечислены три подраздела: "Поставщики", "Полученные депозиты" и "Полученные аванс</w:t>
      </w:r>
      <w:r w:rsidR="0066720E" w:rsidRPr="00F833B4">
        <w:rPr>
          <w:lang w:val="ru-RU"/>
        </w:rPr>
        <w:t>овые платежи</w:t>
      </w:r>
      <w:r w:rsidR="00CE0E84" w:rsidRPr="00F833B4">
        <w:rPr>
          <w:lang w:val="ru-RU"/>
        </w:rPr>
        <w:t>".</w:t>
      </w:r>
    </w:p>
    <w:p w14:paraId="2E522F22" w14:textId="77777777" w:rsidR="00CE0E84" w:rsidRPr="00F833B4" w:rsidRDefault="00CE0E84" w:rsidP="000608BD">
      <w:pPr>
        <w:pStyle w:val="Heading2"/>
        <w:rPr>
          <w:lang w:val="ru-RU"/>
        </w:rPr>
      </w:pPr>
      <w:bookmarkStart w:id="201" w:name="_Toc358192839"/>
      <w:bookmarkStart w:id="202" w:name="_Toc398125323"/>
      <w:bookmarkStart w:id="203" w:name="_Toc398125802"/>
      <w:bookmarkStart w:id="204" w:name="_Toc398127095"/>
      <w:bookmarkStart w:id="205" w:name="_Toc452157315"/>
      <w:bookmarkStart w:id="206" w:name="_Toc482995181"/>
      <w:bookmarkStart w:id="207" w:name="_Toc522633572"/>
      <w:bookmarkStart w:id="208" w:name="_Toc56179560"/>
      <w:bookmarkStart w:id="209" w:name="_Toc56180380"/>
      <w:r w:rsidRPr="00F833B4">
        <w:rPr>
          <w:lang w:val="ru-RU"/>
        </w:rPr>
        <w:t>Доходы будущих периодов</w:t>
      </w:r>
      <w:bookmarkEnd w:id="201"/>
      <w:bookmarkEnd w:id="202"/>
      <w:bookmarkEnd w:id="203"/>
      <w:bookmarkEnd w:id="204"/>
      <w:bookmarkEnd w:id="205"/>
      <w:bookmarkEnd w:id="206"/>
      <w:bookmarkEnd w:id="207"/>
      <w:bookmarkEnd w:id="208"/>
      <w:bookmarkEnd w:id="209"/>
    </w:p>
    <w:p w14:paraId="21E6F276" w14:textId="7DB6EE5F" w:rsidR="00CE0E84" w:rsidRPr="00F833B4" w:rsidRDefault="00335229" w:rsidP="0066720E">
      <w:pPr>
        <w:rPr>
          <w:lang w:val="ru-RU"/>
        </w:rPr>
      </w:pPr>
      <w:r w:rsidRPr="00F833B4">
        <w:rPr>
          <w:lang w:val="ru-RU"/>
        </w:rPr>
        <w:t>51</w:t>
      </w:r>
      <w:r w:rsidR="00CE0E84" w:rsidRPr="00F833B4">
        <w:rPr>
          <w:lang w:val="ru-RU"/>
        </w:rPr>
        <w:tab/>
      </w:r>
      <w:r w:rsidR="0066720E" w:rsidRPr="00F833B4">
        <w:rPr>
          <w:lang w:val="ru-RU"/>
        </w:rPr>
        <w:t>Объем п</w:t>
      </w:r>
      <w:r w:rsidR="00CE0E84" w:rsidRPr="00F833B4">
        <w:rPr>
          <w:lang w:val="ru-RU"/>
        </w:rPr>
        <w:t>одраздел</w:t>
      </w:r>
      <w:r w:rsidR="0066720E" w:rsidRPr="00F833B4">
        <w:rPr>
          <w:lang w:val="ru-RU"/>
        </w:rPr>
        <w:t>а</w:t>
      </w:r>
      <w:r w:rsidR="00CE0E84" w:rsidRPr="00F833B4">
        <w:rPr>
          <w:lang w:val="ru-RU"/>
        </w:rPr>
        <w:t xml:space="preserve"> "Доходы будущих периодов" составил </w:t>
      </w:r>
      <w:r w:rsidR="00B41FBF" w:rsidRPr="00F833B4">
        <w:rPr>
          <w:lang w:val="ru-RU"/>
        </w:rPr>
        <w:t>13</w:t>
      </w:r>
      <w:r w:rsidRPr="00F833B4">
        <w:rPr>
          <w:lang w:val="ru-RU"/>
        </w:rPr>
        <w:t>5</w:t>
      </w:r>
      <w:r w:rsidR="00CE0E84" w:rsidRPr="00F833B4">
        <w:rPr>
          <w:lang w:val="ru-RU"/>
        </w:rPr>
        <w:t>,</w:t>
      </w:r>
      <w:r w:rsidRPr="00F833B4">
        <w:rPr>
          <w:lang w:val="ru-RU"/>
        </w:rPr>
        <w:t>6</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00CE0E84" w:rsidRPr="00F833B4">
        <w:rPr>
          <w:lang w:val="ru-RU"/>
        </w:rPr>
        <w:t>швейцарских франков (в 201</w:t>
      </w:r>
      <w:r w:rsidRPr="00F833B4">
        <w:rPr>
          <w:lang w:val="ru-RU"/>
        </w:rPr>
        <w:t>8</w:t>
      </w:r>
      <w:r w:rsidR="004D2F49" w:rsidRPr="00F833B4">
        <w:rPr>
          <w:lang w:val="ru-RU"/>
        </w:rPr>
        <w:t> г.</w:t>
      </w:r>
      <w:r w:rsidR="00CE0E84" w:rsidRPr="00F833B4">
        <w:rPr>
          <w:lang w:val="ru-RU"/>
        </w:rPr>
        <w:t xml:space="preserve"> − </w:t>
      </w:r>
      <w:r w:rsidR="00B41FBF" w:rsidRPr="00F833B4">
        <w:rPr>
          <w:lang w:val="ru-RU"/>
        </w:rPr>
        <w:t>13</w:t>
      </w:r>
      <w:r w:rsidRPr="00F833B4">
        <w:rPr>
          <w:lang w:val="ru-RU"/>
        </w:rPr>
        <w:t>6</w:t>
      </w:r>
      <w:r w:rsidR="00CE0E84" w:rsidRPr="00F833B4">
        <w:rPr>
          <w:lang w:val="ru-RU"/>
        </w:rPr>
        <w:t>,</w:t>
      </w:r>
      <w:r w:rsidRPr="00F833B4">
        <w:rPr>
          <w:lang w:val="ru-RU"/>
        </w:rPr>
        <w:t>3</w:t>
      </w:r>
      <w:r w:rsidR="002D1BE1" w:rsidRPr="00F833B4">
        <w:rPr>
          <w:lang w:val="ru-RU"/>
        </w:rPr>
        <w:t xml:space="preserve"> млн. </w:t>
      </w:r>
      <w:r w:rsidR="00CE0E84" w:rsidRPr="00F833B4">
        <w:rPr>
          <w:lang w:val="ru-RU"/>
        </w:rPr>
        <w:t xml:space="preserve">швейцарских франков). </w:t>
      </w:r>
      <w:proofErr w:type="spellStart"/>
      <w:r w:rsidR="00CE0E84" w:rsidRPr="00F833B4">
        <w:rPr>
          <w:lang w:val="ru-RU"/>
        </w:rPr>
        <w:t>Бóльшая</w:t>
      </w:r>
      <w:proofErr w:type="spellEnd"/>
      <w:r w:rsidR="00CE0E84" w:rsidRPr="00F833B4">
        <w:rPr>
          <w:lang w:val="ru-RU"/>
        </w:rPr>
        <w:t xml:space="preserve"> часть этой суммы приходится на взносы членов МСЭ (Государств</w:t>
      </w:r>
      <w:r w:rsidR="0066720E" w:rsidRPr="00F833B4">
        <w:rPr>
          <w:lang w:val="ru-RU"/>
        </w:rPr>
        <w:t>а</w:t>
      </w:r>
      <w:r w:rsidR="00CE0E84" w:rsidRPr="00F833B4">
        <w:rPr>
          <w:lang w:val="ru-RU"/>
        </w:rPr>
        <w:t>-Член</w:t>
      </w:r>
      <w:r w:rsidR="0066720E" w:rsidRPr="00F833B4">
        <w:rPr>
          <w:lang w:val="ru-RU"/>
        </w:rPr>
        <w:t>ы</w:t>
      </w:r>
      <w:r w:rsidR="00CE0E84" w:rsidRPr="00F833B4">
        <w:rPr>
          <w:lang w:val="ru-RU"/>
        </w:rPr>
        <w:t>, Член</w:t>
      </w:r>
      <w:r w:rsidR="0066720E" w:rsidRPr="00F833B4">
        <w:rPr>
          <w:lang w:val="ru-RU"/>
        </w:rPr>
        <w:t>ы</w:t>
      </w:r>
      <w:r w:rsidR="00CE0E84" w:rsidRPr="00F833B4">
        <w:rPr>
          <w:lang w:val="ru-RU"/>
        </w:rPr>
        <w:t xml:space="preserve"> Секторов, Ассоциированны</w:t>
      </w:r>
      <w:r w:rsidR="0066720E" w:rsidRPr="00F833B4">
        <w:rPr>
          <w:lang w:val="ru-RU"/>
        </w:rPr>
        <w:t>е</w:t>
      </w:r>
      <w:r w:rsidR="00CE0E84" w:rsidRPr="00F833B4">
        <w:rPr>
          <w:lang w:val="ru-RU"/>
        </w:rPr>
        <w:t xml:space="preserve"> член</w:t>
      </w:r>
      <w:r w:rsidR="0066720E" w:rsidRPr="00F833B4">
        <w:rPr>
          <w:lang w:val="ru-RU"/>
        </w:rPr>
        <w:t>ы</w:t>
      </w:r>
      <w:r w:rsidR="00CE0E84" w:rsidRPr="00F833B4">
        <w:rPr>
          <w:lang w:val="ru-RU"/>
        </w:rPr>
        <w:t xml:space="preserve">) и на доходы от обработки заявок на регистрацию спутниковых сетей, </w:t>
      </w:r>
      <w:r w:rsidR="0066720E" w:rsidRPr="00F833B4">
        <w:rPr>
          <w:lang w:val="ru-RU"/>
        </w:rPr>
        <w:t>которые подготовлены в</w:t>
      </w:r>
      <w:r w:rsidR="00B41FBF" w:rsidRPr="00F833B4">
        <w:rPr>
          <w:lang w:val="ru-RU"/>
        </w:rPr>
        <w:t xml:space="preserve"> кон</w:t>
      </w:r>
      <w:r w:rsidR="0066720E" w:rsidRPr="00F833B4">
        <w:rPr>
          <w:lang w:val="ru-RU"/>
        </w:rPr>
        <w:t>це</w:t>
      </w:r>
      <w:r w:rsidR="00B41FBF" w:rsidRPr="00F833B4">
        <w:rPr>
          <w:lang w:val="ru-RU"/>
        </w:rPr>
        <w:t xml:space="preserve"> 201</w:t>
      </w:r>
      <w:r w:rsidRPr="00F833B4">
        <w:rPr>
          <w:lang w:val="ru-RU"/>
        </w:rPr>
        <w:t>9</w:t>
      </w:r>
      <w:r w:rsidR="0066720E" w:rsidRPr="00F833B4">
        <w:rPr>
          <w:lang w:val="ru-RU"/>
        </w:rPr>
        <w:t> </w:t>
      </w:r>
      <w:r w:rsidR="00CE0E84" w:rsidRPr="00F833B4">
        <w:rPr>
          <w:lang w:val="ru-RU"/>
        </w:rPr>
        <w:t>года</w:t>
      </w:r>
      <w:r w:rsidR="0066720E" w:rsidRPr="00F833B4">
        <w:rPr>
          <w:lang w:val="ru-RU"/>
        </w:rPr>
        <w:t xml:space="preserve"> для публикации</w:t>
      </w:r>
      <w:r w:rsidR="00CE0E84" w:rsidRPr="00F833B4">
        <w:rPr>
          <w:lang w:val="ru-RU"/>
        </w:rPr>
        <w:t xml:space="preserve"> в 20</w:t>
      </w:r>
      <w:r w:rsidRPr="00F833B4">
        <w:rPr>
          <w:lang w:val="ru-RU"/>
        </w:rPr>
        <w:t>20</w:t>
      </w:r>
      <w:r w:rsidR="0066720E" w:rsidRPr="00F833B4">
        <w:rPr>
          <w:lang w:val="ru-RU"/>
        </w:rPr>
        <w:t> </w:t>
      </w:r>
      <w:r w:rsidR="00CE0E84" w:rsidRPr="00F833B4">
        <w:rPr>
          <w:lang w:val="ru-RU"/>
        </w:rPr>
        <w:t xml:space="preserve">году. </w:t>
      </w:r>
      <w:r w:rsidR="00F47AA5" w:rsidRPr="00F833B4">
        <w:rPr>
          <w:lang w:val="ru-RU"/>
        </w:rPr>
        <w:t>Доходы от соглашений о спонсорской поддержке строительства нового здания</w:t>
      </w:r>
      <w:r w:rsidR="000F0031" w:rsidRPr="00F833B4">
        <w:rPr>
          <w:lang w:val="ru-RU"/>
        </w:rPr>
        <w:t>, на которые уже были выставлены счета в 2019 году, также показаны в этом подразделе как "Другие"</w:t>
      </w:r>
      <w:r w:rsidRPr="00F833B4">
        <w:rPr>
          <w:lang w:val="ru-RU"/>
        </w:rPr>
        <w:t xml:space="preserve">. </w:t>
      </w:r>
      <w:r w:rsidR="00CE0E84" w:rsidRPr="00F833B4">
        <w:rPr>
          <w:lang w:val="ru-RU"/>
        </w:rPr>
        <w:t xml:space="preserve">Подробная разбивка доходов будущих периодов </w:t>
      </w:r>
      <w:r w:rsidR="0066720E" w:rsidRPr="00F833B4">
        <w:rPr>
          <w:lang w:val="ru-RU"/>
        </w:rPr>
        <w:t>показана</w:t>
      </w:r>
      <w:r w:rsidR="00CE0E84" w:rsidRPr="00F833B4">
        <w:rPr>
          <w:lang w:val="ru-RU"/>
        </w:rPr>
        <w:t xml:space="preserve"> в Примечании</w:t>
      </w:r>
      <w:r w:rsidR="0066720E" w:rsidRPr="00F833B4">
        <w:rPr>
          <w:lang w:val="ru-RU"/>
        </w:rPr>
        <w:t> </w:t>
      </w:r>
      <w:r w:rsidR="00CE0E84" w:rsidRPr="00F833B4">
        <w:rPr>
          <w:lang w:val="ru-RU"/>
        </w:rPr>
        <w:t>15 к Отчету о финансовой деятельности.</w:t>
      </w:r>
    </w:p>
    <w:p w14:paraId="33F05ACE" w14:textId="77777777" w:rsidR="00CE0E84" w:rsidRPr="00F833B4" w:rsidRDefault="00CE0E84" w:rsidP="000608BD">
      <w:pPr>
        <w:pStyle w:val="Heading2"/>
        <w:rPr>
          <w:lang w:val="ru-RU"/>
        </w:rPr>
      </w:pPr>
      <w:bookmarkStart w:id="210" w:name="_Toc358192840"/>
      <w:bookmarkStart w:id="211" w:name="_Toc398125324"/>
      <w:bookmarkStart w:id="212" w:name="_Toc398125803"/>
      <w:bookmarkStart w:id="213" w:name="_Toc398127096"/>
      <w:bookmarkStart w:id="214" w:name="_Toc452157316"/>
      <w:bookmarkStart w:id="215" w:name="_Toc482995182"/>
      <w:bookmarkStart w:id="216" w:name="_Toc522633573"/>
      <w:bookmarkStart w:id="217" w:name="_Toc56179561"/>
      <w:bookmarkStart w:id="218" w:name="_Toc56180381"/>
      <w:r w:rsidRPr="00F833B4">
        <w:rPr>
          <w:lang w:val="ru-RU"/>
        </w:rPr>
        <w:t>Резервные фонды</w:t>
      </w:r>
      <w:bookmarkEnd w:id="210"/>
      <w:bookmarkEnd w:id="211"/>
      <w:bookmarkEnd w:id="212"/>
      <w:bookmarkEnd w:id="213"/>
      <w:bookmarkEnd w:id="214"/>
      <w:bookmarkEnd w:id="215"/>
      <w:bookmarkEnd w:id="216"/>
      <w:bookmarkEnd w:id="217"/>
      <w:bookmarkEnd w:id="218"/>
    </w:p>
    <w:p w14:paraId="26D864AF" w14:textId="54C4775C" w:rsidR="00CE0E84" w:rsidRPr="00F833B4" w:rsidRDefault="00E3462A" w:rsidP="0066720E">
      <w:pPr>
        <w:rPr>
          <w:lang w:val="ru-RU"/>
        </w:rPr>
      </w:pPr>
      <w:r w:rsidRPr="00F833B4">
        <w:rPr>
          <w:lang w:val="ru-RU"/>
        </w:rPr>
        <w:t>52</w:t>
      </w:r>
      <w:r w:rsidR="00CE0E84" w:rsidRPr="00F833B4">
        <w:rPr>
          <w:lang w:val="ru-RU"/>
        </w:rPr>
        <w:tab/>
        <w:t>В 201</w:t>
      </w:r>
      <w:r w:rsidRPr="00F833B4">
        <w:rPr>
          <w:lang w:val="ru-RU"/>
        </w:rPr>
        <w:t>9</w:t>
      </w:r>
      <w:r w:rsidR="004D2F49" w:rsidRPr="00F833B4">
        <w:rPr>
          <w:lang w:val="ru-RU"/>
        </w:rPr>
        <w:t> год</w:t>
      </w:r>
      <w:r w:rsidR="00CE0E84" w:rsidRPr="00F833B4">
        <w:rPr>
          <w:lang w:val="ru-RU"/>
        </w:rPr>
        <w:t xml:space="preserve">у </w:t>
      </w:r>
      <w:r w:rsidR="0066720E" w:rsidRPr="00F833B4">
        <w:rPr>
          <w:lang w:val="ru-RU"/>
        </w:rPr>
        <w:t xml:space="preserve">объем </w:t>
      </w:r>
      <w:r w:rsidR="00CE0E84" w:rsidRPr="00F833B4">
        <w:rPr>
          <w:lang w:val="ru-RU"/>
        </w:rPr>
        <w:t>подраздел</w:t>
      </w:r>
      <w:r w:rsidR="0066720E" w:rsidRPr="00F833B4">
        <w:rPr>
          <w:lang w:val="ru-RU"/>
        </w:rPr>
        <w:t>а</w:t>
      </w:r>
      <w:r w:rsidR="00CE0E84" w:rsidRPr="00F833B4">
        <w:rPr>
          <w:lang w:val="ru-RU"/>
        </w:rPr>
        <w:t xml:space="preserve"> "Резервные фонды" составил </w:t>
      </w:r>
      <w:r w:rsidRPr="00F833B4">
        <w:rPr>
          <w:lang w:val="ru-RU"/>
        </w:rPr>
        <w:t>0</w:t>
      </w:r>
      <w:r w:rsidR="00CE0E84" w:rsidRPr="00F833B4">
        <w:rPr>
          <w:lang w:val="ru-RU"/>
        </w:rPr>
        <w:t>,</w:t>
      </w:r>
      <w:r w:rsidRPr="00F833B4">
        <w:rPr>
          <w:lang w:val="ru-RU"/>
        </w:rPr>
        <w:t>7</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00CE0E84" w:rsidRPr="00F833B4">
        <w:rPr>
          <w:lang w:val="ru-RU"/>
        </w:rPr>
        <w:t>швейцарских франков (в 201</w:t>
      </w:r>
      <w:r w:rsidRPr="00F833B4">
        <w:rPr>
          <w:lang w:val="ru-RU"/>
        </w:rPr>
        <w:t>8</w:t>
      </w:r>
      <w:r w:rsidR="004D2F49" w:rsidRPr="00F833B4">
        <w:rPr>
          <w:lang w:val="ru-RU"/>
        </w:rPr>
        <w:t> г.</w:t>
      </w:r>
      <w:r w:rsidR="00CE0E84" w:rsidRPr="00F833B4">
        <w:rPr>
          <w:lang w:val="ru-RU"/>
        </w:rPr>
        <w:t xml:space="preserve"> − </w:t>
      </w:r>
      <w:r w:rsidRPr="00F833B4">
        <w:rPr>
          <w:lang w:val="ru-RU"/>
        </w:rPr>
        <w:t>6</w:t>
      </w:r>
      <w:r w:rsidR="00CE0E84" w:rsidRPr="00F833B4">
        <w:rPr>
          <w:lang w:val="ru-RU"/>
        </w:rPr>
        <w:t>,</w:t>
      </w:r>
      <w:r w:rsidRPr="00F833B4">
        <w:rPr>
          <w:lang w:val="ru-RU"/>
        </w:rPr>
        <w:t>83</w:t>
      </w:r>
      <w:r w:rsidR="002D1BE1" w:rsidRPr="00F833B4">
        <w:rPr>
          <w:lang w:val="ru-RU"/>
        </w:rPr>
        <w:t xml:space="preserve"> млн. </w:t>
      </w:r>
      <w:r w:rsidR="00CE0E84" w:rsidRPr="00F833B4">
        <w:rPr>
          <w:lang w:val="ru-RU"/>
        </w:rPr>
        <w:t xml:space="preserve">швейцарских франков). Этот раздел включает резервный фонд для судебных разбирательств и резервный фонд для бесплатной обработки заявок на регистрацию спутниковых сетей. Подробная разбивка данных о резервных фондах </w:t>
      </w:r>
      <w:r w:rsidR="0066720E" w:rsidRPr="00F833B4">
        <w:rPr>
          <w:lang w:val="ru-RU"/>
        </w:rPr>
        <w:t>показана</w:t>
      </w:r>
      <w:r w:rsidR="00CE0E84" w:rsidRPr="00F833B4">
        <w:rPr>
          <w:lang w:val="ru-RU"/>
        </w:rPr>
        <w:t xml:space="preserve"> в Примечании</w:t>
      </w:r>
      <w:r w:rsidR="0066720E" w:rsidRPr="00F833B4">
        <w:rPr>
          <w:lang w:val="ru-RU"/>
        </w:rPr>
        <w:t> </w:t>
      </w:r>
      <w:r w:rsidR="00CE0E84" w:rsidRPr="00F833B4">
        <w:rPr>
          <w:lang w:val="ru-RU"/>
        </w:rPr>
        <w:t>18 к Отчету о финансовой деятельности.</w:t>
      </w:r>
    </w:p>
    <w:p w14:paraId="569B4ADD" w14:textId="48E0E5D3" w:rsidR="00E3462A" w:rsidRPr="00F833B4" w:rsidRDefault="00E3462A" w:rsidP="0066720E">
      <w:pPr>
        <w:rPr>
          <w:lang w:val="ru-RU"/>
        </w:rPr>
      </w:pPr>
      <w:r w:rsidRPr="00F833B4">
        <w:rPr>
          <w:lang w:val="ru-RU"/>
        </w:rPr>
        <w:t>53</w:t>
      </w:r>
      <w:r w:rsidRPr="00F833B4">
        <w:rPr>
          <w:lang w:val="ru-RU"/>
        </w:rPr>
        <w:tab/>
      </w:r>
      <w:r w:rsidR="000F0031" w:rsidRPr="00F833B4">
        <w:rPr>
          <w:lang w:val="ru-RU"/>
        </w:rPr>
        <w:t>Объем резервного фонда для судебных разбирательств значительно сократился</w:t>
      </w:r>
      <w:r w:rsidR="000A1703" w:rsidRPr="00F833B4">
        <w:rPr>
          <w:lang w:val="ru-RU"/>
        </w:rPr>
        <w:t>, поскольку в 2019 году были завершены несколько значительных процессов</w:t>
      </w:r>
      <w:r w:rsidR="008F5EAA" w:rsidRPr="00F833B4">
        <w:rPr>
          <w:lang w:val="ru-RU"/>
        </w:rPr>
        <w:t>, и поэтому были выплачены соответствующие зарезервированные суммы</w:t>
      </w:r>
      <w:r w:rsidRPr="00F833B4">
        <w:rPr>
          <w:lang w:val="ru-RU"/>
        </w:rPr>
        <w:t>.</w:t>
      </w:r>
    </w:p>
    <w:p w14:paraId="1E93F075" w14:textId="77777777" w:rsidR="00CE0E84" w:rsidRPr="00F833B4" w:rsidRDefault="00CE0E84" w:rsidP="000608BD">
      <w:pPr>
        <w:pStyle w:val="Heading2"/>
        <w:rPr>
          <w:lang w:val="ru-RU"/>
        </w:rPr>
      </w:pPr>
      <w:bookmarkStart w:id="219" w:name="_Toc358192843"/>
      <w:bookmarkStart w:id="220" w:name="_Toc398125325"/>
      <w:bookmarkStart w:id="221" w:name="_Toc398125804"/>
      <w:bookmarkStart w:id="222" w:name="_Toc398127097"/>
      <w:bookmarkStart w:id="223" w:name="_Toc452157317"/>
      <w:bookmarkStart w:id="224" w:name="_Toc482995184"/>
      <w:bookmarkStart w:id="225" w:name="_Toc522633574"/>
      <w:bookmarkStart w:id="226" w:name="_Toc56179562"/>
      <w:bookmarkStart w:id="227" w:name="_Toc56180382"/>
      <w:r w:rsidRPr="00F833B4">
        <w:rPr>
          <w:lang w:val="ru-RU"/>
        </w:rPr>
        <w:t>Займы и финансовая задолженность</w:t>
      </w:r>
      <w:bookmarkEnd w:id="219"/>
      <w:bookmarkEnd w:id="220"/>
      <w:bookmarkEnd w:id="221"/>
      <w:bookmarkEnd w:id="222"/>
      <w:bookmarkEnd w:id="223"/>
      <w:bookmarkEnd w:id="224"/>
      <w:bookmarkEnd w:id="225"/>
      <w:bookmarkEnd w:id="226"/>
      <w:bookmarkEnd w:id="227"/>
    </w:p>
    <w:p w14:paraId="2C7C68C2" w14:textId="2255630C" w:rsidR="00CE0E84" w:rsidRPr="00F833B4" w:rsidRDefault="004905FA" w:rsidP="00B70228">
      <w:pPr>
        <w:rPr>
          <w:lang w:val="ru-RU"/>
        </w:rPr>
      </w:pPr>
      <w:r w:rsidRPr="00F833B4">
        <w:rPr>
          <w:lang w:val="ru-RU"/>
        </w:rPr>
        <w:t>54</w:t>
      </w:r>
      <w:r w:rsidR="00CE0E84" w:rsidRPr="00F833B4">
        <w:rPr>
          <w:lang w:val="ru-RU"/>
        </w:rPr>
        <w:tab/>
        <w:t>Сумма, относящаяся к полученному МСЭ займу в ФИПОИ на строительство и капитальный ремонт некоторых его зданий, была учтена как краткосрочные выплаты (1,5</w:t>
      </w:r>
      <w:r w:rsidR="002D1BE1" w:rsidRPr="00F833B4">
        <w:rPr>
          <w:lang w:val="ru-RU"/>
        </w:rPr>
        <w:t xml:space="preserve"> млн. </w:t>
      </w:r>
      <w:r w:rsidR="00CE0E84" w:rsidRPr="00F833B4">
        <w:rPr>
          <w:lang w:val="ru-RU"/>
        </w:rPr>
        <w:t>швейцарских франков</w:t>
      </w:r>
      <w:r w:rsidR="00224E79" w:rsidRPr="00F833B4">
        <w:rPr>
          <w:lang w:val="ru-RU"/>
        </w:rPr>
        <w:t>,</w:t>
      </w:r>
      <w:r w:rsidR="00CE0E84" w:rsidRPr="00F833B4">
        <w:rPr>
          <w:lang w:val="ru-RU"/>
        </w:rPr>
        <w:t xml:space="preserve"> или </w:t>
      </w:r>
      <w:r w:rsidR="000740D8" w:rsidRPr="00F833B4">
        <w:rPr>
          <w:lang w:val="ru-RU"/>
        </w:rPr>
        <w:t>0</w:t>
      </w:r>
      <w:r w:rsidR="00CE0E84" w:rsidRPr="00F833B4">
        <w:rPr>
          <w:lang w:val="ru-RU"/>
        </w:rPr>
        <w:t>,</w:t>
      </w:r>
      <w:r w:rsidR="000740D8" w:rsidRPr="00F833B4">
        <w:rPr>
          <w:lang w:val="ru-RU"/>
        </w:rPr>
        <w:t>95</w:t>
      </w:r>
      <w:r w:rsidR="00CE0E84" w:rsidRPr="00F833B4">
        <w:rPr>
          <w:lang w:val="ru-RU"/>
        </w:rPr>
        <w:t>% от общей суммы текущих пассивов), что соответствует очередному платежу, подлежащему выплате МСЭ в ФИПОИ в 20</w:t>
      </w:r>
      <w:r w:rsidR="008F5EAA" w:rsidRPr="00F833B4">
        <w:rPr>
          <w:lang w:val="ru-RU"/>
        </w:rPr>
        <w:t>20</w:t>
      </w:r>
      <w:r w:rsidR="00CE0E84" w:rsidRPr="00F833B4">
        <w:rPr>
          <w:lang w:val="ru-RU"/>
        </w:rPr>
        <w:t xml:space="preserve"> году, </w:t>
      </w:r>
      <w:r w:rsidR="000740D8" w:rsidRPr="00F833B4">
        <w:rPr>
          <w:lang w:val="ru-RU"/>
        </w:rPr>
        <w:t>и как долгосрочные выплаты (4</w:t>
      </w:r>
      <w:r w:rsidRPr="00F833B4">
        <w:rPr>
          <w:lang w:val="ru-RU"/>
        </w:rPr>
        <w:t>3</w:t>
      </w:r>
      <w:r w:rsidR="000740D8" w:rsidRPr="00F833B4">
        <w:rPr>
          <w:lang w:val="ru-RU"/>
        </w:rPr>
        <w:t>,</w:t>
      </w:r>
      <w:r w:rsidRPr="00F833B4">
        <w:rPr>
          <w:lang w:val="ru-RU"/>
        </w:rPr>
        <w:t>5</w:t>
      </w:r>
      <w:r w:rsidR="002D1BE1" w:rsidRPr="00F833B4">
        <w:rPr>
          <w:lang w:val="ru-RU"/>
        </w:rPr>
        <w:t xml:space="preserve"> млн. </w:t>
      </w:r>
      <w:r w:rsidR="00CE0E84" w:rsidRPr="00F833B4">
        <w:rPr>
          <w:lang w:val="ru-RU"/>
        </w:rPr>
        <w:t>швейцарских франков</w:t>
      </w:r>
      <w:r w:rsidR="000740D8" w:rsidRPr="00F833B4">
        <w:rPr>
          <w:lang w:val="ru-RU"/>
        </w:rPr>
        <w:t>, или 6</w:t>
      </w:r>
      <w:r w:rsidR="00CE0E84" w:rsidRPr="00F833B4">
        <w:rPr>
          <w:lang w:val="ru-RU"/>
        </w:rPr>
        <w:t>,</w:t>
      </w:r>
      <w:r w:rsidRPr="00F833B4">
        <w:rPr>
          <w:lang w:val="ru-RU"/>
        </w:rPr>
        <w:t>1</w:t>
      </w:r>
      <w:r w:rsidR="00CE0E84" w:rsidRPr="00F833B4">
        <w:rPr>
          <w:lang w:val="ru-RU"/>
        </w:rPr>
        <w:t xml:space="preserve">% от общей суммы </w:t>
      </w:r>
      <w:proofErr w:type="spellStart"/>
      <w:r w:rsidR="00CE0E84" w:rsidRPr="00F833B4">
        <w:rPr>
          <w:lang w:val="ru-RU"/>
        </w:rPr>
        <w:t>нетекущих</w:t>
      </w:r>
      <w:proofErr w:type="spellEnd"/>
      <w:r w:rsidR="00CE0E84" w:rsidRPr="00F833B4">
        <w:rPr>
          <w:lang w:val="ru-RU"/>
        </w:rPr>
        <w:t xml:space="preserve"> пассивов</w:t>
      </w:r>
      <w:r w:rsidR="000740D8" w:rsidRPr="00F833B4">
        <w:rPr>
          <w:lang w:val="ru-RU"/>
        </w:rPr>
        <w:t>, в 201</w:t>
      </w:r>
      <w:r w:rsidRPr="00F833B4">
        <w:rPr>
          <w:lang w:val="ru-RU"/>
        </w:rPr>
        <w:t>8</w:t>
      </w:r>
      <w:r w:rsidR="004D2F49" w:rsidRPr="00F833B4">
        <w:rPr>
          <w:lang w:val="ru-RU"/>
        </w:rPr>
        <w:t> г.</w:t>
      </w:r>
      <w:r w:rsidR="000740D8" w:rsidRPr="00F833B4">
        <w:rPr>
          <w:lang w:val="ru-RU"/>
        </w:rPr>
        <w:t xml:space="preserve"> − </w:t>
      </w:r>
      <w:r w:rsidRPr="00F833B4">
        <w:rPr>
          <w:lang w:val="ru-RU"/>
        </w:rPr>
        <w:t>6</w:t>
      </w:r>
      <w:r w:rsidR="000740D8" w:rsidRPr="00F833B4">
        <w:rPr>
          <w:lang w:val="ru-RU"/>
        </w:rPr>
        <w:t>,</w:t>
      </w:r>
      <w:r w:rsidRPr="00F833B4">
        <w:rPr>
          <w:lang w:val="ru-RU"/>
        </w:rPr>
        <w:t>4</w:t>
      </w:r>
      <w:r w:rsidR="000740D8" w:rsidRPr="00F833B4">
        <w:rPr>
          <w:lang w:val="ru-RU"/>
        </w:rPr>
        <w:t>%</w:t>
      </w:r>
      <w:r w:rsidR="00CE0E84" w:rsidRPr="00F833B4">
        <w:rPr>
          <w:lang w:val="ru-RU"/>
        </w:rPr>
        <w:t xml:space="preserve">). </w:t>
      </w:r>
      <w:r w:rsidR="008F5EAA" w:rsidRPr="00F833B4">
        <w:rPr>
          <w:lang w:val="ru-RU"/>
        </w:rPr>
        <w:t>По этим с</w:t>
      </w:r>
      <w:r w:rsidR="00CE0E84" w:rsidRPr="00F833B4">
        <w:rPr>
          <w:lang w:val="ru-RU"/>
        </w:rPr>
        <w:t>умм</w:t>
      </w:r>
      <w:r w:rsidR="008F5EAA" w:rsidRPr="00F833B4">
        <w:rPr>
          <w:lang w:val="ru-RU"/>
        </w:rPr>
        <w:t>ам</w:t>
      </w:r>
      <w:r w:rsidR="00CE0E84" w:rsidRPr="00F833B4">
        <w:rPr>
          <w:lang w:val="ru-RU"/>
        </w:rPr>
        <w:t xml:space="preserve"> представлена подробная информация в Примечании 16 к Отчету о финансовой деятельности.</w:t>
      </w:r>
    </w:p>
    <w:p w14:paraId="3BCBB36B" w14:textId="77777777" w:rsidR="00CE0E84" w:rsidRPr="00F833B4" w:rsidRDefault="00CE0E84" w:rsidP="000608BD">
      <w:pPr>
        <w:pStyle w:val="Heading2"/>
        <w:rPr>
          <w:lang w:val="ru-RU"/>
        </w:rPr>
      </w:pPr>
      <w:bookmarkStart w:id="228" w:name="_Toc398125326"/>
      <w:bookmarkStart w:id="229" w:name="_Toc398125805"/>
      <w:bookmarkStart w:id="230" w:name="_Toc398127098"/>
      <w:bookmarkStart w:id="231" w:name="_Toc452157318"/>
      <w:bookmarkStart w:id="232" w:name="_Toc482995185"/>
      <w:bookmarkStart w:id="233" w:name="_Toc522633575"/>
      <w:bookmarkStart w:id="234" w:name="_Toc56179563"/>
      <w:bookmarkStart w:id="235" w:name="_Toc56180383"/>
      <w:r w:rsidRPr="00F833B4">
        <w:rPr>
          <w:lang w:val="ru-RU"/>
        </w:rPr>
        <w:t>Прочие текущие пассивы</w:t>
      </w:r>
      <w:bookmarkEnd w:id="228"/>
      <w:bookmarkEnd w:id="229"/>
      <w:bookmarkEnd w:id="230"/>
      <w:bookmarkEnd w:id="231"/>
      <w:bookmarkEnd w:id="232"/>
      <w:bookmarkEnd w:id="233"/>
      <w:bookmarkEnd w:id="234"/>
      <w:bookmarkEnd w:id="235"/>
    </w:p>
    <w:p w14:paraId="10AEDAA7" w14:textId="73F8947E" w:rsidR="00CE0E84" w:rsidRPr="00F833B4" w:rsidRDefault="004905FA" w:rsidP="00B70228">
      <w:pPr>
        <w:rPr>
          <w:lang w:val="ru-RU"/>
        </w:rPr>
      </w:pPr>
      <w:r w:rsidRPr="00F833B4">
        <w:rPr>
          <w:lang w:val="ru-RU"/>
        </w:rPr>
        <w:t>55</w:t>
      </w:r>
      <w:r w:rsidR="00CE0E84" w:rsidRPr="00F833B4">
        <w:rPr>
          <w:lang w:val="ru-RU"/>
        </w:rPr>
        <w:tab/>
        <w:t>В 201</w:t>
      </w:r>
      <w:r w:rsidRPr="00F833B4">
        <w:rPr>
          <w:lang w:val="ru-RU"/>
        </w:rPr>
        <w:t>9</w:t>
      </w:r>
      <w:r w:rsidR="00CE0E84" w:rsidRPr="00F833B4">
        <w:rPr>
          <w:lang w:val="ru-RU"/>
        </w:rPr>
        <w:t xml:space="preserve"> году </w:t>
      </w:r>
      <w:r w:rsidR="00B70228" w:rsidRPr="00F833B4">
        <w:rPr>
          <w:lang w:val="ru-RU"/>
        </w:rPr>
        <w:t xml:space="preserve">объемы </w:t>
      </w:r>
      <w:r w:rsidR="00CE0E84" w:rsidRPr="00F833B4">
        <w:rPr>
          <w:lang w:val="ru-RU"/>
        </w:rPr>
        <w:t>подраздел</w:t>
      </w:r>
      <w:r w:rsidR="00B70228" w:rsidRPr="00F833B4">
        <w:rPr>
          <w:lang w:val="ru-RU"/>
        </w:rPr>
        <w:t>ов</w:t>
      </w:r>
      <w:r w:rsidR="00CE0E84" w:rsidRPr="00F833B4">
        <w:rPr>
          <w:lang w:val="ru-RU"/>
        </w:rPr>
        <w:t xml:space="preserve"> "Вознаграждение сотрудников" и "Прочая задолженность" составили, соответственно, 0,2</w:t>
      </w:r>
      <w:r w:rsidR="002D1BE1" w:rsidRPr="00F833B4">
        <w:rPr>
          <w:lang w:val="ru-RU"/>
        </w:rPr>
        <w:t xml:space="preserve"> млн. </w:t>
      </w:r>
      <w:r w:rsidR="00CE0E84" w:rsidRPr="00F833B4">
        <w:rPr>
          <w:lang w:val="ru-RU"/>
        </w:rPr>
        <w:t>швейцарских франков (</w:t>
      </w:r>
      <w:r w:rsidR="008F5EAA" w:rsidRPr="00F833B4">
        <w:rPr>
          <w:lang w:val="ru-RU"/>
        </w:rPr>
        <w:t>как и в</w:t>
      </w:r>
      <w:r w:rsidR="000740D8" w:rsidRPr="00F833B4">
        <w:rPr>
          <w:lang w:val="ru-RU"/>
        </w:rPr>
        <w:t xml:space="preserve"> </w:t>
      </w:r>
      <w:r w:rsidR="00CE0E84" w:rsidRPr="00F833B4">
        <w:rPr>
          <w:lang w:val="ru-RU"/>
        </w:rPr>
        <w:t>201</w:t>
      </w:r>
      <w:r w:rsidRPr="00F833B4">
        <w:rPr>
          <w:lang w:val="ru-RU"/>
        </w:rPr>
        <w:t>8</w:t>
      </w:r>
      <w:r w:rsidR="004D2F49" w:rsidRPr="00F833B4">
        <w:rPr>
          <w:lang w:val="ru-RU"/>
        </w:rPr>
        <w:t> г.</w:t>
      </w:r>
      <w:r w:rsidR="000740D8" w:rsidRPr="00F833B4">
        <w:rPr>
          <w:lang w:val="ru-RU"/>
        </w:rPr>
        <w:t>)</w:t>
      </w:r>
      <w:r w:rsidR="00CE0E84" w:rsidRPr="00F833B4">
        <w:rPr>
          <w:lang w:val="ru-RU"/>
        </w:rPr>
        <w:t xml:space="preserve"> и </w:t>
      </w:r>
      <w:r w:rsidRPr="00F833B4">
        <w:rPr>
          <w:lang w:val="ru-RU"/>
        </w:rPr>
        <w:t>4</w:t>
      </w:r>
      <w:r w:rsidR="00CE0E84" w:rsidRPr="00F833B4">
        <w:rPr>
          <w:lang w:val="ru-RU"/>
        </w:rPr>
        <w:t>,</w:t>
      </w:r>
      <w:r w:rsidRPr="00F833B4">
        <w:rPr>
          <w:lang w:val="ru-RU"/>
        </w:rPr>
        <w:t>9</w:t>
      </w:r>
      <w:r w:rsidR="002D1BE1" w:rsidRPr="00F833B4">
        <w:rPr>
          <w:lang w:val="ru-RU"/>
        </w:rPr>
        <w:t xml:space="preserve"> млн. </w:t>
      </w:r>
      <w:r w:rsidR="00CE0E84" w:rsidRPr="00F833B4">
        <w:rPr>
          <w:lang w:val="ru-RU"/>
        </w:rPr>
        <w:t>швейцарских франков (в 201</w:t>
      </w:r>
      <w:r w:rsidRPr="00F833B4">
        <w:rPr>
          <w:lang w:val="ru-RU"/>
        </w:rPr>
        <w:t>8</w:t>
      </w:r>
      <w:r w:rsidR="004D2F49" w:rsidRPr="00F833B4">
        <w:rPr>
          <w:lang w:val="ru-RU"/>
        </w:rPr>
        <w:t> г.</w:t>
      </w:r>
      <w:r w:rsidR="00CE0E84" w:rsidRPr="00F833B4">
        <w:rPr>
          <w:lang w:val="ru-RU"/>
        </w:rPr>
        <w:t xml:space="preserve"> − </w:t>
      </w:r>
      <w:r w:rsidRPr="00F833B4">
        <w:rPr>
          <w:lang w:val="ru-RU"/>
        </w:rPr>
        <w:t>3</w:t>
      </w:r>
      <w:r w:rsidR="00CE0E84" w:rsidRPr="00F833B4">
        <w:rPr>
          <w:lang w:val="ru-RU"/>
        </w:rPr>
        <w:t>,</w:t>
      </w:r>
      <w:r w:rsidRPr="00F833B4">
        <w:rPr>
          <w:lang w:val="ru-RU"/>
        </w:rPr>
        <w:t>2</w:t>
      </w:r>
      <w:r w:rsidR="002D1BE1" w:rsidRPr="00F833B4">
        <w:rPr>
          <w:lang w:val="ru-RU"/>
        </w:rPr>
        <w:t xml:space="preserve"> млн. </w:t>
      </w:r>
      <w:r w:rsidR="00CE0E84" w:rsidRPr="00F833B4">
        <w:rPr>
          <w:lang w:val="ru-RU"/>
        </w:rPr>
        <w:t xml:space="preserve">швейцарских франков). Подробное описание и разбивка </w:t>
      </w:r>
      <w:r w:rsidR="00B70228" w:rsidRPr="00F833B4">
        <w:rPr>
          <w:lang w:val="ru-RU"/>
        </w:rPr>
        <w:t>показаны</w:t>
      </w:r>
      <w:r w:rsidR="00CE0E84" w:rsidRPr="00F833B4">
        <w:rPr>
          <w:lang w:val="ru-RU"/>
        </w:rPr>
        <w:t>, соответственно, в Примечаниях</w:t>
      </w:r>
      <w:r w:rsidR="00B70228" w:rsidRPr="00F833B4">
        <w:rPr>
          <w:lang w:val="ru-RU"/>
        </w:rPr>
        <w:t> </w:t>
      </w:r>
      <w:r w:rsidR="00CE0E84" w:rsidRPr="00F833B4">
        <w:rPr>
          <w:lang w:val="ru-RU"/>
        </w:rPr>
        <w:t>17.1 и 19 к Отчету о финансовой деятельности.</w:t>
      </w:r>
    </w:p>
    <w:p w14:paraId="1F06F6C9" w14:textId="77777777" w:rsidR="00CE0E84" w:rsidRPr="00F833B4" w:rsidRDefault="004905FA" w:rsidP="00A57BE0">
      <w:pPr>
        <w:rPr>
          <w:lang w:val="ru-RU"/>
        </w:rPr>
      </w:pPr>
      <w:r w:rsidRPr="00F833B4">
        <w:rPr>
          <w:lang w:val="ru-RU"/>
        </w:rPr>
        <w:lastRenderedPageBreak/>
        <w:t>56</w:t>
      </w:r>
      <w:r w:rsidR="00CE0E84" w:rsidRPr="00F833B4">
        <w:rPr>
          <w:lang w:val="ru-RU"/>
        </w:rPr>
        <w:tab/>
        <w:t>В частности, вознаграждение сотрудников, работающих на основе краткосрочных контрактов, учтенное в</w:t>
      </w:r>
      <w:r w:rsidR="00B70228" w:rsidRPr="00F833B4">
        <w:rPr>
          <w:lang w:val="ru-RU"/>
        </w:rPr>
        <w:t xml:space="preserve"> разделе</w:t>
      </w:r>
      <w:r w:rsidR="00CE0E84" w:rsidRPr="00F833B4">
        <w:rPr>
          <w:lang w:val="ru-RU"/>
        </w:rPr>
        <w:t xml:space="preserve"> "Текущи</w:t>
      </w:r>
      <w:r w:rsidR="00B70228" w:rsidRPr="00F833B4">
        <w:rPr>
          <w:lang w:val="ru-RU"/>
        </w:rPr>
        <w:t>е</w:t>
      </w:r>
      <w:r w:rsidR="00CE0E84" w:rsidRPr="00F833B4">
        <w:rPr>
          <w:lang w:val="ru-RU"/>
        </w:rPr>
        <w:t xml:space="preserve"> пассив</w:t>
      </w:r>
      <w:r w:rsidR="00B70228" w:rsidRPr="00F833B4">
        <w:rPr>
          <w:lang w:val="ru-RU"/>
        </w:rPr>
        <w:t>ы</w:t>
      </w:r>
      <w:r w:rsidR="00CE0E84" w:rsidRPr="00F833B4">
        <w:rPr>
          <w:lang w:val="ru-RU"/>
        </w:rPr>
        <w:t>", относится к резервному фонду для оплаты сверхурочных часов (</w:t>
      </w:r>
      <w:r w:rsidRPr="00F833B4">
        <w:rPr>
          <w:lang w:val="ru-RU"/>
        </w:rPr>
        <w:t>46</w:t>
      </w:r>
      <w:r w:rsidR="00B70228" w:rsidRPr="00F833B4">
        <w:rPr>
          <w:lang w:val="ru-RU"/>
        </w:rPr>
        <w:t> 000 </w:t>
      </w:r>
      <w:r w:rsidR="00CE0E84" w:rsidRPr="00F833B4">
        <w:rPr>
          <w:lang w:val="ru-RU"/>
        </w:rPr>
        <w:t>швейцарских франков; в 201</w:t>
      </w:r>
      <w:r w:rsidRPr="00F833B4">
        <w:rPr>
          <w:lang w:val="ru-RU"/>
        </w:rPr>
        <w:t>8</w:t>
      </w:r>
      <w:r w:rsidR="004D2F49" w:rsidRPr="00F833B4">
        <w:rPr>
          <w:lang w:val="ru-RU"/>
        </w:rPr>
        <w:t> г.</w:t>
      </w:r>
      <w:r w:rsidR="00CE0E84" w:rsidRPr="00F833B4">
        <w:rPr>
          <w:lang w:val="ru-RU"/>
        </w:rPr>
        <w:t xml:space="preserve"> − </w:t>
      </w:r>
      <w:r w:rsidRPr="00F833B4">
        <w:rPr>
          <w:lang w:val="ru-RU"/>
        </w:rPr>
        <w:t>39</w:t>
      </w:r>
      <w:r w:rsidR="00CE0E84" w:rsidRPr="00F833B4">
        <w:rPr>
          <w:lang w:val="ru-RU"/>
        </w:rPr>
        <w:t> </w:t>
      </w:r>
      <w:r w:rsidR="00B70228" w:rsidRPr="00F833B4">
        <w:rPr>
          <w:lang w:val="ru-RU"/>
        </w:rPr>
        <w:t>000 </w:t>
      </w:r>
      <w:r w:rsidR="00CE0E84" w:rsidRPr="00F833B4">
        <w:rPr>
          <w:lang w:val="ru-RU"/>
        </w:rPr>
        <w:t>швейцарских франков) и к резервному фонду для оплаты накопленных дней отпуска (</w:t>
      </w:r>
      <w:r w:rsidR="000740D8" w:rsidRPr="00F833B4">
        <w:rPr>
          <w:lang w:val="ru-RU"/>
        </w:rPr>
        <w:t>1</w:t>
      </w:r>
      <w:r w:rsidRPr="00F833B4">
        <w:rPr>
          <w:lang w:val="ru-RU"/>
        </w:rPr>
        <w:t>32</w:t>
      </w:r>
      <w:r w:rsidR="00CE0E84" w:rsidRPr="00F833B4">
        <w:rPr>
          <w:lang w:val="ru-RU"/>
        </w:rPr>
        <w:t> </w:t>
      </w:r>
      <w:r w:rsidR="00B70228" w:rsidRPr="00F833B4">
        <w:rPr>
          <w:lang w:val="ru-RU"/>
        </w:rPr>
        <w:t>000</w:t>
      </w:r>
      <w:r w:rsidR="00CE0E84" w:rsidRPr="00F833B4">
        <w:rPr>
          <w:lang w:val="ru-RU"/>
        </w:rPr>
        <w:t xml:space="preserve"> швейцарских франков; в 201</w:t>
      </w:r>
      <w:r w:rsidRPr="00F833B4">
        <w:rPr>
          <w:lang w:val="ru-RU"/>
        </w:rPr>
        <w:t>8</w:t>
      </w:r>
      <w:r w:rsidR="004D2F49" w:rsidRPr="00F833B4">
        <w:rPr>
          <w:lang w:val="ru-RU"/>
        </w:rPr>
        <w:t> г.</w:t>
      </w:r>
      <w:r w:rsidR="00B70228" w:rsidRPr="00F833B4">
        <w:rPr>
          <w:lang w:val="ru-RU"/>
        </w:rPr>
        <w:t> </w:t>
      </w:r>
      <w:r w:rsidR="00CE0E84" w:rsidRPr="00F833B4">
        <w:rPr>
          <w:lang w:val="ru-RU"/>
        </w:rPr>
        <w:t>– 1</w:t>
      </w:r>
      <w:r w:rsidRPr="00F833B4">
        <w:rPr>
          <w:lang w:val="ru-RU"/>
        </w:rPr>
        <w:t>48</w:t>
      </w:r>
      <w:r w:rsidR="00CE0E84" w:rsidRPr="00F833B4">
        <w:rPr>
          <w:lang w:val="ru-RU"/>
        </w:rPr>
        <w:t> </w:t>
      </w:r>
      <w:r w:rsidR="00A57BE0" w:rsidRPr="00F833B4">
        <w:rPr>
          <w:lang w:val="ru-RU"/>
        </w:rPr>
        <w:t>000</w:t>
      </w:r>
      <w:r w:rsidR="00CE0E84" w:rsidRPr="00F833B4">
        <w:rPr>
          <w:lang w:val="ru-RU"/>
        </w:rPr>
        <w:t xml:space="preserve"> швейцарских франков). Проведенные нами проверки не выявили каких</w:t>
      </w:r>
      <w:r w:rsidR="00B70228" w:rsidRPr="00F833B4">
        <w:rPr>
          <w:lang w:val="ru-RU"/>
        </w:rPr>
        <w:t xml:space="preserve"> бы то ни было</w:t>
      </w:r>
      <w:r w:rsidR="00CE0E84" w:rsidRPr="00F833B4">
        <w:rPr>
          <w:lang w:val="ru-RU"/>
        </w:rPr>
        <w:t xml:space="preserve"> существенных проблем, и данные по резервным фондам являются по существу точными. </w:t>
      </w:r>
    </w:p>
    <w:p w14:paraId="693646BF" w14:textId="77777777" w:rsidR="00CE0E84" w:rsidRPr="00F833B4" w:rsidRDefault="00CE0E84" w:rsidP="000608BD">
      <w:pPr>
        <w:pStyle w:val="Heading2"/>
        <w:rPr>
          <w:u w:val="single"/>
          <w:lang w:val="ru-RU"/>
        </w:rPr>
      </w:pPr>
      <w:bookmarkStart w:id="236" w:name="_Toc358192844"/>
      <w:bookmarkStart w:id="237" w:name="_Toc398125327"/>
      <w:bookmarkStart w:id="238" w:name="_Toc398125806"/>
      <w:bookmarkStart w:id="239" w:name="_Toc398127099"/>
      <w:bookmarkStart w:id="240" w:name="_Toc452157319"/>
      <w:bookmarkStart w:id="241" w:name="_Toc482995186"/>
      <w:bookmarkStart w:id="242" w:name="_Toc522633576"/>
      <w:bookmarkStart w:id="243" w:name="_Toc56179564"/>
      <w:bookmarkStart w:id="244" w:name="_Toc56180384"/>
      <w:proofErr w:type="spellStart"/>
      <w:r w:rsidRPr="00F833B4">
        <w:rPr>
          <w:lang w:val="ru-RU"/>
        </w:rPr>
        <w:t>Нетекущие</w:t>
      </w:r>
      <w:proofErr w:type="spellEnd"/>
      <w:r w:rsidRPr="00F833B4">
        <w:rPr>
          <w:lang w:val="ru-RU"/>
        </w:rPr>
        <w:t xml:space="preserve"> пассивы</w:t>
      </w:r>
      <w:bookmarkEnd w:id="236"/>
      <w:bookmarkEnd w:id="237"/>
      <w:bookmarkEnd w:id="238"/>
      <w:bookmarkEnd w:id="239"/>
      <w:bookmarkEnd w:id="240"/>
      <w:bookmarkEnd w:id="241"/>
      <w:bookmarkEnd w:id="242"/>
      <w:bookmarkEnd w:id="243"/>
      <w:bookmarkEnd w:id="244"/>
    </w:p>
    <w:p w14:paraId="62450366" w14:textId="588FE16C" w:rsidR="004905FA" w:rsidRPr="00F833B4" w:rsidRDefault="000740D8" w:rsidP="00B70228">
      <w:pPr>
        <w:rPr>
          <w:lang w:val="ru-RU"/>
        </w:rPr>
      </w:pPr>
      <w:r w:rsidRPr="00F833B4">
        <w:rPr>
          <w:lang w:val="ru-RU"/>
        </w:rPr>
        <w:t>5</w:t>
      </w:r>
      <w:r w:rsidR="004905FA" w:rsidRPr="00F833B4">
        <w:rPr>
          <w:lang w:val="ru-RU"/>
        </w:rPr>
        <w:t>7</w:t>
      </w:r>
      <w:r w:rsidR="00CE0E84" w:rsidRPr="00F833B4">
        <w:rPr>
          <w:lang w:val="ru-RU"/>
        </w:rPr>
        <w:tab/>
        <w:t>Общая</w:t>
      </w:r>
      <w:r w:rsidRPr="00F833B4">
        <w:rPr>
          <w:lang w:val="ru-RU"/>
        </w:rPr>
        <w:t xml:space="preserve"> сумма </w:t>
      </w:r>
      <w:proofErr w:type="spellStart"/>
      <w:r w:rsidRPr="00F833B4">
        <w:rPr>
          <w:lang w:val="ru-RU"/>
        </w:rPr>
        <w:t>нетекущих</w:t>
      </w:r>
      <w:proofErr w:type="spellEnd"/>
      <w:r w:rsidRPr="00F833B4">
        <w:rPr>
          <w:lang w:val="ru-RU"/>
        </w:rPr>
        <w:t xml:space="preserve"> пассивов в 201</w:t>
      </w:r>
      <w:r w:rsidR="004905FA" w:rsidRPr="00F833B4">
        <w:rPr>
          <w:lang w:val="ru-RU"/>
        </w:rPr>
        <w:t>9</w:t>
      </w:r>
      <w:r w:rsidR="00CE0E84" w:rsidRPr="00F833B4">
        <w:rPr>
          <w:lang w:val="ru-RU"/>
        </w:rPr>
        <w:t xml:space="preserve"> году составила </w:t>
      </w:r>
      <w:r w:rsidR="004905FA" w:rsidRPr="00F833B4">
        <w:rPr>
          <w:lang w:val="ru-RU"/>
        </w:rPr>
        <w:t>737</w:t>
      </w:r>
      <w:r w:rsidR="00CE0E84" w:rsidRPr="00F833B4">
        <w:rPr>
          <w:lang w:val="ru-RU"/>
        </w:rPr>
        <w:t>,</w:t>
      </w:r>
      <w:r w:rsidR="004905FA" w:rsidRPr="00F833B4">
        <w:rPr>
          <w:lang w:val="ru-RU"/>
        </w:rPr>
        <w:t>5</w:t>
      </w:r>
      <w:r w:rsidR="002D1BE1" w:rsidRPr="00F833B4">
        <w:rPr>
          <w:lang w:val="ru-RU"/>
        </w:rPr>
        <w:t xml:space="preserve"> млн. </w:t>
      </w:r>
      <w:r w:rsidR="00CE0E84" w:rsidRPr="00F833B4">
        <w:rPr>
          <w:lang w:val="ru-RU"/>
        </w:rPr>
        <w:t xml:space="preserve">швейцарских франков, что на </w:t>
      </w:r>
      <w:r w:rsidR="004905FA" w:rsidRPr="00F833B4">
        <w:rPr>
          <w:lang w:val="ru-RU"/>
        </w:rPr>
        <w:t>88</w:t>
      </w:r>
      <w:r w:rsidR="00CE0E84" w:rsidRPr="00F833B4">
        <w:rPr>
          <w:lang w:val="ru-RU"/>
        </w:rPr>
        <w:t>,</w:t>
      </w:r>
      <w:r w:rsidR="004905FA" w:rsidRPr="00F833B4">
        <w:rPr>
          <w:lang w:val="ru-RU"/>
        </w:rPr>
        <w:t>6</w:t>
      </w:r>
      <w:r w:rsidR="002D1BE1" w:rsidRPr="00F833B4">
        <w:rPr>
          <w:lang w:val="ru-RU"/>
        </w:rPr>
        <w:t xml:space="preserve"> млн. </w:t>
      </w:r>
      <w:r w:rsidR="00CE0E84" w:rsidRPr="00F833B4">
        <w:rPr>
          <w:lang w:val="ru-RU"/>
        </w:rPr>
        <w:t>швейцарских франков (</w:t>
      </w:r>
      <w:r w:rsidR="004905FA" w:rsidRPr="00F833B4">
        <w:rPr>
          <w:lang w:val="ru-RU"/>
        </w:rPr>
        <w:t>13</w:t>
      </w:r>
      <w:r w:rsidR="00CE0E84" w:rsidRPr="00F833B4">
        <w:rPr>
          <w:lang w:val="ru-RU"/>
        </w:rPr>
        <w:t>,</w:t>
      </w:r>
      <w:r w:rsidR="004905FA" w:rsidRPr="00F833B4">
        <w:rPr>
          <w:lang w:val="ru-RU"/>
        </w:rPr>
        <w:t>6</w:t>
      </w:r>
      <w:r w:rsidR="00CE0E84" w:rsidRPr="00F833B4">
        <w:rPr>
          <w:lang w:val="ru-RU"/>
        </w:rPr>
        <w:t xml:space="preserve">%) </w:t>
      </w:r>
      <w:r w:rsidR="008F5EAA" w:rsidRPr="00F833B4">
        <w:rPr>
          <w:lang w:val="ru-RU"/>
        </w:rPr>
        <w:t>больше, чем в</w:t>
      </w:r>
      <w:r w:rsidR="00CE0E84" w:rsidRPr="00F833B4">
        <w:rPr>
          <w:lang w:val="ru-RU"/>
        </w:rPr>
        <w:t xml:space="preserve"> 201</w:t>
      </w:r>
      <w:r w:rsidR="004905FA" w:rsidRPr="00F833B4">
        <w:rPr>
          <w:lang w:val="ru-RU"/>
        </w:rPr>
        <w:t>8</w:t>
      </w:r>
      <w:r w:rsidR="00CE0E84" w:rsidRPr="00F833B4">
        <w:rPr>
          <w:lang w:val="ru-RU"/>
        </w:rPr>
        <w:t> год</w:t>
      </w:r>
      <w:r w:rsidR="008F5EAA" w:rsidRPr="00F833B4">
        <w:rPr>
          <w:lang w:val="ru-RU"/>
        </w:rPr>
        <w:t>у</w:t>
      </w:r>
      <w:r w:rsidR="00CE0E84" w:rsidRPr="00F833B4">
        <w:rPr>
          <w:lang w:val="ru-RU"/>
        </w:rPr>
        <w:t xml:space="preserve"> (</w:t>
      </w:r>
      <w:r w:rsidR="004905FA" w:rsidRPr="00F833B4">
        <w:rPr>
          <w:lang w:val="ru-RU"/>
        </w:rPr>
        <w:t>648</w:t>
      </w:r>
      <w:r w:rsidR="00CE0E84" w:rsidRPr="00F833B4">
        <w:rPr>
          <w:lang w:val="ru-RU"/>
        </w:rPr>
        <w:t>,</w:t>
      </w:r>
      <w:r w:rsidR="004905FA" w:rsidRPr="00F833B4">
        <w:rPr>
          <w:lang w:val="ru-RU"/>
        </w:rPr>
        <w:t>93</w:t>
      </w:r>
      <w:r w:rsidR="002D1BE1" w:rsidRPr="00F833B4">
        <w:rPr>
          <w:lang w:val="ru-RU"/>
        </w:rPr>
        <w:t xml:space="preserve"> млн. </w:t>
      </w:r>
      <w:r w:rsidR="00CE0E84" w:rsidRPr="00F833B4">
        <w:rPr>
          <w:lang w:val="ru-RU"/>
        </w:rPr>
        <w:t xml:space="preserve">швейцарских франков). </w:t>
      </w:r>
    </w:p>
    <w:p w14:paraId="0CA03D1E" w14:textId="2F26FFDA" w:rsidR="00CE0E84" w:rsidRPr="00F833B4" w:rsidRDefault="004905FA" w:rsidP="00B70228">
      <w:pPr>
        <w:rPr>
          <w:lang w:val="ru-RU"/>
        </w:rPr>
      </w:pPr>
      <w:r w:rsidRPr="00F833B4">
        <w:rPr>
          <w:lang w:val="ru-RU"/>
        </w:rPr>
        <w:t>58</w:t>
      </w:r>
      <w:r w:rsidRPr="00F833B4">
        <w:rPr>
          <w:lang w:val="ru-RU"/>
        </w:rPr>
        <w:tab/>
      </w:r>
      <w:r w:rsidR="00CE0E84" w:rsidRPr="00F833B4">
        <w:rPr>
          <w:lang w:val="ru-RU"/>
        </w:rPr>
        <w:t xml:space="preserve">Это </w:t>
      </w:r>
      <w:r w:rsidR="008F5EAA" w:rsidRPr="00F833B4">
        <w:rPr>
          <w:lang w:val="ru-RU"/>
        </w:rPr>
        <w:t>увелич</w:t>
      </w:r>
      <w:r w:rsidR="000740D8" w:rsidRPr="00F833B4">
        <w:rPr>
          <w:lang w:val="ru-RU"/>
        </w:rPr>
        <w:t>ение</w:t>
      </w:r>
      <w:r w:rsidR="00CE0E84" w:rsidRPr="00F833B4">
        <w:rPr>
          <w:lang w:val="ru-RU"/>
        </w:rPr>
        <w:t xml:space="preserve"> в целом объясняется </w:t>
      </w:r>
      <w:r w:rsidR="00D3562F" w:rsidRPr="00F833B4">
        <w:rPr>
          <w:lang w:val="ru-RU"/>
        </w:rPr>
        <w:t>увелич</w:t>
      </w:r>
      <w:r w:rsidR="000740D8" w:rsidRPr="00F833B4">
        <w:rPr>
          <w:lang w:val="ru-RU"/>
        </w:rPr>
        <w:t>ением</w:t>
      </w:r>
      <w:r w:rsidR="00CE0E84" w:rsidRPr="00F833B4">
        <w:rPr>
          <w:lang w:val="ru-RU"/>
        </w:rPr>
        <w:t xml:space="preserve"> суммы вознаграждения сотрудников (</w:t>
      </w:r>
      <w:r w:rsidRPr="00F833B4">
        <w:rPr>
          <w:lang w:val="ru-RU"/>
        </w:rPr>
        <w:t>+</w:t>
      </w:r>
      <w:r w:rsidR="00CE0E84" w:rsidRPr="00F833B4">
        <w:rPr>
          <w:lang w:val="ru-RU"/>
        </w:rPr>
        <w:t>6</w:t>
      </w:r>
      <w:r w:rsidRPr="00F833B4">
        <w:rPr>
          <w:lang w:val="ru-RU"/>
        </w:rPr>
        <w:t>1</w:t>
      </w:r>
      <w:r w:rsidR="00CE0E84" w:rsidRPr="00F833B4">
        <w:rPr>
          <w:lang w:val="ru-RU"/>
        </w:rPr>
        <w:t>,</w:t>
      </w:r>
      <w:r w:rsidRPr="00F833B4">
        <w:rPr>
          <w:lang w:val="ru-RU"/>
        </w:rPr>
        <w:t>44</w:t>
      </w:r>
      <w:r w:rsidR="002D1BE1" w:rsidRPr="00F833B4">
        <w:rPr>
          <w:lang w:val="ru-RU"/>
        </w:rPr>
        <w:t xml:space="preserve"> млн. </w:t>
      </w:r>
      <w:r w:rsidR="00CE0E84" w:rsidRPr="00F833B4">
        <w:rPr>
          <w:lang w:val="ru-RU"/>
        </w:rPr>
        <w:t>швейцарских франков</w:t>
      </w:r>
      <w:r w:rsidR="000740D8" w:rsidRPr="00F833B4">
        <w:rPr>
          <w:lang w:val="ru-RU"/>
        </w:rPr>
        <w:t>,</w:t>
      </w:r>
      <w:r w:rsidR="00CE0E84" w:rsidRPr="00F833B4">
        <w:rPr>
          <w:lang w:val="ru-RU"/>
        </w:rPr>
        <w:t xml:space="preserve"> или </w:t>
      </w:r>
      <w:r w:rsidRPr="00F833B4">
        <w:rPr>
          <w:lang w:val="ru-RU"/>
        </w:rPr>
        <w:t>+</w:t>
      </w:r>
      <w:r w:rsidR="00CE0E84" w:rsidRPr="00F833B4">
        <w:rPr>
          <w:lang w:val="ru-RU"/>
        </w:rPr>
        <w:t>1</w:t>
      </w:r>
      <w:r w:rsidR="000740D8" w:rsidRPr="00F833B4">
        <w:rPr>
          <w:lang w:val="ru-RU"/>
        </w:rPr>
        <w:t>0</w:t>
      </w:r>
      <w:r w:rsidR="00CE0E84" w:rsidRPr="00F833B4">
        <w:rPr>
          <w:lang w:val="ru-RU"/>
        </w:rPr>
        <w:t>,</w:t>
      </w:r>
      <w:r w:rsidRPr="00F833B4">
        <w:rPr>
          <w:lang w:val="ru-RU"/>
        </w:rPr>
        <w:t>7</w:t>
      </w:r>
      <w:r w:rsidR="00CE0E84" w:rsidRPr="00F833B4">
        <w:rPr>
          <w:lang w:val="ru-RU"/>
        </w:rPr>
        <w:t>% по сравнению с 201</w:t>
      </w:r>
      <w:r w:rsidRPr="00F833B4">
        <w:rPr>
          <w:lang w:val="ru-RU"/>
        </w:rPr>
        <w:t>8</w:t>
      </w:r>
      <w:r w:rsidR="004D2F49" w:rsidRPr="00F833B4">
        <w:rPr>
          <w:lang w:val="ru-RU"/>
        </w:rPr>
        <w:t> г.</w:t>
      </w:r>
      <w:r w:rsidR="00CE0E84" w:rsidRPr="00F833B4">
        <w:rPr>
          <w:lang w:val="ru-RU"/>
        </w:rPr>
        <w:t>)</w:t>
      </w:r>
      <w:r w:rsidRPr="00F833B4">
        <w:rPr>
          <w:rFonts w:ascii="Arial" w:eastAsiaTheme="minorHAnsi" w:hAnsi="Arial" w:cs="Arial"/>
          <w:sz w:val="24"/>
          <w:szCs w:val="24"/>
          <w:lang w:val="ru-RU"/>
        </w:rPr>
        <w:t xml:space="preserve"> </w:t>
      </w:r>
      <w:r w:rsidR="00D3562F" w:rsidRPr="00F833B4">
        <w:rPr>
          <w:rFonts w:asciiTheme="minorHAnsi" w:eastAsiaTheme="minorHAnsi" w:hAnsiTheme="minorHAnsi" w:cstheme="minorHAnsi"/>
          <w:szCs w:val="22"/>
          <w:lang w:val="ru-RU"/>
        </w:rPr>
        <w:t>и вновь созданным подразделом</w:t>
      </w:r>
      <w:r w:rsidR="00D3562F" w:rsidRPr="00F833B4">
        <w:rPr>
          <w:rFonts w:ascii="Arial" w:eastAsiaTheme="minorHAnsi" w:hAnsi="Arial" w:cs="Arial"/>
          <w:sz w:val="24"/>
          <w:szCs w:val="24"/>
          <w:lang w:val="ru-RU"/>
        </w:rPr>
        <w:t xml:space="preserve"> </w:t>
      </w:r>
      <w:r w:rsidR="00D3562F" w:rsidRPr="00F833B4">
        <w:rPr>
          <w:rFonts w:asciiTheme="minorHAnsi" w:eastAsiaTheme="minorHAnsi" w:hAnsiTheme="minorHAnsi" w:cstheme="minorHAnsi"/>
          <w:szCs w:val="22"/>
          <w:lang w:val="ru-RU"/>
        </w:rPr>
        <w:t>"</w:t>
      </w:r>
      <w:r w:rsidR="00C0120A" w:rsidRPr="00F833B4">
        <w:rPr>
          <w:rFonts w:asciiTheme="minorHAnsi" w:eastAsiaTheme="minorHAnsi" w:hAnsiTheme="minorHAnsi" w:cstheme="minorHAnsi"/>
          <w:szCs w:val="22"/>
          <w:lang w:val="ru-RU"/>
        </w:rPr>
        <w:t xml:space="preserve">Фонд компенсации </w:t>
      </w:r>
      <w:r w:rsidR="00D3562F" w:rsidRPr="00F833B4">
        <w:rPr>
          <w:rFonts w:asciiTheme="minorHAnsi" w:eastAsiaTheme="minorHAnsi" w:hAnsiTheme="minorHAnsi" w:cstheme="minorHAnsi"/>
          <w:szCs w:val="22"/>
          <w:lang w:val="ru-RU"/>
        </w:rPr>
        <w:t>ЮНСМИС</w:t>
      </w:r>
      <w:r w:rsidR="00AE06EC" w:rsidRPr="00F833B4">
        <w:rPr>
          <w:rFonts w:asciiTheme="minorHAnsi" w:eastAsiaTheme="minorHAnsi" w:hAnsiTheme="minorHAnsi" w:cstheme="minorHAnsi"/>
          <w:szCs w:val="22"/>
          <w:lang w:val="ru-RU"/>
        </w:rPr>
        <w:t>"</w:t>
      </w:r>
      <w:r w:rsidRPr="00F833B4">
        <w:rPr>
          <w:lang w:val="ru-RU"/>
        </w:rPr>
        <w:t xml:space="preserve"> (20</w:t>
      </w:r>
      <w:r w:rsidR="00AE06EC" w:rsidRPr="00F833B4">
        <w:rPr>
          <w:lang w:val="ru-RU"/>
        </w:rPr>
        <w:t>,</w:t>
      </w:r>
      <w:r w:rsidRPr="00F833B4">
        <w:rPr>
          <w:lang w:val="ru-RU"/>
        </w:rPr>
        <w:t>9</w:t>
      </w:r>
      <w:r w:rsidR="00AE06EC" w:rsidRPr="00F833B4">
        <w:rPr>
          <w:lang w:val="ru-RU"/>
        </w:rPr>
        <w:t> млн. швейцарских франков</w:t>
      </w:r>
      <w:r w:rsidRPr="00F833B4">
        <w:rPr>
          <w:lang w:val="ru-RU"/>
        </w:rPr>
        <w:t xml:space="preserve">, </w:t>
      </w:r>
      <w:r w:rsidR="00AE06EC" w:rsidRPr="00F833B4">
        <w:rPr>
          <w:lang w:val="ru-RU"/>
        </w:rPr>
        <w:t>эквивалентно сумме, учитываемой как "расходы</w:t>
      </w:r>
      <w:r w:rsidR="003868EE" w:rsidRPr="00F833B4">
        <w:rPr>
          <w:lang w:val="ru-RU"/>
        </w:rPr>
        <w:t xml:space="preserve"> будущих периодов</w:t>
      </w:r>
      <w:r w:rsidR="00AE06EC" w:rsidRPr="00F833B4">
        <w:rPr>
          <w:lang w:val="ru-RU"/>
        </w:rPr>
        <w:t xml:space="preserve">" в </w:t>
      </w:r>
      <w:proofErr w:type="spellStart"/>
      <w:r w:rsidR="00AE06EC" w:rsidRPr="00F833B4">
        <w:rPr>
          <w:lang w:val="ru-RU"/>
        </w:rPr>
        <w:t>нетекущих</w:t>
      </w:r>
      <w:proofErr w:type="spellEnd"/>
      <w:r w:rsidR="00AE06EC" w:rsidRPr="00F833B4">
        <w:rPr>
          <w:lang w:val="ru-RU"/>
        </w:rPr>
        <w:t xml:space="preserve"> активах</w:t>
      </w:r>
      <w:r w:rsidRPr="00F833B4">
        <w:rPr>
          <w:lang w:val="ru-RU"/>
        </w:rPr>
        <w:t xml:space="preserve">), </w:t>
      </w:r>
      <w:r w:rsidR="00AE06EC" w:rsidRPr="00F833B4">
        <w:rPr>
          <w:lang w:val="ru-RU"/>
        </w:rPr>
        <w:t>связанн</w:t>
      </w:r>
      <w:r w:rsidR="003855AA" w:rsidRPr="00F833B4">
        <w:rPr>
          <w:lang w:val="ru-RU"/>
        </w:rPr>
        <w:t>ым</w:t>
      </w:r>
      <w:r w:rsidR="00AE06EC" w:rsidRPr="00F833B4">
        <w:rPr>
          <w:lang w:val="ru-RU"/>
        </w:rPr>
        <w:t xml:space="preserve"> с присоединением МСЭ к новой программе медицинского страхования с 2020 года</w:t>
      </w:r>
      <w:r w:rsidRPr="00F833B4">
        <w:rPr>
          <w:lang w:val="ru-RU"/>
        </w:rPr>
        <w:t xml:space="preserve">. </w:t>
      </w:r>
      <w:r w:rsidR="00AE06EC" w:rsidRPr="00F833B4">
        <w:rPr>
          <w:lang w:val="ru-RU"/>
        </w:rPr>
        <w:t>См. подробное описание этих элементов учета ниже в настоящем отчете, где мы рассматриваем вознаграждение сотрудников</w:t>
      </w:r>
      <w:r w:rsidRPr="00F833B4">
        <w:rPr>
          <w:lang w:val="ru-RU"/>
        </w:rPr>
        <w:t>.</w:t>
      </w:r>
      <w:r w:rsidR="00CE0E84" w:rsidRPr="00F833B4">
        <w:rPr>
          <w:lang w:val="ru-RU"/>
        </w:rPr>
        <w:t xml:space="preserve"> Основа для оценки </w:t>
      </w:r>
      <w:proofErr w:type="spellStart"/>
      <w:r w:rsidR="00CE0E84" w:rsidRPr="00F833B4">
        <w:rPr>
          <w:lang w:val="ru-RU"/>
        </w:rPr>
        <w:t>нетекущих</w:t>
      </w:r>
      <w:proofErr w:type="spellEnd"/>
      <w:r w:rsidR="00CE0E84" w:rsidRPr="00F833B4">
        <w:rPr>
          <w:lang w:val="ru-RU"/>
        </w:rPr>
        <w:t xml:space="preserve"> пассивов изложена в</w:t>
      </w:r>
      <w:r w:rsidR="00B70228" w:rsidRPr="00F833B4">
        <w:rPr>
          <w:lang w:val="ru-RU"/>
        </w:rPr>
        <w:t xml:space="preserve"> разделе "</w:t>
      </w:r>
      <w:r w:rsidR="00CE0E84" w:rsidRPr="00F833B4">
        <w:rPr>
          <w:lang w:val="ru-RU"/>
        </w:rPr>
        <w:t>Принцип</w:t>
      </w:r>
      <w:r w:rsidR="00B70228" w:rsidRPr="00F833B4">
        <w:rPr>
          <w:lang w:val="ru-RU"/>
        </w:rPr>
        <w:t>ы</w:t>
      </w:r>
      <w:r w:rsidR="00CE0E84" w:rsidRPr="00F833B4">
        <w:rPr>
          <w:lang w:val="ru-RU"/>
        </w:rPr>
        <w:t xml:space="preserve"> бухгалтерского учета</w:t>
      </w:r>
      <w:r w:rsidR="00B70228" w:rsidRPr="00F833B4">
        <w:rPr>
          <w:lang w:val="ru-RU"/>
        </w:rPr>
        <w:t>"</w:t>
      </w:r>
      <w:r w:rsidR="00CE0E84" w:rsidRPr="00F833B4">
        <w:rPr>
          <w:lang w:val="ru-RU"/>
        </w:rPr>
        <w:t xml:space="preserve"> (Примечание 2).</w:t>
      </w:r>
    </w:p>
    <w:p w14:paraId="7A55724D" w14:textId="60EDE520" w:rsidR="00CE0E84" w:rsidRPr="00F833B4" w:rsidRDefault="000740D8" w:rsidP="009E4CDA">
      <w:pPr>
        <w:rPr>
          <w:lang w:val="ru-RU"/>
        </w:rPr>
      </w:pPr>
      <w:r w:rsidRPr="00F833B4">
        <w:rPr>
          <w:lang w:val="ru-RU"/>
        </w:rPr>
        <w:t>5</w:t>
      </w:r>
      <w:r w:rsidR="004905FA" w:rsidRPr="00F833B4">
        <w:rPr>
          <w:lang w:val="ru-RU"/>
        </w:rPr>
        <w:t>9</w:t>
      </w:r>
      <w:r w:rsidR="00CE0E84" w:rsidRPr="00F833B4">
        <w:rPr>
          <w:lang w:val="ru-RU"/>
        </w:rPr>
        <w:tab/>
      </w:r>
      <w:r w:rsidR="00546620" w:rsidRPr="00F833B4">
        <w:rPr>
          <w:lang w:val="ru-RU"/>
        </w:rPr>
        <w:t>Данный</w:t>
      </w:r>
      <w:r w:rsidR="00CE0E84" w:rsidRPr="00F833B4">
        <w:rPr>
          <w:lang w:val="ru-RU"/>
        </w:rPr>
        <w:t xml:space="preserve"> раздел </w:t>
      </w:r>
      <w:r w:rsidR="00546620" w:rsidRPr="00F833B4">
        <w:rPr>
          <w:lang w:val="ru-RU"/>
        </w:rPr>
        <w:t>составляют</w:t>
      </w:r>
      <w:r w:rsidR="00CE0E84" w:rsidRPr="00F833B4">
        <w:rPr>
          <w:lang w:val="ru-RU"/>
        </w:rPr>
        <w:t xml:space="preserve"> долгосрочны</w:t>
      </w:r>
      <w:r w:rsidR="00546620" w:rsidRPr="00F833B4">
        <w:rPr>
          <w:lang w:val="ru-RU"/>
        </w:rPr>
        <w:t>е</w:t>
      </w:r>
      <w:r w:rsidR="00CE0E84" w:rsidRPr="00F833B4">
        <w:rPr>
          <w:lang w:val="ru-RU"/>
        </w:rPr>
        <w:t xml:space="preserve"> задолженност</w:t>
      </w:r>
      <w:r w:rsidR="00546620" w:rsidRPr="00F833B4">
        <w:rPr>
          <w:lang w:val="ru-RU"/>
        </w:rPr>
        <w:t>и</w:t>
      </w:r>
      <w:r w:rsidR="00CE0E84" w:rsidRPr="00F833B4">
        <w:rPr>
          <w:lang w:val="ru-RU"/>
        </w:rPr>
        <w:t xml:space="preserve"> (см. пункт "Займ</w:t>
      </w:r>
      <w:r w:rsidR="00546620" w:rsidRPr="00F833B4">
        <w:rPr>
          <w:lang w:val="ru-RU"/>
        </w:rPr>
        <w:t>ы</w:t>
      </w:r>
      <w:r w:rsidR="00CE0E84" w:rsidRPr="00F833B4">
        <w:rPr>
          <w:lang w:val="ru-RU"/>
        </w:rPr>
        <w:t>"), средств</w:t>
      </w:r>
      <w:r w:rsidR="00546620" w:rsidRPr="00F833B4">
        <w:rPr>
          <w:lang w:val="ru-RU"/>
        </w:rPr>
        <w:t>а</w:t>
      </w:r>
      <w:r w:rsidR="00CE0E84" w:rsidRPr="00F833B4">
        <w:rPr>
          <w:lang w:val="ru-RU"/>
        </w:rPr>
        <w:t xml:space="preserve"> третьих сторон, распределенны</w:t>
      </w:r>
      <w:r w:rsidR="00546620" w:rsidRPr="00F833B4">
        <w:rPr>
          <w:lang w:val="ru-RU"/>
        </w:rPr>
        <w:t>е</w:t>
      </w:r>
      <w:r w:rsidR="00CE0E84" w:rsidRPr="00F833B4">
        <w:rPr>
          <w:lang w:val="ru-RU"/>
        </w:rPr>
        <w:t xml:space="preserve"> или находящи</w:t>
      </w:r>
      <w:r w:rsidR="00546620" w:rsidRPr="00F833B4">
        <w:rPr>
          <w:lang w:val="ru-RU"/>
        </w:rPr>
        <w:t>е</w:t>
      </w:r>
      <w:r w:rsidR="00CE0E84" w:rsidRPr="00F833B4">
        <w:rPr>
          <w:lang w:val="ru-RU"/>
        </w:rPr>
        <w:t>ся в процессе распределения, обязательств</w:t>
      </w:r>
      <w:r w:rsidR="00546620" w:rsidRPr="00F833B4">
        <w:rPr>
          <w:lang w:val="ru-RU"/>
        </w:rPr>
        <w:t>а</w:t>
      </w:r>
      <w:r w:rsidR="00CE0E84" w:rsidRPr="00F833B4">
        <w:rPr>
          <w:lang w:val="ru-RU"/>
        </w:rPr>
        <w:t xml:space="preserve"> по линии системы медицинского страхования МСЭ и резервны</w:t>
      </w:r>
      <w:r w:rsidR="00546620" w:rsidRPr="00F833B4">
        <w:rPr>
          <w:lang w:val="ru-RU"/>
        </w:rPr>
        <w:t>е</w:t>
      </w:r>
      <w:r w:rsidR="00CE0E84" w:rsidRPr="00F833B4">
        <w:rPr>
          <w:lang w:val="ru-RU"/>
        </w:rPr>
        <w:t xml:space="preserve"> фонд</w:t>
      </w:r>
      <w:r w:rsidR="00AE06EC" w:rsidRPr="00F833B4">
        <w:rPr>
          <w:lang w:val="ru-RU"/>
        </w:rPr>
        <w:t>ы</w:t>
      </w:r>
      <w:r w:rsidR="00CE0E84" w:rsidRPr="00F833B4">
        <w:rPr>
          <w:lang w:val="ru-RU"/>
        </w:rPr>
        <w:t>, покрывающи</w:t>
      </w:r>
      <w:r w:rsidR="00546620" w:rsidRPr="00F833B4">
        <w:rPr>
          <w:lang w:val="ru-RU"/>
        </w:rPr>
        <w:t>е</w:t>
      </w:r>
      <w:r w:rsidR="00CE0E84" w:rsidRPr="00F833B4">
        <w:rPr>
          <w:lang w:val="ru-RU"/>
        </w:rPr>
        <w:t xml:space="preserve"> обязательства с неопределенными суммами и сроками, в основном относящиеся к пособиям, причитающимся </w:t>
      </w:r>
      <w:r w:rsidR="009E4CDA" w:rsidRPr="00F833B4">
        <w:rPr>
          <w:lang w:val="ru-RU"/>
        </w:rPr>
        <w:t>работникам</w:t>
      </w:r>
      <w:r w:rsidR="00CE0E84" w:rsidRPr="00F833B4">
        <w:rPr>
          <w:lang w:val="ru-RU"/>
        </w:rPr>
        <w:t xml:space="preserve"> после прекращения службы.</w:t>
      </w:r>
    </w:p>
    <w:p w14:paraId="3B0EDBF9" w14:textId="77777777" w:rsidR="00CE0E84" w:rsidRPr="00F833B4" w:rsidRDefault="00CE0E84" w:rsidP="000608BD">
      <w:pPr>
        <w:pStyle w:val="Heading2"/>
        <w:rPr>
          <w:lang w:val="ru-RU"/>
        </w:rPr>
      </w:pPr>
      <w:bookmarkStart w:id="245" w:name="_Toc452157320"/>
      <w:bookmarkStart w:id="246" w:name="_Toc482995187"/>
      <w:bookmarkStart w:id="247" w:name="_Toc522633577"/>
      <w:bookmarkStart w:id="248" w:name="_Toc56179565"/>
      <w:bookmarkStart w:id="249" w:name="_Toc56180385"/>
      <w:r w:rsidRPr="00F833B4">
        <w:rPr>
          <w:lang w:val="ru-RU"/>
        </w:rPr>
        <w:t>Обобщенные сведения о вознаграждении сотрудников</w:t>
      </w:r>
      <w:bookmarkEnd w:id="245"/>
      <w:bookmarkEnd w:id="246"/>
      <w:bookmarkEnd w:id="247"/>
      <w:bookmarkEnd w:id="248"/>
      <w:bookmarkEnd w:id="249"/>
      <w:r w:rsidRPr="00F833B4">
        <w:rPr>
          <w:lang w:val="ru-RU"/>
        </w:rPr>
        <w:t xml:space="preserve"> </w:t>
      </w:r>
    </w:p>
    <w:p w14:paraId="4419BDCB" w14:textId="339E3784" w:rsidR="00CE0E84" w:rsidRPr="00F833B4" w:rsidRDefault="004905FA" w:rsidP="00E5596D">
      <w:pPr>
        <w:spacing w:after="120"/>
        <w:rPr>
          <w:lang w:val="ru-RU"/>
        </w:rPr>
      </w:pPr>
      <w:r w:rsidRPr="00F833B4">
        <w:rPr>
          <w:lang w:val="ru-RU"/>
        </w:rPr>
        <w:t>60</w:t>
      </w:r>
      <w:r w:rsidR="00CE0E84" w:rsidRPr="00F833B4">
        <w:rPr>
          <w:lang w:val="ru-RU"/>
        </w:rPr>
        <w:tab/>
        <w:t xml:space="preserve">Информация о вознаграждении сотрудников </w:t>
      </w:r>
      <w:r w:rsidR="009E4CDA" w:rsidRPr="00F833B4">
        <w:rPr>
          <w:lang w:val="ru-RU"/>
        </w:rPr>
        <w:t>приведена</w:t>
      </w:r>
      <w:r w:rsidR="00CE0E84" w:rsidRPr="00F833B4">
        <w:rPr>
          <w:lang w:val="ru-RU"/>
        </w:rPr>
        <w:t xml:space="preserve"> в финансовой отчетности в разделах "Текущие пассивы" и "</w:t>
      </w:r>
      <w:proofErr w:type="spellStart"/>
      <w:r w:rsidR="00CE0E84" w:rsidRPr="00F833B4">
        <w:rPr>
          <w:lang w:val="ru-RU"/>
        </w:rPr>
        <w:t>Нетекущие</w:t>
      </w:r>
      <w:proofErr w:type="spellEnd"/>
      <w:r w:rsidR="00CE0E84" w:rsidRPr="00F833B4">
        <w:rPr>
          <w:lang w:val="ru-RU"/>
        </w:rPr>
        <w:t xml:space="preserve"> пассивы". В</w:t>
      </w:r>
      <w:r w:rsidR="009E4CDA" w:rsidRPr="00F833B4">
        <w:rPr>
          <w:lang w:val="ru-RU"/>
        </w:rPr>
        <w:t> </w:t>
      </w:r>
      <w:r w:rsidR="00CE0E84" w:rsidRPr="00F833B4">
        <w:rPr>
          <w:lang w:val="ru-RU"/>
        </w:rPr>
        <w:t>201</w:t>
      </w:r>
      <w:r w:rsidRPr="00F833B4">
        <w:rPr>
          <w:lang w:val="ru-RU"/>
        </w:rPr>
        <w:t>9</w:t>
      </w:r>
      <w:r w:rsidR="009E4CDA" w:rsidRPr="00F833B4">
        <w:rPr>
          <w:lang w:val="ru-RU"/>
        </w:rPr>
        <w:t> </w:t>
      </w:r>
      <w:r w:rsidR="00CE0E84" w:rsidRPr="00F833B4">
        <w:rPr>
          <w:lang w:val="ru-RU"/>
        </w:rPr>
        <w:t>году общий размер вознаграждения</w:t>
      </w:r>
      <w:r w:rsidR="00E5596D" w:rsidRPr="00F833B4">
        <w:rPr>
          <w:lang w:val="ru-RU"/>
        </w:rPr>
        <w:t>, выплачиваемого</w:t>
      </w:r>
      <w:r w:rsidR="00CE0E84" w:rsidRPr="00F833B4">
        <w:rPr>
          <w:lang w:val="ru-RU"/>
        </w:rPr>
        <w:t xml:space="preserve"> сотрудник</w:t>
      </w:r>
      <w:r w:rsidR="00E5596D" w:rsidRPr="00F833B4">
        <w:rPr>
          <w:lang w:val="ru-RU"/>
        </w:rPr>
        <w:t>ам,</w:t>
      </w:r>
      <w:r w:rsidR="00CE0E84" w:rsidRPr="00F833B4">
        <w:rPr>
          <w:lang w:val="ru-RU"/>
        </w:rPr>
        <w:t xml:space="preserve"> составил </w:t>
      </w:r>
      <w:r w:rsidRPr="00F833B4">
        <w:rPr>
          <w:lang w:val="ru-RU"/>
        </w:rPr>
        <w:t>635</w:t>
      </w:r>
      <w:r w:rsidR="00CE0E84" w:rsidRPr="00F833B4">
        <w:rPr>
          <w:lang w:val="ru-RU"/>
        </w:rPr>
        <w:t>,</w:t>
      </w:r>
      <w:r w:rsidRPr="00F833B4">
        <w:rPr>
          <w:lang w:val="ru-RU"/>
        </w:rPr>
        <w:t>03</w:t>
      </w:r>
      <w:r w:rsidR="002D1BE1" w:rsidRPr="00F833B4">
        <w:rPr>
          <w:lang w:val="ru-RU"/>
        </w:rPr>
        <w:t> </w:t>
      </w:r>
      <w:proofErr w:type="gramStart"/>
      <w:r w:rsidR="002D1BE1" w:rsidRPr="00F833B4">
        <w:rPr>
          <w:lang w:val="ru-RU"/>
        </w:rPr>
        <w:t>млн.</w:t>
      </w:r>
      <w:proofErr w:type="gramEnd"/>
      <w:r w:rsidR="002D1BE1" w:rsidRPr="00F833B4">
        <w:rPr>
          <w:lang w:val="ru-RU"/>
        </w:rPr>
        <w:t xml:space="preserve"> </w:t>
      </w:r>
      <w:r w:rsidR="00CE0E84" w:rsidRPr="00F833B4">
        <w:rPr>
          <w:lang w:val="ru-RU"/>
        </w:rPr>
        <w:t>швейцарских франков</w:t>
      </w:r>
      <w:r w:rsidR="00AE06EC" w:rsidRPr="00F833B4">
        <w:rPr>
          <w:lang w:val="ru-RU"/>
        </w:rPr>
        <w:t>, как показано</w:t>
      </w:r>
      <w:r w:rsidR="00CE0E84" w:rsidRPr="00F833B4">
        <w:rPr>
          <w:lang w:val="ru-RU"/>
        </w:rPr>
        <w:t xml:space="preserve"> в приведенной ниже таблице. </w:t>
      </w:r>
    </w:p>
    <w:p w14:paraId="2A92E286" w14:textId="77777777" w:rsidR="004647C3" w:rsidRPr="00F833B4" w:rsidRDefault="004647C3" w:rsidP="004647C3">
      <w:pPr>
        <w:pStyle w:val="TableNo"/>
        <w:rPr>
          <w:lang w:val="ru-RU"/>
        </w:rPr>
      </w:pPr>
      <w:r w:rsidRPr="00F833B4">
        <w:rPr>
          <w:lang w:val="ru-RU"/>
        </w:rPr>
        <w:t>ТАБЛИЦА 1</w:t>
      </w:r>
    </w:p>
    <w:tbl>
      <w:tblPr>
        <w:tblW w:w="9626" w:type="dxa"/>
        <w:tblLayout w:type="fixed"/>
        <w:tblLook w:val="04A0" w:firstRow="1" w:lastRow="0" w:firstColumn="1" w:lastColumn="0" w:noHBand="0" w:noVBand="1"/>
      </w:tblPr>
      <w:tblGrid>
        <w:gridCol w:w="4248"/>
        <w:gridCol w:w="1417"/>
        <w:gridCol w:w="1418"/>
        <w:gridCol w:w="1271"/>
        <w:gridCol w:w="1272"/>
      </w:tblGrid>
      <w:tr w:rsidR="00CE0E84" w:rsidRPr="00F833B4" w14:paraId="02DFFEC1" w14:textId="77777777" w:rsidTr="00CE0E84">
        <w:tc>
          <w:tcPr>
            <w:tcW w:w="424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08F6FC" w14:textId="77777777" w:rsidR="00CE0E84" w:rsidRPr="00F833B4" w:rsidRDefault="00CE0E84" w:rsidP="00CE0E84">
            <w:pPr>
              <w:pStyle w:val="Tablehead"/>
              <w:rPr>
                <w:rFonts w:eastAsia="SimSun"/>
                <w:i/>
                <w:iCs/>
                <w:sz w:val="18"/>
                <w:szCs w:val="18"/>
                <w:lang w:val="ru-RU" w:eastAsia="zh-CN"/>
              </w:rPr>
            </w:pPr>
            <w:r w:rsidRPr="00F833B4">
              <w:rPr>
                <w:rFonts w:eastAsia="SimSun"/>
                <w:i/>
                <w:iCs/>
                <w:sz w:val="18"/>
                <w:szCs w:val="18"/>
                <w:lang w:val="ru-RU" w:eastAsia="zh-CN"/>
              </w:rPr>
              <w:t>Пассивы</w:t>
            </w:r>
          </w:p>
        </w:tc>
        <w:tc>
          <w:tcPr>
            <w:tcW w:w="283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2F80640" w14:textId="77777777" w:rsidR="00CE0E84" w:rsidRPr="00F833B4" w:rsidRDefault="00CE0E84" w:rsidP="00CE0E84">
            <w:pPr>
              <w:pStyle w:val="Tablehead"/>
              <w:rPr>
                <w:rFonts w:eastAsia="SimSun"/>
                <w:sz w:val="18"/>
                <w:szCs w:val="18"/>
                <w:lang w:val="ru-RU" w:eastAsia="zh-CN"/>
              </w:rPr>
            </w:pPr>
            <w:r w:rsidRPr="00F833B4">
              <w:rPr>
                <w:rFonts w:eastAsia="SimSun"/>
                <w:sz w:val="18"/>
                <w:szCs w:val="18"/>
                <w:lang w:val="ru-RU" w:eastAsia="zh-CN"/>
              </w:rPr>
              <w:t>(</w:t>
            </w:r>
            <w:r w:rsidR="00E47BD4" w:rsidRPr="00F833B4">
              <w:rPr>
                <w:rFonts w:eastAsia="SimSun"/>
                <w:sz w:val="18"/>
                <w:szCs w:val="18"/>
                <w:lang w:val="ru-RU" w:eastAsia="zh-CN"/>
              </w:rPr>
              <w:t>В</w:t>
            </w:r>
            <w:r w:rsidRPr="00F833B4">
              <w:rPr>
                <w:rFonts w:eastAsia="SimSun"/>
                <w:sz w:val="18"/>
                <w:szCs w:val="18"/>
                <w:lang w:val="ru-RU" w:eastAsia="zh-CN"/>
              </w:rPr>
              <w:t xml:space="preserve"> тыс. швейцарских франков)</w:t>
            </w:r>
          </w:p>
        </w:tc>
        <w:tc>
          <w:tcPr>
            <w:tcW w:w="2543"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014A3E3" w14:textId="77777777" w:rsidR="00CE0E84" w:rsidRPr="00F833B4" w:rsidRDefault="00CE0E84" w:rsidP="00DD0847">
            <w:pPr>
              <w:pStyle w:val="Tablehead"/>
              <w:rPr>
                <w:rFonts w:eastAsia="SimSun"/>
                <w:sz w:val="18"/>
                <w:szCs w:val="18"/>
                <w:lang w:val="ru-RU" w:eastAsia="zh-CN"/>
              </w:rPr>
            </w:pPr>
            <w:r w:rsidRPr="00F833B4">
              <w:rPr>
                <w:rFonts w:eastAsia="SimSun"/>
                <w:sz w:val="18"/>
                <w:szCs w:val="18"/>
                <w:lang w:val="ru-RU" w:eastAsia="zh-CN"/>
              </w:rPr>
              <w:t>Расхождение 201</w:t>
            </w:r>
            <w:r w:rsidR="00DD0847" w:rsidRPr="00F833B4">
              <w:rPr>
                <w:rFonts w:eastAsia="SimSun"/>
                <w:sz w:val="18"/>
                <w:szCs w:val="18"/>
                <w:lang w:val="ru-RU" w:eastAsia="zh-CN"/>
              </w:rPr>
              <w:t>8</w:t>
            </w:r>
            <w:r w:rsidRPr="00F833B4">
              <w:rPr>
                <w:rFonts w:eastAsia="SimSun"/>
                <w:sz w:val="18"/>
                <w:szCs w:val="18"/>
                <w:lang w:val="ru-RU" w:eastAsia="zh-CN"/>
              </w:rPr>
              <w:t>−201</w:t>
            </w:r>
            <w:r w:rsidR="00DD0847" w:rsidRPr="00F833B4">
              <w:rPr>
                <w:rFonts w:eastAsia="SimSun"/>
                <w:sz w:val="18"/>
                <w:szCs w:val="18"/>
                <w:lang w:val="ru-RU" w:eastAsia="zh-CN"/>
              </w:rPr>
              <w:t>9</w:t>
            </w:r>
            <w:r w:rsidRPr="00F833B4">
              <w:rPr>
                <w:rFonts w:eastAsia="SimSun"/>
                <w:sz w:val="18"/>
                <w:szCs w:val="18"/>
                <w:lang w:val="ru-RU" w:eastAsia="zh-CN"/>
              </w:rPr>
              <w:t xml:space="preserve"> гг.</w:t>
            </w:r>
          </w:p>
        </w:tc>
      </w:tr>
      <w:tr w:rsidR="00CE0E84" w:rsidRPr="00F833B4" w14:paraId="7BA8BC9E" w14:textId="77777777" w:rsidTr="00CE0E84">
        <w:tc>
          <w:tcPr>
            <w:tcW w:w="4248" w:type="dxa"/>
            <w:vMerge/>
            <w:tcBorders>
              <w:top w:val="single" w:sz="4" w:space="0" w:color="auto"/>
              <w:left w:val="single" w:sz="4" w:space="0" w:color="auto"/>
              <w:bottom w:val="single" w:sz="4" w:space="0" w:color="auto"/>
              <w:right w:val="single" w:sz="4" w:space="0" w:color="auto"/>
            </w:tcBorders>
            <w:vAlign w:val="center"/>
            <w:hideMark/>
          </w:tcPr>
          <w:p w14:paraId="663CE9EF" w14:textId="77777777" w:rsidR="00CE0E84" w:rsidRPr="00F833B4" w:rsidRDefault="00CE0E84" w:rsidP="00CE0E84">
            <w:pPr>
              <w:pStyle w:val="Tablehead"/>
              <w:rPr>
                <w:rFonts w:eastAsia="SimSun"/>
                <w:sz w:val="18"/>
                <w:szCs w:val="18"/>
                <w:lang w:val="ru-RU" w:eastAsia="zh-CN"/>
              </w:rPr>
            </w:pPr>
          </w:p>
        </w:tc>
        <w:tc>
          <w:tcPr>
            <w:tcW w:w="1417" w:type="dxa"/>
            <w:tcBorders>
              <w:top w:val="nil"/>
              <w:left w:val="nil"/>
              <w:bottom w:val="single" w:sz="4" w:space="0" w:color="auto"/>
              <w:right w:val="single" w:sz="4" w:space="0" w:color="auto"/>
            </w:tcBorders>
            <w:shd w:val="clear" w:color="000000" w:fill="D9D9D9"/>
            <w:noWrap/>
            <w:vAlign w:val="center"/>
            <w:hideMark/>
          </w:tcPr>
          <w:p w14:paraId="49E75C07" w14:textId="77777777" w:rsidR="00CE0E84" w:rsidRPr="00F833B4" w:rsidRDefault="00CE0E84" w:rsidP="004905FA">
            <w:pPr>
              <w:pStyle w:val="Tablehead"/>
              <w:rPr>
                <w:rFonts w:eastAsia="SimSun"/>
                <w:i/>
                <w:iCs/>
                <w:sz w:val="18"/>
                <w:szCs w:val="18"/>
                <w:lang w:val="ru-RU" w:eastAsia="zh-CN"/>
              </w:rPr>
            </w:pPr>
            <w:r w:rsidRPr="00F833B4">
              <w:rPr>
                <w:rFonts w:eastAsia="SimSun"/>
                <w:i/>
                <w:iCs/>
                <w:sz w:val="18"/>
                <w:szCs w:val="18"/>
                <w:lang w:val="ru-RU" w:eastAsia="zh-CN"/>
              </w:rPr>
              <w:t>201</w:t>
            </w:r>
            <w:r w:rsidR="004905FA" w:rsidRPr="00F833B4">
              <w:rPr>
                <w:rFonts w:eastAsia="SimSun"/>
                <w:i/>
                <w:iCs/>
                <w:sz w:val="18"/>
                <w:szCs w:val="18"/>
                <w:lang w:val="ru-RU" w:eastAsia="zh-CN"/>
              </w:rPr>
              <w:t>9</w:t>
            </w:r>
            <w:r w:rsidR="004D2F49" w:rsidRPr="00F833B4">
              <w:rPr>
                <w:rFonts w:eastAsia="SimSun"/>
                <w:i/>
                <w:iCs/>
                <w:sz w:val="18"/>
                <w:szCs w:val="18"/>
                <w:lang w:val="ru-RU" w:eastAsia="zh-CN"/>
              </w:rPr>
              <w:t> г.</w:t>
            </w:r>
          </w:p>
        </w:tc>
        <w:tc>
          <w:tcPr>
            <w:tcW w:w="1418" w:type="dxa"/>
            <w:tcBorders>
              <w:top w:val="nil"/>
              <w:left w:val="nil"/>
              <w:bottom w:val="single" w:sz="4" w:space="0" w:color="auto"/>
              <w:right w:val="single" w:sz="4" w:space="0" w:color="auto"/>
            </w:tcBorders>
            <w:shd w:val="clear" w:color="000000" w:fill="D9D9D9"/>
            <w:noWrap/>
            <w:vAlign w:val="center"/>
            <w:hideMark/>
          </w:tcPr>
          <w:p w14:paraId="4BC26018" w14:textId="77777777" w:rsidR="00CE0E84" w:rsidRPr="00F833B4" w:rsidRDefault="00CE0E84" w:rsidP="004905FA">
            <w:pPr>
              <w:pStyle w:val="Tablehead"/>
              <w:rPr>
                <w:rFonts w:eastAsia="SimSun"/>
                <w:i/>
                <w:iCs/>
                <w:sz w:val="18"/>
                <w:szCs w:val="18"/>
                <w:lang w:val="ru-RU" w:eastAsia="zh-CN"/>
              </w:rPr>
            </w:pPr>
            <w:r w:rsidRPr="00F833B4">
              <w:rPr>
                <w:rFonts w:eastAsia="SimSun"/>
                <w:i/>
                <w:iCs/>
                <w:sz w:val="18"/>
                <w:szCs w:val="18"/>
                <w:lang w:val="ru-RU" w:eastAsia="zh-CN"/>
              </w:rPr>
              <w:t>201</w:t>
            </w:r>
            <w:r w:rsidR="004905FA" w:rsidRPr="00F833B4">
              <w:rPr>
                <w:rFonts w:eastAsia="SimSun"/>
                <w:i/>
                <w:iCs/>
                <w:sz w:val="18"/>
                <w:szCs w:val="18"/>
                <w:lang w:val="ru-RU" w:eastAsia="zh-CN"/>
              </w:rPr>
              <w:t>8</w:t>
            </w:r>
            <w:r w:rsidR="004D2F49" w:rsidRPr="00F833B4">
              <w:rPr>
                <w:rFonts w:eastAsia="SimSun"/>
                <w:i/>
                <w:iCs/>
                <w:sz w:val="18"/>
                <w:szCs w:val="18"/>
                <w:lang w:val="ru-RU" w:eastAsia="zh-CN"/>
              </w:rPr>
              <w:t> г.</w:t>
            </w:r>
          </w:p>
        </w:tc>
        <w:tc>
          <w:tcPr>
            <w:tcW w:w="1271" w:type="dxa"/>
            <w:tcBorders>
              <w:top w:val="nil"/>
              <w:left w:val="nil"/>
              <w:bottom w:val="single" w:sz="4" w:space="0" w:color="auto"/>
              <w:right w:val="single" w:sz="4" w:space="0" w:color="auto"/>
            </w:tcBorders>
            <w:shd w:val="clear" w:color="000000" w:fill="D9D9D9"/>
            <w:noWrap/>
            <w:vAlign w:val="center"/>
            <w:hideMark/>
          </w:tcPr>
          <w:p w14:paraId="7AED539A" w14:textId="77777777" w:rsidR="00CE0E84" w:rsidRPr="00F833B4" w:rsidRDefault="00CE0E84" w:rsidP="00CE0E84">
            <w:pPr>
              <w:pStyle w:val="Tablehead"/>
              <w:rPr>
                <w:rFonts w:eastAsia="SimSun"/>
                <w:sz w:val="18"/>
                <w:szCs w:val="18"/>
                <w:lang w:val="ru-RU" w:eastAsia="zh-CN"/>
              </w:rPr>
            </w:pPr>
            <w:r w:rsidRPr="00F833B4">
              <w:rPr>
                <w:rFonts w:eastAsia="SimSun"/>
                <w:sz w:val="18"/>
                <w:szCs w:val="18"/>
                <w:lang w:val="ru-RU" w:eastAsia="zh-CN"/>
              </w:rPr>
              <w:t xml:space="preserve">тыс. </w:t>
            </w:r>
            <w:proofErr w:type="spellStart"/>
            <w:r w:rsidRPr="00F833B4">
              <w:rPr>
                <w:rFonts w:eastAsia="SimSun"/>
                <w:sz w:val="18"/>
                <w:szCs w:val="18"/>
                <w:lang w:val="ru-RU" w:eastAsia="zh-CN"/>
              </w:rPr>
              <w:t>шв</w:t>
            </w:r>
            <w:proofErr w:type="spellEnd"/>
            <w:r w:rsidRPr="00F833B4">
              <w:rPr>
                <w:rFonts w:eastAsia="SimSun"/>
                <w:sz w:val="18"/>
                <w:szCs w:val="18"/>
                <w:lang w:val="ru-RU" w:eastAsia="zh-CN"/>
              </w:rPr>
              <w:t>. фр.</w:t>
            </w:r>
          </w:p>
        </w:tc>
        <w:tc>
          <w:tcPr>
            <w:tcW w:w="1272" w:type="dxa"/>
            <w:tcBorders>
              <w:top w:val="nil"/>
              <w:left w:val="nil"/>
              <w:bottom w:val="single" w:sz="4" w:space="0" w:color="auto"/>
              <w:right w:val="single" w:sz="4" w:space="0" w:color="auto"/>
            </w:tcBorders>
            <w:shd w:val="clear" w:color="000000" w:fill="D9D9D9"/>
            <w:noWrap/>
            <w:vAlign w:val="center"/>
            <w:hideMark/>
          </w:tcPr>
          <w:p w14:paraId="7DAD47CF" w14:textId="77777777" w:rsidR="00CE0E84" w:rsidRPr="00F833B4" w:rsidRDefault="00CE0E84" w:rsidP="00CE0E84">
            <w:pPr>
              <w:pStyle w:val="Tablehead"/>
              <w:rPr>
                <w:rFonts w:eastAsia="SimSun"/>
                <w:sz w:val="18"/>
                <w:szCs w:val="18"/>
                <w:lang w:val="ru-RU" w:eastAsia="zh-CN"/>
              </w:rPr>
            </w:pPr>
            <w:r w:rsidRPr="00F833B4">
              <w:rPr>
                <w:rFonts w:eastAsia="SimSun"/>
                <w:sz w:val="18"/>
                <w:szCs w:val="18"/>
                <w:lang w:val="ru-RU" w:eastAsia="zh-CN"/>
              </w:rPr>
              <w:t>%</w:t>
            </w:r>
          </w:p>
        </w:tc>
      </w:tr>
      <w:tr w:rsidR="004905FA" w:rsidRPr="00F833B4" w14:paraId="23C703CE" w14:textId="77777777"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358F34F" w14:textId="77777777" w:rsidR="004905FA" w:rsidRPr="00F833B4" w:rsidRDefault="004905FA" w:rsidP="004905FA">
            <w:pPr>
              <w:pStyle w:val="Tabletext"/>
              <w:rPr>
                <w:rFonts w:eastAsia="SimSun"/>
                <w:sz w:val="18"/>
                <w:szCs w:val="18"/>
                <w:u w:val="single"/>
                <w:lang w:val="ru-RU" w:eastAsia="zh-CN"/>
              </w:rPr>
            </w:pPr>
            <w:r w:rsidRPr="00F833B4">
              <w:rPr>
                <w:rFonts w:eastAsia="SimSun"/>
                <w:sz w:val="18"/>
                <w:szCs w:val="18"/>
                <w:u w:val="single"/>
                <w:lang w:val="ru-RU" w:eastAsia="zh-CN"/>
              </w:rPr>
              <w:t>Текущие</w:t>
            </w:r>
          </w:p>
        </w:tc>
        <w:tc>
          <w:tcPr>
            <w:tcW w:w="1417" w:type="dxa"/>
            <w:tcBorders>
              <w:top w:val="nil"/>
              <w:left w:val="nil"/>
              <w:bottom w:val="single" w:sz="4" w:space="0" w:color="auto"/>
              <w:right w:val="single" w:sz="4" w:space="0" w:color="auto"/>
            </w:tcBorders>
            <w:shd w:val="clear" w:color="auto" w:fill="auto"/>
            <w:noWrap/>
            <w:vAlign w:val="bottom"/>
          </w:tcPr>
          <w:p w14:paraId="567AE58E" w14:textId="77777777" w:rsidR="004905FA" w:rsidRPr="00F833B4" w:rsidRDefault="00DD0847" w:rsidP="004905FA">
            <w:pPr>
              <w:pStyle w:val="Tabletext"/>
              <w:ind w:right="284"/>
              <w:jc w:val="right"/>
              <w:rPr>
                <w:rFonts w:eastAsia="SimSun"/>
                <w:sz w:val="18"/>
                <w:szCs w:val="18"/>
                <w:lang w:val="ru-RU" w:eastAsia="zh-CN"/>
              </w:rPr>
            </w:pPr>
            <w:r w:rsidRPr="00F833B4">
              <w:rPr>
                <w:rFonts w:eastAsia="SimSun"/>
                <w:sz w:val="18"/>
                <w:szCs w:val="18"/>
                <w:lang w:val="ru-RU" w:eastAsia="zh-CN"/>
              </w:rPr>
              <w:t>178</w:t>
            </w:r>
          </w:p>
        </w:tc>
        <w:tc>
          <w:tcPr>
            <w:tcW w:w="1418" w:type="dxa"/>
            <w:tcBorders>
              <w:top w:val="nil"/>
              <w:left w:val="nil"/>
              <w:bottom w:val="single" w:sz="4" w:space="0" w:color="auto"/>
              <w:right w:val="single" w:sz="4" w:space="0" w:color="auto"/>
            </w:tcBorders>
            <w:shd w:val="clear" w:color="auto" w:fill="auto"/>
            <w:noWrap/>
            <w:vAlign w:val="bottom"/>
          </w:tcPr>
          <w:p w14:paraId="43C559D8"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187</w:t>
            </w:r>
          </w:p>
        </w:tc>
        <w:tc>
          <w:tcPr>
            <w:tcW w:w="1271" w:type="dxa"/>
            <w:tcBorders>
              <w:top w:val="nil"/>
              <w:left w:val="nil"/>
              <w:bottom w:val="single" w:sz="4" w:space="0" w:color="auto"/>
              <w:right w:val="single" w:sz="4" w:space="0" w:color="auto"/>
            </w:tcBorders>
            <w:shd w:val="clear" w:color="auto" w:fill="auto"/>
            <w:noWrap/>
            <w:vAlign w:val="bottom"/>
          </w:tcPr>
          <w:p w14:paraId="05148478"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−9</w:t>
            </w:r>
          </w:p>
        </w:tc>
        <w:tc>
          <w:tcPr>
            <w:tcW w:w="1272" w:type="dxa"/>
            <w:tcBorders>
              <w:top w:val="nil"/>
              <w:left w:val="nil"/>
              <w:bottom w:val="single" w:sz="4" w:space="0" w:color="auto"/>
              <w:right w:val="single" w:sz="4" w:space="0" w:color="auto"/>
            </w:tcBorders>
            <w:shd w:val="clear" w:color="auto" w:fill="auto"/>
            <w:noWrap/>
            <w:vAlign w:val="bottom"/>
          </w:tcPr>
          <w:p w14:paraId="7F2AB0A1" w14:textId="77777777" w:rsidR="004905FA" w:rsidRPr="00F833B4" w:rsidRDefault="004905FA" w:rsidP="00DD0847">
            <w:pPr>
              <w:pStyle w:val="Tabletext"/>
              <w:ind w:right="284"/>
              <w:jc w:val="right"/>
              <w:rPr>
                <w:rFonts w:eastAsia="SimSun"/>
                <w:sz w:val="18"/>
                <w:szCs w:val="18"/>
                <w:lang w:val="ru-RU" w:eastAsia="zh-CN"/>
              </w:rPr>
            </w:pPr>
            <w:r w:rsidRPr="00F833B4">
              <w:rPr>
                <w:rFonts w:eastAsia="SimSun"/>
                <w:sz w:val="18"/>
                <w:szCs w:val="18"/>
                <w:lang w:val="ru-RU" w:eastAsia="zh-CN"/>
              </w:rPr>
              <w:t>−</w:t>
            </w:r>
            <w:r w:rsidR="00DD0847" w:rsidRPr="00F833B4">
              <w:rPr>
                <w:rFonts w:eastAsia="SimSun"/>
                <w:sz w:val="18"/>
                <w:szCs w:val="18"/>
                <w:lang w:val="ru-RU" w:eastAsia="zh-CN"/>
              </w:rPr>
              <w:t>4</w:t>
            </w:r>
            <w:r w:rsidRPr="00F833B4">
              <w:rPr>
                <w:rFonts w:eastAsia="SimSun"/>
                <w:sz w:val="18"/>
                <w:szCs w:val="18"/>
                <w:lang w:val="ru-RU" w:eastAsia="zh-CN"/>
              </w:rPr>
              <w:t>,</w:t>
            </w:r>
            <w:r w:rsidR="00DD0847" w:rsidRPr="00F833B4">
              <w:rPr>
                <w:rFonts w:eastAsia="SimSun"/>
                <w:sz w:val="18"/>
                <w:szCs w:val="18"/>
                <w:lang w:val="ru-RU" w:eastAsia="zh-CN"/>
              </w:rPr>
              <w:t>8</w:t>
            </w:r>
            <w:r w:rsidRPr="00F833B4">
              <w:rPr>
                <w:rFonts w:eastAsia="SimSun"/>
                <w:sz w:val="18"/>
                <w:szCs w:val="18"/>
                <w:lang w:val="ru-RU" w:eastAsia="zh-CN"/>
              </w:rPr>
              <w:t>%</w:t>
            </w:r>
          </w:p>
        </w:tc>
      </w:tr>
      <w:tr w:rsidR="004905FA" w:rsidRPr="00F833B4" w14:paraId="363DA1DF" w14:textId="77777777"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4E9BE4B" w14:textId="77777777" w:rsidR="004905FA" w:rsidRPr="00F833B4" w:rsidRDefault="004905FA" w:rsidP="004905FA">
            <w:pPr>
              <w:pStyle w:val="Tabletext"/>
              <w:rPr>
                <w:rFonts w:eastAsia="SimSun"/>
                <w:sz w:val="18"/>
                <w:szCs w:val="18"/>
                <w:u w:val="single"/>
                <w:lang w:val="ru-RU" w:eastAsia="zh-CN"/>
              </w:rPr>
            </w:pPr>
            <w:proofErr w:type="spellStart"/>
            <w:r w:rsidRPr="00F833B4">
              <w:rPr>
                <w:rFonts w:eastAsia="SimSun"/>
                <w:sz w:val="18"/>
                <w:szCs w:val="18"/>
                <w:u w:val="single"/>
                <w:lang w:val="ru-RU" w:eastAsia="zh-CN"/>
              </w:rPr>
              <w:t>Нетекущие</w:t>
            </w:r>
            <w:proofErr w:type="spellEnd"/>
          </w:p>
        </w:tc>
        <w:tc>
          <w:tcPr>
            <w:tcW w:w="1417" w:type="dxa"/>
            <w:tcBorders>
              <w:top w:val="nil"/>
              <w:left w:val="nil"/>
              <w:bottom w:val="single" w:sz="4" w:space="0" w:color="auto"/>
              <w:right w:val="single" w:sz="4" w:space="0" w:color="auto"/>
            </w:tcBorders>
            <w:shd w:val="clear" w:color="auto" w:fill="auto"/>
            <w:noWrap/>
            <w:vAlign w:val="bottom"/>
          </w:tcPr>
          <w:p w14:paraId="36360F86"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634</w:t>
            </w:r>
            <w:r w:rsidR="004905FA" w:rsidRPr="00F833B4">
              <w:rPr>
                <w:rFonts w:eastAsia="SimSun"/>
                <w:sz w:val="18"/>
                <w:szCs w:val="18"/>
                <w:lang w:val="ru-RU" w:eastAsia="zh-CN"/>
              </w:rPr>
              <w:t xml:space="preserve"> </w:t>
            </w:r>
            <w:r w:rsidRPr="00F833B4">
              <w:rPr>
                <w:rFonts w:eastAsia="SimSun"/>
                <w:sz w:val="18"/>
                <w:szCs w:val="18"/>
                <w:lang w:val="ru-RU" w:eastAsia="zh-CN"/>
              </w:rPr>
              <w:t>857</w:t>
            </w:r>
          </w:p>
        </w:tc>
        <w:tc>
          <w:tcPr>
            <w:tcW w:w="1418" w:type="dxa"/>
            <w:tcBorders>
              <w:top w:val="nil"/>
              <w:left w:val="nil"/>
              <w:bottom w:val="single" w:sz="4" w:space="0" w:color="auto"/>
              <w:right w:val="single" w:sz="4" w:space="0" w:color="auto"/>
            </w:tcBorders>
            <w:shd w:val="clear" w:color="auto" w:fill="auto"/>
            <w:noWrap/>
            <w:vAlign w:val="bottom"/>
          </w:tcPr>
          <w:p w14:paraId="52FE5E12"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573 41</w:t>
            </w:r>
            <w:r w:rsidR="00DD0847" w:rsidRPr="00F833B4">
              <w:rPr>
                <w:rFonts w:eastAsia="SimSun"/>
                <w:sz w:val="18"/>
                <w:szCs w:val="18"/>
                <w:lang w:val="ru-RU" w:eastAsia="zh-CN"/>
              </w:rPr>
              <w:t>5</w:t>
            </w:r>
          </w:p>
        </w:tc>
        <w:tc>
          <w:tcPr>
            <w:tcW w:w="1271" w:type="dxa"/>
            <w:tcBorders>
              <w:top w:val="nil"/>
              <w:left w:val="nil"/>
              <w:bottom w:val="single" w:sz="4" w:space="0" w:color="auto"/>
              <w:right w:val="single" w:sz="4" w:space="0" w:color="auto"/>
            </w:tcBorders>
            <w:shd w:val="clear" w:color="auto" w:fill="auto"/>
            <w:noWrap/>
            <w:vAlign w:val="bottom"/>
          </w:tcPr>
          <w:p w14:paraId="036BC2F1"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61</w:t>
            </w:r>
            <w:r w:rsidR="004905FA" w:rsidRPr="00F833B4">
              <w:rPr>
                <w:rFonts w:eastAsia="SimSun"/>
                <w:sz w:val="18"/>
                <w:szCs w:val="18"/>
                <w:lang w:val="ru-RU" w:eastAsia="zh-CN"/>
              </w:rPr>
              <w:t xml:space="preserve"> </w:t>
            </w:r>
            <w:r w:rsidRPr="00F833B4">
              <w:rPr>
                <w:rFonts w:eastAsia="SimSun"/>
                <w:sz w:val="18"/>
                <w:szCs w:val="18"/>
                <w:lang w:val="ru-RU" w:eastAsia="zh-CN"/>
              </w:rPr>
              <w:t>442</w:t>
            </w:r>
          </w:p>
        </w:tc>
        <w:tc>
          <w:tcPr>
            <w:tcW w:w="1272" w:type="dxa"/>
            <w:tcBorders>
              <w:top w:val="nil"/>
              <w:left w:val="nil"/>
              <w:bottom w:val="single" w:sz="4" w:space="0" w:color="auto"/>
              <w:right w:val="single" w:sz="4" w:space="0" w:color="auto"/>
            </w:tcBorders>
            <w:shd w:val="clear" w:color="auto" w:fill="auto"/>
            <w:noWrap/>
            <w:vAlign w:val="bottom"/>
          </w:tcPr>
          <w:p w14:paraId="58224854" w14:textId="77777777" w:rsidR="004905FA" w:rsidRPr="00F833B4" w:rsidRDefault="004905FA" w:rsidP="00DD0847">
            <w:pPr>
              <w:pStyle w:val="Tabletext"/>
              <w:ind w:right="284"/>
              <w:jc w:val="right"/>
              <w:rPr>
                <w:rFonts w:eastAsia="SimSun"/>
                <w:sz w:val="18"/>
                <w:szCs w:val="18"/>
                <w:lang w:val="ru-RU" w:eastAsia="zh-CN"/>
              </w:rPr>
            </w:pPr>
            <w:r w:rsidRPr="00F833B4">
              <w:rPr>
                <w:rFonts w:eastAsia="SimSun"/>
                <w:sz w:val="18"/>
                <w:szCs w:val="18"/>
                <w:lang w:val="ru-RU" w:eastAsia="zh-CN"/>
              </w:rPr>
              <w:t>10,</w:t>
            </w:r>
            <w:r w:rsidR="00DD0847" w:rsidRPr="00F833B4">
              <w:rPr>
                <w:rFonts w:eastAsia="SimSun"/>
                <w:sz w:val="18"/>
                <w:szCs w:val="18"/>
                <w:lang w:val="ru-RU" w:eastAsia="zh-CN"/>
              </w:rPr>
              <w:t>7</w:t>
            </w:r>
            <w:r w:rsidRPr="00F833B4">
              <w:rPr>
                <w:rFonts w:eastAsia="SimSun"/>
                <w:sz w:val="18"/>
                <w:szCs w:val="18"/>
                <w:lang w:val="ru-RU" w:eastAsia="zh-CN"/>
              </w:rPr>
              <w:t>%</w:t>
            </w:r>
          </w:p>
        </w:tc>
      </w:tr>
      <w:tr w:rsidR="004905FA" w:rsidRPr="00F833B4" w14:paraId="3E38EC7D" w14:textId="77777777" w:rsidTr="00CE0E84">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14:paraId="7577BC4E" w14:textId="77777777" w:rsidR="004905FA" w:rsidRPr="00F833B4" w:rsidRDefault="004905FA" w:rsidP="004905FA">
            <w:pPr>
              <w:pStyle w:val="Tabletext"/>
              <w:rPr>
                <w:rFonts w:eastAsia="SimSun"/>
                <w:b/>
                <w:bCs/>
                <w:sz w:val="18"/>
                <w:szCs w:val="18"/>
                <w:u w:val="single"/>
                <w:lang w:val="ru-RU" w:eastAsia="zh-CN"/>
              </w:rPr>
            </w:pPr>
            <w:r w:rsidRPr="00F833B4">
              <w:rPr>
                <w:rFonts w:eastAsia="SimSun"/>
                <w:b/>
                <w:bCs/>
                <w:sz w:val="18"/>
                <w:szCs w:val="18"/>
                <w:u w:val="single"/>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tcPr>
          <w:p w14:paraId="0D7FE371" w14:textId="77777777" w:rsidR="004905FA" w:rsidRPr="00F833B4" w:rsidRDefault="00DD0847" w:rsidP="00DD0847">
            <w:pPr>
              <w:pStyle w:val="Tabletext"/>
              <w:ind w:right="284"/>
              <w:jc w:val="right"/>
              <w:rPr>
                <w:rFonts w:eastAsia="SimSun"/>
                <w:b/>
                <w:bCs/>
                <w:sz w:val="18"/>
                <w:szCs w:val="18"/>
                <w:lang w:val="ru-RU" w:eastAsia="zh-CN"/>
              </w:rPr>
            </w:pPr>
            <w:r w:rsidRPr="00F833B4">
              <w:rPr>
                <w:rFonts w:eastAsia="SimSun"/>
                <w:b/>
                <w:bCs/>
                <w:sz w:val="18"/>
                <w:szCs w:val="18"/>
                <w:lang w:val="ru-RU" w:eastAsia="zh-CN"/>
              </w:rPr>
              <w:t>635</w:t>
            </w:r>
            <w:r w:rsidR="004905FA" w:rsidRPr="00F833B4">
              <w:rPr>
                <w:rFonts w:eastAsia="SimSun"/>
                <w:b/>
                <w:bCs/>
                <w:sz w:val="18"/>
                <w:szCs w:val="18"/>
                <w:lang w:val="ru-RU" w:eastAsia="zh-CN"/>
              </w:rPr>
              <w:t xml:space="preserve"> </w:t>
            </w:r>
            <w:r w:rsidRPr="00F833B4">
              <w:rPr>
                <w:rFonts w:eastAsia="SimSun"/>
                <w:b/>
                <w:bCs/>
                <w:sz w:val="18"/>
                <w:szCs w:val="18"/>
                <w:lang w:val="ru-RU" w:eastAsia="zh-CN"/>
              </w:rPr>
              <w:t>035</w:t>
            </w:r>
          </w:p>
        </w:tc>
        <w:tc>
          <w:tcPr>
            <w:tcW w:w="1418" w:type="dxa"/>
            <w:tcBorders>
              <w:top w:val="nil"/>
              <w:left w:val="nil"/>
              <w:bottom w:val="single" w:sz="4" w:space="0" w:color="auto"/>
              <w:right w:val="single" w:sz="4" w:space="0" w:color="auto"/>
            </w:tcBorders>
            <w:shd w:val="clear" w:color="000000" w:fill="DCE6F1"/>
            <w:noWrap/>
            <w:vAlign w:val="bottom"/>
          </w:tcPr>
          <w:p w14:paraId="7E451720" w14:textId="77777777" w:rsidR="004905FA" w:rsidRPr="00F833B4" w:rsidRDefault="004905FA" w:rsidP="00DD0847">
            <w:pPr>
              <w:pStyle w:val="Tabletext"/>
              <w:ind w:right="284"/>
              <w:jc w:val="right"/>
              <w:rPr>
                <w:rFonts w:eastAsia="SimSun"/>
                <w:b/>
                <w:bCs/>
                <w:sz w:val="18"/>
                <w:szCs w:val="18"/>
                <w:lang w:val="ru-RU" w:eastAsia="zh-CN"/>
              </w:rPr>
            </w:pPr>
            <w:r w:rsidRPr="00F833B4">
              <w:rPr>
                <w:rFonts w:eastAsia="SimSun"/>
                <w:b/>
                <w:bCs/>
                <w:sz w:val="18"/>
                <w:szCs w:val="18"/>
                <w:lang w:val="ru-RU" w:eastAsia="zh-CN"/>
              </w:rPr>
              <w:t xml:space="preserve">573 </w:t>
            </w:r>
            <w:r w:rsidR="00DD0847" w:rsidRPr="00F833B4">
              <w:rPr>
                <w:rFonts w:eastAsia="SimSun"/>
                <w:b/>
                <w:bCs/>
                <w:sz w:val="18"/>
                <w:szCs w:val="18"/>
                <w:lang w:val="ru-RU" w:eastAsia="zh-CN"/>
              </w:rPr>
              <w:t>602</w:t>
            </w:r>
          </w:p>
        </w:tc>
        <w:tc>
          <w:tcPr>
            <w:tcW w:w="1271" w:type="dxa"/>
            <w:tcBorders>
              <w:top w:val="nil"/>
              <w:left w:val="nil"/>
              <w:bottom w:val="single" w:sz="4" w:space="0" w:color="auto"/>
              <w:right w:val="single" w:sz="4" w:space="0" w:color="auto"/>
            </w:tcBorders>
            <w:shd w:val="clear" w:color="000000" w:fill="DCE6F1"/>
            <w:noWrap/>
            <w:vAlign w:val="bottom"/>
          </w:tcPr>
          <w:p w14:paraId="3B9525DB" w14:textId="77777777" w:rsidR="004905FA" w:rsidRPr="00F833B4" w:rsidRDefault="004905FA" w:rsidP="00DD0847">
            <w:pPr>
              <w:pStyle w:val="Tabletext"/>
              <w:ind w:right="284"/>
              <w:jc w:val="right"/>
              <w:rPr>
                <w:rFonts w:eastAsia="SimSun"/>
                <w:b/>
                <w:bCs/>
                <w:sz w:val="18"/>
                <w:szCs w:val="18"/>
                <w:lang w:val="ru-RU" w:eastAsia="zh-CN"/>
              </w:rPr>
            </w:pPr>
            <w:r w:rsidRPr="00F833B4">
              <w:rPr>
                <w:rFonts w:eastAsia="SimSun"/>
                <w:b/>
                <w:bCs/>
                <w:sz w:val="18"/>
                <w:szCs w:val="18"/>
                <w:lang w:val="ru-RU" w:eastAsia="zh-CN"/>
              </w:rPr>
              <w:t>6</w:t>
            </w:r>
            <w:r w:rsidR="00DD0847" w:rsidRPr="00F833B4">
              <w:rPr>
                <w:rFonts w:eastAsia="SimSun"/>
                <w:b/>
                <w:bCs/>
                <w:sz w:val="18"/>
                <w:szCs w:val="18"/>
                <w:lang w:val="ru-RU" w:eastAsia="zh-CN"/>
              </w:rPr>
              <w:t>1</w:t>
            </w:r>
            <w:r w:rsidRPr="00F833B4">
              <w:rPr>
                <w:rFonts w:eastAsia="SimSun"/>
                <w:b/>
                <w:bCs/>
                <w:sz w:val="18"/>
                <w:szCs w:val="18"/>
                <w:lang w:val="ru-RU" w:eastAsia="zh-CN"/>
              </w:rPr>
              <w:t xml:space="preserve"> </w:t>
            </w:r>
            <w:r w:rsidR="00DD0847" w:rsidRPr="00F833B4">
              <w:rPr>
                <w:rFonts w:eastAsia="SimSun"/>
                <w:b/>
                <w:bCs/>
                <w:sz w:val="18"/>
                <w:szCs w:val="18"/>
                <w:lang w:val="ru-RU" w:eastAsia="zh-CN"/>
              </w:rPr>
              <w:t>433</w:t>
            </w:r>
          </w:p>
        </w:tc>
        <w:tc>
          <w:tcPr>
            <w:tcW w:w="1272" w:type="dxa"/>
            <w:tcBorders>
              <w:top w:val="nil"/>
              <w:left w:val="nil"/>
              <w:bottom w:val="single" w:sz="4" w:space="0" w:color="auto"/>
              <w:right w:val="single" w:sz="4" w:space="0" w:color="auto"/>
            </w:tcBorders>
            <w:shd w:val="clear" w:color="000000" w:fill="DCE6F1"/>
            <w:noWrap/>
            <w:vAlign w:val="bottom"/>
          </w:tcPr>
          <w:p w14:paraId="63DA0684" w14:textId="77777777" w:rsidR="004905FA" w:rsidRPr="00F833B4" w:rsidRDefault="004905FA" w:rsidP="00DD0847">
            <w:pPr>
              <w:pStyle w:val="Tabletext"/>
              <w:ind w:right="284"/>
              <w:jc w:val="right"/>
              <w:rPr>
                <w:rFonts w:eastAsia="SimSun"/>
                <w:sz w:val="18"/>
                <w:szCs w:val="18"/>
                <w:lang w:val="ru-RU" w:eastAsia="zh-CN"/>
              </w:rPr>
            </w:pPr>
            <w:r w:rsidRPr="00F833B4">
              <w:rPr>
                <w:rFonts w:eastAsia="SimSun"/>
                <w:sz w:val="18"/>
                <w:szCs w:val="18"/>
                <w:lang w:val="ru-RU" w:eastAsia="zh-CN"/>
              </w:rPr>
              <w:t>10,</w:t>
            </w:r>
            <w:r w:rsidR="00DD0847" w:rsidRPr="00F833B4">
              <w:rPr>
                <w:rFonts w:eastAsia="SimSun"/>
                <w:sz w:val="18"/>
                <w:szCs w:val="18"/>
                <w:lang w:val="ru-RU" w:eastAsia="zh-CN"/>
              </w:rPr>
              <w:t>7</w:t>
            </w:r>
            <w:r w:rsidRPr="00F833B4">
              <w:rPr>
                <w:rFonts w:eastAsia="SimSun"/>
                <w:sz w:val="18"/>
                <w:szCs w:val="18"/>
                <w:lang w:val="ru-RU" w:eastAsia="zh-CN"/>
              </w:rPr>
              <w:t>%</w:t>
            </w:r>
          </w:p>
        </w:tc>
      </w:tr>
      <w:tr w:rsidR="004905FA" w:rsidRPr="00F833B4" w14:paraId="44B6BE3A" w14:textId="77777777" w:rsidTr="000740D8">
        <w:tc>
          <w:tcPr>
            <w:tcW w:w="4248" w:type="dxa"/>
            <w:tcBorders>
              <w:top w:val="nil"/>
              <w:left w:val="single" w:sz="4" w:space="0" w:color="auto"/>
              <w:bottom w:val="single" w:sz="4" w:space="0" w:color="auto"/>
              <w:right w:val="single" w:sz="4" w:space="0" w:color="auto"/>
            </w:tcBorders>
            <w:shd w:val="clear" w:color="000000" w:fill="D9D9D9"/>
            <w:noWrap/>
            <w:vAlign w:val="center"/>
            <w:hideMark/>
          </w:tcPr>
          <w:p w14:paraId="28D55EE3" w14:textId="77777777" w:rsidR="004905FA" w:rsidRPr="00F833B4" w:rsidRDefault="004905FA" w:rsidP="004905FA">
            <w:pPr>
              <w:pStyle w:val="Tabletext"/>
              <w:rPr>
                <w:rFonts w:eastAsia="SimSun"/>
                <w:b/>
                <w:bCs/>
                <w:i/>
                <w:iCs/>
                <w:sz w:val="18"/>
                <w:szCs w:val="18"/>
                <w:lang w:val="ru-RU" w:eastAsia="zh-CN"/>
              </w:rPr>
            </w:pPr>
            <w:r w:rsidRPr="00F833B4">
              <w:rPr>
                <w:rFonts w:eastAsia="SimSun"/>
                <w:b/>
                <w:bCs/>
                <w:i/>
                <w:iCs/>
                <w:sz w:val="18"/>
                <w:szCs w:val="18"/>
                <w:lang w:val="ru-RU" w:eastAsia="zh-CN"/>
              </w:rPr>
              <w:t xml:space="preserve">Состав </w:t>
            </w:r>
            <w:proofErr w:type="spellStart"/>
            <w:r w:rsidRPr="00F833B4">
              <w:rPr>
                <w:rFonts w:eastAsia="SimSun"/>
                <w:b/>
                <w:bCs/>
                <w:i/>
                <w:iCs/>
                <w:sz w:val="18"/>
                <w:szCs w:val="18"/>
                <w:lang w:val="ru-RU" w:eastAsia="zh-CN"/>
              </w:rPr>
              <w:t>нетекущих</w:t>
            </w:r>
            <w:proofErr w:type="spellEnd"/>
            <w:r w:rsidRPr="00F833B4">
              <w:rPr>
                <w:rFonts w:eastAsia="SimSun"/>
                <w:b/>
                <w:bCs/>
                <w:i/>
                <w:iCs/>
                <w:sz w:val="18"/>
                <w:szCs w:val="18"/>
                <w:lang w:val="ru-RU" w:eastAsia="zh-CN"/>
              </w:rPr>
              <w:t xml:space="preserve"> пассивов</w:t>
            </w:r>
          </w:p>
        </w:tc>
        <w:tc>
          <w:tcPr>
            <w:tcW w:w="1417" w:type="dxa"/>
            <w:tcBorders>
              <w:top w:val="nil"/>
              <w:left w:val="nil"/>
              <w:bottom w:val="single" w:sz="4" w:space="0" w:color="auto"/>
              <w:right w:val="single" w:sz="4" w:space="0" w:color="auto"/>
            </w:tcBorders>
            <w:shd w:val="clear" w:color="000000" w:fill="D9D9D9"/>
            <w:noWrap/>
            <w:vAlign w:val="bottom"/>
          </w:tcPr>
          <w:p w14:paraId="1CA5FE63" w14:textId="77777777" w:rsidR="004905FA" w:rsidRPr="00F833B4" w:rsidRDefault="004905FA" w:rsidP="004905FA">
            <w:pPr>
              <w:pStyle w:val="Tabletext"/>
              <w:ind w:right="284"/>
              <w:jc w:val="right"/>
              <w:rPr>
                <w:rFonts w:eastAsia="SimSun"/>
                <w:b/>
                <w:bCs/>
                <w:i/>
                <w:iCs/>
                <w:sz w:val="18"/>
                <w:szCs w:val="18"/>
                <w:lang w:val="ru-RU" w:eastAsia="zh-CN"/>
              </w:rPr>
            </w:pPr>
          </w:p>
        </w:tc>
        <w:tc>
          <w:tcPr>
            <w:tcW w:w="1418" w:type="dxa"/>
            <w:tcBorders>
              <w:top w:val="nil"/>
              <w:left w:val="nil"/>
              <w:bottom w:val="single" w:sz="4" w:space="0" w:color="auto"/>
              <w:right w:val="single" w:sz="4" w:space="0" w:color="auto"/>
            </w:tcBorders>
            <w:shd w:val="clear" w:color="000000" w:fill="D9D9D9"/>
            <w:noWrap/>
            <w:vAlign w:val="bottom"/>
          </w:tcPr>
          <w:p w14:paraId="271CE03A" w14:textId="77777777" w:rsidR="004905FA" w:rsidRPr="00F833B4" w:rsidRDefault="004905FA" w:rsidP="004905FA">
            <w:pPr>
              <w:pStyle w:val="Tabletext"/>
              <w:ind w:right="284"/>
              <w:jc w:val="right"/>
              <w:rPr>
                <w:rFonts w:eastAsia="SimSun"/>
                <w:b/>
                <w:bCs/>
                <w:i/>
                <w:iCs/>
                <w:sz w:val="18"/>
                <w:szCs w:val="18"/>
                <w:lang w:val="ru-RU" w:eastAsia="zh-CN"/>
              </w:rPr>
            </w:pPr>
          </w:p>
        </w:tc>
        <w:tc>
          <w:tcPr>
            <w:tcW w:w="1271" w:type="dxa"/>
            <w:tcBorders>
              <w:top w:val="nil"/>
              <w:left w:val="nil"/>
              <w:bottom w:val="single" w:sz="4" w:space="0" w:color="auto"/>
              <w:right w:val="single" w:sz="4" w:space="0" w:color="auto"/>
            </w:tcBorders>
            <w:shd w:val="clear" w:color="000000" w:fill="D9D9D9"/>
            <w:noWrap/>
            <w:vAlign w:val="bottom"/>
          </w:tcPr>
          <w:p w14:paraId="19D2D6C2" w14:textId="77777777" w:rsidR="004905FA" w:rsidRPr="00F833B4" w:rsidRDefault="004905FA" w:rsidP="004905FA">
            <w:pPr>
              <w:pStyle w:val="Tabletext"/>
              <w:ind w:right="284"/>
              <w:jc w:val="right"/>
              <w:rPr>
                <w:rFonts w:eastAsia="SimSun"/>
                <w:b/>
                <w:bCs/>
                <w:i/>
                <w:iCs/>
                <w:sz w:val="18"/>
                <w:szCs w:val="18"/>
                <w:lang w:val="ru-RU" w:eastAsia="zh-CN"/>
              </w:rPr>
            </w:pPr>
          </w:p>
        </w:tc>
        <w:tc>
          <w:tcPr>
            <w:tcW w:w="1272" w:type="dxa"/>
            <w:tcBorders>
              <w:top w:val="nil"/>
              <w:left w:val="nil"/>
              <w:bottom w:val="single" w:sz="4" w:space="0" w:color="auto"/>
              <w:right w:val="single" w:sz="4" w:space="0" w:color="auto"/>
            </w:tcBorders>
            <w:shd w:val="clear" w:color="000000" w:fill="D9D9D9"/>
            <w:noWrap/>
            <w:vAlign w:val="bottom"/>
          </w:tcPr>
          <w:p w14:paraId="4885811B" w14:textId="77777777" w:rsidR="004905FA" w:rsidRPr="00F833B4" w:rsidRDefault="004905FA" w:rsidP="004905FA">
            <w:pPr>
              <w:pStyle w:val="Tabletext"/>
              <w:ind w:right="284"/>
              <w:jc w:val="right"/>
              <w:rPr>
                <w:rFonts w:eastAsia="SimSun"/>
                <w:b/>
                <w:bCs/>
                <w:i/>
                <w:iCs/>
                <w:sz w:val="18"/>
                <w:szCs w:val="18"/>
                <w:lang w:val="ru-RU" w:eastAsia="zh-CN"/>
              </w:rPr>
            </w:pPr>
          </w:p>
        </w:tc>
      </w:tr>
      <w:tr w:rsidR="004905FA" w:rsidRPr="00F833B4" w14:paraId="6A48A16B" w14:textId="77777777" w:rsidTr="00CE0E84">
        <w:tc>
          <w:tcPr>
            <w:tcW w:w="4248" w:type="dxa"/>
            <w:tcBorders>
              <w:top w:val="nil"/>
              <w:left w:val="single" w:sz="4" w:space="0" w:color="auto"/>
              <w:bottom w:val="single" w:sz="4" w:space="0" w:color="auto"/>
              <w:right w:val="single" w:sz="4" w:space="0" w:color="auto"/>
            </w:tcBorders>
            <w:shd w:val="clear" w:color="auto" w:fill="auto"/>
            <w:vAlign w:val="center"/>
            <w:hideMark/>
          </w:tcPr>
          <w:p w14:paraId="31AC939C" w14:textId="77777777" w:rsidR="004905FA" w:rsidRPr="00F833B4" w:rsidRDefault="004905FA" w:rsidP="004905FA">
            <w:pPr>
              <w:pStyle w:val="Tabletext"/>
              <w:rPr>
                <w:rFonts w:eastAsia="SimSun"/>
                <w:sz w:val="18"/>
                <w:szCs w:val="18"/>
                <w:lang w:val="ru-RU" w:eastAsia="zh-CN"/>
              </w:rPr>
            </w:pPr>
            <w:r w:rsidRPr="00F833B4">
              <w:rPr>
                <w:rFonts w:eastAsia="SimSun"/>
                <w:sz w:val="18"/>
                <w:szCs w:val="18"/>
                <w:lang w:val="ru-RU" w:eastAsia="zh-CN"/>
              </w:rPr>
              <w:t>План пособий после выхода на пенсию (АСХИ)</w:t>
            </w:r>
          </w:p>
        </w:tc>
        <w:tc>
          <w:tcPr>
            <w:tcW w:w="1417" w:type="dxa"/>
            <w:tcBorders>
              <w:top w:val="nil"/>
              <w:left w:val="nil"/>
              <w:bottom w:val="single" w:sz="4" w:space="0" w:color="auto"/>
              <w:right w:val="single" w:sz="4" w:space="0" w:color="auto"/>
            </w:tcBorders>
            <w:shd w:val="clear" w:color="auto" w:fill="auto"/>
            <w:noWrap/>
            <w:vAlign w:val="bottom"/>
          </w:tcPr>
          <w:p w14:paraId="44A787A9"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611</w:t>
            </w:r>
            <w:r w:rsidR="004905FA" w:rsidRPr="00F833B4">
              <w:rPr>
                <w:rFonts w:eastAsia="SimSun"/>
                <w:sz w:val="18"/>
                <w:szCs w:val="18"/>
                <w:lang w:val="ru-RU" w:eastAsia="zh-CN"/>
              </w:rPr>
              <w:t xml:space="preserve"> </w:t>
            </w:r>
            <w:r w:rsidRPr="00F833B4">
              <w:rPr>
                <w:rFonts w:eastAsia="SimSun"/>
                <w:sz w:val="18"/>
                <w:szCs w:val="18"/>
                <w:lang w:val="ru-RU" w:eastAsia="zh-CN"/>
              </w:rPr>
              <w:t>896</w:t>
            </w:r>
          </w:p>
        </w:tc>
        <w:tc>
          <w:tcPr>
            <w:tcW w:w="1418" w:type="dxa"/>
            <w:tcBorders>
              <w:top w:val="nil"/>
              <w:left w:val="nil"/>
              <w:bottom w:val="single" w:sz="4" w:space="0" w:color="auto"/>
              <w:right w:val="single" w:sz="4" w:space="0" w:color="auto"/>
            </w:tcBorders>
            <w:shd w:val="clear" w:color="auto" w:fill="auto"/>
            <w:noWrap/>
            <w:vAlign w:val="bottom"/>
          </w:tcPr>
          <w:p w14:paraId="6A0C3CE0"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552 240</w:t>
            </w:r>
          </w:p>
        </w:tc>
        <w:tc>
          <w:tcPr>
            <w:tcW w:w="1271" w:type="dxa"/>
            <w:tcBorders>
              <w:top w:val="nil"/>
              <w:left w:val="nil"/>
              <w:bottom w:val="single" w:sz="4" w:space="0" w:color="auto"/>
              <w:right w:val="single" w:sz="4" w:space="0" w:color="auto"/>
            </w:tcBorders>
            <w:shd w:val="clear" w:color="auto" w:fill="auto"/>
            <w:noWrap/>
            <w:vAlign w:val="bottom"/>
          </w:tcPr>
          <w:p w14:paraId="72885F73"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59</w:t>
            </w:r>
            <w:r w:rsidR="004905FA" w:rsidRPr="00F833B4">
              <w:rPr>
                <w:rFonts w:eastAsia="SimSun"/>
                <w:sz w:val="18"/>
                <w:szCs w:val="18"/>
                <w:lang w:val="ru-RU" w:eastAsia="zh-CN"/>
              </w:rPr>
              <w:t xml:space="preserve"> </w:t>
            </w:r>
            <w:r w:rsidRPr="00F833B4">
              <w:rPr>
                <w:rFonts w:eastAsia="SimSun"/>
                <w:sz w:val="18"/>
                <w:szCs w:val="18"/>
                <w:lang w:val="ru-RU" w:eastAsia="zh-CN"/>
              </w:rPr>
              <w:t>656</w:t>
            </w:r>
          </w:p>
        </w:tc>
        <w:tc>
          <w:tcPr>
            <w:tcW w:w="1272" w:type="dxa"/>
            <w:tcBorders>
              <w:top w:val="nil"/>
              <w:left w:val="nil"/>
              <w:bottom w:val="single" w:sz="4" w:space="0" w:color="auto"/>
              <w:right w:val="single" w:sz="4" w:space="0" w:color="auto"/>
            </w:tcBorders>
            <w:shd w:val="clear" w:color="auto" w:fill="auto"/>
            <w:noWrap/>
            <w:vAlign w:val="bottom"/>
          </w:tcPr>
          <w:p w14:paraId="74C2A534" w14:textId="77777777" w:rsidR="004905FA" w:rsidRPr="00F833B4" w:rsidRDefault="004905FA" w:rsidP="00DD0847">
            <w:pPr>
              <w:pStyle w:val="Tabletext"/>
              <w:ind w:right="284"/>
              <w:jc w:val="right"/>
              <w:rPr>
                <w:rFonts w:eastAsia="SimSun"/>
                <w:sz w:val="18"/>
                <w:szCs w:val="18"/>
                <w:lang w:val="ru-RU" w:eastAsia="zh-CN"/>
              </w:rPr>
            </w:pPr>
            <w:r w:rsidRPr="00F833B4">
              <w:rPr>
                <w:rFonts w:eastAsia="SimSun"/>
                <w:sz w:val="18"/>
                <w:szCs w:val="18"/>
                <w:lang w:val="ru-RU" w:eastAsia="zh-CN"/>
              </w:rPr>
              <w:t>10,</w:t>
            </w:r>
            <w:r w:rsidR="00DD0847" w:rsidRPr="00F833B4">
              <w:rPr>
                <w:rFonts w:eastAsia="SimSun"/>
                <w:sz w:val="18"/>
                <w:szCs w:val="18"/>
                <w:lang w:val="ru-RU" w:eastAsia="zh-CN"/>
              </w:rPr>
              <w:t>8</w:t>
            </w:r>
            <w:r w:rsidRPr="00F833B4">
              <w:rPr>
                <w:rFonts w:eastAsia="SimSun"/>
                <w:sz w:val="18"/>
                <w:szCs w:val="18"/>
                <w:lang w:val="ru-RU" w:eastAsia="zh-CN"/>
              </w:rPr>
              <w:t>%</w:t>
            </w:r>
          </w:p>
        </w:tc>
      </w:tr>
      <w:tr w:rsidR="004905FA" w:rsidRPr="00F833B4" w14:paraId="12A2FCCF" w14:textId="77777777"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F656481" w14:textId="77777777" w:rsidR="004905FA" w:rsidRPr="00F833B4" w:rsidRDefault="004905FA" w:rsidP="004905FA">
            <w:pPr>
              <w:pStyle w:val="Tabletext"/>
              <w:rPr>
                <w:rFonts w:eastAsia="SimSun"/>
                <w:sz w:val="18"/>
                <w:szCs w:val="18"/>
                <w:lang w:val="ru-RU" w:eastAsia="zh-CN"/>
              </w:rPr>
            </w:pPr>
            <w:r w:rsidRPr="00F833B4">
              <w:rPr>
                <w:rFonts w:eastAsia="SimSun"/>
                <w:sz w:val="18"/>
                <w:szCs w:val="18"/>
                <w:lang w:val="ru-RU" w:eastAsia="zh-CN"/>
              </w:rPr>
              <w:t>Пенсии</w:t>
            </w:r>
          </w:p>
        </w:tc>
        <w:tc>
          <w:tcPr>
            <w:tcW w:w="1417" w:type="dxa"/>
            <w:tcBorders>
              <w:top w:val="nil"/>
              <w:left w:val="nil"/>
              <w:bottom w:val="single" w:sz="4" w:space="0" w:color="auto"/>
              <w:right w:val="single" w:sz="4" w:space="0" w:color="auto"/>
            </w:tcBorders>
            <w:shd w:val="clear" w:color="auto" w:fill="auto"/>
            <w:noWrap/>
            <w:vAlign w:val="bottom"/>
          </w:tcPr>
          <w:p w14:paraId="6FCD9282"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54</w:t>
            </w:r>
          </w:p>
        </w:tc>
        <w:tc>
          <w:tcPr>
            <w:tcW w:w="1418" w:type="dxa"/>
            <w:tcBorders>
              <w:top w:val="nil"/>
              <w:left w:val="nil"/>
              <w:bottom w:val="single" w:sz="4" w:space="0" w:color="auto"/>
              <w:right w:val="single" w:sz="4" w:space="0" w:color="auto"/>
            </w:tcBorders>
            <w:shd w:val="clear" w:color="auto" w:fill="auto"/>
            <w:noWrap/>
            <w:vAlign w:val="bottom"/>
          </w:tcPr>
          <w:p w14:paraId="3C7A89ED"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54</w:t>
            </w:r>
          </w:p>
        </w:tc>
        <w:tc>
          <w:tcPr>
            <w:tcW w:w="1271" w:type="dxa"/>
            <w:tcBorders>
              <w:top w:val="nil"/>
              <w:left w:val="nil"/>
              <w:bottom w:val="single" w:sz="4" w:space="0" w:color="auto"/>
              <w:right w:val="single" w:sz="4" w:space="0" w:color="auto"/>
            </w:tcBorders>
            <w:shd w:val="clear" w:color="auto" w:fill="auto"/>
            <w:noWrap/>
            <w:vAlign w:val="bottom"/>
          </w:tcPr>
          <w:p w14:paraId="440A16F3"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0</w:t>
            </w:r>
          </w:p>
        </w:tc>
        <w:tc>
          <w:tcPr>
            <w:tcW w:w="1272" w:type="dxa"/>
            <w:tcBorders>
              <w:top w:val="nil"/>
              <w:left w:val="nil"/>
              <w:bottom w:val="single" w:sz="4" w:space="0" w:color="auto"/>
              <w:right w:val="single" w:sz="4" w:space="0" w:color="auto"/>
            </w:tcBorders>
            <w:shd w:val="clear" w:color="auto" w:fill="auto"/>
            <w:noWrap/>
            <w:vAlign w:val="bottom"/>
          </w:tcPr>
          <w:p w14:paraId="521F378D"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0,0%</w:t>
            </w:r>
          </w:p>
        </w:tc>
      </w:tr>
      <w:tr w:rsidR="004905FA" w:rsidRPr="00F833B4" w14:paraId="1DD2717E" w14:textId="77777777" w:rsidTr="00CE0E84">
        <w:tc>
          <w:tcPr>
            <w:tcW w:w="4248" w:type="dxa"/>
            <w:tcBorders>
              <w:top w:val="nil"/>
              <w:left w:val="single" w:sz="4" w:space="0" w:color="auto"/>
              <w:bottom w:val="single" w:sz="4" w:space="0" w:color="auto"/>
              <w:right w:val="single" w:sz="4" w:space="0" w:color="auto"/>
            </w:tcBorders>
            <w:shd w:val="clear" w:color="auto" w:fill="auto"/>
            <w:vAlign w:val="center"/>
            <w:hideMark/>
          </w:tcPr>
          <w:p w14:paraId="11C949D9" w14:textId="77777777" w:rsidR="004905FA" w:rsidRPr="00F833B4" w:rsidRDefault="004905FA" w:rsidP="004905FA">
            <w:pPr>
              <w:pStyle w:val="Tabletext"/>
              <w:rPr>
                <w:rFonts w:eastAsia="SimSun"/>
                <w:sz w:val="18"/>
                <w:szCs w:val="18"/>
                <w:lang w:val="ru-RU" w:eastAsia="zh-CN"/>
              </w:rPr>
            </w:pPr>
            <w:r w:rsidRPr="00F833B4">
              <w:rPr>
                <w:rFonts w:eastAsia="SimSun"/>
                <w:sz w:val="18"/>
                <w:szCs w:val="18"/>
                <w:lang w:val="ru-RU" w:eastAsia="zh-CN"/>
              </w:rPr>
              <w:t>Подъемные пособия и субсидии на репатриацию</w:t>
            </w:r>
          </w:p>
        </w:tc>
        <w:tc>
          <w:tcPr>
            <w:tcW w:w="1417" w:type="dxa"/>
            <w:tcBorders>
              <w:top w:val="nil"/>
              <w:left w:val="nil"/>
              <w:bottom w:val="single" w:sz="4" w:space="0" w:color="auto"/>
              <w:right w:val="single" w:sz="4" w:space="0" w:color="auto"/>
            </w:tcBorders>
            <w:shd w:val="clear" w:color="auto" w:fill="auto"/>
            <w:noWrap/>
            <w:vAlign w:val="bottom"/>
          </w:tcPr>
          <w:p w14:paraId="7222C998" w14:textId="77777777" w:rsidR="004905FA" w:rsidRPr="00F833B4" w:rsidRDefault="004905FA" w:rsidP="00DD0847">
            <w:pPr>
              <w:pStyle w:val="Tabletext"/>
              <w:ind w:right="284"/>
              <w:jc w:val="right"/>
              <w:rPr>
                <w:rFonts w:eastAsia="SimSun"/>
                <w:sz w:val="18"/>
                <w:szCs w:val="18"/>
                <w:lang w:val="ru-RU" w:eastAsia="zh-CN"/>
              </w:rPr>
            </w:pPr>
            <w:r w:rsidRPr="00F833B4">
              <w:rPr>
                <w:rFonts w:eastAsia="SimSun"/>
                <w:sz w:val="18"/>
                <w:szCs w:val="18"/>
                <w:lang w:val="ru-RU" w:eastAsia="zh-CN"/>
              </w:rPr>
              <w:t>1</w:t>
            </w:r>
            <w:r w:rsidR="00DD0847" w:rsidRPr="00F833B4">
              <w:rPr>
                <w:rFonts w:eastAsia="SimSun"/>
                <w:sz w:val="18"/>
                <w:szCs w:val="18"/>
                <w:lang w:val="ru-RU" w:eastAsia="zh-CN"/>
              </w:rPr>
              <w:t>3</w:t>
            </w:r>
            <w:r w:rsidRPr="00F833B4">
              <w:rPr>
                <w:rFonts w:eastAsia="SimSun"/>
                <w:sz w:val="18"/>
                <w:szCs w:val="18"/>
                <w:lang w:val="ru-RU" w:eastAsia="zh-CN"/>
              </w:rPr>
              <w:t xml:space="preserve"> </w:t>
            </w:r>
            <w:r w:rsidR="00DD0847" w:rsidRPr="00F833B4">
              <w:rPr>
                <w:rFonts w:eastAsia="SimSun"/>
                <w:sz w:val="18"/>
                <w:szCs w:val="18"/>
                <w:lang w:val="ru-RU" w:eastAsia="zh-CN"/>
              </w:rPr>
              <w:t>500</w:t>
            </w:r>
          </w:p>
        </w:tc>
        <w:tc>
          <w:tcPr>
            <w:tcW w:w="1418" w:type="dxa"/>
            <w:tcBorders>
              <w:top w:val="nil"/>
              <w:left w:val="nil"/>
              <w:bottom w:val="single" w:sz="4" w:space="0" w:color="auto"/>
              <w:right w:val="single" w:sz="4" w:space="0" w:color="auto"/>
            </w:tcBorders>
            <w:shd w:val="clear" w:color="auto" w:fill="auto"/>
            <w:noWrap/>
            <w:vAlign w:val="bottom"/>
          </w:tcPr>
          <w:p w14:paraId="3B9CBC2A"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12 341</w:t>
            </w:r>
          </w:p>
        </w:tc>
        <w:tc>
          <w:tcPr>
            <w:tcW w:w="1271" w:type="dxa"/>
            <w:tcBorders>
              <w:top w:val="nil"/>
              <w:left w:val="nil"/>
              <w:bottom w:val="single" w:sz="4" w:space="0" w:color="auto"/>
              <w:right w:val="single" w:sz="4" w:space="0" w:color="auto"/>
            </w:tcBorders>
            <w:shd w:val="clear" w:color="auto" w:fill="auto"/>
            <w:noWrap/>
            <w:vAlign w:val="bottom"/>
          </w:tcPr>
          <w:p w14:paraId="06EB5920"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1 </w:t>
            </w:r>
            <w:r w:rsidR="004905FA" w:rsidRPr="00F833B4">
              <w:rPr>
                <w:rFonts w:eastAsia="SimSun"/>
                <w:sz w:val="18"/>
                <w:szCs w:val="18"/>
                <w:lang w:val="ru-RU" w:eastAsia="zh-CN"/>
              </w:rPr>
              <w:t>1</w:t>
            </w:r>
            <w:r w:rsidRPr="00F833B4">
              <w:rPr>
                <w:rFonts w:eastAsia="SimSun"/>
                <w:sz w:val="18"/>
                <w:szCs w:val="18"/>
                <w:lang w:val="ru-RU" w:eastAsia="zh-CN"/>
              </w:rPr>
              <w:t>59</w:t>
            </w:r>
          </w:p>
        </w:tc>
        <w:tc>
          <w:tcPr>
            <w:tcW w:w="1272" w:type="dxa"/>
            <w:tcBorders>
              <w:top w:val="nil"/>
              <w:left w:val="nil"/>
              <w:bottom w:val="single" w:sz="4" w:space="0" w:color="auto"/>
              <w:right w:val="single" w:sz="4" w:space="0" w:color="auto"/>
            </w:tcBorders>
            <w:shd w:val="clear" w:color="auto" w:fill="auto"/>
            <w:noWrap/>
            <w:vAlign w:val="bottom"/>
          </w:tcPr>
          <w:p w14:paraId="0DC6C724"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9</w:t>
            </w:r>
            <w:r w:rsidR="004905FA" w:rsidRPr="00F833B4">
              <w:rPr>
                <w:rFonts w:eastAsia="SimSun"/>
                <w:sz w:val="18"/>
                <w:szCs w:val="18"/>
                <w:lang w:val="ru-RU" w:eastAsia="zh-CN"/>
              </w:rPr>
              <w:t>,</w:t>
            </w:r>
            <w:r w:rsidRPr="00F833B4">
              <w:rPr>
                <w:rFonts w:eastAsia="SimSun"/>
                <w:sz w:val="18"/>
                <w:szCs w:val="18"/>
                <w:lang w:val="ru-RU" w:eastAsia="zh-CN"/>
              </w:rPr>
              <w:t>4</w:t>
            </w:r>
            <w:r w:rsidR="004905FA" w:rsidRPr="00F833B4">
              <w:rPr>
                <w:rFonts w:eastAsia="SimSun"/>
                <w:sz w:val="18"/>
                <w:szCs w:val="18"/>
                <w:lang w:val="ru-RU" w:eastAsia="zh-CN"/>
              </w:rPr>
              <w:t>%</w:t>
            </w:r>
          </w:p>
        </w:tc>
      </w:tr>
      <w:tr w:rsidR="004905FA" w:rsidRPr="00F833B4" w14:paraId="541BBDD7" w14:textId="77777777" w:rsidTr="00CE0E84">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D58B834" w14:textId="77777777" w:rsidR="004905FA" w:rsidRPr="00F833B4" w:rsidRDefault="004905FA" w:rsidP="004905FA">
            <w:pPr>
              <w:pStyle w:val="Tabletext"/>
              <w:rPr>
                <w:rFonts w:eastAsia="SimSun"/>
                <w:sz w:val="18"/>
                <w:szCs w:val="18"/>
                <w:lang w:val="ru-RU" w:eastAsia="zh-CN"/>
              </w:rPr>
            </w:pPr>
            <w:r w:rsidRPr="00F833B4">
              <w:rPr>
                <w:rFonts w:eastAsia="SimSun"/>
                <w:sz w:val="18"/>
                <w:szCs w:val="18"/>
                <w:lang w:val="ru-RU" w:eastAsia="zh-CN"/>
              </w:rPr>
              <w:t>Накопленные дни отпуска</w:t>
            </w:r>
          </w:p>
        </w:tc>
        <w:tc>
          <w:tcPr>
            <w:tcW w:w="1417" w:type="dxa"/>
            <w:tcBorders>
              <w:top w:val="nil"/>
              <w:left w:val="nil"/>
              <w:bottom w:val="single" w:sz="4" w:space="0" w:color="auto"/>
              <w:right w:val="single" w:sz="4" w:space="0" w:color="auto"/>
            </w:tcBorders>
            <w:shd w:val="clear" w:color="auto" w:fill="auto"/>
            <w:noWrap/>
            <w:vAlign w:val="bottom"/>
          </w:tcPr>
          <w:p w14:paraId="3F9F7D08"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9</w:t>
            </w:r>
            <w:r w:rsidR="004905FA" w:rsidRPr="00F833B4">
              <w:rPr>
                <w:rFonts w:eastAsia="SimSun"/>
                <w:sz w:val="18"/>
                <w:szCs w:val="18"/>
                <w:lang w:val="ru-RU" w:eastAsia="zh-CN"/>
              </w:rPr>
              <w:t xml:space="preserve"> </w:t>
            </w:r>
            <w:r w:rsidRPr="00F833B4">
              <w:rPr>
                <w:rFonts w:eastAsia="SimSun"/>
                <w:sz w:val="18"/>
                <w:szCs w:val="18"/>
                <w:lang w:val="ru-RU" w:eastAsia="zh-CN"/>
              </w:rPr>
              <w:t>407</w:t>
            </w:r>
          </w:p>
        </w:tc>
        <w:tc>
          <w:tcPr>
            <w:tcW w:w="1418" w:type="dxa"/>
            <w:tcBorders>
              <w:top w:val="nil"/>
              <w:left w:val="nil"/>
              <w:bottom w:val="single" w:sz="4" w:space="0" w:color="auto"/>
              <w:right w:val="single" w:sz="4" w:space="0" w:color="auto"/>
            </w:tcBorders>
            <w:shd w:val="clear" w:color="auto" w:fill="auto"/>
            <w:noWrap/>
            <w:vAlign w:val="bottom"/>
          </w:tcPr>
          <w:p w14:paraId="648C6316" w14:textId="77777777" w:rsidR="004905FA" w:rsidRPr="00F833B4" w:rsidRDefault="004905FA" w:rsidP="004905FA">
            <w:pPr>
              <w:pStyle w:val="Tabletext"/>
              <w:ind w:right="284"/>
              <w:jc w:val="right"/>
              <w:rPr>
                <w:rFonts w:eastAsia="SimSun"/>
                <w:sz w:val="18"/>
                <w:szCs w:val="18"/>
                <w:lang w:val="ru-RU" w:eastAsia="zh-CN"/>
              </w:rPr>
            </w:pPr>
            <w:r w:rsidRPr="00F833B4">
              <w:rPr>
                <w:rFonts w:eastAsia="SimSun"/>
                <w:sz w:val="18"/>
                <w:szCs w:val="18"/>
                <w:lang w:val="ru-RU" w:eastAsia="zh-CN"/>
              </w:rPr>
              <w:t>8 777</w:t>
            </w:r>
          </w:p>
        </w:tc>
        <w:tc>
          <w:tcPr>
            <w:tcW w:w="1271" w:type="dxa"/>
            <w:tcBorders>
              <w:top w:val="nil"/>
              <w:left w:val="nil"/>
              <w:bottom w:val="single" w:sz="4" w:space="0" w:color="auto"/>
              <w:right w:val="single" w:sz="4" w:space="0" w:color="auto"/>
            </w:tcBorders>
            <w:shd w:val="clear" w:color="auto" w:fill="auto"/>
            <w:noWrap/>
            <w:vAlign w:val="bottom"/>
          </w:tcPr>
          <w:p w14:paraId="78C23242" w14:textId="77777777" w:rsidR="004905FA" w:rsidRPr="00F833B4" w:rsidRDefault="00DD0847" w:rsidP="004905FA">
            <w:pPr>
              <w:pStyle w:val="Tabletext"/>
              <w:ind w:right="284"/>
              <w:jc w:val="right"/>
              <w:rPr>
                <w:rFonts w:eastAsia="SimSun"/>
                <w:sz w:val="18"/>
                <w:szCs w:val="18"/>
                <w:lang w:val="ru-RU" w:eastAsia="zh-CN"/>
              </w:rPr>
            </w:pPr>
            <w:r w:rsidRPr="00F833B4">
              <w:rPr>
                <w:rFonts w:eastAsia="SimSun"/>
                <w:sz w:val="18"/>
                <w:szCs w:val="18"/>
                <w:lang w:val="ru-RU" w:eastAsia="zh-CN"/>
              </w:rPr>
              <w:t>630</w:t>
            </w:r>
          </w:p>
        </w:tc>
        <w:tc>
          <w:tcPr>
            <w:tcW w:w="1272" w:type="dxa"/>
            <w:tcBorders>
              <w:top w:val="nil"/>
              <w:left w:val="nil"/>
              <w:bottom w:val="single" w:sz="4" w:space="0" w:color="auto"/>
              <w:right w:val="single" w:sz="4" w:space="0" w:color="auto"/>
            </w:tcBorders>
            <w:shd w:val="clear" w:color="auto" w:fill="auto"/>
            <w:noWrap/>
            <w:vAlign w:val="bottom"/>
          </w:tcPr>
          <w:p w14:paraId="4D0F0410" w14:textId="77777777" w:rsidR="004905FA" w:rsidRPr="00F833B4" w:rsidRDefault="00DD0847" w:rsidP="00DD0847">
            <w:pPr>
              <w:pStyle w:val="Tabletext"/>
              <w:ind w:right="284"/>
              <w:jc w:val="right"/>
              <w:rPr>
                <w:rFonts w:eastAsia="SimSun"/>
                <w:sz w:val="18"/>
                <w:szCs w:val="18"/>
                <w:lang w:val="ru-RU" w:eastAsia="zh-CN"/>
              </w:rPr>
            </w:pPr>
            <w:r w:rsidRPr="00F833B4">
              <w:rPr>
                <w:rFonts w:eastAsia="SimSun"/>
                <w:sz w:val="18"/>
                <w:szCs w:val="18"/>
                <w:lang w:val="ru-RU" w:eastAsia="zh-CN"/>
              </w:rPr>
              <w:t>7</w:t>
            </w:r>
            <w:r w:rsidR="004905FA" w:rsidRPr="00F833B4">
              <w:rPr>
                <w:rFonts w:eastAsia="SimSun"/>
                <w:sz w:val="18"/>
                <w:szCs w:val="18"/>
                <w:lang w:val="ru-RU" w:eastAsia="zh-CN"/>
              </w:rPr>
              <w:t>,</w:t>
            </w:r>
            <w:r w:rsidRPr="00F833B4">
              <w:rPr>
                <w:rFonts w:eastAsia="SimSun"/>
                <w:sz w:val="18"/>
                <w:szCs w:val="18"/>
                <w:lang w:val="ru-RU" w:eastAsia="zh-CN"/>
              </w:rPr>
              <w:t>2</w:t>
            </w:r>
            <w:r w:rsidR="004905FA" w:rsidRPr="00F833B4">
              <w:rPr>
                <w:rFonts w:eastAsia="SimSun"/>
                <w:sz w:val="18"/>
                <w:szCs w:val="18"/>
                <w:lang w:val="ru-RU" w:eastAsia="zh-CN"/>
              </w:rPr>
              <w:t>%</w:t>
            </w:r>
          </w:p>
        </w:tc>
      </w:tr>
      <w:tr w:rsidR="004905FA" w:rsidRPr="00F833B4" w14:paraId="31485890" w14:textId="77777777" w:rsidTr="000740D8">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14:paraId="474ECDC0" w14:textId="77777777" w:rsidR="004905FA" w:rsidRPr="00F833B4" w:rsidRDefault="004905FA" w:rsidP="004905FA">
            <w:pPr>
              <w:pStyle w:val="Tabletext"/>
              <w:rPr>
                <w:rFonts w:eastAsia="SimSun"/>
                <w:b/>
                <w:bCs/>
                <w:sz w:val="18"/>
                <w:szCs w:val="18"/>
                <w:lang w:val="ru-RU" w:eastAsia="zh-CN"/>
              </w:rPr>
            </w:pPr>
            <w:r w:rsidRPr="00F833B4">
              <w:rPr>
                <w:rFonts w:eastAsia="SimSun"/>
                <w:b/>
                <w:bCs/>
                <w:sz w:val="18"/>
                <w:szCs w:val="18"/>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tcPr>
          <w:p w14:paraId="35382720" w14:textId="77777777" w:rsidR="004905FA" w:rsidRPr="00F833B4" w:rsidRDefault="00DD0847" w:rsidP="00DD0847">
            <w:pPr>
              <w:pStyle w:val="Tabletext"/>
              <w:ind w:right="284"/>
              <w:jc w:val="right"/>
              <w:rPr>
                <w:rFonts w:eastAsia="SimSun"/>
                <w:b/>
                <w:bCs/>
                <w:sz w:val="18"/>
                <w:szCs w:val="18"/>
                <w:lang w:val="ru-RU" w:eastAsia="zh-CN"/>
              </w:rPr>
            </w:pPr>
            <w:r w:rsidRPr="00F833B4">
              <w:rPr>
                <w:rFonts w:eastAsia="SimSun"/>
                <w:b/>
                <w:bCs/>
                <w:sz w:val="18"/>
                <w:szCs w:val="18"/>
                <w:lang w:val="ru-RU" w:eastAsia="zh-CN"/>
              </w:rPr>
              <w:t>634</w:t>
            </w:r>
            <w:r w:rsidR="004905FA" w:rsidRPr="00F833B4">
              <w:rPr>
                <w:rFonts w:eastAsia="SimSun"/>
                <w:b/>
                <w:bCs/>
                <w:sz w:val="18"/>
                <w:szCs w:val="18"/>
                <w:lang w:val="ru-RU" w:eastAsia="zh-CN"/>
              </w:rPr>
              <w:t xml:space="preserve"> </w:t>
            </w:r>
            <w:r w:rsidRPr="00F833B4">
              <w:rPr>
                <w:rFonts w:eastAsia="SimSun"/>
                <w:b/>
                <w:bCs/>
                <w:sz w:val="18"/>
                <w:szCs w:val="18"/>
                <w:lang w:val="ru-RU" w:eastAsia="zh-CN"/>
              </w:rPr>
              <w:t>857</w:t>
            </w:r>
          </w:p>
        </w:tc>
        <w:tc>
          <w:tcPr>
            <w:tcW w:w="1418" w:type="dxa"/>
            <w:tcBorders>
              <w:top w:val="nil"/>
              <w:left w:val="nil"/>
              <w:bottom w:val="single" w:sz="4" w:space="0" w:color="auto"/>
              <w:right w:val="single" w:sz="4" w:space="0" w:color="auto"/>
            </w:tcBorders>
            <w:shd w:val="clear" w:color="000000" w:fill="DCE6F1"/>
            <w:noWrap/>
            <w:vAlign w:val="bottom"/>
          </w:tcPr>
          <w:p w14:paraId="4641D170" w14:textId="77777777" w:rsidR="004905FA" w:rsidRPr="00F833B4" w:rsidRDefault="004905FA" w:rsidP="004905FA">
            <w:pPr>
              <w:pStyle w:val="Tabletext"/>
              <w:ind w:right="284"/>
              <w:jc w:val="right"/>
              <w:rPr>
                <w:rFonts w:eastAsia="SimSun"/>
                <w:b/>
                <w:bCs/>
                <w:sz w:val="18"/>
                <w:szCs w:val="18"/>
                <w:lang w:val="ru-RU" w:eastAsia="zh-CN"/>
              </w:rPr>
            </w:pPr>
            <w:r w:rsidRPr="00F833B4">
              <w:rPr>
                <w:rFonts w:eastAsia="SimSun"/>
                <w:b/>
                <w:bCs/>
                <w:sz w:val="18"/>
                <w:szCs w:val="18"/>
                <w:lang w:val="ru-RU" w:eastAsia="zh-CN"/>
              </w:rPr>
              <w:t>573 412</w:t>
            </w:r>
          </w:p>
        </w:tc>
        <w:tc>
          <w:tcPr>
            <w:tcW w:w="1271" w:type="dxa"/>
            <w:tcBorders>
              <w:top w:val="nil"/>
              <w:left w:val="nil"/>
              <w:bottom w:val="single" w:sz="4" w:space="0" w:color="auto"/>
              <w:right w:val="single" w:sz="4" w:space="0" w:color="auto"/>
            </w:tcBorders>
            <w:shd w:val="clear" w:color="000000" w:fill="DCE6F1"/>
            <w:noWrap/>
            <w:vAlign w:val="bottom"/>
          </w:tcPr>
          <w:p w14:paraId="660C9538" w14:textId="77777777" w:rsidR="004905FA" w:rsidRPr="00F833B4" w:rsidRDefault="004905FA" w:rsidP="004905FA">
            <w:pPr>
              <w:pStyle w:val="Tabletext"/>
              <w:ind w:right="284"/>
              <w:jc w:val="right"/>
              <w:rPr>
                <w:rFonts w:eastAsia="SimSun"/>
                <w:b/>
                <w:bCs/>
                <w:sz w:val="18"/>
                <w:szCs w:val="18"/>
                <w:lang w:val="ru-RU" w:eastAsia="zh-CN"/>
              </w:rPr>
            </w:pPr>
          </w:p>
        </w:tc>
        <w:tc>
          <w:tcPr>
            <w:tcW w:w="1272" w:type="dxa"/>
            <w:tcBorders>
              <w:top w:val="nil"/>
              <w:left w:val="nil"/>
              <w:bottom w:val="single" w:sz="4" w:space="0" w:color="auto"/>
              <w:right w:val="single" w:sz="4" w:space="0" w:color="auto"/>
            </w:tcBorders>
            <w:shd w:val="clear" w:color="000000" w:fill="DCE6F1"/>
            <w:noWrap/>
            <w:vAlign w:val="bottom"/>
          </w:tcPr>
          <w:p w14:paraId="0BC575E4" w14:textId="77777777" w:rsidR="004905FA" w:rsidRPr="00F833B4" w:rsidRDefault="004905FA" w:rsidP="004905FA">
            <w:pPr>
              <w:pStyle w:val="Tabletext"/>
              <w:ind w:right="284"/>
              <w:jc w:val="right"/>
              <w:rPr>
                <w:rFonts w:eastAsia="SimSun"/>
                <w:b/>
                <w:bCs/>
                <w:sz w:val="18"/>
                <w:szCs w:val="18"/>
                <w:lang w:val="ru-RU" w:eastAsia="zh-CN"/>
              </w:rPr>
            </w:pPr>
          </w:p>
        </w:tc>
      </w:tr>
    </w:tbl>
    <w:p w14:paraId="3F7A50A6" w14:textId="77777777" w:rsidR="001E3767" w:rsidRPr="00F833B4" w:rsidRDefault="001E3767" w:rsidP="000608BD">
      <w:pPr>
        <w:pStyle w:val="Heading2"/>
        <w:rPr>
          <w:lang w:val="ru-RU"/>
        </w:rPr>
      </w:pPr>
      <w:bookmarkStart w:id="250" w:name="_Toc356330896"/>
      <w:bookmarkStart w:id="251" w:name="_Toc358192845"/>
      <w:bookmarkStart w:id="252" w:name="_Toc398125328"/>
      <w:bookmarkStart w:id="253" w:name="_Toc398125807"/>
      <w:bookmarkStart w:id="254" w:name="_Toc398127100"/>
      <w:bookmarkStart w:id="255" w:name="_Toc452157321"/>
      <w:bookmarkStart w:id="256" w:name="_Toc482995188"/>
      <w:bookmarkStart w:id="257" w:name="_Toc522633578"/>
      <w:bookmarkStart w:id="258" w:name="_Toc56179566"/>
      <w:bookmarkStart w:id="259" w:name="_Toc56180386"/>
      <w:r w:rsidRPr="00F833B4">
        <w:rPr>
          <w:lang w:val="ru-RU"/>
        </w:rPr>
        <w:lastRenderedPageBreak/>
        <w:t xml:space="preserve">Вознаграждение сотрудников, </w:t>
      </w:r>
      <w:bookmarkEnd w:id="250"/>
      <w:bookmarkEnd w:id="251"/>
      <w:bookmarkEnd w:id="252"/>
      <w:bookmarkEnd w:id="253"/>
      <w:bookmarkEnd w:id="254"/>
      <w:r w:rsidRPr="00F833B4">
        <w:rPr>
          <w:lang w:val="ru-RU"/>
        </w:rPr>
        <w:t>работающих на основе долгосрочных контрактов</w:t>
      </w:r>
      <w:bookmarkEnd w:id="255"/>
      <w:bookmarkEnd w:id="256"/>
      <w:bookmarkEnd w:id="257"/>
      <w:bookmarkEnd w:id="258"/>
      <w:bookmarkEnd w:id="259"/>
    </w:p>
    <w:p w14:paraId="5274BCF5" w14:textId="05CC4201" w:rsidR="001E3767" w:rsidRPr="00F833B4" w:rsidRDefault="00AB5B48" w:rsidP="0000018B">
      <w:pPr>
        <w:rPr>
          <w:lang w:val="ru-RU"/>
        </w:rPr>
      </w:pPr>
      <w:r w:rsidRPr="00F833B4">
        <w:rPr>
          <w:lang w:val="ru-RU"/>
        </w:rPr>
        <w:t>61</w:t>
      </w:r>
      <w:r w:rsidR="001E3767" w:rsidRPr="00F833B4">
        <w:rPr>
          <w:lang w:val="ru-RU"/>
        </w:rPr>
        <w:tab/>
        <w:t>Как показано в приведенной выше таблице, в 201</w:t>
      </w:r>
      <w:r w:rsidRPr="00F833B4">
        <w:rPr>
          <w:lang w:val="ru-RU"/>
        </w:rPr>
        <w:t>9</w:t>
      </w:r>
      <w:r w:rsidR="001E3767" w:rsidRPr="00F833B4">
        <w:rPr>
          <w:lang w:val="ru-RU"/>
        </w:rPr>
        <w:t xml:space="preserve"> году сумма по </w:t>
      </w:r>
      <w:r w:rsidR="00AE06EC" w:rsidRPr="00F833B4">
        <w:rPr>
          <w:lang w:val="ru-RU"/>
        </w:rPr>
        <w:t>под</w:t>
      </w:r>
      <w:r w:rsidR="001E3767" w:rsidRPr="00F833B4">
        <w:rPr>
          <w:lang w:val="ru-RU"/>
        </w:rPr>
        <w:t>разделу "</w:t>
      </w:r>
      <w:proofErr w:type="spellStart"/>
      <w:r w:rsidR="001E3767" w:rsidRPr="00F833B4">
        <w:rPr>
          <w:lang w:val="ru-RU"/>
        </w:rPr>
        <w:t>Нетекущие</w:t>
      </w:r>
      <w:proofErr w:type="spellEnd"/>
      <w:r w:rsidR="001E3767" w:rsidRPr="00F833B4">
        <w:rPr>
          <w:lang w:val="ru-RU"/>
        </w:rPr>
        <w:t xml:space="preserve"> пассивы" (относящаяся к вознаграждению сотрудников, работающих на основе долгосрочных контрактов) составила </w:t>
      </w:r>
      <w:r w:rsidR="00AE06EC" w:rsidRPr="00F833B4">
        <w:rPr>
          <w:lang w:val="ru-RU"/>
        </w:rPr>
        <w:t xml:space="preserve">около </w:t>
      </w:r>
      <w:r w:rsidRPr="00F833B4">
        <w:rPr>
          <w:lang w:val="ru-RU"/>
        </w:rPr>
        <w:t>634</w:t>
      </w:r>
      <w:r w:rsidR="001E3767" w:rsidRPr="00F833B4">
        <w:rPr>
          <w:lang w:val="ru-RU"/>
        </w:rPr>
        <w:t>,</w:t>
      </w:r>
      <w:r w:rsidRPr="00F833B4">
        <w:rPr>
          <w:lang w:val="ru-RU"/>
        </w:rPr>
        <w:t>86</w:t>
      </w:r>
      <w:r w:rsidR="001E3767" w:rsidRPr="00F833B4">
        <w:rPr>
          <w:lang w:val="ru-RU"/>
        </w:rPr>
        <w:t> млн. швейцарских франков, чт</w:t>
      </w:r>
      <w:r w:rsidRPr="00F833B4">
        <w:rPr>
          <w:lang w:val="ru-RU"/>
        </w:rPr>
        <w:t xml:space="preserve">о соответствует </w:t>
      </w:r>
      <w:r w:rsidR="00AE06EC" w:rsidRPr="00F833B4">
        <w:rPr>
          <w:lang w:val="ru-RU"/>
        </w:rPr>
        <w:t>увелич</w:t>
      </w:r>
      <w:r w:rsidRPr="00F833B4">
        <w:rPr>
          <w:lang w:val="ru-RU"/>
        </w:rPr>
        <w:t>ению на 61</w:t>
      </w:r>
      <w:r w:rsidR="001E3767" w:rsidRPr="00F833B4">
        <w:rPr>
          <w:lang w:val="ru-RU"/>
        </w:rPr>
        <w:t>,</w:t>
      </w:r>
      <w:r w:rsidRPr="00F833B4">
        <w:rPr>
          <w:lang w:val="ru-RU"/>
        </w:rPr>
        <w:t>44</w:t>
      </w:r>
      <w:r w:rsidR="001E3767" w:rsidRPr="00F833B4">
        <w:rPr>
          <w:lang w:val="ru-RU"/>
        </w:rPr>
        <w:t> млн. швейцарских франков (</w:t>
      </w:r>
      <w:r w:rsidRPr="00F833B4">
        <w:rPr>
          <w:lang w:val="ru-RU"/>
        </w:rPr>
        <w:t>+</w:t>
      </w:r>
      <w:r w:rsidR="001E3767" w:rsidRPr="00F833B4">
        <w:rPr>
          <w:lang w:val="ru-RU"/>
        </w:rPr>
        <w:t>10,</w:t>
      </w:r>
      <w:r w:rsidRPr="00F833B4">
        <w:rPr>
          <w:lang w:val="ru-RU"/>
        </w:rPr>
        <w:t>7</w:t>
      </w:r>
      <w:r w:rsidR="001E3767" w:rsidRPr="00F833B4">
        <w:rPr>
          <w:lang w:val="ru-RU"/>
        </w:rPr>
        <w:t xml:space="preserve">%) по сравнению с </w:t>
      </w:r>
      <w:r w:rsidRPr="00F833B4">
        <w:rPr>
          <w:lang w:val="ru-RU"/>
        </w:rPr>
        <w:t>573</w:t>
      </w:r>
      <w:r w:rsidR="001E3767" w:rsidRPr="00F833B4">
        <w:rPr>
          <w:lang w:val="ru-RU"/>
        </w:rPr>
        <w:t>,</w:t>
      </w:r>
      <w:r w:rsidRPr="00F833B4">
        <w:rPr>
          <w:lang w:val="ru-RU"/>
        </w:rPr>
        <w:t>42</w:t>
      </w:r>
      <w:r w:rsidR="001E3767" w:rsidRPr="00F833B4">
        <w:rPr>
          <w:lang w:val="ru-RU"/>
        </w:rPr>
        <w:t> млн. швейцарских франков в 201</w:t>
      </w:r>
      <w:r w:rsidRPr="00F833B4">
        <w:rPr>
          <w:lang w:val="ru-RU"/>
        </w:rPr>
        <w:t>8</w:t>
      </w:r>
      <w:r w:rsidR="001E3767" w:rsidRPr="00F833B4">
        <w:rPr>
          <w:lang w:val="ru-RU"/>
        </w:rPr>
        <w:t> году. Это составило 8</w:t>
      </w:r>
      <w:r w:rsidRPr="00F833B4">
        <w:rPr>
          <w:lang w:val="ru-RU"/>
        </w:rPr>
        <w:t>6</w:t>
      </w:r>
      <w:r w:rsidR="001E3767" w:rsidRPr="00F833B4">
        <w:rPr>
          <w:lang w:val="ru-RU"/>
        </w:rPr>
        <w:t>,</w:t>
      </w:r>
      <w:r w:rsidRPr="00F833B4">
        <w:rPr>
          <w:lang w:val="ru-RU"/>
        </w:rPr>
        <w:t>1</w:t>
      </w:r>
      <w:r w:rsidR="001E3767" w:rsidRPr="00F833B4">
        <w:rPr>
          <w:lang w:val="ru-RU"/>
        </w:rPr>
        <w:t xml:space="preserve">% от общих </w:t>
      </w:r>
      <w:proofErr w:type="spellStart"/>
      <w:r w:rsidR="001E3767" w:rsidRPr="00F833B4">
        <w:rPr>
          <w:lang w:val="ru-RU"/>
        </w:rPr>
        <w:t>нетекущих</w:t>
      </w:r>
      <w:proofErr w:type="spellEnd"/>
      <w:r w:rsidR="001E3767" w:rsidRPr="00F833B4">
        <w:rPr>
          <w:lang w:val="ru-RU"/>
        </w:rPr>
        <w:t xml:space="preserve"> пассивов и 71,2% от общих пассивов. Данный раздел включает актуарные обязательства по пособиям, причитающимся после прекращения службы, которые связаны с планом медицинского страхования после прекращения службы (АСХИ) (</w:t>
      </w:r>
      <w:r w:rsidR="009B0DCD" w:rsidRPr="00F833B4">
        <w:rPr>
          <w:lang w:val="ru-RU"/>
        </w:rPr>
        <w:t>611</w:t>
      </w:r>
      <w:r w:rsidR="001E3767" w:rsidRPr="00F833B4">
        <w:rPr>
          <w:lang w:val="ru-RU"/>
        </w:rPr>
        <w:t>,</w:t>
      </w:r>
      <w:r w:rsidR="009B0DCD" w:rsidRPr="00F833B4">
        <w:rPr>
          <w:lang w:val="ru-RU"/>
        </w:rPr>
        <w:t>89</w:t>
      </w:r>
      <w:r w:rsidR="001E3767" w:rsidRPr="00F833B4">
        <w:rPr>
          <w:lang w:val="ru-RU"/>
        </w:rPr>
        <w:t> млн. швейцарских франков; в 201</w:t>
      </w:r>
      <w:r w:rsidR="009B0DCD" w:rsidRPr="00F833B4">
        <w:rPr>
          <w:lang w:val="ru-RU"/>
        </w:rPr>
        <w:t>8</w:t>
      </w:r>
      <w:r w:rsidR="001E3767" w:rsidRPr="00F833B4">
        <w:rPr>
          <w:lang w:val="ru-RU"/>
        </w:rPr>
        <w:t xml:space="preserve"> г. − </w:t>
      </w:r>
      <w:r w:rsidR="009B0DCD" w:rsidRPr="00F833B4">
        <w:rPr>
          <w:lang w:val="ru-RU"/>
        </w:rPr>
        <w:t>552</w:t>
      </w:r>
      <w:r w:rsidR="001E3767" w:rsidRPr="00F833B4">
        <w:rPr>
          <w:lang w:val="ru-RU"/>
        </w:rPr>
        <w:t>,2</w:t>
      </w:r>
      <w:r w:rsidR="009B0DCD" w:rsidRPr="00F833B4">
        <w:rPr>
          <w:lang w:val="ru-RU"/>
        </w:rPr>
        <w:t>4</w:t>
      </w:r>
      <w:r w:rsidR="001E3767" w:rsidRPr="00F833B4">
        <w:rPr>
          <w:lang w:val="ru-RU"/>
        </w:rPr>
        <w:t> млн. швейцарских франков), резервный фонд для оценочных обязательств по субсидиям на репатриацию (1</w:t>
      </w:r>
      <w:r w:rsidR="009B0DCD" w:rsidRPr="00F833B4">
        <w:rPr>
          <w:lang w:val="ru-RU"/>
        </w:rPr>
        <w:t>3</w:t>
      </w:r>
      <w:r w:rsidR="001E3767" w:rsidRPr="00F833B4">
        <w:rPr>
          <w:lang w:val="ru-RU"/>
        </w:rPr>
        <w:t>,</w:t>
      </w:r>
      <w:r w:rsidR="009B0DCD" w:rsidRPr="00F833B4">
        <w:rPr>
          <w:lang w:val="ru-RU"/>
        </w:rPr>
        <w:t>50</w:t>
      </w:r>
      <w:r w:rsidR="001E3767" w:rsidRPr="00F833B4">
        <w:rPr>
          <w:lang w:val="ru-RU"/>
        </w:rPr>
        <w:t> млн. швейцарских франков; в 201</w:t>
      </w:r>
      <w:r w:rsidR="009B0DCD" w:rsidRPr="00F833B4">
        <w:rPr>
          <w:lang w:val="ru-RU"/>
        </w:rPr>
        <w:t>8</w:t>
      </w:r>
      <w:r w:rsidR="001E3767" w:rsidRPr="00F833B4">
        <w:rPr>
          <w:lang w:val="ru-RU"/>
        </w:rPr>
        <w:t> г. − 12,</w:t>
      </w:r>
      <w:r w:rsidR="009B0DCD" w:rsidRPr="00F833B4">
        <w:rPr>
          <w:lang w:val="ru-RU"/>
        </w:rPr>
        <w:t>34</w:t>
      </w:r>
      <w:r w:rsidR="001E3767" w:rsidRPr="00F833B4">
        <w:rPr>
          <w:lang w:val="ru-RU"/>
        </w:rPr>
        <w:t> млн. швейцарских франков) и резервный фонд для оп</w:t>
      </w:r>
      <w:r w:rsidR="009B0DCD" w:rsidRPr="00F833B4">
        <w:rPr>
          <w:lang w:val="ru-RU"/>
        </w:rPr>
        <w:t>латы накопленных дней отпуска (9</w:t>
      </w:r>
      <w:r w:rsidR="001E3767" w:rsidRPr="00F833B4">
        <w:rPr>
          <w:lang w:val="ru-RU"/>
        </w:rPr>
        <w:t>,</w:t>
      </w:r>
      <w:r w:rsidR="009B0DCD" w:rsidRPr="00F833B4">
        <w:rPr>
          <w:lang w:val="ru-RU"/>
        </w:rPr>
        <w:t>40</w:t>
      </w:r>
      <w:r w:rsidR="001E3767" w:rsidRPr="00F833B4">
        <w:rPr>
          <w:lang w:val="ru-RU"/>
        </w:rPr>
        <w:t> млн. швейцарских франков; в 201</w:t>
      </w:r>
      <w:r w:rsidR="009B0DCD" w:rsidRPr="00F833B4">
        <w:rPr>
          <w:lang w:val="ru-RU"/>
        </w:rPr>
        <w:t>8</w:t>
      </w:r>
      <w:r w:rsidR="001E3767" w:rsidRPr="00F833B4">
        <w:rPr>
          <w:lang w:val="ru-RU"/>
        </w:rPr>
        <w:t> г. − 8,</w:t>
      </w:r>
      <w:r w:rsidR="009B0DCD" w:rsidRPr="00F833B4">
        <w:rPr>
          <w:lang w:val="ru-RU"/>
        </w:rPr>
        <w:t>87</w:t>
      </w:r>
      <w:r w:rsidR="001E3767" w:rsidRPr="00F833B4">
        <w:rPr>
          <w:lang w:val="ru-RU"/>
        </w:rPr>
        <w:t xml:space="preserve"> млн. швейцарских франков). Подробное описание и разбивка вознаграждения сотрудников, работающих на основе долгосрочных контрактов, показаны в Примечании 17.2 к Отчету о финансовой деятельности. </w:t>
      </w:r>
    </w:p>
    <w:p w14:paraId="6381D5DF" w14:textId="77777777" w:rsidR="001E3767" w:rsidRPr="00F833B4" w:rsidRDefault="001E3767" w:rsidP="000608BD">
      <w:pPr>
        <w:pStyle w:val="Heading2"/>
        <w:rPr>
          <w:lang w:val="ru-RU"/>
        </w:rPr>
      </w:pPr>
      <w:bookmarkStart w:id="260" w:name="_Toc356330897"/>
      <w:bookmarkStart w:id="261" w:name="_Toc358192846"/>
      <w:bookmarkStart w:id="262" w:name="_Toc398125329"/>
      <w:bookmarkStart w:id="263" w:name="_Toc398125808"/>
      <w:bookmarkStart w:id="264" w:name="_Toc398127101"/>
      <w:bookmarkStart w:id="265" w:name="_Toc452157322"/>
      <w:bookmarkStart w:id="266" w:name="_Toc482995189"/>
      <w:bookmarkStart w:id="267" w:name="_Toc522633579"/>
      <w:bookmarkStart w:id="268" w:name="_Toc56179567"/>
      <w:bookmarkStart w:id="269" w:name="_Toc56180387"/>
      <w:r w:rsidRPr="00F833B4">
        <w:rPr>
          <w:lang w:val="ru-RU"/>
        </w:rPr>
        <w:t>Вознаграждение сотрудников: подъемные пособия и субсидии на репатриацию</w:t>
      </w:r>
      <w:bookmarkEnd w:id="260"/>
      <w:bookmarkEnd w:id="261"/>
      <w:bookmarkEnd w:id="262"/>
      <w:bookmarkEnd w:id="263"/>
      <w:bookmarkEnd w:id="264"/>
      <w:bookmarkEnd w:id="265"/>
      <w:bookmarkEnd w:id="266"/>
      <w:bookmarkEnd w:id="267"/>
      <w:bookmarkEnd w:id="268"/>
      <w:bookmarkEnd w:id="269"/>
    </w:p>
    <w:p w14:paraId="06F6C82C" w14:textId="77777777" w:rsidR="001E3767" w:rsidRPr="00F833B4" w:rsidRDefault="00072212" w:rsidP="0000018B">
      <w:pPr>
        <w:rPr>
          <w:lang w:val="ru-RU"/>
        </w:rPr>
      </w:pPr>
      <w:r w:rsidRPr="00F833B4">
        <w:rPr>
          <w:lang w:val="ru-RU"/>
        </w:rPr>
        <w:t>62</w:t>
      </w:r>
      <w:r w:rsidR="001E3767" w:rsidRPr="00F833B4">
        <w:rPr>
          <w:lang w:val="ru-RU"/>
        </w:rPr>
        <w:tab/>
        <w:t>Как показано в предыдущем пункте, резервные фонды, учтенные по состоянию на 31 декабря 201</w:t>
      </w:r>
      <w:r w:rsidRPr="00F833B4">
        <w:rPr>
          <w:lang w:val="ru-RU"/>
        </w:rPr>
        <w:t>9</w:t>
      </w:r>
      <w:r w:rsidR="001E3767" w:rsidRPr="00F833B4">
        <w:rPr>
          <w:lang w:val="ru-RU"/>
        </w:rPr>
        <w:t> года, для введения в должность и возвращения на родину сотрудников составили 1</w:t>
      </w:r>
      <w:r w:rsidRPr="00F833B4">
        <w:rPr>
          <w:lang w:val="ru-RU"/>
        </w:rPr>
        <w:t>3</w:t>
      </w:r>
      <w:r w:rsidR="001E3767" w:rsidRPr="00F833B4">
        <w:rPr>
          <w:lang w:val="ru-RU"/>
        </w:rPr>
        <w:t>,</w:t>
      </w:r>
      <w:r w:rsidRPr="00F833B4">
        <w:rPr>
          <w:lang w:val="ru-RU"/>
        </w:rPr>
        <w:t>50</w:t>
      </w:r>
      <w:r w:rsidR="001E3767" w:rsidRPr="00F833B4">
        <w:rPr>
          <w:lang w:val="ru-RU"/>
        </w:rPr>
        <w:t> млн. швейцарских франков (в 201</w:t>
      </w:r>
      <w:r w:rsidRPr="00F833B4">
        <w:rPr>
          <w:lang w:val="ru-RU"/>
        </w:rPr>
        <w:t>8</w:t>
      </w:r>
      <w:r w:rsidR="001E3767" w:rsidRPr="00F833B4">
        <w:rPr>
          <w:lang w:val="ru-RU"/>
        </w:rPr>
        <w:t> г. − 12,</w:t>
      </w:r>
      <w:r w:rsidRPr="00F833B4">
        <w:rPr>
          <w:lang w:val="ru-RU"/>
        </w:rPr>
        <w:t>34</w:t>
      </w:r>
      <w:r w:rsidR="001E3767" w:rsidRPr="00F833B4">
        <w:rPr>
          <w:lang w:val="ru-RU"/>
        </w:rPr>
        <w:t> млн. швейцарских франков) и рассчитывались в соответствии с актуарным исследованием, проведенным по заказу руководства, результаты которого актуарий представил в своем отчете в феврале 20</w:t>
      </w:r>
      <w:r w:rsidRPr="00F833B4">
        <w:rPr>
          <w:lang w:val="ru-RU"/>
        </w:rPr>
        <w:t>20</w:t>
      </w:r>
      <w:r w:rsidR="001E3767" w:rsidRPr="00F833B4">
        <w:rPr>
          <w:lang w:val="ru-RU"/>
        </w:rPr>
        <w:t xml:space="preserve"> года. </w:t>
      </w:r>
    </w:p>
    <w:p w14:paraId="4469F2A3" w14:textId="77777777" w:rsidR="001E3767" w:rsidRPr="00F833B4" w:rsidRDefault="001E3767" w:rsidP="000608BD">
      <w:pPr>
        <w:pStyle w:val="Heading2"/>
        <w:rPr>
          <w:lang w:val="ru-RU"/>
        </w:rPr>
      </w:pPr>
      <w:bookmarkStart w:id="270" w:name="_Toc356330899"/>
      <w:bookmarkStart w:id="271" w:name="_Toc358192848"/>
      <w:bookmarkStart w:id="272" w:name="_Toc398125331"/>
      <w:bookmarkStart w:id="273" w:name="_Toc398125810"/>
      <w:bookmarkStart w:id="274" w:name="_Toc398127102"/>
      <w:bookmarkStart w:id="275" w:name="_Toc452157323"/>
      <w:bookmarkStart w:id="276" w:name="_Toc482995190"/>
      <w:bookmarkStart w:id="277" w:name="_Toc522633580"/>
      <w:bookmarkStart w:id="278" w:name="_Toc56179568"/>
      <w:bookmarkStart w:id="279" w:name="_Toc56180388"/>
      <w:r w:rsidRPr="00F833B4">
        <w:rPr>
          <w:lang w:val="ru-RU"/>
        </w:rPr>
        <w:t>Вознаграждение сотрудников: АСХИ</w:t>
      </w:r>
      <w:bookmarkEnd w:id="270"/>
      <w:bookmarkEnd w:id="271"/>
      <w:bookmarkEnd w:id="272"/>
      <w:bookmarkEnd w:id="273"/>
      <w:bookmarkEnd w:id="274"/>
      <w:bookmarkEnd w:id="275"/>
      <w:bookmarkEnd w:id="276"/>
      <w:bookmarkEnd w:id="277"/>
      <w:bookmarkEnd w:id="278"/>
      <w:bookmarkEnd w:id="279"/>
    </w:p>
    <w:p w14:paraId="2F8E28F7" w14:textId="4218877D" w:rsidR="001E3767" w:rsidRPr="00F833B4" w:rsidRDefault="00072212" w:rsidP="0000018B">
      <w:pPr>
        <w:rPr>
          <w:lang w:val="ru-RU"/>
        </w:rPr>
      </w:pPr>
      <w:r w:rsidRPr="00F833B4">
        <w:rPr>
          <w:lang w:val="ru-RU"/>
        </w:rPr>
        <w:t>63</w:t>
      </w:r>
      <w:r w:rsidR="001E3767" w:rsidRPr="00F833B4">
        <w:rPr>
          <w:lang w:val="ru-RU"/>
        </w:rPr>
        <w:tab/>
        <w:t>В 201</w:t>
      </w:r>
      <w:r w:rsidRPr="00F833B4">
        <w:rPr>
          <w:lang w:val="ru-RU"/>
        </w:rPr>
        <w:t>9</w:t>
      </w:r>
      <w:r w:rsidR="001E3767" w:rsidRPr="00F833B4">
        <w:rPr>
          <w:lang w:val="ru-RU"/>
        </w:rPr>
        <w:t xml:space="preserve"> году резервный фонд для актуарных обязательств в отношении плана АСХИ составил </w:t>
      </w:r>
      <w:r w:rsidRPr="00F833B4">
        <w:rPr>
          <w:lang w:val="ru-RU"/>
        </w:rPr>
        <w:t>611</w:t>
      </w:r>
      <w:r w:rsidR="001E3767" w:rsidRPr="00F833B4">
        <w:rPr>
          <w:lang w:val="ru-RU"/>
        </w:rPr>
        <w:t>,</w:t>
      </w:r>
      <w:r w:rsidRPr="00F833B4">
        <w:rPr>
          <w:lang w:val="ru-RU"/>
        </w:rPr>
        <w:t>89</w:t>
      </w:r>
      <w:r w:rsidR="001E3767" w:rsidRPr="00F833B4">
        <w:rPr>
          <w:lang w:val="ru-RU"/>
        </w:rPr>
        <w:t xml:space="preserve"> млн. швейцарских франков, что соответствует </w:t>
      </w:r>
      <w:r w:rsidR="003855AA" w:rsidRPr="00F833B4">
        <w:rPr>
          <w:lang w:val="ru-RU"/>
        </w:rPr>
        <w:t>увелич</w:t>
      </w:r>
      <w:r w:rsidR="001E3767" w:rsidRPr="00F833B4">
        <w:rPr>
          <w:lang w:val="ru-RU"/>
        </w:rPr>
        <w:t xml:space="preserve">ению на </w:t>
      </w:r>
      <w:r w:rsidRPr="00F833B4">
        <w:rPr>
          <w:lang w:val="ru-RU"/>
        </w:rPr>
        <w:t>59,</w:t>
      </w:r>
      <w:r w:rsidR="001E3767" w:rsidRPr="00F833B4">
        <w:rPr>
          <w:lang w:val="ru-RU"/>
        </w:rPr>
        <w:t>65 млн. швейцарских франков (10,</w:t>
      </w:r>
      <w:r w:rsidRPr="00F833B4">
        <w:rPr>
          <w:lang w:val="ru-RU"/>
        </w:rPr>
        <w:t>8</w:t>
      </w:r>
      <w:r w:rsidR="001E3767" w:rsidRPr="00F833B4">
        <w:rPr>
          <w:lang w:val="ru-RU"/>
        </w:rPr>
        <w:t xml:space="preserve">%) по сравнению с </w:t>
      </w:r>
      <w:r w:rsidRPr="00F833B4">
        <w:rPr>
          <w:lang w:val="ru-RU"/>
        </w:rPr>
        <w:t>552</w:t>
      </w:r>
      <w:r w:rsidR="001E3767" w:rsidRPr="00F833B4">
        <w:rPr>
          <w:lang w:val="ru-RU"/>
        </w:rPr>
        <w:t>,2</w:t>
      </w:r>
      <w:r w:rsidRPr="00F833B4">
        <w:rPr>
          <w:lang w:val="ru-RU"/>
        </w:rPr>
        <w:t>4</w:t>
      </w:r>
      <w:r w:rsidR="001E3767" w:rsidRPr="00F833B4">
        <w:rPr>
          <w:lang w:val="ru-RU"/>
        </w:rPr>
        <w:t> млн. швейцарских франков в 201</w:t>
      </w:r>
      <w:r w:rsidRPr="00F833B4">
        <w:rPr>
          <w:lang w:val="ru-RU"/>
        </w:rPr>
        <w:t>8</w:t>
      </w:r>
      <w:r w:rsidR="001E3767" w:rsidRPr="00F833B4">
        <w:rPr>
          <w:lang w:val="ru-RU"/>
        </w:rPr>
        <w:t> году. Данный расчет на основе актуарных допущений был выполнен актуарием</w:t>
      </w:r>
      <w:r w:rsidR="00300575" w:rsidRPr="00F833B4">
        <w:rPr>
          <w:rFonts w:ascii="Arial" w:eastAsiaTheme="minorHAnsi" w:hAnsi="Arial" w:cs="Arial"/>
          <w:sz w:val="24"/>
          <w:szCs w:val="24"/>
          <w:lang w:val="ru-RU"/>
        </w:rPr>
        <w:t xml:space="preserve"> </w:t>
      </w:r>
      <w:r w:rsidR="00657F7C" w:rsidRPr="00F833B4">
        <w:rPr>
          <w:rFonts w:asciiTheme="minorHAnsi" w:eastAsiaTheme="minorHAnsi" w:hAnsiTheme="minorHAnsi" w:cstheme="minorHAnsi"/>
          <w:szCs w:val="22"/>
          <w:lang w:val="ru-RU"/>
        </w:rPr>
        <w:t>с использованием</w:t>
      </w:r>
      <w:r w:rsidR="00657F7C" w:rsidRPr="00F833B4">
        <w:rPr>
          <w:rFonts w:ascii="Arial" w:eastAsiaTheme="minorHAnsi" w:hAnsi="Arial" w:cs="Arial"/>
          <w:szCs w:val="22"/>
          <w:lang w:val="ru-RU"/>
        </w:rPr>
        <w:t xml:space="preserve"> </w:t>
      </w:r>
      <w:r w:rsidR="00657F7C" w:rsidRPr="00F833B4">
        <w:rPr>
          <w:color w:val="000000"/>
          <w:lang w:val="ru-RU"/>
        </w:rPr>
        <w:t>показателей доходности корпоративных облигаций, имеющих рейтинг AA,</w:t>
      </w:r>
      <w:r w:rsidR="00657F7C" w:rsidRPr="00F833B4">
        <w:rPr>
          <w:lang w:val="ru-RU"/>
        </w:rPr>
        <w:t xml:space="preserve"> </w:t>
      </w:r>
      <w:r w:rsidR="003855AA" w:rsidRPr="00F833B4">
        <w:rPr>
          <w:lang w:val="ru-RU"/>
        </w:rPr>
        <w:t xml:space="preserve">применяемых компанией AON, </w:t>
      </w:r>
      <w:r w:rsidR="00657F7C" w:rsidRPr="00F833B4">
        <w:rPr>
          <w:lang w:val="ru-RU"/>
        </w:rPr>
        <w:t>на</w:t>
      </w:r>
      <w:r w:rsidR="00300575" w:rsidRPr="00F833B4">
        <w:rPr>
          <w:lang w:val="ru-RU"/>
        </w:rPr>
        <w:t xml:space="preserve"> 31</w:t>
      </w:r>
      <w:r w:rsidR="00657F7C" w:rsidRPr="00F833B4">
        <w:rPr>
          <w:lang w:val="ru-RU"/>
        </w:rPr>
        <w:t> декабря</w:t>
      </w:r>
      <w:r w:rsidR="00300575" w:rsidRPr="00F833B4">
        <w:rPr>
          <w:lang w:val="ru-RU"/>
        </w:rPr>
        <w:t xml:space="preserve"> 2019</w:t>
      </w:r>
      <w:r w:rsidR="00657F7C" w:rsidRPr="00F833B4">
        <w:rPr>
          <w:lang w:val="ru-RU"/>
        </w:rPr>
        <w:t> года</w:t>
      </w:r>
      <w:r w:rsidR="00300575" w:rsidRPr="00F833B4">
        <w:rPr>
          <w:lang w:val="ru-RU"/>
        </w:rPr>
        <w:t xml:space="preserve">. </w:t>
      </w:r>
      <w:r w:rsidR="00657F7C" w:rsidRPr="00F833B4">
        <w:rPr>
          <w:color w:val="000000"/>
          <w:lang w:val="ru-RU"/>
        </w:rPr>
        <w:t xml:space="preserve">Ставка дисконтирования существенно снизилась – с </w:t>
      </w:r>
      <w:r w:rsidR="00300575" w:rsidRPr="00F833B4">
        <w:rPr>
          <w:lang w:val="ru-RU"/>
        </w:rPr>
        <w:t>1</w:t>
      </w:r>
      <w:r w:rsidR="00657F7C" w:rsidRPr="00F833B4">
        <w:rPr>
          <w:lang w:val="ru-RU"/>
        </w:rPr>
        <w:t>,</w:t>
      </w:r>
      <w:r w:rsidR="00300575" w:rsidRPr="00F833B4">
        <w:rPr>
          <w:lang w:val="ru-RU"/>
        </w:rPr>
        <w:t xml:space="preserve">2% </w:t>
      </w:r>
      <w:r w:rsidR="00657F7C" w:rsidRPr="00F833B4">
        <w:rPr>
          <w:lang w:val="ru-RU"/>
        </w:rPr>
        <w:t>в</w:t>
      </w:r>
      <w:r w:rsidR="00300575" w:rsidRPr="00F833B4">
        <w:rPr>
          <w:lang w:val="ru-RU"/>
        </w:rPr>
        <w:t xml:space="preserve"> 2018</w:t>
      </w:r>
      <w:r w:rsidR="00657F7C" w:rsidRPr="00F833B4">
        <w:rPr>
          <w:lang w:val="ru-RU"/>
        </w:rPr>
        <w:t> году до</w:t>
      </w:r>
      <w:r w:rsidR="00300575" w:rsidRPr="00F833B4">
        <w:rPr>
          <w:lang w:val="ru-RU"/>
        </w:rPr>
        <w:t xml:space="preserve"> 0</w:t>
      </w:r>
      <w:r w:rsidR="00657F7C" w:rsidRPr="00F833B4">
        <w:rPr>
          <w:lang w:val="ru-RU"/>
        </w:rPr>
        <w:t>,</w:t>
      </w:r>
      <w:r w:rsidR="00300575" w:rsidRPr="00F833B4">
        <w:rPr>
          <w:lang w:val="ru-RU"/>
        </w:rPr>
        <w:t xml:space="preserve">6% </w:t>
      </w:r>
      <w:r w:rsidR="00657F7C" w:rsidRPr="00F833B4">
        <w:rPr>
          <w:lang w:val="ru-RU"/>
        </w:rPr>
        <w:t>в 2019 году</w:t>
      </w:r>
      <w:r w:rsidR="00300575" w:rsidRPr="00F833B4">
        <w:rPr>
          <w:lang w:val="ru-RU"/>
        </w:rPr>
        <w:t>.</w:t>
      </w:r>
    </w:p>
    <w:p w14:paraId="7BC645B9" w14:textId="68D726DC" w:rsidR="00300575" w:rsidRPr="00F833B4" w:rsidRDefault="00300575" w:rsidP="0000018B">
      <w:pPr>
        <w:rPr>
          <w:lang w:val="ru-RU"/>
        </w:rPr>
      </w:pPr>
      <w:r w:rsidRPr="00F833B4">
        <w:rPr>
          <w:lang w:val="ru-RU"/>
        </w:rPr>
        <w:t>64</w:t>
      </w:r>
      <w:r w:rsidRPr="00F833B4">
        <w:rPr>
          <w:lang w:val="ru-RU"/>
        </w:rPr>
        <w:tab/>
      </w:r>
      <w:r w:rsidR="005D0EAE" w:rsidRPr="00F833B4">
        <w:rPr>
          <w:lang w:val="ru-RU"/>
        </w:rPr>
        <w:t>В нашем предыдущем отчете, в соответствии с пунктом </w:t>
      </w:r>
      <w:r w:rsidRPr="00F833B4">
        <w:rPr>
          <w:lang w:val="ru-RU"/>
        </w:rPr>
        <w:t xml:space="preserve">88 </w:t>
      </w:r>
      <w:r w:rsidR="005D0EAE" w:rsidRPr="00F833B4">
        <w:rPr>
          <w:lang w:val="ru-RU"/>
        </w:rPr>
        <w:t>стандарта</w:t>
      </w:r>
      <w:r w:rsidRPr="00F833B4">
        <w:rPr>
          <w:lang w:val="ru-RU"/>
        </w:rPr>
        <w:t xml:space="preserve"> IPSAS 39, </w:t>
      </w:r>
      <w:r w:rsidR="005D0EAE" w:rsidRPr="00F833B4">
        <w:rPr>
          <w:lang w:val="ru-RU"/>
        </w:rPr>
        <w:t xml:space="preserve">мы рекомендовали </w:t>
      </w:r>
      <w:r w:rsidR="005D0EAE" w:rsidRPr="00F833B4">
        <w:rPr>
          <w:color w:val="000000"/>
          <w:lang w:val="ru-RU"/>
        </w:rPr>
        <w:t xml:space="preserve">руководству раскрывать в примечаниях к отчету о финансовой деятельности сумму актуарных обязательств по линии АСХИ, рассчитанную с использованием ставки дисконтирования соответствующей доходности долгосрочных швейцарских государственных облигаций </w:t>
      </w:r>
      <w:r w:rsidRPr="00F833B4">
        <w:rPr>
          <w:lang w:val="ru-RU"/>
        </w:rPr>
        <w:t>(</w:t>
      </w:r>
      <w:r w:rsidR="005D0EAE" w:rsidRPr="00F833B4">
        <w:rPr>
          <w:lang w:val="ru-RU"/>
        </w:rPr>
        <w:t>рекомендация </w:t>
      </w:r>
      <w:r w:rsidRPr="00F833B4">
        <w:rPr>
          <w:lang w:val="ru-RU"/>
        </w:rPr>
        <w:t xml:space="preserve">2/2018). </w:t>
      </w:r>
      <w:r w:rsidR="00EE4881" w:rsidRPr="00F833B4">
        <w:rPr>
          <w:lang w:val="ru-RU"/>
        </w:rPr>
        <w:t xml:space="preserve">В соответствии с полученной просьбой компания AON в рамках анализа чувствительности по планам, связанным с охраной здоровья, также рассчитала размер резервного фонда с использованием </w:t>
      </w:r>
      <w:r w:rsidR="001D46D2" w:rsidRPr="00F833B4">
        <w:rPr>
          <w:lang w:val="ru-RU"/>
        </w:rPr>
        <w:t xml:space="preserve">применяемой AON кривой доходности </w:t>
      </w:r>
      <w:r w:rsidR="001D46D2" w:rsidRPr="00F833B4">
        <w:rPr>
          <w:color w:val="000000"/>
          <w:lang w:val="ru-RU"/>
        </w:rPr>
        <w:t xml:space="preserve">швейцарских государственных облигаций, что показало увеличение примерно на </w:t>
      </w:r>
      <w:r w:rsidRPr="00F833B4">
        <w:rPr>
          <w:lang w:val="ru-RU"/>
        </w:rPr>
        <w:t>120</w:t>
      </w:r>
      <w:r w:rsidR="001D46D2" w:rsidRPr="00F833B4">
        <w:rPr>
          <w:lang w:val="ru-RU"/>
        </w:rPr>
        <w:t> млн. швейцарских франков</w:t>
      </w:r>
      <w:r w:rsidRPr="00F833B4">
        <w:rPr>
          <w:lang w:val="ru-RU"/>
        </w:rPr>
        <w:t xml:space="preserve">, </w:t>
      </w:r>
      <w:r w:rsidR="001D46D2" w:rsidRPr="00F833B4">
        <w:rPr>
          <w:lang w:val="ru-RU"/>
        </w:rPr>
        <w:t>для теоретической окончательной суммы</w:t>
      </w:r>
      <w:r w:rsidRPr="00F833B4">
        <w:rPr>
          <w:lang w:val="ru-RU"/>
        </w:rPr>
        <w:t xml:space="preserve"> 731</w:t>
      </w:r>
      <w:r w:rsidR="001D46D2" w:rsidRPr="00F833B4">
        <w:rPr>
          <w:lang w:val="ru-RU"/>
        </w:rPr>
        <w:t>,</w:t>
      </w:r>
      <w:r w:rsidRPr="00F833B4">
        <w:rPr>
          <w:lang w:val="ru-RU"/>
        </w:rPr>
        <w:t>89</w:t>
      </w:r>
      <w:r w:rsidR="001D46D2" w:rsidRPr="00F833B4">
        <w:rPr>
          <w:lang w:val="ru-RU"/>
        </w:rPr>
        <w:t> млн. швейцарских франков</w:t>
      </w:r>
      <w:r w:rsidRPr="00F833B4">
        <w:rPr>
          <w:lang w:val="ru-RU"/>
        </w:rPr>
        <w:t xml:space="preserve">, </w:t>
      </w:r>
      <w:r w:rsidR="001D46D2" w:rsidRPr="00F833B4">
        <w:rPr>
          <w:lang w:val="ru-RU"/>
        </w:rPr>
        <w:t>ввиду более низкой ставки дисконтирования</w:t>
      </w:r>
      <w:r w:rsidRPr="00F833B4">
        <w:rPr>
          <w:lang w:val="ru-RU"/>
        </w:rPr>
        <w:t xml:space="preserve"> (0</w:t>
      </w:r>
      <w:r w:rsidR="001D46D2" w:rsidRPr="00F833B4">
        <w:rPr>
          <w:lang w:val="ru-RU"/>
        </w:rPr>
        <w:t>,</w:t>
      </w:r>
      <w:r w:rsidRPr="00F833B4">
        <w:rPr>
          <w:lang w:val="ru-RU"/>
        </w:rPr>
        <w:t xml:space="preserve">2 </w:t>
      </w:r>
      <w:r w:rsidR="001D46D2" w:rsidRPr="00F833B4">
        <w:rPr>
          <w:lang w:val="ru-RU"/>
        </w:rPr>
        <w:t>вместо</w:t>
      </w:r>
      <w:r w:rsidRPr="00F833B4">
        <w:rPr>
          <w:lang w:val="ru-RU"/>
        </w:rPr>
        <w:t xml:space="preserve"> 0</w:t>
      </w:r>
      <w:r w:rsidR="001D46D2" w:rsidRPr="00F833B4">
        <w:rPr>
          <w:lang w:val="ru-RU"/>
        </w:rPr>
        <w:t>,</w:t>
      </w:r>
      <w:r w:rsidRPr="00F833B4">
        <w:rPr>
          <w:lang w:val="ru-RU"/>
        </w:rPr>
        <w:t>6).</w:t>
      </w:r>
    </w:p>
    <w:p w14:paraId="006DBAAE" w14:textId="462E3714" w:rsidR="00300575" w:rsidRPr="00F833B4" w:rsidRDefault="001D46D2" w:rsidP="00932D72">
      <w:pPr>
        <w:pStyle w:val="Heading3"/>
        <w:rPr>
          <w:i/>
          <w:iCs/>
          <w:lang w:val="ru-RU"/>
        </w:rPr>
      </w:pPr>
      <w:bookmarkStart w:id="280" w:name="_Toc415170484"/>
      <w:bookmarkStart w:id="281" w:name="_Toc53074789"/>
      <w:bookmarkStart w:id="282" w:name="_Toc54769160"/>
      <w:bookmarkStart w:id="283" w:name="_Toc56180389"/>
      <w:r w:rsidRPr="00F833B4">
        <w:rPr>
          <w:i/>
          <w:iCs/>
          <w:lang w:val="ru-RU"/>
        </w:rPr>
        <w:t xml:space="preserve">На основании исходных предпосылок МСЭ сумма </w:t>
      </w:r>
      <w:r w:rsidRPr="00F833B4">
        <w:rPr>
          <w:i/>
          <w:iCs/>
          <w:color w:val="000000"/>
          <w:lang w:val="ru-RU"/>
        </w:rPr>
        <w:t>подъемных пособий и субсидий на репатриацию</w:t>
      </w:r>
      <w:r w:rsidRPr="00F833B4">
        <w:rPr>
          <w:i/>
          <w:iCs/>
          <w:lang w:val="ru-RU"/>
        </w:rPr>
        <w:t xml:space="preserve"> и сумма обязательств АСХИ в основном являются верными</w:t>
      </w:r>
      <w:bookmarkEnd w:id="280"/>
      <w:bookmarkEnd w:id="281"/>
      <w:bookmarkEnd w:id="282"/>
      <w:bookmarkEnd w:id="283"/>
    </w:p>
    <w:p w14:paraId="0C9F4B0E" w14:textId="77777777" w:rsidR="001E3767" w:rsidRPr="00F833B4" w:rsidRDefault="00300575" w:rsidP="0000018B">
      <w:pPr>
        <w:rPr>
          <w:lang w:val="ru-RU"/>
        </w:rPr>
      </w:pPr>
      <w:r w:rsidRPr="00F833B4">
        <w:rPr>
          <w:lang w:val="ru-RU"/>
        </w:rPr>
        <w:t>65</w:t>
      </w:r>
      <w:r w:rsidR="001E3767" w:rsidRPr="00F833B4">
        <w:rPr>
          <w:lang w:val="ru-RU"/>
        </w:rPr>
        <w:tab/>
        <w:t xml:space="preserve">Выбор актуарных допущений является исключительной ответственностью руководства. Внешний аудитор проверяет их правдоподобие и их соответствие стандартам IPSAS и допущениям, использовавшимся в предыдущем году, а также подтверждает их правильность. </w:t>
      </w:r>
    </w:p>
    <w:p w14:paraId="560F0126" w14:textId="29276F77" w:rsidR="001E3767" w:rsidRPr="00F833B4" w:rsidRDefault="00300575" w:rsidP="0000018B">
      <w:pPr>
        <w:rPr>
          <w:lang w:val="ru-RU"/>
        </w:rPr>
      </w:pPr>
      <w:proofErr w:type="gramStart"/>
      <w:r w:rsidRPr="00F833B4">
        <w:rPr>
          <w:lang w:val="ru-RU"/>
        </w:rPr>
        <w:t>66</w:t>
      </w:r>
      <w:proofErr w:type="gramEnd"/>
      <w:r w:rsidR="001E3767" w:rsidRPr="00F833B4">
        <w:rPr>
          <w:lang w:val="ru-RU"/>
        </w:rPr>
        <w:tab/>
        <w:t xml:space="preserve">Как и в предыдущие годы, наша команда привлекла группу актуариев, занимающихся общественным сектором, которые являются экспертами по социальным выплатам. </w:t>
      </w:r>
      <w:r w:rsidR="001E3767" w:rsidRPr="00F833B4">
        <w:rPr>
          <w:lang w:val="ru-RU"/>
        </w:rPr>
        <w:tab/>
        <w:t>Для выполнения своей работы наши актуарии пересчитали оценки, подготовленные выбранным МСЭ ак</w:t>
      </w:r>
      <w:r w:rsidRPr="00F833B4">
        <w:rPr>
          <w:lang w:val="ru-RU"/>
        </w:rPr>
        <w:t xml:space="preserve">туарием (AON </w:t>
      </w:r>
      <w:proofErr w:type="spellStart"/>
      <w:r w:rsidRPr="00F833B4">
        <w:rPr>
          <w:lang w:val="ru-RU"/>
        </w:rPr>
        <w:lastRenderedPageBreak/>
        <w:t>Hewitt</w:t>
      </w:r>
      <w:proofErr w:type="spellEnd"/>
      <w:r w:rsidRPr="00F833B4">
        <w:rPr>
          <w:lang w:val="ru-RU"/>
        </w:rPr>
        <w:t xml:space="preserve"> </w:t>
      </w:r>
      <w:proofErr w:type="spellStart"/>
      <w:r w:rsidRPr="00F833B4">
        <w:rPr>
          <w:lang w:val="ru-RU"/>
        </w:rPr>
        <w:t>Consulting</w:t>
      </w:r>
      <w:proofErr w:type="spellEnd"/>
      <w:r w:rsidRPr="00F833B4">
        <w:rPr>
          <w:lang w:val="ru-RU"/>
        </w:rPr>
        <w:t>)</w:t>
      </w:r>
      <w:r w:rsidR="001E3767" w:rsidRPr="00F833B4">
        <w:rPr>
          <w:lang w:val="ru-RU"/>
        </w:rPr>
        <w:t xml:space="preserve">. Работа, проведенная нашими актуариями, подтвердила, что суммы, зафиксированные на счетах, </w:t>
      </w:r>
      <w:proofErr w:type="gramStart"/>
      <w:r w:rsidR="001E3767" w:rsidRPr="00F833B4">
        <w:rPr>
          <w:lang w:val="ru-RU"/>
        </w:rPr>
        <w:t>были по существу</w:t>
      </w:r>
      <w:proofErr w:type="gramEnd"/>
      <w:r w:rsidR="001E3767" w:rsidRPr="00F833B4">
        <w:rPr>
          <w:lang w:val="ru-RU"/>
        </w:rPr>
        <w:t xml:space="preserve"> </w:t>
      </w:r>
      <w:r w:rsidR="001D46D2" w:rsidRPr="00F833B4">
        <w:rPr>
          <w:lang w:val="ru-RU"/>
        </w:rPr>
        <w:t>вер</w:t>
      </w:r>
      <w:r w:rsidR="001E3767" w:rsidRPr="00F833B4">
        <w:rPr>
          <w:lang w:val="ru-RU"/>
        </w:rPr>
        <w:t>ными.</w:t>
      </w:r>
    </w:p>
    <w:p w14:paraId="18ABE277" w14:textId="182275BE" w:rsidR="001E3767" w:rsidRPr="00F833B4" w:rsidRDefault="00606531" w:rsidP="000608BD">
      <w:pPr>
        <w:pStyle w:val="Heading3"/>
        <w:rPr>
          <w:i/>
          <w:iCs/>
          <w:lang w:val="ru-RU"/>
        </w:rPr>
      </w:pPr>
      <w:bookmarkStart w:id="284" w:name="_Toc54769161"/>
      <w:bookmarkStart w:id="285" w:name="_Toc56180390"/>
      <w:r w:rsidRPr="00F833B4">
        <w:rPr>
          <w:i/>
          <w:iCs/>
          <w:lang w:val="ru-RU"/>
        </w:rPr>
        <w:t xml:space="preserve">Увеличение обязательств </w:t>
      </w:r>
      <w:r w:rsidR="006E3BDE" w:rsidRPr="00F833B4">
        <w:rPr>
          <w:i/>
          <w:iCs/>
          <w:lang w:val="ru-RU"/>
        </w:rPr>
        <w:t xml:space="preserve">по линии </w:t>
      </w:r>
      <w:r w:rsidRPr="00F833B4">
        <w:rPr>
          <w:i/>
          <w:iCs/>
          <w:lang w:val="ru-RU"/>
        </w:rPr>
        <w:t>АСХИ</w:t>
      </w:r>
      <w:bookmarkEnd w:id="284"/>
      <w:bookmarkEnd w:id="285"/>
    </w:p>
    <w:p w14:paraId="151BAE53" w14:textId="0B9A2468" w:rsidR="00932D72" w:rsidRPr="00F833B4" w:rsidRDefault="00932D72" w:rsidP="0000018B">
      <w:pPr>
        <w:rPr>
          <w:lang w:val="ru-RU"/>
        </w:rPr>
      </w:pPr>
      <w:r w:rsidRPr="00F833B4">
        <w:rPr>
          <w:lang w:val="ru-RU"/>
        </w:rPr>
        <w:t>67</w:t>
      </w:r>
      <w:r w:rsidR="001E3767" w:rsidRPr="00F833B4">
        <w:rPr>
          <w:lang w:val="ru-RU"/>
        </w:rPr>
        <w:tab/>
      </w:r>
      <w:r w:rsidR="00606531" w:rsidRPr="00F833B4">
        <w:rPr>
          <w:lang w:val="ru-RU"/>
        </w:rPr>
        <w:t xml:space="preserve">Часть увеличения актуарных обязательств </w:t>
      </w:r>
      <w:r w:rsidR="006E3BDE" w:rsidRPr="00F833B4">
        <w:rPr>
          <w:lang w:val="ru-RU"/>
        </w:rPr>
        <w:t xml:space="preserve">по линии </w:t>
      </w:r>
      <w:r w:rsidR="00606531" w:rsidRPr="00F833B4">
        <w:rPr>
          <w:lang w:val="ru-RU"/>
        </w:rPr>
        <w:t xml:space="preserve">АСХИ </w:t>
      </w:r>
      <w:r w:rsidR="006E3BDE" w:rsidRPr="00F833B4">
        <w:rPr>
          <w:lang w:val="ru-RU"/>
        </w:rPr>
        <w:t>объясняется снижением ставки дисконтирования, используемой для актуальных расчетов</w:t>
      </w:r>
      <w:r w:rsidRPr="00F833B4">
        <w:rPr>
          <w:lang w:val="ru-RU"/>
        </w:rPr>
        <w:t xml:space="preserve">. </w:t>
      </w:r>
      <w:r w:rsidR="006E3BDE" w:rsidRPr="00F833B4">
        <w:rPr>
          <w:lang w:val="ru-RU"/>
        </w:rPr>
        <w:t xml:space="preserve">Вместе с тем, наряду с предположениями относительно будущих процентных ставок имеются другие причины, объясняющие эту тенденцию, такие как повышение затрат на медицинское обслуживание, окладов и пенсий </w:t>
      </w:r>
      <w:r w:rsidRPr="00F833B4">
        <w:rPr>
          <w:lang w:val="ru-RU"/>
        </w:rPr>
        <w:t>(</w:t>
      </w:r>
      <w:r w:rsidR="006E3BDE" w:rsidRPr="00F833B4">
        <w:rPr>
          <w:lang w:val="ru-RU"/>
        </w:rPr>
        <w:t>см.</w:t>
      </w:r>
      <w:r w:rsidR="00DB4A82" w:rsidRPr="00F833B4">
        <w:rPr>
          <w:lang w:val="ru-RU"/>
        </w:rPr>
        <w:t> </w:t>
      </w:r>
      <w:r w:rsidR="006E3BDE" w:rsidRPr="00F833B4">
        <w:rPr>
          <w:lang w:val="ru-RU"/>
        </w:rPr>
        <w:t>Примечание </w:t>
      </w:r>
      <w:r w:rsidRPr="00F833B4">
        <w:rPr>
          <w:lang w:val="ru-RU"/>
        </w:rPr>
        <w:t xml:space="preserve">17.2.2.; </w:t>
      </w:r>
      <w:r w:rsidR="006E3BDE" w:rsidRPr="00F833B4">
        <w:rPr>
          <w:lang w:val="ru-RU"/>
        </w:rPr>
        <w:t>численность пенсионеров и динамика смертности не оказали влияния на это увеличение, поскольку данные о членском составе, используемые компанией</w:t>
      </w:r>
      <w:r w:rsidRPr="00F833B4">
        <w:rPr>
          <w:lang w:val="ru-RU"/>
        </w:rPr>
        <w:t xml:space="preserve"> AON</w:t>
      </w:r>
      <w:r w:rsidR="006E3BDE" w:rsidRPr="00F833B4">
        <w:rPr>
          <w:lang w:val="ru-RU"/>
        </w:rPr>
        <w:t>, относятся к переписи 1 октября 2018 г.</w:t>
      </w:r>
      <w:r w:rsidRPr="00F833B4">
        <w:rPr>
          <w:lang w:val="ru-RU"/>
        </w:rPr>
        <w:t xml:space="preserve">). </w:t>
      </w:r>
      <w:r w:rsidR="003855AA" w:rsidRPr="00F833B4">
        <w:rPr>
          <w:lang w:val="ru-RU"/>
        </w:rPr>
        <w:t>Р</w:t>
      </w:r>
      <w:r w:rsidR="006E3BDE" w:rsidRPr="00F833B4">
        <w:rPr>
          <w:lang w:val="ru-RU"/>
        </w:rPr>
        <w:t>уководство подтвердило, что допущения, использованные для расчета резервного фонда</w:t>
      </w:r>
      <w:r w:rsidR="0082569A" w:rsidRPr="00F833B4">
        <w:rPr>
          <w:lang w:val="ru-RU"/>
        </w:rPr>
        <w:t xml:space="preserve">, не учитывали воздействия чрезвычайной ситуации в сфере здравоохранения, вызванной пандемией </w:t>
      </w:r>
      <w:r w:rsidRPr="00F833B4">
        <w:rPr>
          <w:lang w:val="ru-RU"/>
        </w:rPr>
        <w:t>Covid-19</w:t>
      </w:r>
      <w:r w:rsidR="0082569A" w:rsidRPr="00F833B4">
        <w:rPr>
          <w:lang w:val="ru-RU"/>
        </w:rPr>
        <w:t>, которое будет учтено в актуарном исследовании по 2020 году</w:t>
      </w:r>
      <w:r w:rsidRPr="00F833B4">
        <w:rPr>
          <w:lang w:val="ru-RU"/>
        </w:rPr>
        <w:t>.</w:t>
      </w:r>
    </w:p>
    <w:p w14:paraId="61FB5761" w14:textId="09D95F40" w:rsidR="00932D72" w:rsidRPr="00F833B4" w:rsidRDefault="00932D72" w:rsidP="0000018B">
      <w:pPr>
        <w:rPr>
          <w:lang w:val="ru-RU"/>
        </w:rPr>
      </w:pPr>
      <w:r w:rsidRPr="00F833B4">
        <w:rPr>
          <w:lang w:val="ru-RU"/>
        </w:rPr>
        <w:t>68</w:t>
      </w:r>
      <w:r w:rsidRPr="00F833B4">
        <w:rPr>
          <w:lang w:val="ru-RU"/>
        </w:rPr>
        <w:tab/>
      </w:r>
      <w:r w:rsidR="00123591" w:rsidRPr="00F833B4">
        <w:rPr>
          <w:lang w:val="ru-RU"/>
        </w:rPr>
        <w:t xml:space="preserve">Еще одним фактором, который сказался на объеме обязательств по линии АСХИ, является переоценка стоимости обслуживания, связанная с переходом от </w:t>
      </w:r>
      <w:r w:rsidR="00123591" w:rsidRPr="00F833B4">
        <w:rPr>
          <w:color w:val="000000"/>
          <w:lang w:val="ru-RU"/>
        </w:rPr>
        <w:t>ПКМС</w:t>
      </w:r>
      <w:r w:rsidR="00123591" w:rsidRPr="00F833B4">
        <w:rPr>
          <w:lang w:val="ru-RU"/>
        </w:rPr>
        <w:t xml:space="preserve"> </w:t>
      </w:r>
      <w:r w:rsidR="003855AA" w:rsidRPr="00F833B4">
        <w:rPr>
          <w:lang w:val="ru-RU"/>
        </w:rPr>
        <w:t>в</w:t>
      </w:r>
      <w:r w:rsidR="00123591" w:rsidRPr="00F833B4">
        <w:rPr>
          <w:lang w:val="ru-RU"/>
        </w:rPr>
        <w:t xml:space="preserve"> </w:t>
      </w:r>
      <w:r w:rsidR="00123591" w:rsidRPr="00F833B4">
        <w:rPr>
          <w:color w:val="000000"/>
          <w:lang w:val="ru-RU"/>
        </w:rPr>
        <w:t>Обществ</w:t>
      </w:r>
      <w:r w:rsidR="003855AA" w:rsidRPr="00F833B4">
        <w:rPr>
          <w:color w:val="000000"/>
          <w:lang w:val="ru-RU"/>
        </w:rPr>
        <w:t>о</w:t>
      </w:r>
      <w:r w:rsidR="00123591" w:rsidRPr="00F833B4">
        <w:rPr>
          <w:color w:val="000000"/>
          <w:lang w:val="ru-RU"/>
        </w:rPr>
        <w:t xml:space="preserve"> взаимного страхования сотрудников Организации Объединенных Наций (ЮНСМИС) с 1 января </w:t>
      </w:r>
      <w:r w:rsidRPr="00F833B4">
        <w:rPr>
          <w:lang w:val="ru-RU"/>
        </w:rPr>
        <w:t>2020</w:t>
      </w:r>
      <w:r w:rsidR="00123591" w:rsidRPr="00F833B4">
        <w:rPr>
          <w:lang w:val="ru-RU"/>
        </w:rPr>
        <w:t> года</w:t>
      </w:r>
      <w:r w:rsidRPr="00F833B4">
        <w:rPr>
          <w:lang w:val="ru-RU"/>
        </w:rPr>
        <w:t xml:space="preserve">. </w:t>
      </w:r>
      <w:r w:rsidR="00123591" w:rsidRPr="00F833B4">
        <w:rPr>
          <w:color w:val="000000"/>
          <w:lang w:val="ru-RU"/>
        </w:rPr>
        <w:t>Предыдущая стоимость услуг – которая отражает воздействие новой системы на обязательства МСЭ, в связи с более весомым</w:t>
      </w:r>
      <w:r w:rsidR="003855AA" w:rsidRPr="00F833B4">
        <w:rPr>
          <w:color w:val="000000"/>
          <w:lang w:val="ru-RU"/>
        </w:rPr>
        <w:t xml:space="preserve"> вознаграждением</w:t>
      </w:r>
      <w:r w:rsidR="00123591" w:rsidRPr="00F833B4">
        <w:rPr>
          <w:color w:val="000000"/>
          <w:lang w:val="ru-RU"/>
        </w:rPr>
        <w:t xml:space="preserve"> и более низкими членскими взносами, – была оценена </w:t>
      </w:r>
      <w:r w:rsidRPr="00F833B4">
        <w:rPr>
          <w:lang w:val="ru-RU"/>
        </w:rPr>
        <w:t xml:space="preserve">AON </w:t>
      </w:r>
      <w:r w:rsidR="00123591" w:rsidRPr="00F833B4">
        <w:rPr>
          <w:lang w:val="ru-RU"/>
        </w:rPr>
        <w:t>в</w:t>
      </w:r>
      <w:r w:rsidRPr="00F833B4">
        <w:rPr>
          <w:lang w:val="ru-RU"/>
        </w:rPr>
        <w:t xml:space="preserve"> 50</w:t>
      </w:r>
      <w:r w:rsidR="00123591" w:rsidRPr="00F833B4">
        <w:rPr>
          <w:lang w:val="ru-RU"/>
        </w:rPr>
        <w:t> </w:t>
      </w:r>
      <w:r w:rsidRPr="00F833B4">
        <w:rPr>
          <w:lang w:val="ru-RU"/>
        </w:rPr>
        <w:t>029</w:t>
      </w:r>
      <w:r w:rsidR="00123591" w:rsidRPr="00F833B4">
        <w:rPr>
          <w:lang w:val="ru-RU"/>
        </w:rPr>
        <w:t> 000 швейцарских франков</w:t>
      </w:r>
      <w:r w:rsidRPr="00F833B4">
        <w:rPr>
          <w:lang w:val="ru-RU"/>
        </w:rPr>
        <w:t>.</w:t>
      </w:r>
    </w:p>
    <w:p w14:paraId="02540B0B" w14:textId="5C5C1B5E" w:rsidR="00932D72" w:rsidRPr="00F833B4" w:rsidRDefault="00123591" w:rsidP="00932D72">
      <w:pPr>
        <w:pStyle w:val="Heading2"/>
        <w:rPr>
          <w:lang w:val="ru-RU"/>
        </w:rPr>
      </w:pPr>
      <w:bookmarkStart w:id="286" w:name="_Toc54769162"/>
      <w:bookmarkStart w:id="287" w:name="_Toc56179569"/>
      <w:bookmarkStart w:id="288" w:name="_Toc56180391"/>
      <w:r w:rsidRPr="00F833B4">
        <w:rPr>
          <w:lang w:val="ru-RU"/>
        </w:rPr>
        <w:t>Влияние актуарных обязательств на отрицательную величину чистых активов</w:t>
      </w:r>
      <w:bookmarkEnd w:id="286"/>
      <w:bookmarkEnd w:id="287"/>
      <w:bookmarkEnd w:id="288"/>
    </w:p>
    <w:p w14:paraId="6D386090" w14:textId="4D20D123" w:rsidR="00932D72" w:rsidRPr="00F833B4" w:rsidRDefault="00932D72" w:rsidP="0000018B">
      <w:pPr>
        <w:rPr>
          <w:lang w:val="ru-RU"/>
        </w:rPr>
      </w:pPr>
      <w:r w:rsidRPr="00F833B4">
        <w:rPr>
          <w:lang w:val="ru-RU"/>
        </w:rPr>
        <w:t>69</w:t>
      </w:r>
      <w:r w:rsidRPr="00F833B4">
        <w:rPr>
          <w:lang w:val="ru-RU"/>
        </w:rPr>
        <w:tab/>
      </w:r>
      <w:r w:rsidR="00123591" w:rsidRPr="00F833B4">
        <w:rPr>
          <w:lang w:val="ru-RU"/>
        </w:rPr>
        <w:t xml:space="preserve">Существенный объем актуарных потерь </w:t>
      </w:r>
      <w:r w:rsidR="003855AA" w:rsidRPr="00F833B4">
        <w:rPr>
          <w:lang w:val="ru-RU"/>
        </w:rPr>
        <w:t xml:space="preserve">по линии </w:t>
      </w:r>
      <w:r w:rsidR="00123591" w:rsidRPr="00F833B4">
        <w:rPr>
          <w:lang w:val="ru-RU"/>
        </w:rPr>
        <w:t xml:space="preserve">АСХИ </w:t>
      </w:r>
      <w:r w:rsidRPr="00F833B4">
        <w:rPr>
          <w:lang w:val="ru-RU"/>
        </w:rPr>
        <w:t>(278</w:t>
      </w:r>
      <w:r w:rsidR="00123591" w:rsidRPr="00F833B4">
        <w:rPr>
          <w:lang w:val="ru-RU"/>
        </w:rPr>
        <w:t>,</w:t>
      </w:r>
      <w:r w:rsidRPr="00F833B4">
        <w:rPr>
          <w:lang w:val="ru-RU"/>
        </w:rPr>
        <w:t>31</w:t>
      </w:r>
      <w:r w:rsidR="00123591" w:rsidRPr="00F833B4">
        <w:rPr>
          <w:lang w:val="ru-RU"/>
        </w:rPr>
        <w:t> млн. швейцарских франков</w:t>
      </w:r>
      <w:r w:rsidRPr="00F833B4">
        <w:rPr>
          <w:lang w:val="ru-RU"/>
        </w:rPr>
        <w:t xml:space="preserve">; </w:t>
      </w:r>
      <w:r w:rsidR="00123591" w:rsidRPr="00F833B4">
        <w:rPr>
          <w:lang w:val="ru-RU"/>
        </w:rPr>
        <w:t>в 2018 г. –</w:t>
      </w:r>
      <w:r w:rsidRPr="00F833B4">
        <w:rPr>
          <w:lang w:val="ru-RU"/>
        </w:rPr>
        <w:t>282</w:t>
      </w:r>
      <w:r w:rsidR="00123591" w:rsidRPr="00F833B4">
        <w:rPr>
          <w:lang w:val="ru-RU"/>
        </w:rPr>
        <w:t>,</w:t>
      </w:r>
      <w:r w:rsidRPr="00F833B4">
        <w:rPr>
          <w:lang w:val="ru-RU"/>
        </w:rPr>
        <w:t>42</w:t>
      </w:r>
      <w:r w:rsidR="00123591" w:rsidRPr="00F833B4">
        <w:rPr>
          <w:lang w:val="ru-RU"/>
        </w:rPr>
        <w:t> млн. швейцарских франков</w:t>
      </w:r>
      <w:r w:rsidRPr="00F833B4">
        <w:rPr>
          <w:lang w:val="ru-RU"/>
        </w:rPr>
        <w:t xml:space="preserve">) </w:t>
      </w:r>
      <w:r w:rsidR="00123591" w:rsidRPr="00F833B4">
        <w:rPr>
          <w:lang w:val="ru-RU"/>
        </w:rPr>
        <w:t xml:space="preserve">оказал </w:t>
      </w:r>
      <w:r w:rsidR="00733104" w:rsidRPr="00F833B4">
        <w:rPr>
          <w:lang w:val="ru-RU"/>
        </w:rPr>
        <w:t>значительное воздействие на чистые активы МСЭ, которые были отрицательными в 2019 году, как и в предыдущий год</w:t>
      </w:r>
      <w:r w:rsidRPr="00F833B4">
        <w:rPr>
          <w:lang w:val="ru-RU"/>
        </w:rPr>
        <w:t>.</w:t>
      </w:r>
    </w:p>
    <w:p w14:paraId="26DD5DAA" w14:textId="2B128FB8" w:rsidR="00932D72" w:rsidRPr="00F833B4" w:rsidRDefault="001B340B" w:rsidP="00932D72">
      <w:pPr>
        <w:pStyle w:val="Heading2"/>
        <w:rPr>
          <w:lang w:val="ru-RU"/>
        </w:rPr>
      </w:pPr>
      <w:bookmarkStart w:id="289" w:name="_Toc54769163"/>
      <w:bookmarkStart w:id="290" w:name="_Toc56179570"/>
      <w:bookmarkStart w:id="291" w:name="_Toc56180392"/>
      <w:r w:rsidRPr="00F833B4">
        <w:rPr>
          <w:lang w:val="ru-RU"/>
        </w:rPr>
        <w:t>Влияние затрат по линии АСХИ на д</w:t>
      </w:r>
      <w:r w:rsidR="00733104" w:rsidRPr="00F833B4">
        <w:rPr>
          <w:lang w:val="ru-RU"/>
        </w:rPr>
        <w:t>ефицит</w:t>
      </w:r>
      <w:r w:rsidRPr="00F833B4">
        <w:rPr>
          <w:lang w:val="ru-RU"/>
        </w:rPr>
        <w:t xml:space="preserve">, отраженный в </w:t>
      </w:r>
      <w:bookmarkEnd w:id="289"/>
      <w:r w:rsidR="00CE2520" w:rsidRPr="00F833B4">
        <w:rPr>
          <w:lang w:val="ru-RU"/>
        </w:rPr>
        <w:t>результатах финансовой деятельности</w:t>
      </w:r>
      <w:bookmarkEnd w:id="290"/>
      <w:bookmarkEnd w:id="291"/>
    </w:p>
    <w:p w14:paraId="155F1C26" w14:textId="58053A66" w:rsidR="00932D72" w:rsidRPr="00F833B4" w:rsidRDefault="00932D72" w:rsidP="0000018B">
      <w:pPr>
        <w:rPr>
          <w:lang w:val="ru-RU"/>
        </w:rPr>
      </w:pPr>
      <w:r w:rsidRPr="00F833B4">
        <w:rPr>
          <w:lang w:val="ru-RU"/>
        </w:rPr>
        <w:t>70</w:t>
      </w:r>
      <w:r w:rsidRPr="00F833B4">
        <w:rPr>
          <w:lang w:val="ru-RU"/>
        </w:rPr>
        <w:tab/>
      </w:r>
      <w:r w:rsidR="00BA7ED2" w:rsidRPr="00F833B4">
        <w:rPr>
          <w:lang w:val="ru-RU"/>
        </w:rPr>
        <w:t xml:space="preserve">С другой стороны, мы должны подчеркнуть, что связанные с АСХИ затраты также сказались на </w:t>
      </w:r>
      <w:bookmarkStart w:id="292" w:name="_Hlk56121001"/>
      <w:r w:rsidR="00CE2520" w:rsidRPr="00F833B4">
        <w:rPr>
          <w:lang w:val="ru-RU"/>
        </w:rPr>
        <w:t xml:space="preserve">результатах </w:t>
      </w:r>
      <w:r w:rsidR="00BA7ED2" w:rsidRPr="00F833B4">
        <w:rPr>
          <w:lang w:val="ru-RU"/>
        </w:rPr>
        <w:t>финансов</w:t>
      </w:r>
      <w:r w:rsidR="00CE2520" w:rsidRPr="00F833B4">
        <w:rPr>
          <w:lang w:val="ru-RU"/>
        </w:rPr>
        <w:t xml:space="preserve">ой </w:t>
      </w:r>
      <w:r w:rsidR="00BA7ED2" w:rsidRPr="00F833B4">
        <w:rPr>
          <w:lang w:val="ru-RU"/>
        </w:rPr>
        <w:t xml:space="preserve">деятельности </w:t>
      </w:r>
      <w:bookmarkEnd w:id="292"/>
      <w:r w:rsidR="00BA7ED2" w:rsidRPr="00F833B4">
        <w:rPr>
          <w:lang w:val="ru-RU"/>
        </w:rPr>
        <w:t>в сумме</w:t>
      </w:r>
      <w:r w:rsidR="00BC10EF" w:rsidRPr="00F833B4">
        <w:rPr>
          <w:lang w:val="ru-RU"/>
        </w:rPr>
        <w:t xml:space="preserve"> 78</w:t>
      </w:r>
      <w:r w:rsidR="00BA7ED2" w:rsidRPr="00F833B4">
        <w:rPr>
          <w:lang w:val="ru-RU"/>
        </w:rPr>
        <w:t>,</w:t>
      </w:r>
      <w:r w:rsidR="00BC10EF" w:rsidRPr="00F833B4">
        <w:rPr>
          <w:lang w:val="ru-RU"/>
        </w:rPr>
        <w:t>3</w:t>
      </w:r>
      <w:r w:rsidR="00BA7ED2" w:rsidRPr="00F833B4">
        <w:rPr>
          <w:lang w:val="ru-RU"/>
        </w:rPr>
        <w:t> млн. швейцарских франков</w:t>
      </w:r>
      <w:r w:rsidR="00BC10EF" w:rsidRPr="00F833B4">
        <w:rPr>
          <w:lang w:val="ru-RU"/>
        </w:rPr>
        <w:t xml:space="preserve">, </w:t>
      </w:r>
      <w:r w:rsidR="00BA7ED2" w:rsidRPr="00F833B4">
        <w:rPr>
          <w:lang w:val="ru-RU"/>
        </w:rPr>
        <w:t xml:space="preserve">при увеличении на </w:t>
      </w:r>
      <w:r w:rsidR="00BC10EF" w:rsidRPr="00F833B4">
        <w:rPr>
          <w:lang w:val="ru-RU"/>
        </w:rPr>
        <w:t>49</w:t>
      </w:r>
      <w:r w:rsidR="00BA7ED2" w:rsidRPr="00F833B4">
        <w:rPr>
          <w:lang w:val="ru-RU"/>
        </w:rPr>
        <w:t>,</w:t>
      </w:r>
      <w:r w:rsidR="00BC10EF" w:rsidRPr="00F833B4">
        <w:rPr>
          <w:lang w:val="ru-RU"/>
        </w:rPr>
        <w:t>8</w:t>
      </w:r>
      <w:r w:rsidR="00BA7ED2" w:rsidRPr="00F833B4">
        <w:rPr>
          <w:lang w:val="ru-RU"/>
        </w:rPr>
        <w:t xml:space="preserve"> млн. швейцарских франков по сравнению с предыдущим годом </w:t>
      </w:r>
      <w:r w:rsidR="00BC10EF" w:rsidRPr="00F833B4">
        <w:rPr>
          <w:lang w:val="ru-RU"/>
        </w:rPr>
        <w:t>(</w:t>
      </w:r>
      <w:r w:rsidR="00BA7ED2" w:rsidRPr="00F833B4">
        <w:rPr>
          <w:lang w:val="ru-RU"/>
        </w:rPr>
        <w:t>корректировка АСХИ, в Примечании </w:t>
      </w:r>
      <w:r w:rsidR="00BC10EF" w:rsidRPr="00F833B4">
        <w:rPr>
          <w:lang w:val="ru-RU"/>
        </w:rPr>
        <w:t>23 "</w:t>
      </w:r>
      <w:r w:rsidR="00BA7ED2" w:rsidRPr="00F833B4">
        <w:rPr>
          <w:color w:val="000000"/>
          <w:lang w:val="ru-RU"/>
        </w:rPr>
        <w:t>Расходы по персоналу</w:t>
      </w:r>
      <w:r w:rsidR="00BC10EF" w:rsidRPr="00F833B4">
        <w:rPr>
          <w:lang w:val="ru-RU"/>
        </w:rPr>
        <w:t xml:space="preserve">" </w:t>
      </w:r>
      <w:r w:rsidR="00BA7ED2" w:rsidRPr="00F833B4">
        <w:rPr>
          <w:lang w:val="ru-RU"/>
        </w:rPr>
        <w:t>составила</w:t>
      </w:r>
      <w:r w:rsidR="00BC5224" w:rsidRPr="00F833B4">
        <w:rPr>
          <w:lang w:val="ru-RU"/>
        </w:rPr>
        <w:t xml:space="preserve"> </w:t>
      </w:r>
      <w:r w:rsidR="00BC10EF" w:rsidRPr="00F833B4">
        <w:rPr>
          <w:lang w:val="ru-RU"/>
        </w:rPr>
        <w:t>71</w:t>
      </w:r>
      <w:r w:rsidR="00BA7ED2" w:rsidRPr="00F833B4">
        <w:rPr>
          <w:lang w:val="ru-RU"/>
        </w:rPr>
        <w:t> </w:t>
      </w:r>
      <w:r w:rsidR="00BC10EF" w:rsidRPr="00F833B4">
        <w:rPr>
          <w:lang w:val="ru-RU"/>
        </w:rPr>
        <w:t>694</w:t>
      </w:r>
      <w:r w:rsidR="00BA7ED2" w:rsidRPr="00F833B4">
        <w:rPr>
          <w:lang w:val="ru-RU"/>
        </w:rPr>
        <w:t> 000 швейцарских франков</w:t>
      </w:r>
      <w:r w:rsidR="00BC10EF" w:rsidRPr="00F833B4">
        <w:rPr>
          <w:lang w:val="ru-RU"/>
        </w:rPr>
        <w:t xml:space="preserve">, </w:t>
      </w:r>
      <w:r w:rsidR="00331D21" w:rsidRPr="00F833B4">
        <w:rPr>
          <w:lang w:val="ru-RU"/>
        </w:rPr>
        <w:t>поскольку чистые выплаты в сумме</w:t>
      </w:r>
      <w:r w:rsidR="00BC10EF" w:rsidRPr="00F833B4">
        <w:rPr>
          <w:lang w:val="ru-RU"/>
        </w:rPr>
        <w:t xml:space="preserve"> 6</w:t>
      </w:r>
      <w:r w:rsidR="00331D21" w:rsidRPr="00F833B4">
        <w:rPr>
          <w:lang w:val="ru-RU"/>
        </w:rPr>
        <w:t> </w:t>
      </w:r>
      <w:r w:rsidR="00BC10EF" w:rsidRPr="00F833B4">
        <w:rPr>
          <w:lang w:val="ru-RU"/>
        </w:rPr>
        <w:t>663</w:t>
      </w:r>
      <w:r w:rsidR="00331D21" w:rsidRPr="00F833B4">
        <w:rPr>
          <w:lang w:val="ru-RU"/>
        </w:rPr>
        <w:t> 000 швейцарских франков были отозваны</w:t>
      </w:r>
      <w:r w:rsidR="00BC10EF" w:rsidRPr="00F833B4">
        <w:rPr>
          <w:lang w:val="ru-RU"/>
        </w:rPr>
        <w:t>).</w:t>
      </w:r>
    </w:p>
    <w:p w14:paraId="7CC7AC07" w14:textId="77777777" w:rsidR="00BC10EF" w:rsidRPr="00F833B4" w:rsidRDefault="00BC10EF" w:rsidP="00BC10EF">
      <w:pPr>
        <w:pStyle w:val="TableNo"/>
        <w:rPr>
          <w:lang w:val="ru-RU"/>
        </w:rPr>
      </w:pPr>
      <w:r w:rsidRPr="00F833B4">
        <w:rPr>
          <w:lang w:val="ru-RU"/>
        </w:rPr>
        <w:t>ТАБЛИЦА 2</w:t>
      </w:r>
    </w:p>
    <w:tbl>
      <w:tblPr>
        <w:tblW w:w="7787" w:type="dxa"/>
        <w:jc w:val="center"/>
        <w:tblLayout w:type="fixed"/>
        <w:tblLook w:val="04A0" w:firstRow="1" w:lastRow="0" w:firstColumn="1" w:lastColumn="0" w:noHBand="0" w:noVBand="1"/>
      </w:tblPr>
      <w:tblGrid>
        <w:gridCol w:w="3818"/>
        <w:gridCol w:w="1984"/>
        <w:gridCol w:w="1985"/>
      </w:tblGrid>
      <w:tr w:rsidR="00BC10EF" w:rsidRPr="00FE280E" w14:paraId="39B17173" w14:textId="77777777" w:rsidTr="00BC10EF">
        <w:trPr>
          <w:jc w:val="center"/>
        </w:trPr>
        <w:tc>
          <w:tcPr>
            <w:tcW w:w="778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131F7AA9" w14:textId="677BD6A6" w:rsidR="00BC10EF" w:rsidRPr="00F833B4" w:rsidRDefault="00BC5224" w:rsidP="00BA7630">
            <w:pPr>
              <w:pStyle w:val="Tablehead"/>
              <w:rPr>
                <w:rFonts w:eastAsia="SimSun"/>
                <w:sz w:val="18"/>
                <w:szCs w:val="18"/>
                <w:lang w:val="ru-RU" w:eastAsia="zh-CN"/>
              </w:rPr>
            </w:pPr>
            <w:r w:rsidRPr="00F833B4">
              <w:rPr>
                <w:rFonts w:eastAsia="SimSun"/>
                <w:sz w:val="18"/>
                <w:szCs w:val="18"/>
                <w:lang w:val="ru-RU" w:eastAsia="zh-CN"/>
              </w:rPr>
              <w:t xml:space="preserve">Суммы, учтенные в </w:t>
            </w:r>
            <w:r w:rsidRPr="00F833B4">
              <w:rPr>
                <w:color w:val="000000"/>
                <w:sz w:val="18"/>
                <w:szCs w:val="18"/>
                <w:lang w:val="ru-RU"/>
              </w:rPr>
              <w:t>отчете о результатах финансовой деятельности</w:t>
            </w:r>
            <w:r w:rsidRPr="00F833B4">
              <w:rPr>
                <w:rFonts w:eastAsia="SimSun"/>
                <w:sz w:val="16"/>
                <w:szCs w:val="16"/>
                <w:lang w:val="ru-RU" w:eastAsia="zh-CN"/>
              </w:rPr>
              <w:t xml:space="preserve"> </w:t>
            </w:r>
            <w:r w:rsidR="00F75B03" w:rsidRPr="00F833B4">
              <w:rPr>
                <w:rFonts w:eastAsia="SimSun"/>
                <w:sz w:val="16"/>
                <w:szCs w:val="16"/>
                <w:lang w:val="ru-RU" w:eastAsia="zh-CN"/>
              </w:rPr>
              <w:br/>
            </w:r>
            <w:r w:rsidR="00BC10EF" w:rsidRPr="00F833B4">
              <w:rPr>
                <w:rFonts w:eastAsia="SimSun"/>
                <w:sz w:val="18"/>
                <w:szCs w:val="18"/>
                <w:lang w:val="ru-RU" w:eastAsia="zh-CN"/>
              </w:rPr>
              <w:t>(</w:t>
            </w:r>
            <w:r w:rsidRPr="00F833B4">
              <w:rPr>
                <w:rFonts w:eastAsia="SimSun"/>
                <w:sz w:val="18"/>
                <w:szCs w:val="18"/>
                <w:lang w:val="ru-RU" w:eastAsia="zh-CN"/>
              </w:rPr>
              <w:t>в тыс. швейцарских франков</w:t>
            </w:r>
            <w:r w:rsidR="00BC10EF" w:rsidRPr="00F833B4">
              <w:rPr>
                <w:rFonts w:eastAsia="SimSun"/>
                <w:sz w:val="18"/>
                <w:szCs w:val="18"/>
                <w:lang w:val="ru-RU" w:eastAsia="zh-CN"/>
              </w:rPr>
              <w:t>)</w:t>
            </w:r>
          </w:p>
        </w:tc>
      </w:tr>
      <w:tr w:rsidR="00BC10EF" w:rsidRPr="00F833B4" w14:paraId="065386CA" w14:textId="77777777" w:rsidTr="00896FCA">
        <w:trPr>
          <w:jc w:val="center"/>
        </w:trPr>
        <w:tc>
          <w:tcPr>
            <w:tcW w:w="3818" w:type="dxa"/>
            <w:tcBorders>
              <w:top w:val="nil"/>
              <w:left w:val="single" w:sz="4" w:space="0" w:color="auto"/>
              <w:bottom w:val="single" w:sz="4" w:space="0" w:color="auto"/>
              <w:right w:val="single" w:sz="4" w:space="0" w:color="auto"/>
            </w:tcBorders>
            <w:shd w:val="clear" w:color="000000" w:fill="D9D9D9"/>
            <w:noWrap/>
            <w:vAlign w:val="center"/>
          </w:tcPr>
          <w:p w14:paraId="675A0A43" w14:textId="77777777" w:rsidR="00BC10EF" w:rsidRPr="00F833B4" w:rsidRDefault="00BC10EF" w:rsidP="00BA7630">
            <w:pPr>
              <w:pStyle w:val="Tablehead"/>
              <w:rPr>
                <w:rFonts w:eastAsia="SimSun"/>
                <w:i/>
                <w:iCs/>
                <w:sz w:val="18"/>
                <w:szCs w:val="18"/>
                <w:lang w:val="ru-RU" w:eastAsia="zh-CN"/>
              </w:rPr>
            </w:pPr>
          </w:p>
        </w:tc>
        <w:tc>
          <w:tcPr>
            <w:tcW w:w="1984" w:type="dxa"/>
            <w:tcBorders>
              <w:top w:val="nil"/>
              <w:left w:val="nil"/>
              <w:bottom w:val="single" w:sz="4" w:space="0" w:color="auto"/>
            </w:tcBorders>
            <w:shd w:val="clear" w:color="000000" w:fill="D9D9D9"/>
            <w:noWrap/>
            <w:vAlign w:val="center"/>
          </w:tcPr>
          <w:p w14:paraId="0448A31B" w14:textId="6B351E96" w:rsidR="00BC10EF" w:rsidRPr="00F833B4" w:rsidRDefault="00BC10EF" w:rsidP="00BA7630">
            <w:pPr>
              <w:pStyle w:val="Tablehead"/>
              <w:rPr>
                <w:rFonts w:eastAsia="SimSun"/>
                <w:sz w:val="18"/>
                <w:szCs w:val="18"/>
                <w:lang w:val="ru-RU" w:eastAsia="zh-CN"/>
              </w:rPr>
            </w:pPr>
            <w:r w:rsidRPr="00F833B4">
              <w:rPr>
                <w:rFonts w:eastAsia="SimSun"/>
                <w:sz w:val="18"/>
                <w:szCs w:val="18"/>
                <w:lang w:val="ru-RU" w:eastAsia="zh-CN"/>
              </w:rPr>
              <w:t>2019</w:t>
            </w:r>
            <w:r w:rsidR="00BC5224" w:rsidRPr="00F833B4">
              <w:rPr>
                <w:rFonts w:eastAsia="SimSun"/>
                <w:sz w:val="18"/>
                <w:szCs w:val="18"/>
                <w:lang w:val="ru-RU" w:eastAsia="zh-CN"/>
              </w:rPr>
              <w:t xml:space="preserve"> г.</w:t>
            </w:r>
          </w:p>
        </w:tc>
        <w:tc>
          <w:tcPr>
            <w:tcW w:w="1985" w:type="dxa"/>
            <w:tcBorders>
              <w:top w:val="nil"/>
              <w:left w:val="nil"/>
              <w:bottom w:val="single" w:sz="4" w:space="0" w:color="auto"/>
              <w:right w:val="single" w:sz="4" w:space="0" w:color="auto"/>
            </w:tcBorders>
            <w:shd w:val="clear" w:color="000000" w:fill="D9D9D9"/>
            <w:vAlign w:val="center"/>
          </w:tcPr>
          <w:p w14:paraId="71A5F276" w14:textId="2D4A7138" w:rsidR="00BC10EF" w:rsidRPr="00F833B4" w:rsidRDefault="00BC10EF" w:rsidP="00BA7630">
            <w:pPr>
              <w:pStyle w:val="Tablehead"/>
              <w:rPr>
                <w:rFonts w:eastAsia="SimSun"/>
                <w:sz w:val="18"/>
                <w:szCs w:val="18"/>
                <w:lang w:val="ru-RU" w:eastAsia="zh-CN"/>
              </w:rPr>
            </w:pPr>
            <w:r w:rsidRPr="00F833B4">
              <w:rPr>
                <w:rFonts w:eastAsia="SimSun"/>
                <w:sz w:val="18"/>
                <w:szCs w:val="18"/>
                <w:lang w:val="ru-RU" w:eastAsia="zh-CN"/>
              </w:rPr>
              <w:t>2018</w:t>
            </w:r>
            <w:r w:rsidR="00BC5224" w:rsidRPr="00F833B4">
              <w:rPr>
                <w:rFonts w:eastAsia="SimSun"/>
                <w:sz w:val="18"/>
                <w:szCs w:val="18"/>
                <w:lang w:val="ru-RU" w:eastAsia="zh-CN"/>
              </w:rPr>
              <w:t xml:space="preserve"> г.</w:t>
            </w:r>
          </w:p>
        </w:tc>
      </w:tr>
      <w:tr w:rsidR="00BC10EF" w:rsidRPr="00F833B4" w14:paraId="7A698EA2" w14:textId="77777777" w:rsidTr="00896FCA">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4D66B8D7" w14:textId="0BBBE146" w:rsidR="00BC10EF" w:rsidRPr="00F833B4" w:rsidRDefault="00BC5224" w:rsidP="00BC10EF">
            <w:pPr>
              <w:pStyle w:val="Tabletext"/>
              <w:ind w:right="284"/>
              <w:rPr>
                <w:rFonts w:eastAsia="SimSun"/>
                <w:sz w:val="18"/>
                <w:szCs w:val="18"/>
                <w:lang w:val="ru-RU" w:eastAsia="zh-CN"/>
              </w:rPr>
            </w:pPr>
            <w:r w:rsidRPr="00F833B4">
              <w:rPr>
                <w:rFonts w:eastAsia="SimSun"/>
                <w:sz w:val="18"/>
                <w:szCs w:val="18"/>
                <w:lang w:val="ru-RU" w:eastAsia="zh-CN"/>
              </w:rPr>
              <w:t>Затраты на обслуживание</w:t>
            </w:r>
          </w:p>
        </w:tc>
        <w:tc>
          <w:tcPr>
            <w:tcW w:w="1984" w:type="dxa"/>
            <w:tcBorders>
              <w:top w:val="single" w:sz="4" w:space="0" w:color="auto"/>
              <w:left w:val="nil"/>
              <w:bottom w:val="single" w:sz="4" w:space="0" w:color="auto"/>
            </w:tcBorders>
            <w:shd w:val="clear" w:color="auto" w:fill="auto"/>
            <w:noWrap/>
            <w:vAlign w:val="bottom"/>
          </w:tcPr>
          <w:p w14:paraId="78CDF88D" w14:textId="77777777" w:rsidR="00BC10EF" w:rsidRPr="00F833B4" w:rsidRDefault="00BC10EF" w:rsidP="00BA7630">
            <w:pPr>
              <w:pStyle w:val="Tabletext"/>
              <w:ind w:right="284"/>
              <w:jc w:val="right"/>
              <w:rPr>
                <w:rFonts w:eastAsia="SimSun"/>
                <w:sz w:val="18"/>
                <w:szCs w:val="18"/>
                <w:lang w:val="ru-RU" w:eastAsia="zh-CN"/>
              </w:rPr>
            </w:pPr>
            <w:r w:rsidRPr="00F833B4">
              <w:rPr>
                <w:rFonts w:eastAsia="SimSun"/>
                <w:sz w:val="18"/>
                <w:szCs w:val="18"/>
                <w:lang w:val="ru-RU" w:eastAsia="zh-CN"/>
              </w:rPr>
              <w:t>21 759</w:t>
            </w:r>
          </w:p>
        </w:tc>
        <w:tc>
          <w:tcPr>
            <w:tcW w:w="1985" w:type="dxa"/>
            <w:tcBorders>
              <w:top w:val="nil"/>
              <w:left w:val="nil"/>
              <w:bottom w:val="single" w:sz="4" w:space="0" w:color="auto"/>
              <w:right w:val="single" w:sz="4" w:space="0" w:color="auto"/>
            </w:tcBorders>
            <w:shd w:val="clear" w:color="auto" w:fill="auto"/>
            <w:vAlign w:val="bottom"/>
          </w:tcPr>
          <w:p w14:paraId="10C5415F" w14:textId="77777777" w:rsidR="00BC10EF" w:rsidRPr="00F833B4" w:rsidRDefault="00BC10EF" w:rsidP="00BA7630">
            <w:pPr>
              <w:pStyle w:val="Tabletext"/>
              <w:ind w:right="284"/>
              <w:jc w:val="right"/>
              <w:rPr>
                <w:rFonts w:eastAsia="SimSun"/>
                <w:sz w:val="18"/>
                <w:szCs w:val="18"/>
                <w:lang w:val="ru-RU" w:eastAsia="zh-CN"/>
              </w:rPr>
            </w:pPr>
            <w:r w:rsidRPr="00F833B4">
              <w:rPr>
                <w:rFonts w:eastAsia="SimSun"/>
                <w:sz w:val="18"/>
                <w:szCs w:val="18"/>
                <w:lang w:val="ru-RU" w:eastAsia="zh-CN"/>
              </w:rPr>
              <w:t>23 025</w:t>
            </w:r>
          </w:p>
        </w:tc>
      </w:tr>
      <w:tr w:rsidR="00BC10EF" w:rsidRPr="00F833B4" w14:paraId="702CB684" w14:textId="77777777" w:rsidTr="00896FCA">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3E91D4BD" w14:textId="15432573" w:rsidR="00BC10EF" w:rsidRPr="00F833B4" w:rsidRDefault="00BC5224" w:rsidP="00BC10EF">
            <w:pPr>
              <w:pStyle w:val="Tabletext"/>
              <w:ind w:right="284"/>
              <w:rPr>
                <w:rFonts w:eastAsia="SimSun"/>
                <w:sz w:val="18"/>
                <w:szCs w:val="18"/>
                <w:lang w:val="ru-RU" w:eastAsia="zh-CN"/>
              </w:rPr>
            </w:pPr>
            <w:r w:rsidRPr="00F833B4">
              <w:rPr>
                <w:color w:val="000000"/>
                <w:sz w:val="18"/>
                <w:szCs w:val="18"/>
                <w:lang w:val="ru-RU"/>
              </w:rPr>
              <w:t>Предыдущая стоимость услуг</w:t>
            </w:r>
          </w:p>
        </w:tc>
        <w:tc>
          <w:tcPr>
            <w:tcW w:w="1984" w:type="dxa"/>
            <w:tcBorders>
              <w:top w:val="single" w:sz="4" w:space="0" w:color="auto"/>
              <w:left w:val="nil"/>
              <w:bottom w:val="single" w:sz="4" w:space="0" w:color="auto"/>
            </w:tcBorders>
            <w:shd w:val="clear" w:color="auto" w:fill="auto"/>
            <w:noWrap/>
            <w:vAlign w:val="bottom"/>
          </w:tcPr>
          <w:p w14:paraId="7B9B221C" w14:textId="77777777" w:rsidR="00BC10EF" w:rsidRPr="00F833B4" w:rsidRDefault="00BC10EF" w:rsidP="00BA7630">
            <w:pPr>
              <w:pStyle w:val="Tabletext"/>
              <w:ind w:right="284"/>
              <w:jc w:val="right"/>
              <w:rPr>
                <w:rFonts w:eastAsia="SimSun"/>
                <w:sz w:val="18"/>
                <w:szCs w:val="18"/>
                <w:lang w:val="ru-RU" w:eastAsia="zh-CN"/>
              </w:rPr>
            </w:pPr>
            <w:r w:rsidRPr="00F833B4">
              <w:rPr>
                <w:rFonts w:eastAsia="SimSun"/>
                <w:sz w:val="18"/>
                <w:szCs w:val="18"/>
                <w:lang w:val="ru-RU" w:eastAsia="zh-CN"/>
              </w:rPr>
              <w:t>50 029</w:t>
            </w:r>
          </w:p>
        </w:tc>
        <w:tc>
          <w:tcPr>
            <w:tcW w:w="1985" w:type="dxa"/>
            <w:tcBorders>
              <w:top w:val="nil"/>
              <w:left w:val="nil"/>
              <w:bottom w:val="single" w:sz="4" w:space="0" w:color="auto"/>
              <w:right w:val="single" w:sz="4" w:space="0" w:color="auto"/>
            </w:tcBorders>
            <w:shd w:val="clear" w:color="auto" w:fill="auto"/>
            <w:vAlign w:val="bottom"/>
          </w:tcPr>
          <w:p w14:paraId="09788902" w14:textId="77777777" w:rsidR="00BC10EF" w:rsidRPr="00F833B4" w:rsidRDefault="00BC10EF" w:rsidP="00BA7630">
            <w:pPr>
              <w:pStyle w:val="Tabletext"/>
              <w:ind w:right="284"/>
              <w:jc w:val="right"/>
              <w:rPr>
                <w:rFonts w:eastAsia="SimSun"/>
                <w:sz w:val="18"/>
                <w:szCs w:val="18"/>
                <w:lang w:val="ru-RU" w:eastAsia="zh-CN"/>
              </w:rPr>
            </w:pPr>
          </w:p>
        </w:tc>
      </w:tr>
      <w:tr w:rsidR="00BC10EF" w:rsidRPr="00F833B4" w14:paraId="2224097B" w14:textId="77777777" w:rsidTr="00896FCA">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7E62C6E8" w14:textId="6FEB6C63" w:rsidR="00BC10EF" w:rsidRPr="00F833B4" w:rsidRDefault="00BC5224" w:rsidP="00BC10EF">
            <w:pPr>
              <w:pStyle w:val="Tabletext"/>
              <w:ind w:right="284"/>
              <w:rPr>
                <w:rFonts w:eastAsia="SimSun"/>
                <w:bCs/>
                <w:sz w:val="18"/>
                <w:szCs w:val="18"/>
                <w:lang w:val="ru-RU" w:eastAsia="zh-CN"/>
              </w:rPr>
            </w:pPr>
            <w:r w:rsidRPr="00F833B4">
              <w:rPr>
                <w:rFonts w:eastAsia="SimSun"/>
                <w:bCs/>
                <w:sz w:val="18"/>
                <w:szCs w:val="18"/>
                <w:lang w:val="ru-RU" w:eastAsia="zh-CN"/>
              </w:rPr>
              <w:t>Финансовая плата</w:t>
            </w:r>
          </w:p>
        </w:tc>
        <w:tc>
          <w:tcPr>
            <w:tcW w:w="1984" w:type="dxa"/>
            <w:tcBorders>
              <w:top w:val="single" w:sz="4" w:space="0" w:color="auto"/>
              <w:left w:val="nil"/>
              <w:bottom w:val="single" w:sz="4" w:space="0" w:color="auto"/>
            </w:tcBorders>
            <w:shd w:val="clear" w:color="auto" w:fill="auto"/>
            <w:noWrap/>
            <w:vAlign w:val="bottom"/>
          </w:tcPr>
          <w:p w14:paraId="2E75B449" w14:textId="77777777" w:rsidR="00BC10EF" w:rsidRPr="00F833B4" w:rsidRDefault="00BC10EF" w:rsidP="00BA7630">
            <w:pPr>
              <w:pStyle w:val="Tabletext"/>
              <w:ind w:right="284"/>
              <w:jc w:val="right"/>
              <w:rPr>
                <w:rFonts w:eastAsia="SimSun"/>
                <w:sz w:val="18"/>
                <w:szCs w:val="18"/>
                <w:lang w:val="ru-RU" w:eastAsia="zh-CN"/>
              </w:rPr>
            </w:pPr>
            <w:r w:rsidRPr="00F833B4">
              <w:rPr>
                <w:rFonts w:eastAsia="SimSun"/>
                <w:sz w:val="18"/>
                <w:szCs w:val="18"/>
                <w:lang w:val="ru-RU" w:eastAsia="zh-CN"/>
              </w:rPr>
              <w:t>6 569</w:t>
            </w:r>
          </w:p>
        </w:tc>
        <w:tc>
          <w:tcPr>
            <w:tcW w:w="1985" w:type="dxa"/>
            <w:tcBorders>
              <w:top w:val="nil"/>
              <w:left w:val="nil"/>
              <w:bottom w:val="single" w:sz="4" w:space="0" w:color="auto"/>
              <w:right w:val="single" w:sz="4" w:space="0" w:color="auto"/>
            </w:tcBorders>
            <w:shd w:val="clear" w:color="auto" w:fill="auto"/>
            <w:vAlign w:val="bottom"/>
          </w:tcPr>
          <w:p w14:paraId="74920DB0" w14:textId="77777777" w:rsidR="00BC10EF" w:rsidRPr="00F833B4" w:rsidRDefault="00BC10EF" w:rsidP="00BA7630">
            <w:pPr>
              <w:pStyle w:val="Tabletext"/>
              <w:ind w:right="284"/>
              <w:jc w:val="right"/>
              <w:rPr>
                <w:rFonts w:eastAsia="SimSun"/>
                <w:sz w:val="18"/>
                <w:szCs w:val="18"/>
                <w:lang w:val="ru-RU" w:eastAsia="zh-CN"/>
              </w:rPr>
            </w:pPr>
            <w:r w:rsidRPr="00F833B4">
              <w:rPr>
                <w:rFonts w:eastAsia="SimSun"/>
                <w:sz w:val="18"/>
                <w:szCs w:val="18"/>
                <w:lang w:val="ru-RU" w:eastAsia="zh-CN"/>
              </w:rPr>
              <w:t>5 523</w:t>
            </w:r>
          </w:p>
        </w:tc>
      </w:tr>
      <w:tr w:rsidR="00BC10EF" w:rsidRPr="00F833B4" w14:paraId="39B31D60" w14:textId="77777777" w:rsidTr="00896FCA">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5B8C86ED" w14:textId="48E7AAFD" w:rsidR="00BC10EF" w:rsidRPr="00F833B4" w:rsidRDefault="00BC5224" w:rsidP="00BC10EF">
            <w:pPr>
              <w:pStyle w:val="Tabletext"/>
              <w:ind w:right="284"/>
              <w:rPr>
                <w:rFonts w:eastAsia="SimSun"/>
                <w:bCs/>
                <w:iCs/>
                <w:sz w:val="18"/>
                <w:szCs w:val="18"/>
                <w:lang w:val="ru-RU" w:eastAsia="zh-CN"/>
              </w:rPr>
            </w:pPr>
            <w:r w:rsidRPr="00F833B4">
              <w:rPr>
                <w:rFonts w:eastAsia="SimSun"/>
                <w:bCs/>
                <w:iCs/>
                <w:sz w:val="18"/>
                <w:szCs w:val="18"/>
                <w:lang w:val="ru-RU" w:eastAsia="zh-CN"/>
              </w:rPr>
              <w:t>Ожидаемая прибыль от активов</w:t>
            </w:r>
          </w:p>
        </w:tc>
        <w:tc>
          <w:tcPr>
            <w:tcW w:w="1984" w:type="dxa"/>
            <w:tcBorders>
              <w:top w:val="single" w:sz="4" w:space="0" w:color="auto"/>
              <w:left w:val="nil"/>
              <w:bottom w:val="single" w:sz="4" w:space="0" w:color="auto"/>
            </w:tcBorders>
            <w:shd w:val="clear" w:color="auto" w:fill="auto"/>
            <w:noWrap/>
            <w:vAlign w:val="bottom"/>
          </w:tcPr>
          <w:p w14:paraId="39212ABC" w14:textId="77777777" w:rsidR="00BC10EF" w:rsidRPr="00F833B4" w:rsidRDefault="00BC10EF" w:rsidP="00BA7630">
            <w:pPr>
              <w:pStyle w:val="Tabletext"/>
              <w:ind w:right="284"/>
              <w:jc w:val="right"/>
              <w:rPr>
                <w:rFonts w:eastAsia="SimSun"/>
                <w:bCs/>
                <w:iCs/>
                <w:sz w:val="18"/>
                <w:szCs w:val="18"/>
                <w:lang w:val="ru-RU" w:eastAsia="zh-CN"/>
              </w:rPr>
            </w:pPr>
            <w:r w:rsidRPr="00F833B4">
              <w:rPr>
                <w:rFonts w:eastAsia="SimSun"/>
                <w:bCs/>
                <w:iCs/>
                <w:sz w:val="18"/>
                <w:szCs w:val="18"/>
                <w:lang w:val="ru-RU" w:eastAsia="zh-CN"/>
              </w:rPr>
              <w:t>−</w:t>
            </w:r>
          </w:p>
        </w:tc>
        <w:tc>
          <w:tcPr>
            <w:tcW w:w="1985" w:type="dxa"/>
            <w:tcBorders>
              <w:top w:val="nil"/>
              <w:left w:val="nil"/>
              <w:bottom w:val="single" w:sz="4" w:space="0" w:color="auto"/>
              <w:right w:val="single" w:sz="4" w:space="0" w:color="auto"/>
            </w:tcBorders>
            <w:shd w:val="clear" w:color="auto" w:fill="auto"/>
            <w:vAlign w:val="bottom"/>
          </w:tcPr>
          <w:p w14:paraId="487132B5" w14:textId="77777777" w:rsidR="00BC10EF" w:rsidRPr="00F833B4" w:rsidRDefault="00BC10EF" w:rsidP="00BA7630">
            <w:pPr>
              <w:pStyle w:val="Tabletext"/>
              <w:ind w:right="284"/>
              <w:jc w:val="right"/>
              <w:rPr>
                <w:rFonts w:eastAsia="SimSun"/>
                <w:bCs/>
                <w:iCs/>
                <w:sz w:val="18"/>
                <w:szCs w:val="18"/>
                <w:lang w:val="ru-RU" w:eastAsia="zh-CN"/>
              </w:rPr>
            </w:pPr>
            <w:r w:rsidRPr="00F833B4">
              <w:rPr>
                <w:rFonts w:eastAsia="SimSun"/>
                <w:bCs/>
                <w:iCs/>
                <w:sz w:val="18"/>
                <w:szCs w:val="18"/>
                <w:lang w:val="ru-RU" w:eastAsia="zh-CN"/>
              </w:rPr>
              <w:t>−</w:t>
            </w:r>
          </w:p>
        </w:tc>
      </w:tr>
      <w:tr w:rsidR="00BC10EF" w:rsidRPr="00F833B4" w14:paraId="27C0B22B" w14:textId="77777777" w:rsidTr="00896FCA">
        <w:trPr>
          <w:jc w:val="center"/>
        </w:trPr>
        <w:tc>
          <w:tcPr>
            <w:tcW w:w="381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77ABAA0" w14:textId="06733AFE" w:rsidR="00BC10EF" w:rsidRPr="00F833B4" w:rsidRDefault="00BC5224" w:rsidP="00BC10EF">
            <w:pPr>
              <w:pStyle w:val="Tabletext"/>
              <w:ind w:right="284"/>
              <w:rPr>
                <w:rFonts w:eastAsia="SimSun"/>
                <w:b/>
                <w:sz w:val="18"/>
                <w:szCs w:val="18"/>
                <w:lang w:val="ru-RU" w:eastAsia="zh-CN"/>
              </w:rPr>
            </w:pPr>
            <w:r w:rsidRPr="00F833B4">
              <w:rPr>
                <w:rFonts w:eastAsia="SimSun"/>
                <w:b/>
                <w:sz w:val="18"/>
                <w:szCs w:val="18"/>
                <w:lang w:val="ru-RU" w:eastAsia="zh-CN"/>
              </w:rPr>
              <w:t xml:space="preserve">Всего </w:t>
            </w:r>
          </w:p>
        </w:tc>
        <w:tc>
          <w:tcPr>
            <w:tcW w:w="1984" w:type="dxa"/>
            <w:tcBorders>
              <w:top w:val="single" w:sz="4" w:space="0" w:color="auto"/>
              <w:left w:val="nil"/>
              <w:bottom w:val="single" w:sz="4" w:space="0" w:color="auto"/>
            </w:tcBorders>
            <w:shd w:val="clear" w:color="auto" w:fill="D9D9D9" w:themeFill="background1" w:themeFillShade="D9"/>
            <w:noWrap/>
            <w:vAlign w:val="bottom"/>
          </w:tcPr>
          <w:p w14:paraId="2A56624B" w14:textId="77777777" w:rsidR="00BC10EF" w:rsidRPr="00F833B4" w:rsidRDefault="00BC10EF" w:rsidP="00BA7630">
            <w:pPr>
              <w:pStyle w:val="Tabletext"/>
              <w:ind w:right="284"/>
              <w:jc w:val="right"/>
              <w:rPr>
                <w:rFonts w:eastAsia="SimSun"/>
                <w:b/>
                <w:sz w:val="18"/>
                <w:szCs w:val="18"/>
                <w:lang w:val="ru-RU" w:eastAsia="zh-CN"/>
              </w:rPr>
            </w:pPr>
            <w:r w:rsidRPr="00F833B4">
              <w:rPr>
                <w:rFonts w:eastAsia="SimSun"/>
                <w:b/>
                <w:sz w:val="18"/>
                <w:szCs w:val="18"/>
                <w:lang w:val="ru-RU" w:eastAsia="zh-CN"/>
              </w:rPr>
              <w:t>78 357</w:t>
            </w:r>
          </w:p>
        </w:tc>
        <w:tc>
          <w:tcPr>
            <w:tcW w:w="1985" w:type="dxa"/>
            <w:tcBorders>
              <w:top w:val="nil"/>
              <w:left w:val="nil"/>
              <w:bottom w:val="single" w:sz="4" w:space="0" w:color="auto"/>
              <w:right w:val="single" w:sz="4" w:space="0" w:color="auto"/>
            </w:tcBorders>
            <w:shd w:val="clear" w:color="auto" w:fill="D9D9D9" w:themeFill="background1" w:themeFillShade="D9"/>
            <w:vAlign w:val="bottom"/>
          </w:tcPr>
          <w:p w14:paraId="4F05ACBD" w14:textId="77777777" w:rsidR="00BC10EF" w:rsidRPr="00F833B4" w:rsidRDefault="00BC10EF" w:rsidP="00BA7630">
            <w:pPr>
              <w:pStyle w:val="Tabletext"/>
              <w:ind w:right="284"/>
              <w:jc w:val="right"/>
              <w:rPr>
                <w:rFonts w:eastAsia="SimSun"/>
                <w:b/>
                <w:sz w:val="18"/>
                <w:szCs w:val="18"/>
                <w:lang w:val="ru-RU" w:eastAsia="zh-CN"/>
              </w:rPr>
            </w:pPr>
            <w:r w:rsidRPr="00F833B4">
              <w:rPr>
                <w:rFonts w:eastAsia="SimSun"/>
                <w:b/>
                <w:sz w:val="18"/>
                <w:szCs w:val="18"/>
                <w:lang w:val="ru-RU" w:eastAsia="zh-CN"/>
              </w:rPr>
              <w:t>28 548</w:t>
            </w:r>
          </w:p>
        </w:tc>
      </w:tr>
    </w:tbl>
    <w:p w14:paraId="369F6B9C" w14:textId="77777777" w:rsidR="00F67CBC" w:rsidRPr="00F833B4" w:rsidRDefault="00F67CBC" w:rsidP="0000018B">
      <w:pPr>
        <w:rPr>
          <w:lang w:val="ru-RU"/>
        </w:rPr>
      </w:pPr>
      <w:r w:rsidRPr="00F833B4">
        <w:rPr>
          <w:lang w:val="ru-RU"/>
        </w:rPr>
        <w:t>71</w:t>
      </w:r>
      <w:r w:rsidRPr="00F833B4">
        <w:rPr>
          <w:lang w:val="ru-RU"/>
        </w:rPr>
        <w:tab/>
        <w:t xml:space="preserve">В </w:t>
      </w:r>
      <w:proofErr w:type="gramStart"/>
      <w:r w:rsidRPr="00F833B4">
        <w:rPr>
          <w:lang w:val="ru-RU"/>
        </w:rPr>
        <w:t>конечном итоге</w:t>
      </w:r>
      <w:proofErr w:type="gramEnd"/>
      <w:r w:rsidRPr="00F833B4">
        <w:rPr>
          <w:lang w:val="ru-RU"/>
        </w:rPr>
        <w:t xml:space="preserve"> затраты на АСХИ повлияли на </w:t>
      </w:r>
      <w:r w:rsidRPr="00F833B4">
        <w:rPr>
          <w:color w:val="000000"/>
          <w:lang w:val="ru-RU"/>
        </w:rPr>
        <w:t>отрицательный результат финансовой деятельности в этот период</w:t>
      </w:r>
      <w:r w:rsidRPr="00F833B4">
        <w:rPr>
          <w:lang w:val="ru-RU"/>
        </w:rPr>
        <w:t>.</w:t>
      </w:r>
    </w:p>
    <w:p w14:paraId="1CF0105F" w14:textId="77777777" w:rsidR="00F67CBC" w:rsidRPr="00F833B4" w:rsidRDefault="00F67CBC" w:rsidP="00F833B4">
      <w:pPr>
        <w:pStyle w:val="Heading2"/>
        <w:rPr>
          <w:lang w:val="ru-RU"/>
        </w:rPr>
      </w:pPr>
      <w:bookmarkStart w:id="293" w:name="_Toc54769164"/>
      <w:bookmarkStart w:id="294" w:name="_Toc56179571"/>
      <w:bookmarkStart w:id="295" w:name="_Toc56180393"/>
      <w:r w:rsidRPr="00F833B4">
        <w:rPr>
          <w:lang w:val="ru-RU"/>
        </w:rPr>
        <w:t xml:space="preserve">Переход от ПКМС/Cigna </w:t>
      </w:r>
      <w:bookmarkEnd w:id="293"/>
      <w:r w:rsidRPr="00F833B4">
        <w:rPr>
          <w:color w:val="000000"/>
          <w:lang w:val="ru-RU"/>
        </w:rPr>
        <w:t>в ЮНСМИС</w:t>
      </w:r>
      <w:bookmarkEnd w:id="294"/>
      <w:bookmarkEnd w:id="295"/>
    </w:p>
    <w:p w14:paraId="40B0D80A" w14:textId="77777777" w:rsidR="00F67CBC" w:rsidRPr="00F833B4" w:rsidRDefault="00F67CBC" w:rsidP="00F833B4">
      <w:pPr>
        <w:rPr>
          <w:lang w:val="ru-RU"/>
        </w:rPr>
      </w:pPr>
      <w:r w:rsidRPr="00F833B4">
        <w:rPr>
          <w:lang w:val="ru-RU"/>
        </w:rPr>
        <w:t>72</w:t>
      </w:r>
      <w:r w:rsidRPr="00F833B4">
        <w:rPr>
          <w:lang w:val="ru-RU"/>
        </w:rPr>
        <w:tab/>
        <w:t xml:space="preserve">На протяжении 2019 года МСЭ все еще </w:t>
      </w:r>
      <w:r w:rsidRPr="00F833B4">
        <w:rPr>
          <w:color w:val="000000"/>
          <w:lang w:val="ru-RU"/>
        </w:rPr>
        <w:t>входил в ПКМС</w:t>
      </w:r>
      <w:r w:rsidRPr="00F833B4">
        <w:rPr>
          <w:lang w:val="ru-RU"/>
        </w:rPr>
        <w:t xml:space="preserve">, </w:t>
      </w:r>
      <w:r w:rsidRPr="00F833B4">
        <w:rPr>
          <w:color w:val="000000"/>
          <w:lang w:val="ru-RU"/>
        </w:rPr>
        <w:t xml:space="preserve">систему медицинского страхования персонала, введенную в действие в </w:t>
      </w:r>
      <w:r w:rsidRPr="00F833B4">
        <w:rPr>
          <w:lang w:val="ru-RU"/>
        </w:rPr>
        <w:t xml:space="preserve">2014 году, причем Cigna являлась страховщиком, а </w:t>
      </w:r>
      <w:proofErr w:type="spellStart"/>
      <w:r w:rsidRPr="00F833B4">
        <w:rPr>
          <w:lang w:val="ru-RU"/>
        </w:rPr>
        <w:lastRenderedPageBreak/>
        <w:t>Cigna</w:t>
      </w:r>
      <w:proofErr w:type="spellEnd"/>
      <w:r w:rsidRPr="00F833B4">
        <w:rPr>
          <w:lang w:val="ru-RU"/>
        </w:rPr>
        <w:t>/</w:t>
      </w:r>
      <w:proofErr w:type="spellStart"/>
      <w:r w:rsidRPr="00F833B4">
        <w:rPr>
          <w:lang w:val="ru-RU"/>
        </w:rPr>
        <w:t>Vanbreda</w:t>
      </w:r>
      <w:proofErr w:type="spellEnd"/>
      <w:r w:rsidRPr="00F833B4">
        <w:rPr>
          <w:lang w:val="ru-RU"/>
        </w:rPr>
        <w:t xml:space="preserve"> </w:t>
      </w:r>
      <w:r w:rsidRPr="00F833B4">
        <w:rPr>
          <w:color w:val="000000"/>
          <w:lang w:val="ru-RU"/>
        </w:rPr>
        <w:t xml:space="preserve">– </w:t>
      </w:r>
      <w:proofErr w:type="spellStart"/>
      <w:r w:rsidRPr="00F833B4">
        <w:rPr>
          <w:color w:val="000000"/>
          <w:lang w:val="ru-RU"/>
        </w:rPr>
        <w:t>претензионистом</w:t>
      </w:r>
      <w:proofErr w:type="spellEnd"/>
      <w:r w:rsidRPr="00F833B4">
        <w:rPr>
          <w:lang w:val="ru-RU"/>
        </w:rPr>
        <w:t xml:space="preserve">. </w:t>
      </w:r>
      <w:r w:rsidRPr="00F833B4">
        <w:rPr>
          <w:color w:val="000000"/>
          <w:lang w:val="ru-RU"/>
        </w:rPr>
        <w:t xml:space="preserve">В соответствии с ПКМС МСЭ осуществлял сбор взносов и выплачивал компании </w:t>
      </w:r>
      <w:proofErr w:type="spellStart"/>
      <w:r w:rsidRPr="00F833B4">
        <w:rPr>
          <w:color w:val="000000"/>
          <w:lang w:val="ru-RU"/>
        </w:rPr>
        <w:t>Cigna</w:t>
      </w:r>
      <w:proofErr w:type="spellEnd"/>
      <w:r w:rsidRPr="00F833B4">
        <w:rPr>
          <w:color w:val="000000"/>
          <w:lang w:val="ru-RU"/>
        </w:rPr>
        <w:t>/</w:t>
      </w:r>
      <w:proofErr w:type="spellStart"/>
      <w:r w:rsidRPr="00F833B4">
        <w:rPr>
          <w:color w:val="000000"/>
          <w:lang w:val="ru-RU"/>
        </w:rPr>
        <w:t>Vanbreda</w:t>
      </w:r>
      <w:proofErr w:type="spellEnd"/>
      <w:r w:rsidRPr="00F833B4">
        <w:rPr>
          <w:color w:val="000000"/>
          <w:lang w:val="ru-RU"/>
        </w:rPr>
        <w:t xml:space="preserve"> ежегодные страховые премии</w:t>
      </w:r>
      <w:r w:rsidRPr="00F833B4">
        <w:rPr>
          <w:lang w:val="ru-RU"/>
        </w:rPr>
        <w:t xml:space="preserve">. </w:t>
      </w:r>
    </w:p>
    <w:p w14:paraId="5B5CD511" w14:textId="77777777" w:rsidR="00F67CBC" w:rsidRPr="00F833B4" w:rsidRDefault="00F67CBC" w:rsidP="00F833B4">
      <w:pPr>
        <w:rPr>
          <w:lang w:val="ru-RU"/>
        </w:rPr>
      </w:pPr>
      <w:r w:rsidRPr="00F833B4">
        <w:rPr>
          <w:lang w:val="ru-RU"/>
        </w:rPr>
        <w:t>73</w:t>
      </w:r>
      <w:r w:rsidRPr="00F833B4">
        <w:rPr>
          <w:lang w:val="ru-RU"/>
        </w:rPr>
        <w:tab/>
        <w:t xml:space="preserve">Как указывалось в </w:t>
      </w:r>
      <w:r w:rsidRPr="00F833B4">
        <w:rPr>
          <w:color w:val="000000"/>
          <w:lang w:val="ru-RU"/>
        </w:rPr>
        <w:t>предыдущем отчете</w:t>
      </w:r>
      <w:r w:rsidRPr="00F833B4">
        <w:rPr>
          <w:lang w:val="ru-RU"/>
        </w:rPr>
        <w:t>, п</w:t>
      </w:r>
      <w:r w:rsidRPr="00F833B4">
        <w:rPr>
          <w:color w:val="000000"/>
          <w:lang w:val="ru-RU"/>
        </w:rPr>
        <w:t>ринимая во внимание растущий дефицит плана, Комитет ПКМС изучил альтернативные варианты повышения устойчивости плана в долгосрочной перспективе</w:t>
      </w:r>
      <w:r w:rsidRPr="00F833B4">
        <w:rPr>
          <w:lang w:val="ru-RU"/>
        </w:rPr>
        <w:t xml:space="preserve">. Летом 2019 года </w:t>
      </w:r>
      <w:r w:rsidRPr="00F833B4">
        <w:rPr>
          <w:color w:val="000000"/>
          <w:lang w:val="ru-RU"/>
        </w:rPr>
        <w:t>Комитет ПКМС рекомендовал Координационному комитету (КК)</w:t>
      </w:r>
      <w:r w:rsidRPr="00F833B4">
        <w:rPr>
          <w:lang w:val="ru-RU"/>
        </w:rPr>
        <w:t xml:space="preserve"> перейти от ПКМС/Cigna в ЮНСМИС. Эта рекомендация была одобрена </w:t>
      </w:r>
      <w:r w:rsidRPr="00F833B4">
        <w:rPr>
          <w:color w:val="000000"/>
          <w:lang w:val="ru-RU"/>
        </w:rPr>
        <w:t>Объединенным консультативным комитетом (ОКК</w:t>
      </w:r>
      <w:r w:rsidRPr="00F833B4">
        <w:rPr>
          <w:lang w:val="ru-RU"/>
        </w:rPr>
        <w:t xml:space="preserve">). 19 августа 2019 года </w:t>
      </w:r>
      <w:r w:rsidRPr="00F833B4">
        <w:rPr>
          <w:color w:val="000000"/>
          <w:lang w:val="ru-RU"/>
        </w:rPr>
        <w:t xml:space="preserve">Генеральный секретарь подписал Соглашение о переходе </w:t>
      </w:r>
      <w:r w:rsidRPr="00F833B4">
        <w:rPr>
          <w:lang w:val="ru-RU"/>
        </w:rPr>
        <w:t>в ЮНСИМИС с 1 января 2020 года ("Соглашение").</w:t>
      </w:r>
    </w:p>
    <w:p w14:paraId="1366DA6D" w14:textId="77777777" w:rsidR="00F67CBC" w:rsidRPr="00F833B4" w:rsidRDefault="00F67CBC" w:rsidP="00F833B4">
      <w:pPr>
        <w:rPr>
          <w:lang w:val="ru-RU"/>
        </w:rPr>
      </w:pPr>
      <w:r w:rsidRPr="00F833B4">
        <w:rPr>
          <w:lang w:val="ru-RU"/>
        </w:rPr>
        <w:t>74</w:t>
      </w:r>
      <w:r w:rsidRPr="00F833B4">
        <w:rPr>
          <w:lang w:val="ru-RU"/>
        </w:rPr>
        <w:tab/>
        <w:t xml:space="preserve">В этом Соглашении предусмотрены некоторые меры для </w:t>
      </w:r>
      <w:r w:rsidRPr="00F833B4">
        <w:rPr>
          <w:spacing w:val="-2"/>
          <w:lang w:val="ru-RU"/>
        </w:rPr>
        <w:t xml:space="preserve">компенсации последствий вступления </w:t>
      </w:r>
      <w:r w:rsidRPr="00F833B4">
        <w:rPr>
          <w:color w:val="000000"/>
          <w:lang w:val="ru-RU"/>
        </w:rPr>
        <w:t>сотрудников МСЭ</w:t>
      </w:r>
      <w:r w:rsidRPr="00F833B4">
        <w:rPr>
          <w:spacing w:val="-2"/>
          <w:lang w:val="ru-RU"/>
        </w:rPr>
        <w:t xml:space="preserve"> в план</w:t>
      </w:r>
      <w:r w:rsidRPr="00F833B4">
        <w:rPr>
          <w:lang w:val="ru-RU"/>
        </w:rPr>
        <w:t xml:space="preserve"> ЮНСИМИС (статьи 5, 7 и 8): (i) в начале 2020 года МСЭ выплатил 19,53 млн. долларов США в резервный фонд ЮНСМИС (статья 7); (</w:t>
      </w:r>
      <w:proofErr w:type="spellStart"/>
      <w:r w:rsidRPr="00F833B4">
        <w:rPr>
          <w:lang w:val="ru-RU"/>
        </w:rPr>
        <w:t>ii</w:t>
      </w:r>
      <w:proofErr w:type="spellEnd"/>
      <w:r w:rsidRPr="00F833B4">
        <w:rPr>
          <w:lang w:val="ru-RU"/>
        </w:rPr>
        <w:t xml:space="preserve">) кроме того, МСЭ принял на себя обязательство внести в резервный фонд чрезвычайный взнос в размере </w:t>
      </w:r>
      <w:r w:rsidRPr="00F833B4">
        <w:rPr>
          <w:spacing w:val="-2"/>
          <w:lang w:val="ru-RU"/>
        </w:rPr>
        <w:t xml:space="preserve">22,53 </w:t>
      </w:r>
      <w:r w:rsidRPr="00F833B4">
        <w:rPr>
          <w:lang w:val="ru-RU"/>
        </w:rPr>
        <w:t xml:space="preserve">млн. долларов США </w:t>
      </w:r>
      <w:r w:rsidRPr="00F833B4">
        <w:rPr>
          <w:spacing w:val="-2"/>
          <w:lang w:val="ru-RU"/>
        </w:rPr>
        <w:t xml:space="preserve">тринадцатью </w:t>
      </w:r>
      <w:r w:rsidRPr="00F833B4">
        <w:rPr>
          <w:lang w:val="ru-RU"/>
        </w:rPr>
        <w:t>ежегодными платежами, начиная с 2020 года (статья 8); (</w:t>
      </w:r>
      <w:proofErr w:type="spellStart"/>
      <w:r w:rsidRPr="00F833B4">
        <w:rPr>
          <w:lang w:val="ru-RU"/>
        </w:rPr>
        <w:t>iii</w:t>
      </w:r>
      <w:proofErr w:type="spellEnd"/>
      <w:r w:rsidRPr="00F833B4">
        <w:rPr>
          <w:lang w:val="ru-RU"/>
        </w:rPr>
        <w:t>) и, наконец, МСЭ взял на себя обязательство выплачивать взнос в размере 2 долларов США в месяц на человека, начиная с тринадцатого года (ст. 5).</w:t>
      </w:r>
    </w:p>
    <w:p w14:paraId="6BD634A1" w14:textId="77777777" w:rsidR="00F67CBC" w:rsidRPr="00F833B4" w:rsidRDefault="00F67CBC" w:rsidP="00F833B4">
      <w:pPr>
        <w:rPr>
          <w:lang w:val="ru-RU"/>
        </w:rPr>
      </w:pPr>
      <w:r w:rsidRPr="00F833B4">
        <w:rPr>
          <w:lang w:val="ru-RU"/>
        </w:rPr>
        <w:t>75</w:t>
      </w:r>
      <w:r w:rsidRPr="00F833B4">
        <w:rPr>
          <w:lang w:val="ru-RU"/>
        </w:rPr>
        <w:tab/>
        <w:t xml:space="preserve">Как сообщило руководство, последний взнос был предусмотрен в </w:t>
      </w:r>
      <w:r w:rsidRPr="00F833B4">
        <w:rPr>
          <w:color w:val="000000"/>
          <w:lang w:val="ru-RU"/>
        </w:rPr>
        <w:t xml:space="preserve">допущениях для расчета </w:t>
      </w:r>
      <w:r w:rsidRPr="00F833B4">
        <w:rPr>
          <w:lang w:val="ru-RU"/>
        </w:rPr>
        <w:t xml:space="preserve">вышеупомянутых обязательств по АСХИ, а другие суммы, причитающиеся ЮНСМИС в связи со вступлением в этот новый план, были отражены в </w:t>
      </w:r>
      <w:r w:rsidRPr="00F833B4">
        <w:rPr>
          <w:color w:val="000000"/>
          <w:lang w:val="ru-RU"/>
        </w:rPr>
        <w:t>ежегодном отчете Совету о ситуации, касающейся обязательств по АСХИ</w:t>
      </w:r>
      <w:r w:rsidRPr="00F833B4">
        <w:rPr>
          <w:lang w:val="ru-RU"/>
        </w:rPr>
        <w:t xml:space="preserve"> (C20/46).</w:t>
      </w:r>
    </w:p>
    <w:p w14:paraId="13ADE4B3" w14:textId="77777777" w:rsidR="00F67CBC" w:rsidRPr="00F833B4" w:rsidRDefault="00F67CBC" w:rsidP="00F833B4">
      <w:pPr>
        <w:rPr>
          <w:lang w:val="ru-RU"/>
        </w:rPr>
      </w:pPr>
      <w:r w:rsidRPr="00F833B4">
        <w:rPr>
          <w:lang w:val="ru-RU"/>
        </w:rPr>
        <w:t>76</w:t>
      </w:r>
      <w:r w:rsidRPr="00F833B4">
        <w:rPr>
          <w:lang w:val="ru-RU"/>
        </w:rPr>
        <w:tab/>
        <w:t xml:space="preserve">После проведенного нами анализа и изучения </w:t>
      </w:r>
      <w:r w:rsidRPr="00F833B4">
        <w:rPr>
          <w:color w:val="000000"/>
          <w:lang w:val="ru-RU"/>
        </w:rPr>
        <w:t xml:space="preserve">соответствующих предложений </w:t>
      </w:r>
      <w:r w:rsidRPr="00F833B4">
        <w:rPr>
          <w:lang w:val="ru-RU"/>
        </w:rPr>
        <w:t>м</w:t>
      </w:r>
      <w:r w:rsidRPr="00F833B4">
        <w:rPr>
          <w:color w:val="000000"/>
          <w:lang w:val="ru-RU"/>
        </w:rPr>
        <w:t>ы подтверждаем, что руководство</w:t>
      </w:r>
      <w:r w:rsidRPr="00F833B4">
        <w:rPr>
          <w:lang w:val="ru-RU"/>
        </w:rPr>
        <w:t xml:space="preserve"> должным образом отчиталось </w:t>
      </w:r>
      <w:proofErr w:type="gramStart"/>
      <w:r w:rsidRPr="00F833B4">
        <w:rPr>
          <w:lang w:val="ru-RU"/>
        </w:rPr>
        <w:t>за суммы</w:t>
      </w:r>
      <w:proofErr w:type="gramEnd"/>
      <w:r w:rsidRPr="00F833B4">
        <w:rPr>
          <w:lang w:val="ru-RU"/>
        </w:rPr>
        <w:t xml:space="preserve">, подлежащие выплате в соответствии с обязательствами, вытекающими из Соглашения между ЮНСМИС и МСЭ. Общая сумма, подлежащая выплате (42,1 </w:t>
      </w:r>
      <w:proofErr w:type="gramStart"/>
      <w:r w:rsidRPr="00F833B4">
        <w:rPr>
          <w:lang w:val="ru-RU"/>
        </w:rPr>
        <w:t>млн.</w:t>
      </w:r>
      <w:proofErr w:type="gramEnd"/>
      <w:r w:rsidRPr="00F833B4">
        <w:rPr>
          <w:lang w:val="ru-RU"/>
        </w:rPr>
        <w:t xml:space="preserve"> швейцарских франков), была отражена в качестве пассивов, а как расходы будущих периодов, − в качестве активов, и поделена на "текущие" (21,2 млн. швейцарских франков) и "</w:t>
      </w:r>
      <w:proofErr w:type="spellStart"/>
      <w:r w:rsidRPr="00F833B4">
        <w:rPr>
          <w:lang w:val="ru-RU"/>
        </w:rPr>
        <w:t>нетекущие</w:t>
      </w:r>
      <w:proofErr w:type="spellEnd"/>
      <w:r w:rsidRPr="00F833B4">
        <w:rPr>
          <w:lang w:val="ru-RU"/>
        </w:rPr>
        <w:t>" (20,9 млн. швейцарских франков).</w:t>
      </w:r>
    </w:p>
    <w:p w14:paraId="112B6333" w14:textId="77777777" w:rsidR="00F67CBC" w:rsidRPr="00F833B4" w:rsidRDefault="00F67CBC" w:rsidP="00F833B4">
      <w:pPr>
        <w:rPr>
          <w:lang w:val="ru-RU"/>
        </w:rPr>
      </w:pPr>
      <w:r w:rsidRPr="00F833B4">
        <w:rPr>
          <w:lang w:val="ru-RU"/>
        </w:rPr>
        <w:t>77</w:t>
      </w:r>
      <w:r w:rsidRPr="00F833B4">
        <w:rPr>
          <w:lang w:val="ru-RU"/>
        </w:rPr>
        <w:tab/>
        <w:t>В т</w:t>
      </w:r>
      <w:r w:rsidRPr="00F833B4">
        <w:rPr>
          <w:color w:val="000000"/>
          <w:lang w:val="ru-RU"/>
        </w:rPr>
        <w:t>аблице, представленной ниже, в кратком виде показаны суммы, отраженные на счетах</w:t>
      </w:r>
      <w:r w:rsidRPr="00F833B4">
        <w:rPr>
          <w:lang w:val="ru-RU"/>
        </w:rPr>
        <w:t>.</w:t>
      </w:r>
    </w:p>
    <w:p w14:paraId="48894988" w14:textId="77777777" w:rsidR="00F67CBC" w:rsidRPr="00F833B4" w:rsidRDefault="00F67CBC" w:rsidP="00F833B4">
      <w:pPr>
        <w:pStyle w:val="TableNo"/>
        <w:rPr>
          <w:lang w:val="ru-RU"/>
        </w:rPr>
      </w:pPr>
      <w:r w:rsidRPr="00F833B4">
        <w:rPr>
          <w:lang w:val="ru-RU"/>
        </w:rPr>
        <w:t>ТАБЛИЦА 3</w:t>
      </w:r>
    </w:p>
    <w:p w14:paraId="55D6D47A" w14:textId="77777777" w:rsidR="00F67CBC" w:rsidRPr="00F833B4" w:rsidRDefault="00F67CBC" w:rsidP="00F833B4">
      <w:pPr>
        <w:pStyle w:val="Tabletitle"/>
        <w:rPr>
          <w:lang w:val="ru-RU"/>
        </w:rPr>
      </w:pPr>
      <w:r w:rsidRPr="00F833B4">
        <w:rPr>
          <w:lang w:val="ru-RU"/>
        </w:rPr>
        <w:t>(</w:t>
      </w:r>
      <w:proofErr w:type="gramStart"/>
      <w:r w:rsidRPr="00F833B4">
        <w:rPr>
          <w:lang w:val="ru-RU"/>
        </w:rPr>
        <w:t>млн.</w:t>
      </w:r>
      <w:proofErr w:type="gramEnd"/>
      <w:r w:rsidRPr="00F833B4">
        <w:rPr>
          <w:lang w:val="ru-RU"/>
        </w:rPr>
        <w:t xml:space="preserve"> </w:t>
      </w:r>
      <w:proofErr w:type="spellStart"/>
      <w:r w:rsidRPr="00F833B4">
        <w:rPr>
          <w:lang w:val="ru-RU"/>
        </w:rPr>
        <w:t>шв</w:t>
      </w:r>
      <w:proofErr w:type="spellEnd"/>
      <w:r w:rsidRPr="00F833B4">
        <w:rPr>
          <w:lang w:val="ru-RU"/>
        </w:rPr>
        <w:t>. фр.)</w:t>
      </w:r>
    </w:p>
    <w:tbl>
      <w:tblPr>
        <w:tblW w:w="7787" w:type="dxa"/>
        <w:jc w:val="center"/>
        <w:tblLayout w:type="fixed"/>
        <w:tblLook w:val="04A0" w:firstRow="1" w:lastRow="0" w:firstColumn="1" w:lastColumn="0" w:noHBand="0" w:noVBand="1"/>
      </w:tblPr>
      <w:tblGrid>
        <w:gridCol w:w="1910"/>
        <w:gridCol w:w="1910"/>
        <w:gridCol w:w="1983"/>
        <w:gridCol w:w="1984"/>
      </w:tblGrid>
      <w:tr w:rsidR="00F67CBC" w:rsidRPr="00F833B4" w14:paraId="2BF9CB94" w14:textId="77777777" w:rsidTr="00F833B4">
        <w:trPr>
          <w:jc w:val="center"/>
        </w:trPr>
        <w:tc>
          <w:tcPr>
            <w:tcW w:w="38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14:paraId="2DA21FA4" w14:textId="77777777" w:rsidR="00F67CBC" w:rsidRPr="00F833B4" w:rsidRDefault="00F67CBC" w:rsidP="00F833B4">
            <w:pPr>
              <w:pStyle w:val="Tablehead"/>
              <w:rPr>
                <w:rFonts w:eastAsia="SimSun"/>
                <w:sz w:val="18"/>
                <w:szCs w:val="18"/>
                <w:lang w:val="ru-RU" w:eastAsia="zh-CN"/>
              </w:rPr>
            </w:pPr>
            <w:r w:rsidRPr="00F833B4">
              <w:rPr>
                <w:rFonts w:eastAsia="SimSun"/>
                <w:sz w:val="18"/>
                <w:szCs w:val="18"/>
                <w:lang w:val="ru-RU" w:eastAsia="zh-CN"/>
              </w:rPr>
              <w:t>Активы</w:t>
            </w:r>
          </w:p>
        </w:tc>
        <w:tc>
          <w:tcPr>
            <w:tcW w:w="3967" w:type="dxa"/>
            <w:gridSpan w:val="2"/>
            <w:tcBorders>
              <w:top w:val="single" w:sz="4" w:space="0" w:color="auto"/>
              <w:left w:val="single" w:sz="4" w:space="0" w:color="auto"/>
              <w:bottom w:val="single" w:sz="4" w:space="0" w:color="auto"/>
              <w:right w:val="single" w:sz="4" w:space="0" w:color="000000"/>
            </w:tcBorders>
            <w:shd w:val="clear" w:color="000000" w:fill="D9D9D9"/>
            <w:vAlign w:val="center"/>
          </w:tcPr>
          <w:p w14:paraId="3FA4AFD1" w14:textId="77777777" w:rsidR="00F67CBC" w:rsidRPr="00F833B4" w:rsidRDefault="00F67CBC" w:rsidP="00F833B4">
            <w:pPr>
              <w:pStyle w:val="Tablehead"/>
              <w:rPr>
                <w:rFonts w:eastAsia="SimSun"/>
                <w:sz w:val="18"/>
                <w:szCs w:val="18"/>
                <w:lang w:val="ru-RU" w:eastAsia="zh-CN"/>
              </w:rPr>
            </w:pPr>
            <w:r w:rsidRPr="00F833B4">
              <w:rPr>
                <w:rFonts w:eastAsia="SimSun"/>
                <w:sz w:val="18"/>
                <w:szCs w:val="18"/>
                <w:lang w:val="ru-RU" w:eastAsia="zh-CN"/>
              </w:rPr>
              <w:t>Пассивы</w:t>
            </w:r>
          </w:p>
        </w:tc>
      </w:tr>
      <w:tr w:rsidR="00F67CBC" w:rsidRPr="00F833B4" w14:paraId="6E9CA819" w14:textId="77777777" w:rsidTr="00F833B4">
        <w:trPr>
          <w:jc w:val="center"/>
        </w:trPr>
        <w:tc>
          <w:tcPr>
            <w:tcW w:w="3820" w:type="dxa"/>
            <w:gridSpan w:val="2"/>
            <w:tcBorders>
              <w:top w:val="nil"/>
              <w:left w:val="single" w:sz="4" w:space="0" w:color="auto"/>
              <w:bottom w:val="single" w:sz="4" w:space="0" w:color="auto"/>
              <w:right w:val="single" w:sz="4" w:space="0" w:color="auto"/>
            </w:tcBorders>
            <w:shd w:val="clear" w:color="000000" w:fill="D9D9D9"/>
            <w:noWrap/>
            <w:vAlign w:val="center"/>
          </w:tcPr>
          <w:p w14:paraId="2903C0C3" w14:textId="77777777" w:rsidR="00F67CBC" w:rsidRPr="00F833B4" w:rsidRDefault="00F67CBC" w:rsidP="00F833B4">
            <w:pPr>
              <w:pStyle w:val="Tablehead"/>
              <w:rPr>
                <w:rFonts w:eastAsia="SimSun"/>
                <w:iCs/>
                <w:sz w:val="18"/>
                <w:szCs w:val="18"/>
                <w:lang w:val="ru-RU" w:eastAsia="zh-CN"/>
              </w:rPr>
            </w:pPr>
            <w:r w:rsidRPr="00F833B4">
              <w:rPr>
                <w:lang w:val="ru-RU"/>
              </w:rPr>
              <w:t>Расходы будущих периодов</w:t>
            </w:r>
            <w:r w:rsidRPr="00F833B4">
              <w:rPr>
                <w:rFonts w:eastAsia="SimSun"/>
                <w:iCs/>
                <w:sz w:val="18"/>
                <w:szCs w:val="18"/>
                <w:lang w:val="ru-RU" w:eastAsia="zh-CN"/>
              </w:rPr>
              <w:t xml:space="preserve"> − ЮНСМИС</w:t>
            </w:r>
          </w:p>
        </w:tc>
        <w:tc>
          <w:tcPr>
            <w:tcW w:w="3967" w:type="dxa"/>
            <w:gridSpan w:val="2"/>
            <w:tcBorders>
              <w:top w:val="nil"/>
              <w:left w:val="nil"/>
              <w:bottom w:val="single" w:sz="4" w:space="0" w:color="auto"/>
              <w:right w:val="single" w:sz="4" w:space="0" w:color="auto"/>
            </w:tcBorders>
            <w:shd w:val="clear" w:color="000000" w:fill="D9D9D9"/>
            <w:noWrap/>
            <w:vAlign w:val="center"/>
          </w:tcPr>
          <w:p w14:paraId="1006C412" w14:textId="77777777" w:rsidR="00F67CBC" w:rsidRPr="00F833B4" w:rsidRDefault="00F67CBC" w:rsidP="00F833B4">
            <w:pPr>
              <w:pStyle w:val="Tablehead"/>
              <w:rPr>
                <w:rFonts w:eastAsia="SimSun"/>
                <w:sz w:val="18"/>
                <w:szCs w:val="18"/>
                <w:lang w:val="ru-RU" w:eastAsia="zh-CN"/>
              </w:rPr>
            </w:pPr>
            <w:r w:rsidRPr="00F833B4">
              <w:rPr>
                <w:rFonts w:eastAsia="SimSun"/>
                <w:sz w:val="18"/>
                <w:szCs w:val="18"/>
                <w:lang w:val="ru-RU" w:eastAsia="zh-CN"/>
              </w:rPr>
              <w:t>Фонд компенсации ЮНСМИС</w:t>
            </w:r>
          </w:p>
        </w:tc>
      </w:tr>
      <w:tr w:rsidR="00F67CBC" w:rsidRPr="00F833B4" w14:paraId="29DB3D87" w14:textId="77777777" w:rsidTr="00F833B4">
        <w:trPr>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0AE9C4D1" w14:textId="77777777" w:rsidR="00F67CBC" w:rsidRPr="00F833B4" w:rsidRDefault="00F67CBC" w:rsidP="00F833B4">
            <w:pPr>
              <w:pStyle w:val="Tabletext"/>
              <w:ind w:right="284"/>
              <w:rPr>
                <w:rFonts w:eastAsia="SimSun"/>
                <w:sz w:val="18"/>
                <w:szCs w:val="18"/>
                <w:lang w:val="ru-RU" w:eastAsia="zh-CN"/>
              </w:rPr>
            </w:pPr>
            <w:r w:rsidRPr="00F833B4">
              <w:rPr>
                <w:rFonts w:eastAsia="SimSun"/>
                <w:sz w:val="18"/>
                <w:szCs w:val="18"/>
                <w:lang w:val="ru-RU" w:eastAsia="zh-CN"/>
              </w:rPr>
              <w:t>Текущие</w:t>
            </w:r>
          </w:p>
        </w:tc>
        <w:tc>
          <w:tcPr>
            <w:tcW w:w="1910" w:type="dxa"/>
            <w:tcBorders>
              <w:top w:val="nil"/>
              <w:left w:val="single" w:sz="4" w:space="0" w:color="auto"/>
              <w:bottom w:val="single" w:sz="4" w:space="0" w:color="auto"/>
              <w:right w:val="single" w:sz="4" w:space="0" w:color="auto"/>
            </w:tcBorders>
            <w:shd w:val="clear" w:color="auto" w:fill="auto"/>
            <w:vAlign w:val="bottom"/>
          </w:tcPr>
          <w:p w14:paraId="4530319C" w14:textId="77777777" w:rsidR="00F67CBC" w:rsidRPr="00F833B4" w:rsidRDefault="00F67CBC" w:rsidP="00F833B4">
            <w:pPr>
              <w:pStyle w:val="Tabletext"/>
              <w:ind w:right="284"/>
              <w:jc w:val="right"/>
              <w:rPr>
                <w:rFonts w:eastAsia="SimSun"/>
                <w:sz w:val="18"/>
                <w:szCs w:val="18"/>
                <w:lang w:val="ru-RU" w:eastAsia="zh-CN"/>
              </w:rPr>
            </w:pPr>
            <w:r w:rsidRPr="00F833B4">
              <w:rPr>
                <w:rFonts w:eastAsia="SimSun"/>
                <w:sz w:val="18"/>
                <w:szCs w:val="18"/>
                <w:lang w:val="ru-RU" w:eastAsia="zh-CN"/>
              </w:rPr>
              <w:t>21,2</w:t>
            </w:r>
          </w:p>
        </w:tc>
        <w:tc>
          <w:tcPr>
            <w:tcW w:w="1983" w:type="dxa"/>
            <w:tcBorders>
              <w:top w:val="nil"/>
              <w:left w:val="single" w:sz="4" w:space="0" w:color="auto"/>
              <w:bottom w:val="single" w:sz="4" w:space="0" w:color="auto"/>
              <w:right w:val="single" w:sz="4" w:space="0" w:color="auto"/>
            </w:tcBorders>
            <w:shd w:val="clear" w:color="auto" w:fill="auto"/>
            <w:noWrap/>
            <w:vAlign w:val="bottom"/>
          </w:tcPr>
          <w:p w14:paraId="64EC038A" w14:textId="77777777" w:rsidR="00F67CBC" w:rsidRPr="00F833B4" w:rsidRDefault="00F67CBC" w:rsidP="00F833B4">
            <w:pPr>
              <w:pStyle w:val="Tabletext"/>
              <w:ind w:right="284"/>
              <w:rPr>
                <w:rFonts w:eastAsia="SimSun"/>
                <w:sz w:val="18"/>
                <w:szCs w:val="18"/>
                <w:lang w:val="ru-RU" w:eastAsia="zh-CN"/>
              </w:rPr>
            </w:pPr>
            <w:r w:rsidRPr="00F833B4">
              <w:rPr>
                <w:rFonts w:eastAsia="SimSun"/>
                <w:sz w:val="18"/>
                <w:szCs w:val="18"/>
                <w:lang w:val="ru-RU" w:eastAsia="zh-CN"/>
              </w:rPr>
              <w:t>Текущие</w:t>
            </w:r>
          </w:p>
        </w:tc>
        <w:tc>
          <w:tcPr>
            <w:tcW w:w="1984" w:type="dxa"/>
            <w:tcBorders>
              <w:top w:val="nil"/>
              <w:left w:val="nil"/>
              <w:bottom w:val="single" w:sz="4" w:space="0" w:color="auto"/>
              <w:right w:val="single" w:sz="4" w:space="0" w:color="auto"/>
            </w:tcBorders>
            <w:shd w:val="clear" w:color="auto" w:fill="auto"/>
            <w:vAlign w:val="bottom"/>
          </w:tcPr>
          <w:p w14:paraId="4D50A51E" w14:textId="77777777" w:rsidR="00F67CBC" w:rsidRPr="00F833B4" w:rsidRDefault="00F67CBC" w:rsidP="00F833B4">
            <w:pPr>
              <w:pStyle w:val="Tabletext"/>
              <w:ind w:right="284"/>
              <w:jc w:val="right"/>
              <w:rPr>
                <w:rFonts w:eastAsia="SimSun"/>
                <w:sz w:val="18"/>
                <w:szCs w:val="18"/>
                <w:lang w:val="ru-RU" w:eastAsia="zh-CN"/>
              </w:rPr>
            </w:pPr>
            <w:r w:rsidRPr="00F833B4">
              <w:rPr>
                <w:rFonts w:eastAsia="SimSun"/>
                <w:sz w:val="18"/>
                <w:szCs w:val="18"/>
                <w:lang w:val="ru-RU" w:eastAsia="zh-CN"/>
              </w:rPr>
              <w:t>21,2</w:t>
            </w:r>
          </w:p>
        </w:tc>
      </w:tr>
      <w:tr w:rsidR="00F67CBC" w:rsidRPr="00F833B4" w14:paraId="29DF6B3B" w14:textId="77777777" w:rsidTr="00F833B4">
        <w:trPr>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5AD41E69" w14:textId="77777777" w:rsidR="00F67CBC" w:rsidRPr="00F833B4" w:rsidRDefault="00F67CBC" w:rsidP="00F833B4">
            <w:pPr>
              <w:pStyle w:val="Tabletext"/>
              <w:ind w:right="284"/>
              <w:rPr>
                <w:rFonts w:eastAsia="SimSun"/>
                <w:sz w:val="18"/>
                <w:szCs w:val="18"/>
                <w:lang w:val="ru-RU" w:eastAsia="zh-CN"/>
              </w:rPr>
            </w:pPr>
            <w:proofErr w:type="spellStart"/>
            <w:r w:rsidRPr="00F833B4">
              <w:rPr>
                <w:rFonts w:eastAsia="SimSun"/>
                <w:sz w:val="18"/>
                <w:szCs w:val="18"/>
                <w:lang w:val="ru-RU" w:eastAsia="zh-CN"/>
              </w:rPr>
              <w:t>Нетекущие</w:t>
            </w:r>
            <w:proofErr w:type="spellEnd"/>
          </w:p>
        </w:tc>
        <w:tc>
          <w:tcPr>
            <w:tcW w:w="1910" w:type="dxa"/>
            <w:tcBorders>
              <w:top w:val="nil"/>
              <w:left w:val="single" w:sz="4" w:space="0" w:color="auto"/>
              <w:bottom w:val="single" w:sz="4" w:space="0" w:color="auto"/>
              <w:right w:val="single" w:sz="4" w:space="0" w:color="auto"/>
            </w:tcBorders>
            <w:shd w:val="clear" w:color="auto" w:fill="auto"/>
            <w:vAlign w:val="bottom"/>
          </w:tcPr>
          <w:p w14:paraId="169F8F18" w14:textId="77777777" w:rsidR="00F67CBC" w:rsidRPr="00F833B4" w:rsidRDefault="00F67CBC" w:rsidP="00F833B4">
            <w:pPr>
              <w:pStyle w:val="Tabletext"/>
              <w:ind w:right="284"/>
              <w:jc w:val="right"/>
              <w:rPr>
                <w:rFonts w:eastAsia="SimSun"/>
                <w:sz w:val="18"/>
                <w:szCs w:val="18"/>
                <w:lang w:val="ru-RU" w:eastAsia="zh-CN"/>
              </w:rPr>
            </w:pPr>
            <w:r w:rsidRPr="00F833B4">
              <w:rPr>
                <w:rFonts w:eastAsia="SimSun"/>
                <w:sz w:val="18"/>
                <w:szCs w:val="18"/>
                <w:lang w:val="ru-RU" w:eastAsia="zh-CN"/>
              </w:rPr>
              <w:t>20,9</w:t>
            </w:r>
          </w:p>
        </w:tc>
        <w:tc>
          <w:tcPr>
            <w:tcW w:w="1983" w:type="dxa"/>
            <w:tcBorders>
              <w:top w:val="nil"/>
              <w:left w:val="single" w:sz="4" w:space="0" w:color="auto"/>
              <w:bottom w:val="single" w:sz="4" w:space="0" w:color="auto"/>
              <w:right w:val="single" w:sz="4" w:space="0" w:color="auto"/>
            </w:tcBorders>
            <w:shd w:val="clear" w:color="auto" w:fill="auto"/>
            <w:noWrap/>
            <w:vAlign w:val="bottom"/>
          </w:tcPr>
          <w:p w14:paraId="0241433F" w14:textId="77777777" w:rsidR="00F67CBC" w:rsidRPr="00F833B4" w:rsidRDefault="00F67CBC" w:rsidP="00F833B4">
            <w:pPr>
              <w:pStyle w:val="Tabletext"/>
              <w:ind w:right="284"/>
              <w:rPr>
                <w:rFonts w:eastAsia="SimSun"/>
                <w:sz w:val="18"/>
                <w:szCs w:val="18"/>
                <w:lang w:val="ru-RU" w:eastAsia="zh-CN"/>
              </w:rPr>
            </w:pPr>
            <w:proofErr w:type="spellStart"/>
            <w:r w:rsidRPr="00F833B4">
              <w:rPr>
                <w:rFonts w:eastAsia="SimSun"/>
                <w:sz w:val="18"/>
                <w:szCs w:val="18"/>
                <w:lang w:val="ru-RU" w:eastAsia="zh-CN"/>
              </w:rPr>
              <w:t>Нетекущие</w:t>
            </w:r>
            <w:proofErr w:type="spellEnd"/>
          </w:p>
        </w:tc>
        <w:tc>
          <w:tcPr>
            <w:tcW w:w="1984" w:type="dxa"/>
            <w:tcBorders>
              <w:top w:val="nil"/>
              <w:left w:val="nil"/>
              <w:bottom w:val="single" w:sz="4" w:space="0" w:color="auto"/>
              <w:right w:val="single" w:sz="4" w:space="0" w:color="auto"/>
            </w:tcBorders>
            <w:shd w:val="clear" w:color="auto" w:fill="auto"/>
            <w:vAlign w:val="bottom"/>
          </w:tcPr>
          <w:p w14:paraId="1CBD6BDB" w14:textId="77777777" w:rsidR="00F67CBC" w:rsidRPr="00F833B4" w:rsidRDefault="00F67CBC" w:rsidP="00F833B4">
            <w:pPr>
              <w:pStyle w:val="Tabletext"/>
              <w:ind w:right="284"/>
              <w:jc w:val="right"/>
              <w:rPr>
                <w:rFonts w:eastAsia="SimSun"/>
                <w:sz w:val="18"/>
                <w:szCs w:val="18"/>
                <w:lang w:val="ru-RU" w:eastAsia="zh-CN"/>
              </w:rPr>
            </w:pPr>
            <w:r w:rsidRPr="00F833B4">
              <w:rPr>
                <w:rFonts w:eastAsia="SimSun"/>
                <w:sz w:val="18"/>
                <w:szCs w:val="18"/>
                <w:lang w:val="ru-RU" w:eastAsia="zh-CN"/>
              </w:rPr>
              <w:t>20,9</w:t>
            </w:r>
          </w:p>
        </w:tc>
      </w:tr>
      <w:tr w:rsidR="00F67CBC" w:rsidRPr="00F833B4" w14:paraId="0EFB8AA4" w14:textId="77777777" w:rsidTr="00F833B4">
        <w:trPr>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7B218987" w14:textId="77777777" w:rsidR="00F67CBC" w:rsidRPr="00F833B4" w:rsidRDefault="00F67CBC" w:rsidP="00F833B4">
            <w:pPr>
              <w:pStyle w:val="Tabletext"/>
              <w:ind w:right="284"/>
              <w:rPr>
                <w:rFonts w:eastAsia="SimSun"/>
                <w:b/>
                <w:bCs/>
                <w:sz w:val="18"/>
                <w:szCs w:val="18"/>
                <w:lang w:val="ru-RU" w:eastAsia="zh-CN"/>
              </w:rPr>
            </w:pPr>
            <w:r w:rsidRPr="00F833B4">
              <w:rPr>
                <w:rFonts w:eastAsia="SimSun"/>
                <w:b/>
                <w:bCs/>
                <w:sz w:val="18"/>
                <w:szCs w:val="18"/>
                <w:lang w:val="ru-RU" w:eastAsia="zh-CN"/>
              </w:rPr>
              <w:t>Итого</w:t>
            </w:r>
          </w:p>
        </w:tc>
        <w:tc>
          <w:tcPr>
            <w:tcW w:w="1910" w:type="dxa"/>
            <w:tcBorders>
              <w:top w:val="nil"/>
              <w:left w:val="single" w:sz="4" w:space="0" w:color="auto"/>
              <w:bottom w:val="single" w:sz="4" w:space="0" w:color="auto"/>
              <w:right w:val="single" w:sz="4" w:space="0" w:color="auto"/>
            </w:tcBorders>
            <w:shd w:val="clear" w:color="auto" w:fill="auto"/>
            <w:vAlign w:val="bottom"/>
          </w:tcPr>
          <w:p w14:paraId="50A5EABD" w14:textId="77777777" w:rsidR="00F67CBC" w:rsidRPr="00F833B4" w:rsidRDefault="00F67CBC" w:rsidP="00F833B4">
            <w:pPr>
              <w:pStyle w:val="Tabletext"/>
              <w:ind w:right="284"/>
              <w:jc w:val="right"/>
              <w:rPr>
                <w:rFonts w:eastAsia="SimSun"/>
                <w:b/>
                <w:bCs/>
                <w:sz w:val="18"/>
                <w:szCs w:val="18"/>
                <w:lang w:val="ru-RU" w:eastAsia="zh-CN"/>
              </w:rPr>
            </w:pPr>
            <w:r w:rsidRPr="00F833B4">
              <w:rPr>
                <w:rFonts w:eastAsia="SimSun"/>
                <w:b/>
                <w:bCs/>
                <w:sz w:val="18"/>
                <w:szCs w:val="18"/>
                <w:lang w:val="ru-RU" w:eastAsia="zh-CN"/>
              </w:rPr>
              <w:t>42,1</w:t>
            </w:r>
          </w:p>
        </w:tc>
        <w:tc>
          <w:tcPr>
            <w:tcW w:w="1983" w:type="dxa"/>
            <w:tcBorders>
              <w:top w:val="nil"/>
              <w:left w:val="single" w:sz="4" w:space="0" w:color="auto"/>
              <w:bottom w:val="single" w:sz="4" w:space="0" w:color="auto"/>
              <w:right w:val="single" w:sz="4" w:space="0" w:color="auto"/>
            </w:tcBorders>
            <w:shd w:val="clear" w:color="auto" w:fill="auto"/>
            <w:noWrap/>
            <w:vAlign w:val="bottom"/>
          </w:tcPr>
          <w:p w14:paraId="082B47AE" w14:textId="77777777" w:rsidR="00F67CBC" w:rsidRPr="00F833B4" w:rsidRDefault="00F67CBC" w:rsidP="00F833B4">
            <w:pPr>
              <w:pStyle w:val="Tabletext"/>
              <w:ind w:right="284"/>
              <w:rPr>
                <w:rFonts w:eastAsia="SimSun"/>
                <w:b/>
                <w:bCs/>
                <w:sz w:val="18"/>
                <w:szCs w:val="18"/>
                <w:lang w:val="ru-RU" w:eastAsia="zh-CN"/>
              </w:rPr>
            </w:pPr>
            <w:r w:rsidRPr="00F833B4">
              <w:rPr>
                <w:rFonts w:eastAsia="SimSun"/>
                <w:b/>
                <w:bCs/>
                <w:sz w:val="18"/>
                <w:szCs w:val="18"/>
                <w:lang w:val="ru-RU" w:eastAsia="zh-CN"/>
              </w:rPr>
              <w:t>Итого</w:t>
            </w:r>
          </w:p>
        </w:tc>
        <w:tc>
          <w:tcPr>
            <w:tcW w:w="1984" w:type="dxa"/>
            <w:tcBorders>
              <w:top w:val="nil"/>
              <w:left w:val="nil"/>
              <w:bottom w:val="single" w:sz="4" w:space="0" w:color="auto"/>
              <w:right w:val="single" w:sz="4" w:space="0" w:color="auto"/>
            </w:tcBorders>
            <w:shd w:val="clear" w:color="auto" w:fill="auto"/>
            <w:vAlign w:val="bottom"/>
          </w:tcPr>
          <w:p w14:paraId="7F698AB7" w14:textId="77777777" w:rsidR="00F67CBC" w:rsidRPr="00F833B4" w:rsidRDefault="00F67CBC" w:rsidP="00F833B4">
            <w:pPr>
              <w:pStyle w:val="Tabletext"/>
              <w:ind w:right="284"/>
              <w:jc w:val="right"/>
              <w:rPr>
                <w:rFonts w:eastAsia="SimSun"/>
                <w:b/>
                <w:bCs/>
                <w:sz w:val="18"/>
                <w:szCs w:val="18"/>
                <w:lang w:val="ru-RU" w:eastAsia="zh-CN"/>
              </w:rPr>
            </w:pPr>
            <w:r w:rsidRPr="00F833B4">
              <w:rPr>
                <w:rFonts w:eastAsia="SimSun"/>
                <w:b/>
                <w:bCs/>
                <w:sz w:val="18"/>
                <w:szCs w:val="18"/>
                <w:lang w:val="ru-RU" w:eastAsia="zh-CN"/>
              </w:rPr>
              <w:t>42,1</w:t>
            </w:r>
          </w:p>
        </w:tc>
      </w:tr>
    </w:tbl>
    <w:p w14:paraId="6302684E" w14:textId="77777777" w:rsidR="00F67CBC" w:rsidRPr="00F833B4" w:rsidRDefault="00F67CBC" w:rsidP="00F833B4">
      <w:pPr>
        <w:pStyle w:val="Heading2"/>
        <w:rPr>
          <w:lang w:val="ru-RU"/>
        </w:rPr>
      </w:pPr>
      <w:bookmarkStart w:id="296" w:name="_Toc54769165"/>
      <w:bookmarkStart w:id="297" w:name="_Toc56179572"/>
      <w:bookmarkStart w:id="298" w:name="_Toc56180394"/>
      <w:r w:rsidRPr="00F833B4">
        <w:rPr>
          <w:color w:val="000000"/>
          <w:lang w:val="ru-RU"/>
        </w:rPr>
        <w:t xml:space="preserve">Обязательства по линии Фонда медицинского страхования сотрудников до и после выхода в отставку </w:t>
      </w:r>
      <w:r w:rsidRPr="00F833B4">
        <w:rPr>
          <w:lang w:val="ru-RU"/>
        </w:rPr>
        <w:t xml:space="preserve">и </w:t>
      </w:r>
      <w:bookmarkEnd w:id="296"/>
      <w:r w:rsidRPr="00F833B4">
        <w:rPr>
          <w:lang w:val="ru-RU"/>
        </w:rPr>
        <w:t xml:space="preserve">влияние перехода от ПКМС/Cigna </w:t>
      </w:r>
      <w:r w:rsidRPr="00F833B4">
        <w:rPr>
          <w:color w:val="000000"/>
          <w:lang w:val="ru-RU"/>
        </w:rPr>
        <w:t>в ЮНСМИС</w:t>
      </w:r>
      <w:bookmarkEnd w:id="297"/>
      <w:bookmarkEnd w:id="298"/>
    </w:p>
    <w:p w14:paraId="6E68510C" w14:textId="77777777" w:rsidR="00F67CBC" w:rsidRPr="00F833B4" w:rsidRDefault="00F67CBC" w:rsidP="00F833B4">
      <w:pPr>
        <w:rPr>
          <w:lang w:val="ru-RU"/>
        </w:rPr>
      </w:pPr>
      <w:r w:rsidRPr="00F833B4">
        <w:rPr>
          <w:lang w:val="ru-RU"/>
        </w:rPr>
        <w:t>78</w:t>
      </w:r>
      <w:r w:rsidRPr="00F833B4">
        <w:rPr>
          <w:lang w:val="ru-RU"/>
        </w:rPr>
        <w:tab/>
      </w:r>
      <w:r w:rsidRPr="00F833B4">
        <w:rPr>
          <w:color w:val="000000"/>
          <w:lang w:val="ru-RU"/>
        </w:rPr>
        <w:t xml:space="preserve">Обязательства по линии Фонда медицинского страхования сотрудников до и после выхода в отставку финансируются </w:t>
      </w:r>
      <w:r w:rsidRPr="00F833B4">
        <w:rPr>
          <w:lang w:val="ru-RU"/>
        </w:rPr>
        <w:t xml:space="preserve">за счет средств </w:t>
      </w:r>
      <w:r w:rsidRPr="00F833B4">
        <w:rPr>
          <w:color w:val="000000"/>
          <w:lang w:val="ru-RU"/>
        </w:rPr>
        <w:t>гарантийного фонда ПКМС</w:t>
      </w:r>
      <w:r w:rsidRPr="00F833B4">
        <w:rPr>
          <w:lang w:val="ru-RU"/>
        </w:rPr>
        <w:t xml:space="preserve"> (</w:t>
      </w:r>
      <w:r w:rsidRPr="00F833B4">
        <w:rPr>
          <w:color w:val="000000"/>
          <w:lang w:val="ru-RU"/>
        </w:rPr>
        <w:t xml:space="preserve">Фонд медицинского страхования </w:t>
      </w:r>
      <w:r w:rsidRPr="00F833B4">
        <w:rPr>
          <w:lang w:val="ru-RU"/>
        </w:rPr>
        <w:t xml:space="preserve">в </w:t>
      </w:r>
      <w:r w:rsidRPr="00F833B4">
        <w:rPr>
          <w:color w:val="000000"/>
          <w:lang w:val="ru-RU"/>
        </w:rPr>
        <w:t>финансовом отчете</w:t>
      </w:r>
      <w:r w:rsidRPr="00F833B4">
        <w:rPr>
          <w:lang w:val="ru-RU"/>
        </w:rPr>
        <w:t xml:space="preserve"> III) и фонда АСХИ: в частности, </w:t>
      </w:r>
      <w:r w:rsidRPr="00F833B4">
        <w:rPr>
          <w:color w:val="000000"/>
          <w:lang w:val="ru-RU"/>
        </w:rPr>
        <w:t>гарантийный фонд ПКМС</w:t>
      </w:r>
      <w:r w:rsidRPr="00F833B4">
        <w:rPr>
          <w:lang w:val="ru-RU"/>
        </w:rPr>
        <w:t xml:space="preserve"> предназначен для финансирования </w:t>
      </w:r>
      <w:r w:rsidRPr="00F833B4">
        <w:rPr>
          <w:color w:val="000000"/>
          <w:lang w:val="ru-RU"/>
        </w:rPr>
        <w:t>системы на распределительной основе</w:t>
      </w:r>
      <w:r w:rsidRPr="00F833B4">
        <w:rPr>
          <w:lang w:val="ru-RU"/>
        </w:rPr>
        <w:t xml:space="preserve">; фонд АСХИ был создан для </w:t>
      </w:r>
      <w:r w:rsidRPr="00F833B4">
        <w:rPr>
          <w:color w:val="000000"/>
          <w:lang w:val="ru-RU"/>
        </w:rPr>
        <w:t>долгосрочного финансирования обязательств по АСХИ</w:t>
      </w:r>
      <w:r w:rsidRPr="00F833B4">
        <w:rPr>
          <w:lang w:val="ru-RU"/>
        </w:rPr>
        <w:t>.</w:t>
      </w:r>
    </w:p>
    <w:p w14:paraId="32FA3BF6" w14:textId="15991194" w:rsidR="00F67CBC" w:rsidRPr="00F833B4" w:rsidRDefault="00F67CBC" w:rsidP="00F833B4">
      <w:pPr>
        <w:rPr>
          <w:lang w:val="ru-RU"/>
        </w:rPr>
      </w:pPr>
      <w:r w:rsidRPr="00F833B4">
        <w:rPr>
          <w:lang w:val="ru-RU"/>
        </w:rPr>
        <w:t>79</w:t>
      </w:r>
      <w:r w:rsidRPr="00F833B4">
        <w:rPr>
          <w:lang w:val="ru-RU"/>
        </w:rPr>
        <w:tab/>
        <w:t xml:space="preserve">В 2019 году </w:t>
      </w:r>
      <w:r w:rsidRPr="00F833B4">
        <w:rPr>
          <w:color w:val="000000"/>
          <w:lang w:val="ru-RU"/>
        </w:rPr>
        <w:t>гарантийный фонд ПКМС</w:t>
      </w:r>
      <w:r w:rsidRPr="00F833B4">
        <w:rPr>
          <w:lang w:val="ru-RU"/>
        </w:rPr>
        <w:t xml:space="preserve"> использовался для покрытия дефицита системы ПКМС в размере 2 млн. швейцарских франков; в январе 2020 года этот же фонд использовался для оплаты доли МСЭ в резервном фонде ЮНСМИС в размере 19,53 млн. долларов США. После внесения этого последнего платежа средства фонда оказались почти полностью исчерпанными, в то время как на </w:t>
      </w:r>
      <w:r w:rsidRPr="00F833B4">
        <w:rPr>
          <w:lang w:val="ru-RU"/>
        </w:rPr>
        <w:lastRenderedPageBreak/>
        <w:t xml:space="preserve">конец 2019 года его размер составлял 20,3 млн. швейцарских франков; поэтому он никак не мог бы покрыть расходы по выплате чрезвычайного взноса в размере </w:t>
      </w:r>
      <w:r w:rsidRPr="00F833B4">
        <w:rPr>
          <w:spacing w:val="-2"/>
          <w:lang w:val="ru-RU"/>
        </w:rPr>
        <w:t xml:space="preserve">22,53 </w:t>
      </w:r>
      <w:r w:rsidRPr="00F833B4">
        <w:rPr>
          <w:lang w:val="ru-RU"/>
        </w:rPr>
        <w:t>млн. долларов США, причитающихся ЮНСМИС.</w:t>
      </w:r>
    </w:p>
    <w:p w14:paraId="44DB16EC" w14:textId="77777777" w:rsidR="00F67CBC" w:rsidRPr="00F833B4" w:rsidRDefault="00F67CBC" w:rsidP="00F833B4">
      <w:pPr>
        <w:rPr>
          <w:lang w:val="ru-RU"/>
        </w:rPr>
      </w:pPr>
      <w:r w:rsidRPr="00F833B4">
        <w:rPr>
          <w:lang w:val="ru-RU"/>
        </w:rPr>
        <w:t>80</w:t>
      </w:r>
      <w:r w:rsidRPr="00F833B4">
        <w:rPr>
          <w:lang w:val="ru-RU"/>
        </w:rPr>
        <w:tab/>
        <w:t xml:space="preserve">На ту же дату после предлагаемого </w:t>
      </w:r>
      <w:r w:rsidRPr="00F833B4">
        <w:rPr>
          <w:color w:val="000000"/>
          <w:lang w:val="ru-RU"/>
        </w:rPr>
        <w:t>ассигнования в размере</w:t>
      </w:r>
      <w:r w:rsidRPr="00F833B4">
        <w:rPr>
          <w:lang w:val="ru-RU"/>
        </w:rPr>
        <w:t xml:space="preserve"> 0,5 </w:t>
      </w:r>
      <w:proofErr w:type="gramStart"/>
      <w:r w:rsidRPr="00F833B4">
        <w:rPr>
          <w:lang w:val="ru-RU"/>
        </w:rPr>
        <w:t>млн.</w:t>
      </w:r>
      <w:proofErr w:type="gramEnd"/>
      <w:r w:rsidRPr="00F833B4">
        <w:rPr>
          <w:lang w:val="ru-RU"/>
        </w:rPr>
        <w:t xml:space="preserve"> швейцарских франков </w:t>
      </w:r>
      <w:r w:rsidRPr="00F833B4">
        <w:rPr>
          <w:color w:val="000000"/>
          <w:lang w:val="ru-RU"/>
        </w:rPr>
        <w:t xml:space="preserve">в фонде АСХИ оставалось </w:t>
      </w:r>
      <w:r w:rsidRPr="00F833B4">
        <w:rPr>
          <w:lang w:val="ru-RU"/>
        </w:rPr>
        <w:t xml:space="preserve">12 млн. швейцарских франков, т. е. менее 2% от </w:t>
      </w:r>
      <w:r w:rsidRPr="00F833B4">
        <w:rPr>
          <w:color w:val="000000"/>
          <w:lang w:val="ru-RU"/>
        </w:rPr>
        <w:t>обязательств по линии АСХИ</w:t>
      </w:r>
      <w:r w:rsidRPr="00F833B4">
        <w:rPr>
          <w:lang w:val="ru-RU"/>
        </w:rPr>
        <w:t>.</w:t>
      </w:r>
    </w:p>
    <w:p w14:paraId="240B2B4F" w14:textId="3C74B9EB" w:rsidR="00F67CBC" w:rsidRPr="00F833B4" w:rsidRDefault="00F67CBC" w:rsidP="00F833B4">
      <w:pPr>
        <w:rPr>
          <w:lang w:val="ru-RU"/>
        </w:rPr>
      </w:pPr>
      <w:r w:rsidRPr="00F833B4">
        <w:rPr>
          <w:lang w:val="ru-RU"/>
        </w:rPr>
        <w:t>81</w:t>
      </w:r>
      <w:r w:rsidRPr="00F833B4">
        <w:rPr>
          <w:lang w:val="ru-RU"/>
        </w:rPr>
        <w:tab/>
        <w:t xml:space="preserve">В связи с этим, мы отмечаем, что, начиная с 2015 года, </w:t>
      </w:r>
      <w:r w:rsidRPr="00F833B4">
        <w:rPr>
          <w:i/>
          <w:lang w:val="ru-RU"/>
        </w:rPr>
        <w:t>Рабочая группа по АСХИ</w:t>
      </w:r>
      <w:r w:rsidRPr="00F833B4">
        <w:rPr>
          <w:lang w:val="ru-RU"/>
        </w:rPr>
        <w:t xml:space="preserve"> </w:t>
      </w:r>
      <w:r w:rsidRPr="00F833B4">
        <w:rPr>
          <w:i/>
          <w:color w:val="000000"/>
          <w:lang w:val="ru-RU"/>
        </w:rPr>
        <w:t>финансово-бюджетной сети</w:t>
      </w:r>
      <w:r w:rsidRPr="00F833B4">
        <w:rPr>
          <w:lang w:val="ru-RU"/>
        </w:rPr>
        <w:t xml:space="preserve"> </w:t>
      </w:r>
      <w:r w:rsidRPr="00F833B4">
        <w:rPr>
          <w:i/>
          <w:lang w:val="ru-RU"/>
        </w:rPr>
        <w:t>ООН</w:t>
      </w:r>
      <w:r w:rsidRPr="00F833B4">
        <w:rPr>
          <w:lang w:val="ru-RU"/>
        </w:rPr>
        <w:t xml:space="preserve"> рекомендовала обеспечить надлежащее финансирование </w:t>
      </w:r>
      <w:r w:rsidRPr="00F833B4">
        <w:rPr>
          <w:color w:val="000000"/>
          <w:lang w:val="ru-RU"/>
        </w:rPr>
        <w:t>обязательств по АСХИ</w:t>
      </w:r>
      <w:r w:rsidRPr="00F833B4">
        <w:rPr>
          <w:lang w:val="ru-RU"/>
        </w:rPr>
        <w:t xml:space="preserve"> (</w:t>
      </w:r>
      <w:r w:rsidR="008F1DFD" w:rsidRPr="00F833B4">
        <w:rPr>
          <w:lang w:val="ru-RU"/>
        </w:rPr>
        <w:t xml:space="preserve">рекомендация </w:t>
      </w:r>
      <w:r w:rsidRPr="00F833B4">
        <w:rPr>
          <w:lang w:val="ru-RU"/>
        </w:rPr>
        <w:t xml:space="preserve">7, </w:t>
      </w:r>
      <w:r w:rsidRPr="00F833B4">
        <w:rPr>
          <w:color w:val="000000"/>
          <w:lang w:val="ru-RU"/>
        </w:rPr>
        <w:t>подробнее см.</w:t>
      </w:r>
      <w:r w:rsidRPr="00F833B4">
        <w:rPr>
          <w:lang w:val="ru-RU"/>
        </w:rPr>
        <w:t xml:space="preserve">, Генеральный секретарь ООН, доклад ГА, A/70/590). Эта Рабочая группа установила, что необходимо создавать резервы как минимум для того, чтобы финансировать затраты, начисленные во время текущих периодов и представленные стоимостью услуг, плюс соответствующие затраты по выплате процентов, отражая фактическую стоимость текущих операций. Если мы касаемся только затрат, указанных в таблице 2, выше, то это потому, что становится ясно, что </w:t>
      </w:r>
      <w:r w:rsidRPr="00F833B4">
        <w:rPr>
          <w:color w:val="000000"/>
          <w:lang w:val="ru-RU"/>
        </w:rPr>
        <w:t>гарантийный фонд ПКМС</w:t>
      </w:r>
      <w:r w:rsidRPr="00F833B4">
        <w:rPr>
          <w:lang w:val="ru-RU"/>
        </w:rPr>
        <w:t xml:space="preserve"> и фонд АСХИ не обеспечивают в 2019 году надлежащие резервы для покрытия </w:t>
      </w:r>
      <w:r w:rsidRPr="00F833B4">
        <w:rPr>
          <w:color w:val="000000"/>
          <w:lang w:val="ru-RU"/>
        </w:rPr>
        <w:t>затрат, связанных с медицинским страхованием сотрудников до и после выхода в отставку</w:t>
      </w:r>
      <w:r w:rsidRPr="00F833B4">
        <w:rPr>
          <w:lang w:val="ru-RU"/>
        </w:rPr>
        <w:t>. В 2020 году этот разрыв должен возрасти вследствие платежей, причитающихся ЮНСМИС, в качестве одного из условий участия в новом плане.</w:t>
      </w:r>
    </w:p>
    <w:p w14:paraId="5B894BCA" w14:textId="77777777" w:rsidR="00F67CBC" w:rsidRPr="00F833B4" w:rsidRDefault="00F67CBC" w:rsidP="00F833B4">
      <w:pPr>
        <w:spacing w:after="120"/>
        <w:rPr>
          <w:lang w:val="ru-RU"/>
        </w:rPr>
      </w:pPr>
      <w:proofErr w:type="gramStart"/>
      <w:r w:rsidRPr="00F833B4">
        <w:rPr>
          <w:lang w:val="ru-RU"/>
        </w:rPr>
        <w:t>82</w:t>
      </w:r>
      <w:r w:rsidRPr="00F833B4">
        <w:rPr>
          <w:lang w:val="ru-RU"/>
        </w:rPr>
        <w:tab/>
        <w:t>Кроме того</w:t>
      </w:r>
      <w:proofErr w:type="gramEnd"/>
      <w:r w:rsidRPr="00F833B4">
        <w:rPr>
          <w:lang w:val="ru-RU"/>
        </w:rPr>
        <w:t>, такой уровень актуарных обязательств является для Совета ключевым показателем того, что в будущем бюджет МСЭ может оказаться под влиянием значительного увеличения расходов, связанных с в</w:t>
      </w:r>
      <w:r w:rsidRPr="00F833B4">
        <w:rPr>
          <w:color w:val="000000"/>
          <w:lang w:val="ru-RU"/>
        </w:rPr>
        <w:t>ознаграждением сотрудников</w:t>
      </w:r>
      <w:r w:rsidRPr="00F833B4">
        <w:rPr>
          <w:lang w:val="ru-RU"/>
        </w:rPr>
        <w:t>.</w:t>
      </w:r>
    </w:p>
    <w:tbl>
      <w:tblPr>
        <w:tblStyle w:val="TableGrid2"/>
        <w:tblW w:w="0" w:type="auto"/>
        <w:tblInd w:w="-5" w:type="dxa"/>
        <w:tblLook w:val="04A0" w:firstRow="1" w:lastRow="0" w:firstColumn="1" w:lastColumn="0" w:noHBand="0" w:noVBand="1"/>
      </w:tblPr>
      <w:tblGrid>
        <w:gridCol w:w="9634"/>
      </w:tblGrid>
      <w:tr w:rsidR="00F67CBC" w:rsidRPr="00FE280E" w14:paraId="47D5EF28" w14:textId="77777777" w:rsidTr="0000018B">
        <w:tc>
          <w:tcPr>
            <w:tcW w:w="9634" w:type="dxa"/>
          </w:tcPr>
          <w:p w14:paraId="3D2D7945" w14:textId="77777777" w:rsidR="00F67CBC" w:rsidRPr="00F833B4" w:rsidRDefault="00F67CBC" w:rsidP="0000018B">
            <w:pPr>
              <w:keepNext/>
              <w:rPr>
                <w:b/>
                <w:bCs/>
                <w:i/>
                <w:iCs/>
                <w:lang w:val="ru-RU"/>
              </w:rPr>
            </w:pPr>
            <w:r w:rsidRPr="00F833B4">
              <w:rPr>
                <w:b/>
                <w:bCs/>
                <w:i/>
                <w:iCs/>
                <w:lang w:val="ru-RU"/>
              </w:rPr>
              <w:t>Вниманию Совета (1)</w:t>
            </w:r>
          </w:p>
          <w:p w14:paraId="149233B2" w14:textId="77777777" w:rsidR="00F67CBC" w:rsidRPr="00F833B4" w:rsidRDefault="00F67CBC" w:rsidP="00F833B4">
            <w:pPr>
              <w:spacing w:after="120"/>
              <w:rPr>
                <w:lang w:val="ru-RU"/>
              </w:rPr>
            </w:pPr>
            <w:r w:rsidRPr="00F833B4">
              <w:rPr>
                <w:lang w:val="ru-RU"/>
              </w:rPr>
              <w:t>83</w:t>
            </w:r>
            <w:r w:rsidRPr="00F833B4">
              <w:rPr>
                <w:lang w:val="ru-RU"/>
              </w:rPr>
              <w:tab/>
              <w:t xml:space="preserve">Принимая во внимание тот факт, что новый план создаст </w:t>
            </w:r>
            <w:proofErr w:type="spellStart"/>
            <w:r w:rsidRPr="00F833B4">
              <w:rPr>
                <w:lang w:val="ru-RU"/>
              </w:rPr>
              <w:t>б</w:t>
            </w:r>
            <w:r w:rsidRPr="00F833B4">
              <w:rPr>
                <w:rFonts w:cs="Calibri"/>
                <w:lang w:val="ru-RU"/>
              </w:rPr>
              <w:t>ó</w:t>
            </w:r>
            <w:r w:rsidRPr="00F833B4">
              <w:rPr>
                <w:lang w:val="ru-RU"/>
              </w:rPr>
              <w:t>льшие</w:t>
            </w:r>
            <w:proofErr w:type="spellEnd"/>
            <w:r w:rsidRPr="00F833B4">
              <w:rPr>
                <w:lang w:val="ru-RU"/>
              </w:rPr>
              <w:t xml:space="preserve"> обязательства, чем предыдущий, вследствие более высокого уровня преимуществ, предоставляемых застрахованным лицам, </w:t>
            </w:r>
            <w:r w:rsidRPr="00F833B4">
              <w:rPr>
                <w:u w:val="single"/>
                <w:lang w:val="ru-RU"/>
              </w:rPr>
              <w:t>мы обращаем внимание Совета</w:t>
            </w:r>
            <w:r w:rsidRPr="00F833B4">
              <w:rPr>
                <w:lang w:val="ru-RU"/>
              </w:rPr>
              <w:t xml:space="preserve"> на необходимость проведения полного актуарного исследования для оценки того, когда </w:t>
            </w:r>
            <w:r w:rsidRPr="00F833B4">
              <w:rPr>
                <w:color w:val="000000"/>
                <w:lang w:val="ru-RU"/>
              </w:rPr>
              <w:t>финансовая стабильность МСЭ</w:t>
            </w:r>
            <w:r w:rsidRPr="00F833B4">
              <w:rPr>
                <w:lang w:val="ru-RU"/>
              </w:rPr>
              <w:t xml:space="preserve"> окажется под влиянием недостаточности финансирования, обусловленного </w:t>
            </w:r>
            <w:r w:rsidRPr="00F833B4">
              <w:rPr>
                <w:color w:val="000000"/>
                <w:lang w:val="ru-RU"/>
              </w:rPr>
              <w:t>обязательствами по АСХИ</w:t>
            </w:r>
            <w:r w:rsidRPr="00F833B4">
              <w:rPr>
                <w:lang w:val="ru-RU"/>
              </w:rPr>
              <w:t xml:space="preserve">. В соответствии с результатами этого исследования мы рекомендуем также изучить возможность разработки стратегии </w:t>
            </w:r>
            <w:r w:rsidRPr="00F833B4">
              <w:rPr>
                <w:color w:val="000000"/>
                <w:lang w:val="ru-RU"/>
              </w:rPr>
              <w:t>долгосрочного финансирования</w:t>
            </w:r>
            <w:r w:rsidRPr="00F833B4">
              <w:rPr>
                <w:lang w:val="ru-RU"/>
              </w:rPr>
              <w:t xml:space="preserve">, чтобы не допустить подрыва </w:t>
            </w:r>
            <w:r w:rsidRPr="00F833B4">
              <w:rPr>
                <w:color w:val="000000"/>
                <w:lang w:val="ru-RU"/>
              </w:rPr>
              <w:t>эксплуатационного и программного потенциала</w:t>
            </w:r>
            <w:r w:rsidRPr="00F833B4">
              <w:rPr>
                <w:lang w:val="ru-RU"/>
              </w:rPr>
              <w:t xml:space="preserve"> </w:t>
            </w:r>
            <w:r w:rsidRPr="00F833B4">
              <w:rPr>
                <w:color w:val="000000"/>
                <w:lang w:val="ru-RU"/>
              </w:rPr>
              <w:t>в среднесрочной и долгосрочной перспективе</w:t>
            </w:r>
            <w:r w:rsidRPr="00F833B4">
              <w:rPr>
                <w:lang w:val="ru-RU"/>
              </w:rPr>
              <w:t>.</w:t>
            </w:r>
            <w:r w:rsidRPr="00F833B4">
              <w:rPr>
                <w:color w:val="000000"/>
                <w:lang w:val="ru-RU"/>
              </w:rPr>
              <w:t xml:space="preserve"> </w:t>
            </w:r>
          </w:p>
        </w:tc>
      </w:tr>
    </w:tbl>
    <w:p w14:paraId="7544B3E9" w14:textId="77777777" w:rsidR="00F67CBC" w:rsidRPr="00F833B4" w:rsidRDefault="00F67CBC" w:rsidP="000608BD">
      <w:pPr>
        <w:pStyle w:val="Heading2"/>
        <w:rPr>
          <w:lang w:val="ru-RU"/>
        </w:rPr>
      </w:pPr>
      <w:bookmarkStart w:id="299" w:name="_Toc452157330"/>
      <w:bookmarkStart w:id="300" w:name="_Toc482995193"/>
      <w:bookmarkStart w:id="301" w:name="_Toc522633583"/>
      <w:bookmarkStart w:id="302" w:name="_Toc56179573"/>
      <w:bookmarkStart w:id="303" w:name="_Toc56180395"/>
      <w:r w:rsidRPr="00F833B4">
        <w:rPr>
          <w:lang w:val="ru-RU"/>
        </w:rPr>
        <w:t>Вознаграждение сотрудников: Страховая касса персонала МСЭ (закрытые пенсионные фонды МСЭ)</w:t>
      </w:r>
      <w:bookmarkEnd w:id="299"/>
      <w:bookmarkEnd w:id="300"/>
      <w:bookmarkEnd w:id="301"/>
      <w:bookmarkEnd w:id="302"/>
      <w:bookmarkEnd w:id="303"/>
    </w:p>
    <w:p w14:paraId="67B6DE70" w14:textId="77777777" w:rsidR="00F67CBC" w:rsidRPr="00F833B4" w:rsidRDefault="00F67CBC" w:rsidP="0000018B">
      <w:pPr>
        <w:rPr>
          <w:lang w:val="ru-RU"/>
        </w:rPr>
      </w:pPr>
      <w:r w:rsidRPr="00F833B4">
        <w:rPr>
          <w:lang w:val="ru-RU"/>
        </w:rPr>
        <w:t>84</w:t>
      </w:r>
      <w:r w:rsidRPr="00F833B4">
        <w:rPr>
          <w:lang w:val="ru-RU"/>
        </w:rPr>
        <w:tab/>
        <w:t>Как и в предыдущие годы, на счетах на момент их закрытия значилась сумма в 54 000 швейцарских франков; она связана с обязательствами по выплатам пенсий бывшим сотрудникам из Страховой кассы персонала (см. также пункт 140).</w:t>
      </w:r>
    </w:p>
    <w:p w14:paraId="6D8064FF" w14:textId="77777777" w:rsidR="00F67CBC" w:rsidRPr="00F833B4" w:rsidRDefault="00F67CBC" w:rsidP="0000018B">
      <w:pPr>
        <w:pStyle w:val="Heading1"/>
        <w:rPr>
          <w:lang w:val="ru-RU"/>
        </w:rPr>
      </w:pPr>
      <w:bookmarkStart w:id="304" w:name="_Toc418501331"/>
      <w:bookmarkStart w:id="305" w:name="_Toc418597598"/>
      <w:bookmarkStart w:id="306" w:name="_Toc452157331"/>
      <w:bookmarkStart w:id="307" w:name="_Toc482995194"/>
      <w:bookmarkStart w:id="308" w:name="_Toc522633584"/>
      <w:bookmarkStart w:id="309" w:name="_Toc56179574"/>
      <w:bookmarkStart w:id="310" w:name="_Toc56180396"/>
      <w:r w:rsidRPr="00F833B4">
        <w:rPr>
          <w:lang w:val="ru-RU"/>
        </w:rPr>
        <w:t>ЧИСТЫЕ АКТИВЫ</w:t>
      </w:r>
      <w:bookmarkEnd w:id="304"/>
      <w:bookmarkEnd w:id="305"/>
      <w:bookmarkEnd w:id="306"/>
      <w:bookmarkEnd w:id="307"/>
      <w:bookmarkEnd w:id="308"/>
      <w:bookmarkEnd w:id="309"/>
      <w:bookmarkEnd w:id="310"/>
    </w:p>
    <w:p w14:paraId="71AF8391" w14:textId="77777777" w:rsidR="00F67CBC" w:rsidRPr="00F833B4" w:rsidRDefault="00F67CBC" w:rsidP="0000018B">
      <w:pPr>
        <w:rPr>
          <w:lang w:val="ru-RU"/>
        </w:rPr>
      </w:pPr>
      <w:r w:rsidRPr="00F833B4">
        <w:rPr>
          <w:lang w:val="ru-RU"/>
        </w:rPr>
        <w:t>85</w:t>
      </w:r>
      <w:r w:rsidRPr="00F833B4">
        <w:rPr>
          <w:lang w:val="ru-RU"/>
        </w:rPr>
        <w:tab/>
        <w:t>Чистые активы состояли из собственных целевых и нецелевых средств, внебюджетных фондов, результата внебюджетной деятельности, активного сальдо/дефицита за финансовый год и эффектов перехода к IPSAS. В 2019 году чистые активы показали отрицательное значение в −452,6 </w:t>
      </w:r>
      <w:proofErr w:type="gramStart"/>
      <w:r w:rsidRPr="00F833B4">
        <w:rPr>
          <w:lang w:val="ru-RU"/>
        </w:rPr>
        <w:t>млн.</w:t>
      </w:r>
      <w:proofErr w:type="gramEnd"/>
      <w:r w:rsidRPr="00F833B4">
        <w:rPr>
          <w:lang w:val="ru-RU"/>
        </w:rPr>
        <w:t xml:space="preserve"> швейцарских франков, что хуже, чем в 2018 году, когда это значение составило −395,2 млн. швейцарских франков.</w:t>
      </w:r>
    </w:p>
    <w:p w14:paraId="75575878" w14:textId="77777777" w:rsidR="00F67CBC" w:rsidRPr="00F833B4" w:rsidRDefault="00F67CBC" w:rsidP="0000018B">
      <w:pPr>
        <w:rPr>
          <w:lang w:val="ru-RU"/>
        </w:rPr>
      </w:pPr>
      <w:r w:rsidRPr="00F833B4">
        <w:rPr>
          <w:lang w:val="ru-RU"/>
        </w:rPr>
        <w:t>86</w:t>
      </w:r>
      <w:r w:rsidRPr="00F833B4">
        <w:rPr>
          <w:lang w:val="ru-RU"/>
        </w:rPr>
        <w:tab/>
        <w:t>Все движения в чистых активах поясняются в различных таблицах и примечаниях к Отчету о финансовой деятельности, в частности:</w:t>
      </w:r>
    </w:p>
    <w:p w14:paraId="32E9EB1B" w14:textId="77777777" w:rsidR="00F67CBC" w:rsidRPr="00F833B4" w:rsidRDefault="00F67CBC" w:rsidP="000608BD">
      <w:pPr>
        <w:pStyle w:val="enumlev1"/>
        <w:spacing w:before="60"/>
        <w:rPr>
          <w:lang w:val="ru-RU"/>
        </w:rPr>
      </w:pPr>
      <w:r w:rsidRPr="00F833B4">
        <w:rPr>
          <w:lang w:val="ru-RU"/>
        </w:rPr>
        <w:t>a)</w:t>
      </w:r>
      <w:r w:rsidRPr="00F833B4">
        <w:rPr>
          <w:lang w:val="ru-RU"/>
        </w:rPr>
        <w:tab/>
        <w:t>в Таблице II "Отчет о результатах финансовой деятельности", в которой показан дефицит за финансовый период (–57,5 </w:t>
      </w:r>
      <w:proofErr w:type="gramStart"/>
      <w:r w:rsidRPr="00F833B4">
        <w:rPr>
          <w:lang w:val="ru-RU"/>
        </w:rPr>
        <w:t>млн.</w:t>
      </w:r>
      <w:proofErr w:type="gramEnd"/>
      <w:r w:rsidRPr="00F833B4">
        <w:rPr>
          <w:lang w:val="ru-RU"/>
        </w:rPr>
        <w:t xml:space="preserve"> швейцарских франков);</w:t>
      </w:r>
    </w:p>
    <w:p w14:paraId="52ED39DB" w14:textId="77777777" w:rsidR="00F67CBC" w:rsidRPr="00F833B4" w:rsidRDefault="00F67CBC" w:rsidP="000608BD">
      <w:pPr>
        <w:pStyle w:val="enumlev1"/>
        <w:spacing w:before="60"/>
        <w:rPr>
          <w:lang w:val="ru-RU"/>
        </w:rPr>
      </w:pPr>
      <w:r w:rsidRPr="00F833B4">
        <w:rPr>
          <w:lang w:val="ru-RU"/>
        </w:rPr>
        <w:lastRenderedPageBreak/>
        <w:t>b)</w:t>
      </w:r>
      <w:r w:rsidRPr="00F833B4">
        <w:rPr>
          <w:lang w:val="ru-RU"/>
        </w:rPr>
        <w:tab/>
        <w:t>в Таблице III "Отчет об изменениях в чистых активах", в которой показаны движение по каждому виду собственных средств в отдельности и эффекты перехода к IPSAS;</w:t>
      </w:r>
    </w:p>
    <w:p w14:paraId="71D17899" w14:textId="77777777" w:rsidR="00F67CBC" w:rsidRPr="00F833B4" w:rsidRDefault="00F67CBC" w:rsidP="000608BD">
      <w:pPr>
        <w:pStyle w:val="enumlev1"/>
        <w:spacing w:before="60"/>
        <w:rPr>
          <w:lang w:val="ru-RU"/>
        </w:rPr>
      </w:pPr>
      <w:r w:rsidRPr="00F833B4">
        <w:rPr>
          <w:lang w:val="ru-RU"/>
        </w:rPr>
        <w:t>c)</w:t>
      </w:r>
      <w:r w:rsidRPr="00F833B4">
        <w:rPr>
          <w:lang w:val="ru-RU"/>
        </w:rPr>
        <w:tab/>
        <w:t>в Таблице V "Сравнительная таблица сумм, предусмотренных в бюджете, и фактических сумм", в которой также приводится информация по выверке счетов указанных в бюджете результатов (фактических сумм) и сумм, учтенных в финансовой отчетности (в связи с этим см. также Примечание 26);</w:t>
      </w:r>
    </w:p>
    <w:p w14:paraId="0C0C70F5" w14:textId="77777777" w:rsidR="00F67CBC" w:rsidRPr="00F833B4" w:rsidRDefault="00F67CBC" w:rsidP="000608BD">
      <w:pPr>
        <w:pStyle w:val="enumlev1"/>
        <w:spacing w:before="60"/>
        <w:rPr>
          <w:lang w:val="ru-RU"/>
        </w:rPr>
      </w:pPr>
      <w:r w:rsidRPr="00F833B4">
        <w:rPr>
          <w:lang w:val="ru-RU"/>
        </w:rPr>
        <w:t>d)</w:t>
      </w:r>
      <w:r w:rsidRPr="00F833B4">
        <w:rPr>
          <w:lang w:val="ru-RU"/>
        </w:rPr>
        <w:tab/>
        <w:t>в Примечании 2 "Основные принципы бухгалтерского учета", в пункте, касающемся "учета средств", в частности в подпункте "Целевые средства третьих сторон", и пункте, касающемся "Резервного счета";</w:t>
      </w:r>
    </w:p>
    <w:p w14:paraId="545625B8" w14:textId="77777777" w:rsidR="00F67CBC" w:rsidRPr="00F833B4" w:rsidRDefault="00F67CBC" w:rsidP="000608BD">
      <w:pPr>
        <w:pStyle w:val="enumlev1"/>
        <w:spacing w:before="60"/>
        <w:rPr>
          <w:lang w:val="ru-RU"/>
        </w:rPr>
      </w:pPr>
      <w:r w:rsidRPr="00F833B4">
        <w:rPr>
          <w:lang w:val="ru-RU"/>
        </w:rPr>
        <w:t>e)</w:t>
      </w:r>
      <w:r w:rsidRPr="00F833B4">
        <w:rPr>
          <w:lang w:val="ru-RU"/>
        </w:rPr>
        <w:tab/>
        <w:t>в Примечании 3 "Управление чистыми активами", в котором отражено движение средств Резервного счета.</w:t>
      </w:r>
    </w:p>
    <w:p w14:paraId="07F1DEF6" w14:textId="77777777" w:rsidR="00F67CBC" w:rsidRPr="00F833B4" w:rsidRDefault="00F67CBC" w:rsidP="0000018B">
      <w:pPr>
        <w:pStyle w:val="Heading1"/>
        <w:rPr>
          <w:lang w:val="ru-RU"/>
        </w:rPr>
      </w:pPr>
      <w:bookmarkStart w:id="311" w:name="_Toc418501332"/>
      <w:bookmarkStart w:id="312" w:name="_Toc418597599"/>
      <w:bookmarkStart w:id="313" w:name="_Toc452157332"/>
      <w:bookmarkStart w:id="314" w:name="_Toc482995195"/>
      <w:bookmarkStart w:id="315" w:name="_Toc522633585"/>
      <w:bookmarkStart w:id="316" w:name="_Toc56179575"/>
      <w:bookmarkStart w:id="317" w:name="_Toc56180397"/>
      <w:r w:rsidRPr="00F833B4">
        <w:rPr>
          <w:lang w:val="ru-RU"/>
        </w:rPr>
        <w:t>ОТЧЕТ О РЕЗУЛЬТАТАХ ФИНАНСОВОЙ ДЕЯТЕЛЬНОСТИ ЗА 201</w:t>
      </w:r>
      <w:bookmarkEnd w:id="311"/>
      <w:bookmarkEnd w:id="312"/>
      <w:r w:rsidRPr="00F833B4">
        <w:rPr>
          <w:lang w:val="ru-RU"/>
        </w:rPr>
        <w:t>9 ГОД</w:t>
      </w:r>
      <w:bookmarkEnd w:id="313"/>
      <w:bookmarkEnd w:id="314"/>
      <w:bookmarkEnd w:id="315"/>
      <w:bookmarkEnd w:id="316"/>
      <w:bookmarkEnd w:id="317"/>
    </w:p>
    <w:p w14:paraId="6503320C" w14:textId="77777777" w:rsidR="00F67CBC" w:rsidRPr="00F833B4" w:rsidRDefault="00F67CBC" w:rsidP="0000018B">
      <w:pPr>
        <w:rPr>
          <w:lang w:val="ru-RU"/>
        </w:rPr>
      </w:pPr>
      <w:r w:rsidRPr="00F833B4">
        <w:rPr>
          <w:lang w:val="ru-RU"/>
        </w:rPr>
        <w:t>87</w:t>
      </w:r>
      <w:r w:rsidRPr="00F833B4">
        <w:rPr>
          <w:lang w:val="ru-RU"/>
        </w:rPr>
        <w:tab/>
        <w:t>В этом Отчете показаны операционные и финансовые доходы и расходы Организации, классифицированные, раскрытые и представленные на согласованной основе, чтобы пояснить чистый дефицит или чистое активное сальдо за год. Финансовый период завершен с дефицитом −57,5 </w:t>
      </w:r>
      <w:proofErr w:type="gramStart"/>
      <w:r w:rsidRPr="00F833B4">
        <w:rPr>
          <w:lang w:val="ru-RU"/>
        </w:rPr>
        <w:t>млн.</w:t>
      </w:r>
      <w:proofErr w:type="gramEnd"/>
      <w:r w:rsidRPr="00F833B4">
        <w:rPr>
          <w:lang w:val="ru-RU"/>
        </w:rPr>
        <w:t xml:space="preserve"> швейцарских франков.</w:t>
      </w:r>
    </w:p>
    <w:p w14:paraId="46A3D66B" w14:textId="77777777" w:rsidR="00F67CBC" w:rsidRPr="00F833B4" w:rsidRDefault="00F67CBC" w:rsidP="000608BD">
      <w:pPr>
        <w:pStyle w:val="Heading2"/>
        <w:rPr>
          <w:lang w:val="ru-RU"/>
        </w:rPr>
      </w:pPr>
      <w:bookmarkStart w:id="318" w:name="_Toc418501333"/>
      <w:bookmarkStart w:id="319" w:name="_Toc418597600"/>
      <w:bookmarkStart w:id="320" w:name="_Toc392672723"/>
      <w:bookmarkStart w:id="321" w:name="_Toc452157333"/>
      <w:bookmarkStart w:id="322" w:name="_Toc482995196"/>
      <w:bookmarkStart w:id="323" w:name="_Toc522633586"/>
      <w:bookmarkStart w:id="324" w:name="_Toc56179576"/>
      <w:bookmarkStart w:id="325" w:name="_Toc56180398"/>
      <w:r w:rsidRPr="00F833B4">
        <w:rPr>
          <w:lang w:val="ru-RU"/>
        </w:rPr>
        <w:t>Доходы и расходы</w:t>
      </w:r>
      <w:bookmarkEnd w:id="318"/>
      <w:bookmarkEnd w:id="319"/>
      <w:bookmarkEnd w:id="320"/>
      <w:bookmarkEnd w:id="321"/>
      <w:bookmarkEnd w:id="322"/>
      <w:bookmarkEnd w:id="323"/>
      <w:bookmarkEnd w:id="324"/>
      <w:bookmarkEnd w:id="325"/>
    </w:p>
    <w:p w14:paraId="16659B78" w14:textId="77777777" w:rsidR="00F67CBC" w:rsidRPr="00F833B4" w:rsidRDefault="00F67CBC" w:rsidP="00BD1A0C">
      <w:pPr>
        <w:rPr>
          <w:lang w:val="ru-RU"/>
        </w:rPr>
      </w:pPr>
      <w:r w:rsidRPr="00F833B4">
        <w:rPr>
          <w:lang w:val="ru-RU"/>
        </w:rPr>
        <w:t>88</w:t>
      </w:r>
      <w:r w:rsidRPr="00F833B4">
        <w:rPr>
          <w:lang w:val="ru-RU"/>
        </w:rPr>
        <w:tab/>
        <w:t>Общие доходы составили 187,2 млн. швейцарских франков, то есть на 10,8 млн. швейцарских франков (+6,1%) больше, чем в 2018 году (176,4 млн. швейцарских франков), что объясняется главным образом увеличением финансовых доходов (+8,8 млн. швейцарских франков). Начисленные взносы, сумма которых составила 126,5 </w:t>
      </w:r>
      <w:proofErr w:type="gramStart"/>
      <w:r w:rsidRPr="00F833B4">
        <w:rPr>
          <w:lang w:val="ru-RU"/>
        </w:rPr>
        <w:t>млн.</w:t>
      </w:r>
      <w:proofErr w:type="gramEnd"/>
      <w:r w:rsidRPr="00F833B4">
        <w:rPr>
          <w:lang w:val="ru-RU"/>
        </w:rPr>
        <w:t xml:space="preserve"> швейцарских франков, также увеличились по сравнению с 2018 годом (+1,3 млн. швейцарских франков, или +1%). Доля начисленных взносов в общих доходах в 2019 году составила 67,6% (в 2018 г. она оставляла 71%). Подробная разбивка доходов представлена в Примечании 22 к Отчету о финансовой деятельности.</w:t>
      </w:r>
    </w:p>
    <w:p w14:paraId="530A00D7" w14:textId="77777777" w:rsidR="00F67CBC" w:rsidRPr="00F833B4" w:rsidRDefault="00F67CBC" w:rsidP="0000018B">
      <w:pPr>
        <w:rPr>
          <w:lang w:val="ru-RU"/>
        </w:rPr>
      </w:pPr>
      <w:r w:rsidRPr="00F833B4">
        <w:rPr>
          <w:lang w:val="ru-RU"/>
        </w:rPr>
        <w:t>89</w:t>
      </w:r>
      <w:r w:rsidRPr="00F833B4">
        <w:rPr>
          <w:lang w:val="ru-RU"/>
        </w:rPr>
        <w:tab/>
        <w:t>Расходы составили 244,6 </w:t>
      </w:r>
      <w:proofErr w:type="gramStart"/>
      <w:r w:rsidRPr="00F833B4">
        <w:rPr>
          <w:lang w:val="ru-RU"/>
        </w:rPr>
        <w:t>млн.</w:t>
      </w:r>
      <w:proofErr w:type="gramEnd"/>
      <w:r w:rsidRPr="00F833B4">
        <w:rPr>
          <w:lang w:val="ru-RU"/>
        </w:rPr>
        <w:t xml:space="preserve"> швейцарских франков, что на 66,4 млн. швейцарских франков больше (+60,3%), чем в 2018 году (184,4 млн. швейцарских франков). Такое увеличение почти полностью объясняется расходами по персоналу, которые возросли до 203,9 млн. швейцарских франков, составив 83,4% от общих расходов, то есть их доля увеличилась по сравнению с 2018 годом, когда они составляли 80,7% от общей суммы расходов, как отмечается в Примечании 23 к Отчету о финансовой деятельности.</w:t>
      </w:r>
    </w:p>
    <w:p w14:paraId="41CF256D" w14:textId="77777777" w:rsidR="00F67CBC" w:rsidRPr="00F833B4" w:rsidRDefault="00F67CBC" w:rsidP="000608BD">
      <w:pPr>
        <w:pStyle w:val="Heading2"/>
        <w:rPr>
          <w:lang w:val="ru-RU"/>
        </w:rPr>
      </w:pPr>
      <w:bookmarkStart w:id="326" w:name="_Toc482995209"/>
      <w:bookmarkStart w:id="327" w:name="_Toc522633598"/>
      <w:bookmarkStart w:id="328" w:name="_Toc56179577"/>
      <w:bookmarkStart w:id="329" w:name="_Toc56180399"/>
      <w:r w:rsidRPr="00F833B4">
        <w:rPr>
          <w:lang w:val="ru-RU"/>
        </w:rPr>
        <w:t>Продажи публикаци</w:t>
      </w:r>
      <w:bookmarkEnd w:id="326"/>
      <w:r w:rsidRPr="00F833B4">
        <w:rPr>
          <w:lang w:val="ru-RU"/>
        </w:rPr>
        <w:t>й</w:t>
      </w:r>
      <w:bookmarkEnd w:id="327"/>
      <w:bookmarkEnd w:id="328"/>
      <w:bookmarkEnd w:id="329"/>
    </w:p>
    <w:p w14:paraId="42DBA0F6" w14:textId="77777777" w:rsidR="00F67CBC" w:rsidRPr="00F833B4" w:rsidRDefault="00F67CBC" w:rsidP="0000018B">
      <w:pPr>
        <w:rPr>
          <w:lang w:val="ru-RU"/>
        </w:rPr>
      </w:pPr>
      <w:r w:rsidRPr="00F833B4">
        <w:rPr>
          <w:lang w:val="ru-RU"/>
        </w:rPr>
        <w:t>90</w:t>
      </w:r>
      <w:r w:rsidRPr="00F833B4">
        <w:rPr>
          <w:lang w:val="ru-RU"/>
        </w:rPr>
        <w:tab/>
        <w:t xml:space="preserve">Доходы от продажи публикаций составили в 2019 году 15,61 тыс. швейцарских франков, то есть на 13% больше, по сравнению с 2018 годом. Выход в 2019 году двух новых изданий </w:t>
      </w:r>
      <w:r w:rsidRPr="00F833B4">
        <w:rPr>
          <w:color w:val="000000"/>
          <w:lang w:val="ru-RU"/>
        </w:rPr>
        <w:t xml:space="preserve">морских служебных публикаций </w:t>
      </w:r>
      <w:r w:rsidRPr="00F833B4">
        <w:rPr>
          <w:lang w:val="ru-RU"/>
        </w:rPr>
        <w:t>МСЭ позволил увеличить объем продаж, которые включают продажу на протяжении всего года публикации под одним названием (Список V: Судовые станции, 2019 г.) и продажу на протяжении одного месяца публикации под вторым названием (Список IV: Береговые станции, 2019 г.), вышедшей только в декабре. Доходы от продажи этих двух изданий составили 87% от общего годового дохода.</w:t>
      </w:r>
    </w:p>
    <w:p w14:paraId="7EBAD973" w14:textId="77777777" w:rsidR="00F67CBC" w:rsidRPr="00F833B4" w:rsidRDefault="00F67CBC" w:rsidP="0000018B">
      <w:pPr>
        <w:rPr>
          <w:lang w:val="ru-RU"/>
        </w:rPr>
      </w:pPr>
      <w:r w:rsidRPr="00F833B4">
        <w:rPr>
          <w:lang w:val="ru-RU"/>
        </w:rPr>
        <w:t>91</w:t>
      </w:r>
      <w:r w:rsidRPr="00F833B4">
        <w:rPr>
          <w:lang w:val="ru-RU"/>
        </w:rPr>
        <w:tab/>
        <w:t xml:space="preserve">В 2019 году МСЭ подписал дистрибьюторские соглашения с шестью новыми торговыми посредниками с целью расширения каналов распространения морских служебных публикаций и мер борьбы с </w:t>
      </w:r>
      <w:r w:rsidRPr="00F833B4">
        <w:rPr>
          <w:color w:val="000000"/>
          <w:lang w:val="ru-RU"/>
        </w:rPr>
        <w:t>контрафактными продуктами, включая продолжение информационно-разъяснительных кампаний среди портовых инспекторов</w:t>
      </w:r>
      <w:r w:rsidRPr="00F833B4">
        <w:rPr>
          <w:lang w:val="ru-RU"/>
        </w:rPr>
        <w:t>.</w:t>
      </w:r>
    </w:p>
    <w:p w14:paraId="61351A0B" w14:textId="77777777" w:rsidR="00F67CBC" w:rsidRPr="00F833B4" w:rsidRDefault="00F67CBC" w:rsidP="0000018B">
      <w:pPr>
        <w:rPr>
          <w:lang w:val="ru-RU"/>
        </w:rPr>
      </w:pPr>
      <w:bookmarkStart w:id="330" w:name="_Ref9279348"/>
      <w:r w:rsidRPr="00F833B4">
        <w:rPr>
          <w:lang w:val="ru-RU"/>
        </w:rPr>
        <w:t>92</w:t>
      </w:r>
      <w:r w:rsidRPr="00F833B4">
        <w:rPr>
          <w:lang w:val="ru-RU"/>
        </w:rPr>
        <w:tab/>
        <w:t xml:space="preserve">Хотя большая часть контента </w:t>
      </w:r>
      <w:r w:rsidRPr="00F833B4">
        <w:rPr>
          <w:color w:val="000000"/>
          <w:lang w:val="ru-RU"/>
        </w:rPr>
        <w:t xml:space="preserve">и изданий МСЭ имеются в настоящее время в бесплатном онлайновом доступе, традиционные крупные клиенты, </w:t>
      </w:r>
      <w:r w:rsidRPr="00F833B4">
        <w:rPr>
          <w:lang w:val="ru-RU"/>
        </w:rPr>
        <w:t xml:space="preserve">такие как подразделение </w:t>
      </w:r>
      <w:proofErr w:type="spellStart"/>
      <w:r w:rsidRPr="00F833B4">
        <w:rPr>
          <w:lang w:val="ru-RU"/>
        </w:rPr>
        <w:t>Intelligence</w:t>
      </w:r>
      <w:proofErr w:type="spellEnd"/>
      <w:r w:rsidRPr="00F833B4">
        <w:rPr>
          <w:lang w:val="ru-RU"/>
        </w:rPr>
        <w:t xml:space="preserve"> Unit </w:t>
      </w:r>
      <w:r w:rsidRPr="00F833B4">
        <w:rPr>
          <w:lang w:val="ru-RU"/>
        </w:rPr>
        <w:lastRenderedPageBreak/>
        <w:t xml:space="preserve">журнала </w:t>
      </w:r>
      <w:proofErr w:type="spellStart"/>
      <w:r w:rsidRPr="00F833B4">
        <w:rPr>
          <w:lang w:val="ru-RU"/>
        </w:rPr>
        <w:t>Economist</w:t>
      </w:r>
      <w:proofErr w:type="spellEnd"/>
      <w:r w:rsidRPr="00F833B4">
        <w:rPr>
          <w:lang w:val="ru-RU"/>
        </w:rPr>
        <w:t xml:space="preserve">, </w:t>
      </w:r>
      <w:proofErr w:type="spellStart"/>
      <w:r w:rsidRPr="00F833B4">
        <w:rPr>
          <w:lang w:val="ru-RU"/>
        </w:rPr>
        <w:t>Financial</w:t>
      </w:r>
      <w:proofErr w:type="spellEnd"/>
      <w:r w:rsidRPr="00F833B4">
        <w:rPr>
          <w:lang w:val="ru-RU"/>
        </w:rPr>
        <w:t xml:space="preserve"> </w:t>
      </w:r>
      <w:proofErr w:type="spellStart"/>
      <w:r w:rsidRPr="00F833B4">
        <w:rPr>
          <w:lang w:val="ru-RU"/>
        </w:rPr>
        <w:t>Times</w:t>
      </w:r>
      <w:proofErr w:type="spellEnd"/>
      <w:r w:rsidRPr="00F833B4">
        <w:rPr>
          <w:lang w:val="ru-RU"/>
        </w:rPr>
        <w:t xml:space="preserve">, </w:t>
      </w:r>
      <w:proofErr w:type="spellStart"/>
      <w:r w:rsidRPr="00F833B4">
        <w:rPr>
          <w:lang w:val="ru-RU"/>
        </w:rPr>
        <w:t>Ernst</w:t>
      </w:r>
      <w:proofErr w:type="spellEnd"/>
      <w:r w:rsidRPr="00F833B4">
        <w:rPr>
          <w:lang w:val="ru-RU"/>
        </w:rPr>
        <w:t xml:space="preserve"> &amp; </w:t>
      </w:r>
      <w:proofErr w:type="spellStart"/>
      <w:r w:rsidRPr="00F833B4">
        <w:rPr>
          <w:lang w:val="ru-RU"/>
        </w:rPr>
        <w:t>Young</w:t>
      </w:r>
      <w:proofErr w:type="spellEnd"/>
      <w:r w:rsidRPr="00F833B4">
        <w:rPr>
          <w:lang w:val="ru-RU"/>
        </w:rPr>
        <w:t xml:space="preserve">, продлили свои </w:t>
      </w:r>
      <w:r w:rsidRPr="00F833B4">
        <w:rPr>
          <w:color w:val="000000"/>
          <w:lang w:val="ru-RU"/>
        </w:rPr>
        <w:t xml:space="preserve">лицензионные соглашения на получение подготовленных специально для них данных </w:t>
      </w:r>
      <w:r w:rsidRPr="00F833B4">
        <w:rPr>
          <w:lang w:val="ru-RU"/>
        </w:rPr>
        <w:t xml:space="preserve">из </w:t>
      </w:r>
      <w:r w:rsidRPr="00F833B4">
        <w:rPr>
          <w:color w:val="000000"/>
          <w:lang w:val="ru-RU"/>
        </w:rPr>
        <w:t xml:space="preserve">базы данных </w:t>
      </w:r>
      <w:r w:rsidRPr="00F833B4">
        <w:rPr>
          <w:lang w:val="ru-RU"/>
        </w:rPr>
        <w:t xml:space="preserve">МСЭ-D </w:t>
      </w:r>
      <w:r w:rsidRPr="00F833B4">
        <w:rPr>
          <w:color w:val="000000"/>
          <w:lang w:val="ru-RU"/>
        </w:rPr>
        <w:t>по всемирным показателям в области электросвязи/ИКТ и таким образом продолжают вносить МСЭ ежегодные лицензионные платежи</w:t>
      </w:r>
      <w:r w:rsidRPr="00F833B4">
        <w:rPr>
          <w:lang w:val="ru-RU"/>
        </w:rPr>
        <w:t>.</w:t>
      </w:r>
    </w:p>
    <w:p w14:paraId="4D350F35" w14:textId="64E01D21" w:rsidR="00F67CBC" w:rsidRPr="00F833B4" w:rsidRDefault="006258AC" w:rsidP="006258AC">
      <w:pPr>
        <w:pStyle w:val="Heading1"/>
        <w:tabs>
          <w:tab w:val="clear" w:pos="794"/>
        </w:tabs>
        <w:ind w:left="0" w:firstLine="0"/>
        <w:rPr>
          <w:lang w:val="ru-RU"/>
        </w:rPr>
      </w:pPr>
      <w:bookmarkStart w:id="331" w:name="_Toc54303754"/>
      <w:bookmarkStart w:id="332" w:name="_Toc54769171"/>
      <w:bookmarkStart w:id="333" w:name="_Toc56179578"/>
      <w:bookmarkStart w:id="334" w:name="_Toc56180400"/>
      <w:r w:rsidRPr="006258AC">
        <w:rPr>
          <w:lang w:val="ru-RU"/>
        </w:rPr>
        <w:t>РАСХОДЫ, СВЯЗАННЫЕ С МЕЖДУНАРОДНЫМ СОТРУДНИЧЕСТВОМ И ТЕХНИЧЕСКОЙ ПОМОЩЬЮ</w:t>
      </w:r>
      <w:r w:rsidRPr="00F833B4">
        <w:rPr>
          <w:lang w:val="ru-RU"/>
        </w:rPr>
        <w:t xml:space="preserve">: </w:t>
      </w:r>
      <w:bookmarkEnd w:id="331"/>
      <w:bookmarkEnd w:id="332"/>
      <w:r w:rsidRPr="006258AC">
        <w:rPr>
          <w:lang w:val="ru-RU"/>
        </w:rPr>
        <w:t>ОСНОВАНИЕ ДЛЯ ВЫНЕСЕНИЯ АУДИТОРСКОГО ЗАКЛЮЧЕНИЯ С</w:t>
      </w:r>
      <w:r>
        <w:rPr>
          <w:lang w:val="ru-RU"/>
        </w:rPr>
        <w:t> </w:t>
      </w:r>
      <w:r w:rsidRPr="006258AC">
        <w:rPr>
          <w:lang w:val="ru-RU"/>
        </w:rPr>
        <w:t>ОГОВОРКАМИ</w:t>
      </w:r>
      <w:bookmarkEnd w:id="333"/>
      <w:bookmarkEnd w:id="334"/>
    </w:p>
    <w:p w14:paraId="07953DB9" w14:textId="77777777" w:rsidR="00F67CBC" w:rsidRPr="00F833B4" w:rsidRDefault="00F67CBC" w:rsidP="00F833B4">
      <w:pPr>
        <w:pStyle w:val="Heading3"/>
        <w:rPr>
          <w:i/>
          <w:iCs/>
          <w:lang w:val="ru-RU"/>
        </w:rPr>
      </w:pPr>
      <w:bookmarkStart w:id="335" w:name="_Toc54303755"/>
      <w:bookmarkStart w:id="336" w:name="_Toc54769172"/>
      <w:bookmarkStart w:id="337" w:name="_Toc56180401"/>
      <w:r w:rsidRPr="00F833B4">
        <w:rPr>
          <w:i/>
          <w:iCs/>
          <w:lang w:val="ru-RU"/>
        </w:rPr>
        <w:t xml:space="preserve">Подтверждаются усилия, предпринятые руководством в целях </w:t>
      </w:r>
      <w:r w:rsidRPr="00F833B4">
        <w:rPr>
          <w:i/>
          <w:color w:val="000000"/>
          <w:lang w:val="ru-RU"/>
        </w:rPr>
        <w:t>устранения существенных недостатков в некоторых конкретных областях</w:t>
      </w:r>
      <w:r w:rsidRPr="00F833B4">
        <w:rPr>
          <w:i/>
          <w:iCs/>
          <w:lang w:val="ru-RU"/>
        </w:rPr>
        <w:t xml:space="preserve">, однако еще требуются </w:t>
      </w:r>
      <w:r w:rsidRPr="00F833B4">
        <w:rPr>
          <w:i/>
          <w:color w:val="000000"/>
          <w:lang w:val="ru-RU"/>
        </w:rPr>
        <w:t>конкретные меры</w:t>
      </w:r>
      <w:r w:rsidRPr="00F833B4">
        <w:rPr>
          <w:color w:val="000000"/>
          <w:lang w:val="ru-RU"/>
        </w:rPr>
        <w:t xml:space="preserve"> </w:t>
      </w:r>
      <w:bookmarkEnd w:id="335"/>
      <w:bookmarkEnd w:id="336"/>
      <w:r w:rsidRPr="00F833B4">
        <w:rPr>
          <w:i/>
          <w:iCs/>
          <w:lang w:val="ru-RU"/>
        </w:rPr>
        <w:t>по реализации</w:t>
      </w:r>
      <w:bookmarkEnd w:id="337"/>
    </w:p>
    <w:p w14:paraId="036D910B" w14:textId="77777777" w:rsidR="00F67CBC" w:rsidRPr="00F833B4" w:rsidRDefault="00F67CBC" w:rsidP="0000018B">
      <w:pPr>
        <w:rPr>
          <w:lang w:val="ru-RU"/>
        </w:rPr>
      </w:pPr>
      <w:r w:rsidRPr="00F833B4">
        <w:rPr>
          <w:lang w:val="ru-RU"/>
        </w:rPr>
        <w:t>93</w:t>
      </w:r>
      <w:r w:rsidRPr="00F833B4">
        <w:rPr>
          <w:lang w:val="ru-RU"/>
        </w:rPr>
        <w:tab/>
        <w:t xml:space="preserve">В своем отчете за прошлый год мы выявили ряд недостатков, касающихся системы </w:t>
      </w:r>
      <w:r w:rsidRPr="00F833B4">
        <w:rPr>
          <w:color w:val="000000"/>
          <w:lang w:val="ru-RU"/>
        </w:rPr>
        <w:t>внутреннего контроля</w:t>
      </w:r>
      <w:r w:rsidRPr="00F833B4">
        <w:rPr>
          <w:lang w:val="ru-RU"/>
        </w:rPr>
        <w:t xml:space="preserve"> в областях </w:t>
      </w:r>
      <w:r w:rsidRPr="00F833B4">
        <w:rPr>
          <w:color w:val="000000"/>
          <w:lang w:val="ru-RU"/>
        </w:rPr>
        <w:t>международного сотрудничества и технической помощи</w:t>
      </w:r>
      <w:r w:rsidRPr="00F833B4">
        <w:rPr>
          <w:lang w:val="ru-RU"/>
        </w:rPr>
        <w:t xml:space="preserve">, которые значительно </w:t>
      </w:r>
      <w:r w:rsidRPr="00F833B4">
        <w:rPr>
          <w:color w:val="000000"/>
          <w:lang w:val="ru-RU"/>
        </w:rPr>
        <w:t>снизили уровень нашей уверенности в том, что финансовая отчетность не содержит существенных искажений в этой конкретной области</w:t>
      </w:r>
      <w:r w:rsidRPr="00F833B4">
        <w:rPr>
          <w:lang w:val="ru-RU"/>
        </w:rPr>
        <w:t xml:space="preserve">. Мы </w:t>
      </w:r>
      <w:r w:rsidRPr="00F833B4">
        <w:rPr>
          <w:color w:val="000000"/>
          <w:lang w:val="ru-RU"/>
        </w:rPr>
        <w:t>сформулировали несколько рекомендаций по улучшению системы внутреннего контроля, как на центральном, так и на местном уровнях.</w:t>
      </w:r>
      <w:r w:rsidRPr="00F833B4">
        <w:rPr>
          <w:lang w:val="ru-RU"/>
        </w:rPr>
        <w:t xml:space="preserve"> </w:t>
      </w:r>
    </w:p>
    <w:p w14:paraId="1D61F444" w14:textId="77777777" w:rsidR="00F67CBC" w:rsidRPr="00F833B4" w:rsidRDefault="00F67CBC" w:rsidP="00F833B4">
      <w:pPr>
        <w:rPr>
          <w:lang w:val="ru-RU"/>
        </w:rPr>
      </w:pPr>
      <w:bookmarkStart w:id="338" w:name="_Ref9279351"/>
      <w:bookmarkEnd w:id="330"/>
      <w:r w:rsidRPr="00F833B4">
        <w:rPr>
          <w:lang w:val="ru-RU"/>
        </w:rPr>
        <w:t>94</w:t>
      </w:r>
      <w:r w:rsidRPr="00F833B4">
        <w:rPr>
          <w:lang w:val="ru-RU"/>
        </w:rPr>
        <w:tab/>
      </w:r>
      <w:bookmarkEnd w:id="338"/>
      <w:r w:rsidRPr="00F833B4">
        <w:rPr>
          <w:color w:val="000000"/>
          <w:lang w:val="ru-RU"/>
        </w:rPr>
        <w:t>Мы подтверждаем тот факт, что МСЭ</w:t>
      </w:r>
      <w:r w:rsidRPr="00F833B4">
        <w:rPr>
          <w:lang w:val="ru-RU"/>
        </w:rPr>
        <w:t xml:space="preserve"> начал </w:t>
      </w:r>
      <w:r w:rsidRPr="00F833B4">
        <w:rPr>
          <w:color w:val="000000"/>
          <w:lang w:val="ru-RU"/>
        </w:rPr>
        <w:t>всесторонний процесс, направленный на обеспечение надлежащего выполнения наших рекомендаций</w:t>
      </w:r>
      <w:r w:rsidRPr="00F833B4">
        <w:rPr>
          <w:lang w:val="ru-RU"/>
        </w:rPr>
        <w:t>, а также рекомендаций, сформулированных IAU и ОИГ. По инициативе Директора БРЭ была создана Р</w:t>
      </w:r>
      <w:r w:rsidRPr="00F833B4">
        <w:rPr>
          <w:color w:val="000000"/>
          <w:lang w:val="ru-RU"/>
        </w:rPr>
        <w:t>абочая группа по внутреннему контролю</w:t>
      </w:r>
      <w:r w:rsidRPr="00F833B4">
        <w:rPr>
          <w:lang w:val="ru-RU"/>
        </w:rPr>
        <w:t xml:space="preserve"> для устранения, в частности, рисков, связанных с </w:t>
      </w:r>
      <w:r w:rsidRPr="00F833B4">
        <w:rPr>
          <w:color w:val="000000"/>
          <w:lang w:val="ru-RU"/>
        </w:rPr>
        <w:t>системой подотчетности</w:t>
      </w:r>
      <w:r w:rsidRPr="00F833B4">
        <w:rPr>
          <w:lang w:val="ru-RU"/>
        </w:rPr>
        <w:t xml:space="preserve">, и рассмотрения процедур </w:t>
      </w:r>
      <w:r w:rsidRPr="00F833B4">
        <w:rPr>
          <w:color w:val="000000"/>
          <w:lang w:val="ru-RU"/>
        </w:rPr>
        <w:t>управленческого надзора</w:t>
      </w:r>
      <w:r w:rsidRPr="00F833B4">
        <w:rPr>
          <w:lang w:val="ru-RU"/>
        </w:rPr>
        <w:t xml:space="preserve">. Это касалось, в частности, таких областей, как управление, этика, закупки, процедуры внутреннего контроля. Совет регулярно информируется о состоянии этого процесса, который частично все еще находится в стадии реализации. </w:t>
      </w:r>
    </w:p>
    <w:p w14:paraId="51E4A10E" w14:textId="77777777" w:rsidR="00F67CBC" w:rsidRPr="00F833B4" w:rsidRDefault="00F67CBC" w:rsidP="00F833B4">
      <w:pPr>
        <w:rPr>
          <w:lang w:val="ru-RU"/>
        </w:rPr>
      </w:pPr>
      <w:r w:rsidRPr="00F833B4">
        <w:rPr>
          <w:lang w:val="ru-RU"/>
        </w:rPr>
        <w:t>95</w:t>
      </w:r>
      <w:r w:rsidRPr="00F833B4">
        <w:rPr>
          <w:lang w:val="ru-RU"/>
        </w:rPr>
        <w:tab/>
        <w:t xml:space="preserve">Кроме того, в соответствии с решением Совета, руководство наняло несколько </w:t>
      </w:r>
      <w:r w:rsidRPr="00F833B4">
        <w:rPr>
          <w:color w:val="000000"/>
          <w:lang w:val="ru-RU"/>
        </w:rPr>
        <w:t>внешних консультантов, специализирующихся в различных областях,</w:t>
      </w:r>
      <w:r w:rsidRPr="00F833B4">
        <w:rPr>
          <w:lang w:val="ru-RU"/>
        </w:rPr>
        <w:t xml:space="preserve"> </w:t>
      </w:r>
      <w:r w:rsidRPr="00F833B4">
        <w:rPr>
          <w:color w:val="000000"/>
          <w:lang w:val="ru-RU"/>
        </w:rPr>
        <w:t>с целью определения наиболее подходящих решений</w:t>
      </w:r>
      <w:r w:rsidRPr="00F833B4">
        <w:rPr>
          <w:lang w:val="ru-RU"/>
        </w:rPr>
        <w:t xml:space="preserve"> </w:t>
      </w:r>
      <w:r w:rsidRPr="00F833B4">
        <w:rPr>
          <w:color w:val="000000"/>
          <w:lang w:val="ru-RU"/>
        </w:rPr>
        <w:t>для снижения риска мошеннической деятельности</w:t>
      </w:r>
      <w:r w:rsidRPr="00F833B4">
        <w:rPr>
          <w:lang w:val="ru-RU"/>
        </w:rPr>
        <w:t xml:space="preserve"> в </w:t>
      </w:r>
      <w:r w:rsidRPr="00F833B4">
        <w:rPr>
          <w:color w:val="000000"/>
          <w:lang w:val="ru-RU"/>
        </w:rPr>
        <w:t>региональных и зональных отделениях МСЭ и укрепления регионального присутствия МСЭ</w:t>
      </w:r>
      <w:r w:rsidRPr="00F833B4">
        <w:rPr>
          <w:lang w:val="ru-RU"/>
        </w:rPr>
        <w:t xml:space="preserve">. </w:t>
      </w:r>
    </w:p>
    <w:p w14:paraId="4B037372" w14:textId="77777777" w:rsidR="00F67CBC" w:rsidRPr="00F833B4" w:rsidRDefault="00F67CBC" w:rsidP="00F833B4">
      <w:pPr>
        <w:rPr>
          <w:lang w:val="ru-RU"/>
        </w:rPr>
      </w:pPr>
      <w:r w:rsidRPr="00F833B4">
        <w:rPr>
          <w:lang w:val="ru-RU"/>
        </w:rPr>
        <w:t>96</w:t>
      </w:r>
      <w:r w:rsidRPr="00F833B4">
        <w:rPr>
          <w:lang w:val="ru-RU"/>
        </w:rPr>
        <w:tab/>
        <w:t xml:space="preserve">Признавая прогресс, достигнутый в </w:t>
      </w:r>
      <w:r w:rsidRPr="00F833B4">
        <w:rPr>
          <w:color w:val="000000"/>
          <w:lang w:val="ru-RU"/>
        </w:rPr>
        <w:t xml:space="preserve">повышении подотчетности </w:t>
      </w:r>
      <w:r w:rsidRPr="00F833B4">
        <w:rPr>
          <w:lang w:val="ru-RU"/>
        </w:rPr>
        <w:t xml:space="preserve">и обеспечении лучшего внутреннего контроля, </w:t>
      </w:r>
      <w:r w:rsidRPr="00F833B4">
        <w:rPr>
          <w:color w:val="000000"/>
          <w:lang w:val="ru-RU"/>
        </w:rPr>
        <w:t>считаем целесообразным</w:t>
      </w:r>
      <w:r w:rsidRPr="00F833B4">
        <w:rPr>
          <w:lang w:val="ru-RU"/>
        </w:rPr>
        <w:t xml:space="preserve"> оставить заключение с оговорками, поскольку, как было признано руководством, разработанные инструменты еще не смогли доказать свою эффективность </w:t>
      </w:r>
      <w:r w:rsidRPr="00F833B4">
        <w:rPr>
          <w:color w:val="000000"/>
          <w:lang w:val="ru-RU"/>
        </w:rPr>
        <w:t>в снижении рисков,</w:t>
      </w:r>
      <w:r w:rsidRPr="00F833B4">
        <w:rPr>
          <w:lang w:val="ru-RU"/>
        </w:rPr>
        <w:t xml:space="preserve"> касающихся </w:t>
      </w:r>
      <w:r w:rsidRPr="00F833B4">
        <w:rPr>
          <w:color w:val="000000"/>
          <w:lang w:val="ru-RU"/>
        </w:rPr>
        <w:t>финансовой отчетности</w:t>
      </w:r>
      <w:r w:rsidRPr="00F833B4">
        <w:rPr>
          <w:lang w:val="ru-RU"/>
        </w:rPr>
        <w:t>.</w:t>
      </w:r>
    </w:p>
    <w:p w14:paraId="5E70C2B1" w14:textId="77777777" w:rsidR="00F67CBC" w:rsidRPr="00F833B4" w:rsidRDefault="00F67CBC" w:rsidP="00F833B4">
      <w:pPr>
        <w:rPr>
          <w:lang w:val="ru-RU"/>
        </w:rPr>
      </w:pPr>
      <w:r w:rsidRPr="00F833B4">
        <w:rPr>
          <w:lang w:val="ru-RU"/>
        </w:rPr>
        <w:t>97</w:t>
      </w:r>
      <w:r w:rsidRPr="00F833B4">
        <w:rPr>
          <w:lang w:val="ru-RU"/>
        </w:rPr>
        <w:tab/>
        <w:t xml:space="preserve">Важно отметить, что один из внешних консультантов также пришел к выводу о том, что риск мошенничества и ошибки на уровне МСЭ сохраняется, и поэтому необходимо усилить ключевые функции контроля, чтобы повысить </w:t>
      </w:r>
      <w:r w:rsidRPr="00F833B4">
        <w:rPr>
          <w:color w:val="000000"/>
          <w:lang w:val="ru-RU"/>
        </w:rPr>
        <w:t>надежность финансовых данных</w:t>
      </w:r>
      <w:r w:rsidRPr="00F833B4">
        <w:rPr>
          <w:lang w:val="ru-RU"/>
        </w:rPr>
        <w:t xml:space="preserve">. Такие же выводы содержатся в последнем отчете </w:t>
      </w:r>
      <w:r w:rsidRPr="00F833B4">
        <w:rPr>
          <w:color w:val="000000"/>
          <w:lang w:val="ru-RU"/>
        </w:rPr>
        <w:t xml:space="preserve">об аудиторской проверке </w:t>
      </w:r>
      <w:r w:rsidRPr="00F833B4">
        <w:rPr>
          <w:lang w:val="ru-RU"/>
        </w:rPr>
        <w:t>IAU по проектам, региональным инициативам и действиям, выполненным БРЭ. Это подтверждает наше заключение с оговорками.</w:t>
      </w:r>
    </w:p>
    <w:p w14:paraId="26E9D7D2" w14:textId="77777777" w:rsidR="00F67CBC" w:rsidRPr="00F833B4" w:rsidRDefault="00F67CBC" w:rsidP="00F833B4">
      <w:pPr>
        <w:pStyle w:val="Heading1"/>
        <w:tabs>
          <w:tab w:val="clear" w:pos="794"/>
        </w:tabs>
        <w:ind w:left="0" w:firstLine="0"/>
        <w:rPr>
          <w:lang w:val="ru-RU"/>
        </w:rPr>
      </w:pPr>
      <w:bookmarkStart w:id="339" w:name="_Toc56179579"/>
      <w:bookmarkStart w:id="340" w:name="_Toc56180402"/>
      <w:r w:rsidRPr="00F833B4">
        <w:rPr>
          <w:lang w:val="ru-RU"/>
        </w:rPr>
        <w:t>ЗАКУПКИ</w:t>
      </w:r>
      <w:bookmarkEnd w:id="339"/>
      <w:bookmarkEnd w:id="340"/>
    </w:p>
    <w:p w14:paraId="74094CC2" w14:textId="77777777" w:rsidR="00F67CBC" w:rsidRPr="00F833B4" w:rsidRDefault="00F67CBC" w:rsidP="00F833B4">
      <w:pPr>
        <w:rPr>
          <w:lang w:val="ru-RU"/>
        </w:rPr>
      </w:pPr>
      <w:r w:rsidRPr="00F833B4">
        <w:rPr>
          <w:lang w:val="ru-RU"/>
        </w:rPr>
        <w:t>98</w:t>
      </w:r>
      <w:r w:rsidRPr="00F833B4">
        <w:rPr>
          <w:lang w:val="ru-RU"/>
        </w:rPr>
        <w:tab/>
      </w:r>
      <w:r w:rsidRPr="00F833B4">
        <w:rPr>
          <w:color w:val="000000"/>
          <w:lang w:val="ru-RU"/>
        </w:rPr>
        <w:t xml:space="preserve">Мы провели нашу аудиторскую проверку дистанционно </w:t>
      </w:r>
      <w:r w:rsidRPr="00F833B4">
        <w:rPr>
          <w:lang w:val="ru-RU"/>
        </w:rPr>
        <w:t xml:space="preserve">на ограниченной выборке. Наша проверка показала, что один продавец получил в 2019 году совокупных </w:t>
      </w:r>
      <w:r w:rsidRPr="00F833B4">
        <w:rPr>
          <w:color w:val="000000"/>
          <w:lang w:val="ru-RU"/>
        </w:rPr>
        <w:t xml:space="preserve">заказов </w:t>
      </w:r>
      <w:r w:rsidRPr="00F833B4">
        <w:rPr>
          <w:lang w:val="ru-RU"/>
        </w:rPr>
        <w:t>на сумму в 24 693,40 </w:t>
      </w:r>
      <w:r w:rsidRPr="00F833B4">
        <w:rPr>
          <w:color w:val="000000"/>
          <w:lang w:val="ru-RU"/>
        </w:rPr>
        <w:t>швейцарского</w:t>
      </w:r>
      <w:r w:rsidRPr="00F833B4">
        <w:rPr>
          <w:lang w:val="ru-RU"/>
        </w:rPr>
        <w:t xml:space="preserve"> франка, что превышает предельный уровень закупок в </w:t>
      </w:r>
      <w:r w:rsidRPr="00F833B4">
        <w:rPr>
          <w:color w:val="000000"/>
          <w:lang w:val="ru-RU"/>
        </w:rPr>
        <w:t xml:space="preserve">20 тыс. швейцарских франков, установленный на одного поставщика в одном календарном году </w:t>
      </w:r>
      <w:r w:rsidRPr="00F833B4">
        <w:rPr>
          <w:lang w:val="ru-RU"/>
        </w:rPr>
        <w:t>и</w:t>
      </w:r>
      <w:r w:rsidRPr="00F833B4">
        <w:rPr>
          <w:color w:val="000000"/>
          <w:lang w:val="ru-RU"/>
        </w:rPr>
        <w:t>нструкцией по закупкам</w:t>
      </w:r>
      <w:r w:rsidRPr="00F833B4">
        <w:rPr>
          <w:lang w:val="ru-RU"/>
        </w:rPr>
        <w:t xml:space="preserve">. Согласно тому, что было заявлено руководством, это стало ошибкой, вызванной человеческим </w:t>
      </w:r>
      <w:proofErr w:type="gramStart"/>
      <w:r w:rsidRPr="00F833B4">
        <w:rPr>
          <w:lang w:val="ru-RU"/>
        </w:rPr>
        <w:t>фактором, ввиду того, что</w:t>
      </w:r>
      <w:proofErr w:type="gramEnd"/>
      <w:r w:rsidRPr="00F833B4">
        <w:rPr>
          <w:lang w:val="ru-RU"/>
        </w:rPr>
        <w:t xml:space="preserve"> в 2019 году автоматическая проверка </w:t>
      </w:r>
      <w:r w:rsidRPr="00F833B4">
        <w:rPr>
          <w:color w:val="000000"/>
          <w:lang w:val="ru-RU"/>
        </w:rPr>
        <w:t>превышения порогового значения</w:t>
      </w:r>
      <w:r w:rsidRPr="00F833B4">
        <w:rPr>
          <w:lang w:val="ru-RU"/>
        </w:rPr>
        <w:t xml:space="preserve"> еще не была введена в действие. Начиная с 2020 года, новая установленная автоматическая </w:t>
      </w:r>
      <w:r w:rsidRPr="00F833B4">
        <w:rPr>
          <w:lang w:val="ru-RU"/>
        </w:rPr>
        <w:lastRenderedPageBreak/>
        <w:t>проверка позволит избежать подобных ошибок. Мы принимаем это объяснение и проконтролируем ситуацию во время наших будущих аудиторских проверок.</w:t>
      </w:r>
    </w:p>
    <w:p w14:paraId="23D29488" w14:textId="77777777" w:rsidR="00F67CBC" w:rsidRPr="00F833B4" w:rsidRDefault="00F67CBC" w:rsidP="00F833B4">
      <w:pPr>
        <w:pStyle w:val="Heading3"/>
        <w:rPr>
          <w:i/>
          <w:iCs/>
          <w:lang w:val="ru-RU"/>
        </w:rPr>
      </w:pPr>
      <w:bookmarkStart w:id="341" w:name="_Toc54769174"/>
      <w:bookmarkStart w:id="342" w:name="_Toc56180403"/>
      <w:r w:rsidRPr="00F833B4">
        <w:rPr>
          <w:i/>
          <w:iCs/>
          <w:lang w:val="ru-RU"/>
        </w:rPr>
        <w:t xml:space="preserve">База данных поставщиков </w:t>
      </w:r>
      <w:bookmarkEnd w:id="341"/>
      <w:r w:rsidRPr="00F833B4">
        <w:rPr>
          <w:i/>
          <w:iCs/>
          <w:lang w:val="ru-RU"/>
        </w:rPr>
        <w:t>не обновлялась</w:t>
      </w:r>
      <w:bookmarkEnd w:id="342"/>
    </w:p>
    <w:p w14:paraId="6098E82A" w14:textId="2EAF0CFF" w:rsidR="00F67CBC" w:rsidRPr="00F833B4" w:rsidRDefault="00F67CBC" w:rsidP="00F833B4">
      <w:pPr>
        <w:spacing w:after="120"/>
        <w:rPr>
          <w:lang w:val="ru-RU"/>
        </w:rPr>
      </w:pPr>
      <w:r w:rsidRPr="00F833B4">
        <w:rPr>
          <w:lang w:val="ru-RU"/>
        </w:rPr>
        <w:t>99</w:t>
      </w:r>
      <w:r w:rsidRPr="00F833B4">
        <w:rPr>
          <w:lang w:val="ru-RU"/>
        </w:rPr>
        <w:tab/>
        <w:t xml:space="preserve">В ходе нашей </w:t>
      </w:r>
      <w:r w:rsidRPr="00F833B4">
        <w:rPr>
          <w:color w:val="000000"/>
          <w:lang w:val="ru-RU"/>
        </w:rPr>
        <w:t xml:space="preserve">аудиторской проверки мы отметили, что </w:t>
      </w:r>
      <w:r w:rsidRPr="00F833B4">
        <w:rPr>
          <w:lang w:val="ru-RU"/>
        </w:rPr>
        <w:t xml:space="preserve">в 2019 году двум различным поставщиками были выданы два </w:t>
      </w:r>
      <w:r w:rsidRPr="00F833B4">
        <w:rPr>
          <w:color w:val="000000"/>
          <w:lang w:val="ru-RU"/>
        </w:rPr>
        <w:t xml:space="preserve">заказа </w:t>
      </w:r>
      <w:r w:rsidRPr="00F833B4">
        <w:rPr>
          <w:lang w:val="ru-RU"/>
        </w:rPr>
        <w:t xml:space="preserve">на сумму 23 128,28 </w:t>
      </w:r>
      <w:r w:rsidRPr="00F833B4">
        <w:rPr>
          <w:color w:val="000000"/>
          <w:lang w:val="ru-RU"/>
        </w:rPr>
        <w:t>швейцарского франка</w:t>
      </w:r>
      <w:r w:rsidRPr="00F833B4">
        <w:rPr>
          <w:lang w:val="ru-RU"/>
        </w:rPr>
        <w:t xml:space="preserve"> и 16 850,02</w:t>
      </w:r>
      <w:r w:rsidR="00F833B4" w:rsidRPr="00F833B4">
        <w:rPr>
          <w:lang w:val="ru-RU"/>
        </w:rPr>
        <w:t> </w:t>
      </w:r>
      <w:r w:rsidRPr="00F833B4">
        <w:rPr>
          <w:color w:val="000000"/>
          <w:lang w:val="ru-RU"/>
        </w:rPr>
        <w:t>швейцарского франка</w:t>
      </w:r>
      <w:r w:rsidRPr="00F833B4">
        <w:rPr>
          <w:lang w:val="ru-RU"/>
        </w:rPr>
        <w:t>, соответственно. Вместе с тем нам удалось обнаружить, что в октябре 2019 года эти поставщики объединились, однако в базе данных поставщиков это не нашло немедленного отражения. Поскольку МСЭ продолжал рассматривать их как отдельных поставщиков, возникал риск дробления контрактов/</w:t>
      </w:r>
      <w:r w:rsidRPr="00F833B4">
        <w:rPr>
          <w:color w:val="000000"/>
          <w:lang w:val="ru-RU"/>
        </w:rPr>
        <w:t>заказов на закупку</w:t>
      </w:r>
      <w:r w:rsidRPr="00F833B4">
        <w:rPr>
          <w:lang w:val="ru-RU"/>
        </w:rPr>
        <w:t xml:space="preserve"> и несоблюдения порогового значения, установленного в и</w:t>
      </w:r>
      <w:r w:rsidRPr="00F833B4">
        <w:rPr>
          <w:color w:val="000000"/>
          <w:lang w:val="ru-RU"/>
        </w:rPr>
        <w:t>нструкции по закупкам</w:t>
      </w:r>
      <w:r w:rsidRPr="00F833B4">
        <w:rPr>
          <w:lang w:val="ru-RU"/>
        </w:rPr>
        <w:t>.</w:t>
      </w:r>
    </w:p>
    <w:tbl>
      <w:tblPr>
        <w:tblStyle w:val="TableGrid2"/>
        <w:tblW w:w="0" w:type="auto"/>
        <w:tblInd w:w="-5" w:type="dxa"/>
        <w:tblLook w:val="04A0" w:firstRow="1" w:lastRow="0" w:firstColumn="1" w:lastColumn="0" w:noHBand="0" w:noVBand="1"/>
      </w:tblPr>
      <w:tblGrid>
        <w:gridCol w:w="9634"/>
      </w:tblGrid>
      <w:tr w:rsidR="00F67CBC" w:rsidRPr="00FE280E" w14:paraId="1DAFF162" w14:textId="77777777" w:rsidTr="00F833B4">
        <w:tc>
          <w:tcPr>
            <w:tcW w:w="9634" w:type="dxa"/>
          </w:tcPr>
          <w:p w14:paraId="650F8D64" w14:textId="77777777" w:rsidR="00F67CBC" w:rsidRPr="00F833B4" w:rsidRDefault="00F67CBC" w:rsidP="00F833B4">
            <w:pPr>
              <w:keepNext/>
              <w:rPr>
                <w:b/>
                <w:bCs/>
                <w:i/>
                <w:iCs/>
                <w:lang w:val="ru-RU"/>
              </w:rPr>
            </w:pPr>
            <w:r w:rsidRPr="00F833B4">
              <w:rPr>
                <w:b/>
                <w:i/>
                <w:lang w:val="ru-RU"/>
              </w:rPr>
              <w:t>Рекомендация 2</w:t>
            </w:r>
          </w:p>
          <w:p w14:paraId="20B01204" w14:textId="77777777" w:rsidR="00F67CBC" w:rsidRPr="00F833B4" w:rsidRDefault="00F67CBC" w:rsidP="00F833B4">
            <w:pPr>
              <w:spacing w:after="120"/>
              <w:rPr>
                <w:lang w:val="ru-RU"/>
              </w:rPr>
            </w:pPr>
            <w:r w:rsidRPr="00F833B4">
              <w:rPr>
                <w:lang w:val="ru-RU"/>
              </w:rPr>
              <w:t>100</w:t>
            </w:r>
            <w:r w:rsidRPr="00F833B4">
              <w:rPr>
                <w:lang w:val="ru-RU"/>
              </w:rPr>
              <w:tab/>
              <w:t xml:space="preserve">В случае объединения поставщиков </w:t>
            </w:r>
            <w:r w:rsidRPr="00F833B4">
              <w:rPr>
                <w:u w:val="single"/>
                <w:lang w:val="ru-RU"/>
              </w:rPr>
              <w:t>мы рекомендуем</w:t>
            </w:r>
            <w:r w:rsidRPr="00F833B4">
              <w:rPr>
                <w:lang w:val="ru-RU"/>
              </w:rPr>
              <w:t xml:space="preserve"> обновлять базу данных поставщиков сказу же после того, как стало известно о таком объединении.</w:t>
            </w:r>
          </w:p>
        </w:tc>
      </w:tr>
    </w:tbl>
    <w:p w14:paraId="01CBEC7C"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64E59940" w14:textId="77777777" w:rsidTr="00F833B4">
        <w:trPr>
          <w:cantSplit/>
        </w:trPr>
        <w:tc>
          <w:tcPr>
            <w:tcW w:w="9634" w:type="dxa"/>
          </w:tcPr>
          <w:p w14:paraId="073C0726" w14:textId="77777777" w:rsidR="00F67CBC" w:rsidRPr="00F833B4" w:rsidRDefault="00F67CBC" w:rsidP="00F833B4">
            <w:pPr>
              <w:rPr>
                <w:b/>
                <w:bCs/>
                <w:i/>
                <w:iCs/>
                <w:u w:val="single"/>
                <w:lang w:val="ru-RU"/>
              </w:rPr>
            </w:pPr>
            <w:r w:rsidRPr="00F833B4">
              <w:rPr>
                <w:b/>
                <w:bCs/>
                <w:i/>
                <w:iCs/>
                <w:u w:val="single"/>
                <w:lang w:val="ru-RU"/>
              </w:rPr>
              <w:t>Комментарии Генерального секретаря</w:t>
            </w:r>
          </w:p>
          <w:p w14:paraId="24EAF5D4" w14:textId="77777777" w:rsidR="00F67CBC" w:rsidRPr="00F833B4" w:rsidRDefault="00F67CBC" w:rsidP="00F833B4">
            <w:pPr>
              <w:spacing w:after="120"/>
              <w:rPr>
                <w:lang w:val="ru-RU"/>
              </w:rPr>
            </w:pPr>
            <w:r w:rsidRPr="00F833B4">
              <w:rPr>
                <w:lang w:val="ru-RU"/>
              </w:rPr>
              <w:t>МСЭ согласен, что база данных поставщиков должна своевременно обновляться в случае их объединения. Кроме того, МСЭ изучит влияние правовых и технических последствий, а также то, как выполнить эту рекомендацию.</w:t>
            </w:r>
          </w:p>
        </w:tc>
      </w:tr>
    </w:tbl>
    <w:p w14:paraId="573515A3" w14:textId="77777777" w:rsidR="00F67CBC" w:rsidRPr="00F833B4" w:rsidRDefault="00F67CBC" w:rsidP="00F833B4">
      <w:pPr>
        <w:pStyle w:val="Heading3"/>
        <w:rPr>
          <w:i/>
          <w:iCs/>
          <w:lang w:val="ru-RU"/>
        </w:rPr>
      </w:pPr>
      <w:bookmarkStart w:id="343" w:name="_Toc54769175"/>
      <w:bookmarkStart w:id="344" w:name="_Toc56180404"/>
      <w:r w:rsidRPr="00F833B4">
        <w:rPr>
          <w:i/>
          <w:color w:val="000000"/>
          <w:lang w:val="ru-RU"/>
        </w:rPr>
        <w:t>Публикация всей информации</w:t>
      </w:r>
      <w:r w:rsidRPr="00F833B4">
        <w:rPr>
          <w:i/>
          <w:iCs/>
          <w:lang w:val="ru-RU"/>
        </w:rPr>
        <w:t>, относящейся к присуждению контракта, на веб-сайте www.ungm.org</w:t>
      </w:r>
      <w:bookmarkEnd w:id="343"/>
      <w:bookmarkEnd w:id="344"/>
    </w:p>
    <w:p w14:paraId="2A8BE73B" w14:textId="5553594D" w:rsidR="00F67CBC" w:rsidRPr="00F833B4" w:rsidRDefault="00F67CBC" w:rsidP="00F833B4">
      <w:pPr>
        <w:spacing w:after="120"/>
        <w:rPr>
          <w:lang w:val="ru-RU"/>
        </w:rPr>
      </w:pPr>
      <w:r w:rsidRPr="00F833B4">
        <w:rPr>
          <w:lang w:val="ru-RU"/>
        </w:rPr>
        <w:t>101</w:t>
      </w:r>
      <w:r w:rsidRPr="00F833B4">
        <w:rPr>
          <w:lang w:val="ru-RU"/>
        </w:rPr>
        <w:tab/>
        <w:t xml:space="preserve">В ходе нашей </w:t>
      </w:r>
      <w:r w:rsidRPr="00F833B4">
        <w:rPr>
          <w:color w:val="000000"/>
          <w:lang w:val="ru-RU"/>
        </w:rPr>
        <w:t>аудиторской проверки мы отметили, что вся информация</w:t>
      </w:r>
      <w:r w:rsidRPr="00F833B4">
        <w:rPr>
          <w:iCs/>
          <w:lang w:val="ru-RU"/>
        </w:rPr>
        <w:t xml:space="preserve"> о присуждении контракта</w:t>
      </w:r>
      <w:r w:rsidRPr="00F833B4">
        <w:rPr>
          <w:color w:val="000000"/>
          <w:lang w:val="ru-RU"/>
        </w:rPr>
        <w:t xml:space="preserve"> обычно публикуется </w:t>
      </w:r>
      <w:r w:rsidRPr="00F833B4">
        <w:rPr>
          <w:iCs/>
          <w:lang w:val="ru-RU"/>
        </w:rPr>
        <w:t xml:space="preserve">на веб-сайте </w:t>
      </w:r>
      <w:r w:rsidR="00FE280E">
        <w:fldChar w:fldCharType="begin"/>
      </w:r>
      <w:r w:rsidR="00FE280E" w:rsidRPr="00FE280E">
        <w:rPr>
          <w:lang w:val="ru-RU"/>
        </w:rPr>
        <w:instrText xml:space="preserve"> </w:instrText>
      </w:r>
      <w:r w:rsidR="00FE280E">
        <w:instrText>HYPERLINK</w:instrText>
      </w:r>
      <w:r w:rsidR="00FE280E" w:rsidRPr="00FE280E">
        <w:rPr>
          <w:lang w:val="ru-RU"/>
        </w:rPr>
        <w:instrText xml:space="preserve"> "</w:instrText>
      </w:r>
      <w:r w:rsidR="00FE280E">
        <w:instrText>https</w:instrText>
      </w:r>
      <w:r w:rsidR="00FE280E" w:rsidRPr="00FE280E">
        <w:rPr>
          <w:lang w:val="ru-RU"/>
        </w:rPr>
        <w:instrText>://</w:instrText>
      </w:r>
      <w:r w:rsidR="00FE280E">
        <w:instrText>www</w:instrText>
      </w:r>
      <w:r w:rsidR="00FE280E" w:rsidRPr="00FE280E">
        <w:rPr>
          <w:lang w:val="ru-RU"/>
        </w:rPr>
        <w:instrText>.</w:instrText>
      </w:r>
      <w:r w:rsidR="00FE280E">
        <w:instrText>ungm</w:instrText>
      </w:r>
      <w:r w:rsidR="00FE280E" w:rsidRPr="00FE280E">
        <w:rPr>
          <w:lang w:val="ru-RU"/>
        </w:rPr>
        <w:instrText>.</w:instrText>
      </w:r>
      <w:r w:rsidR="00FE280E">
        <w:instrText>org</w:instrText>
      </w:r>
      <w:r w:rsidR="00FE280E" w:rsidRPr="00FE280E">
        <w:rPr>
          <w:lang w:val="ru-RU"/>
        </w:rPr>
        <w:instrText>/</w:instrText>
      </w:r>
      <w:r w:rsidR="00FE280E">
        <w:instrText>Public</w:instrText>
      </w:r>
      <w:r w:rsidR="00FE280E" w:rsidRPr="00FE280E">
        <w:rPr>
          <w:lang w:val="ru-RU"/>
        </w:rPr>
        <w:instrText>/</w:instrText>
      </w:r>
      <w:r w:rsidR="00FE280E">
        <w:instrText>ContractAward</w:instrText>
      </w:r>
      <w:r w:rsidR="00FE280E" w:rsidRPr="00FE280E">
        <w:rPr>
          <w:lang w:val="ru-RU"/>
        </w:rPr>
        <w:instrText xml:space="preserve">" </w:instrText>
      </w:r>
      <w:r w:rsidR="00FE280E">
        <w:fldChar w:fldCharType="separate"/>
      </w:r>
      <w:r w:rsidR="005274B8" w:rsidRPr="00275B7D">
        <w:rPr>
          <w:rStyle w:val="Hyperlink"/>
          <w:lang w:val="ru-RU"/>
        </w:rPr>
        <w:t>https://www.ungm.org/Public/ContractAward</w:t>
      </w:r>
      <w:r w:rsidR="00FE280E">
        <w:rPr>
          <w:rStyle w:val="Hyperlink"/>
          <w:lang w:val="ru-RU"/>
        </w:rPr>
        <w:fldChar w:fldCharType="end"/>
      </w:r>
      <w:r w:rsidRPr="00F833B4">
        <w:rPr>
          <w:lang w:val="ru-RU"/>
        </w:rPr>
        <w:t>, однако поле, относящееся к стоимости контракта, иногда остается незаполненным.</w:t>
      </w:r>
    </w:p>
    <w:tbl>
      <w:tblPr>
        <w:tblStyle w:val="TableGrid2"/>
        <w:tblW w:w="0" w:type="auto"/>
        <w:tblInd w:w="-5" w:type="dxa"/>
        <w:tblLook w:val="04A0" w:firstRow="1" w:lastRow="0" w:firstColumn="1" w:lastColumn="0" w:noHBand="0" w:noVBand="1"/>
      </w:tblPr>
      <w:tblGrid>
        <w:gridCol w:w="9634"/>
      </w:tblGrid>
      <w:tr w:rsidR="00F67CBC" w:rsidRPr="00FE280E" w14:paraId="3F7641A5" w14:textId="77777777" w:rsidTr="00F833B4">
        <w:tc>
          <w:tcPr>
            <w:tcW w:w="9634" w:type="dxa"/>
          </w:tcPr>
          <w:p w14:paraId="5432942E" w14:textId="77777777" w:rsidR="00F67CBC" w:rsidRPr="00F833B4" w:rsidRDefault="00F67CBC" w:rsidP="00F833B4">
            <w:pPr>
              <w:keepNext/>
              <w:rPr>
                <w:b/>
                <w:bCs/>
                <w:i/>
                <w:iCs/>
                <w:lang w:val="ru-RU"/>
              </w:rPr>
            </w:pPr>
            <w:r w:rsidRPr="00F833B4">
              <w:rPr>
                <w:b/>
                <w:i/>
                <w:color w:val="000000"/>
                <w:lang w:val="ru-RU"/>
              </w:rPr>
              <w:t>Рекомендация 3</w:t>
            </w:r>
          </w:p>
          <w:p w14:paraId="336B8912" w14:textId="77777777" w:rsidR="00F67CBC" w:rsidRPr="00F833B4" w:rsidRDefault="00F67CBC" w:rsidP="00F833B4">
            <w:pPr>
              <w:spacing w:after="120"/>
              <w:rPr>
                <w:lang w:val="ru-RU"/>
              </w:rPr>
            </w:pPr>
            <w:r w:rsidRPr="00F833B4">
              <w:rPr>
                <w:lang w:val="ru-RU"/>
              </w:rPr>
              <w:t>102</w:t>
            </w:r>
            <w:r w:rsidRPr="00F833B4">
              <w:rPr>
                <w:lang w:val="ru-RU"/>
              </w:rPr>
              <w:tab/>
            </w:r>
            <w:r w:rsidRPr="00F833B4">
              <w:rPr>
                <w:u w:val="single"/>
                <w:lang w:val="ru-RU"/>
              </w:rPr>
              <w:t>Мы рекомендуем</w:t>
            </w:r>
            <w:r w:rsidRPr="00F833B4">
              <w:rPr>
                <w:lang w:val="ru-RU"/>
              </w:rPr>
              <w:t xml:space="preserve"> публиковать </w:t>
            </w:r>
            <w:r w:rsidRPr="00F833B4">
              <w:rPr>
                <w:iCs/>
                <w:lang w:val="ru-RU"/>
              </w:rPr>
              <w:t xml:space="preserve">на веб-сайте </w:t>
            </w:r>
            <w:r w:rsidRPr="00F833B4">
              <w:rPr>
                <w:lang w:val="ru-RU"/>
              </w:rPr>
              <w:t>https://www.ungm.org/</w:t>
            </w:r>
            <w:r w:rsidRPr="00F833B4">
              <w:rPr>
                <w:iCs/>
                <w:lang w:val="ru-RU"/>
              </w:rPr>
              <w:t xml:space="preserve"> уведомление о каждом контракте сразу же после того, как он был присужден</w:t>
            </w:r>
            <w:r w:rsidRPr="00F833B4">
              <w:rPr>
                <w:lang w:val="ru-RU"/>
              </w:rPr>
              <w:t xml:space="preserve">, причем все поля, относящиеся к тендеру, и, в частности, к стоимости контракта, должны быть заполнены в целях обеспечения прозрачности. </w:t>
            </w:r>
          </w:p>
        </w:tc>
      </w:tr>
    </w:tbl>
    <w:p w14:paraId="36C12312"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0F5A1A67" w14:textId="77777777" w:rsidTr="00F833B4">
        <w:trPr>
          <w:cantSplit/>
        </w:trPr>
        <w:tc>
          <w:tcPr>
            <w:tcW w:w="9634" w:type="dxa"/>
          </w:tcPr>
          <w:p w14:paraId="2A6B31FF" w14:textId="77777777" w:rsidR="00F67CBC" w:rsidRPr="00F833B4" w:rsidRDefault="00F67CBC" w:rsidP="00F833B4">
            <w:pPr>
              <w:rPr>
                <w:b/>
                <w:bCs/>
                <w:i/>
                <w:iCs/>
                <w:u w:val="single"/>
                <w:lang w:val="ru-RU"/>
              </w:rPr>
            </w:pPr>
            <w:r w:rsidRPr="00F833B4">
              <w:rPr>
                <w:b/>
                <w:bCs/>
                <w:i/>
                <w:iCs/>
                <w:u w:val="single"/>
                <w:lang w:val="ru-RU"/>
              </w:rPr>
              <w:t>Комментарии Генерального секретаря</w:t>
            </w:r>
          </w:p>
          <w:p w14:paraId="6D69CFE9" w14:textId="77777777" w:rsidR="00F67CBC" w:rsidRPr="00F833B4" w:rsidRDefault="00F67CBC" w:rsidP="00F833B4">
            <w:pPr>
              <w:spacing w:after="120"/>
              <w:rPr>
                <w:lang w:val="ru-RU"/>
              </w:rPr>
            </w:pPr>
            <w:r w:rsidRPr="00F833B4">
              <w:rPr>
                <w:lang w:val="ru-RU"/>
              </w:rPr>
              <w:t xml:space="preserve">МСЭ считает, что он обеспечивает прозрачность, направляя </w:t>
            </w:r>
            <w:r w:rsidRPr="00F833B4">
              <w:rPr>
                <w:color w:val="000000"/>
                <w:lang w:val="ru-RU"/>
              </w:rPr>
              <w:t>всем участникам тендера, не победившим в нем, письма с сожалениями, в которых содержится информация о сумме контракта, присужденного соответствующему поставщику.</w:t>
            </w:r>
          </w:p>
        </w:tc>
      </w:tr>
    </w:tbl>
    <w:p w14:paraId="0EB3A588" w14:textId="77777777" w:rsidR="00F67CBC" w:rsidRPr="00F833B4" w:rsidRDefault="00F67CBC" w:rsidP="00F833B4">
      <w:pPr>
        <w:pStyle w:val="Heading3"/>
        <w:rPr>
          <w:i/>
          <w:iCs/>
          <w:lang w:val="ru-RU"/>
        </w:rPr>
      </w:pPr>
      <w:bookmarkStart w:id="345" w:name="_Toc54769176"/>
      <w:bookmarkStart w:id="346" w:name="_Toc56180405"/>
      <w:r w:rsidRPr="00F833B4">
        <w:rPr>
          <w:i/>
          <w:iCs/>
          <w:lang w:val="ru-RU"/>
        </w:rPr>
        <w:t>Публикация информации о присуждении контракта на веб-сайте www.ungm.org</w:t>
      </w:r>
      <w:bookmarkEnd w:id="345"/>
      <w:bookmarkEnd w:id="346"/>
    </w:p>
    <w:p w14:paraId="1CE20A28" w14:textId="77777777" w:rsidR="00F67CBC" w:rsidRPr="00F833B4" w:rsidRDefault="00F67CBC" w:rsidP="00F833B4">
      <w:pPr>
        <w:spacing w:after="120"/>
        <w:rPr>
          <w:lang w:val="ru-RU"/>
        </w:rPr>
      </w:pPr>
      <w:r w:rsidRPr="00F833B4">
        <w:rPr>
          <w:lang w:val="ru-RU"/>
        </w:rPr>
        <w:t>103</w:t>
      </w:r>
      <w:r w:rsidRPr="00F833B4">
        <w:rPr>
          <w:lang w:val="ru-RU"/>
        </w:rPr>
        <w:tab/>
        <w:t>Согласно и</w:t>
      </w:r>
      <w:r w:rsidRPr="00F833B4">
        <w:rPr>
          <w:color w:val="000000"/>
          <w:lang w:val="ru-RU"/>
        </w:rPr>
        <w:t>нструкции по закупкам, существующей с прошлого лета,</w:t>
      </w:r>
      <w:r w:rsidRPr="00F833B4">
        <w:rPr>
          <w:lang w:val="ru-RU"/>
        </w:rPr>
        <w:t xml:space="preserve"> </w:t>
      </w:r>
      <w:r w:rsidRPr="00F833B4">
        <w:rPr>
          <w:color w:val="000000"/>
          <w:lang w:val="ru-RU"/>
        </w:rPr>
        <w:t xml:space="preserve">информация </w:t>
      </w:r>
      <w:proofErr w:type="gramStart"/>
      <w:r w:rsidRPr="00F833B4">
        <w:rPr>
          <w:color w:val="000000"/>
          <w:lang w:val="ru-RU"/>
        </w:rPr>
        <w:t>о всех</w:t>
      </w:r>
      <w:proofErr w:type="gramEnd"/>
      <w:r w:rsidRPr="00F833B4">
        <w:rPr>
          <w:color w:val="000000"/>
          <w:lang w:val="ru-RU"/>
        </w:rPr>
        <w:t xml:space="preserve"> тендерах на сумму свыше 50 000 швейцарских франков должна быть опубликована на веб-сайте Глобального рынка ООН (ГРООН)</w:t>
      </w:r>
      <w:r w:rsidRPr="00F833B4">
        <w:rPr>
          <w:lang w:val="ru-RU"/>
        </w:rPr>
        <w:t xml:space="preserve">. Публиковать информацию о контрактах на сумму ниже указанной не требуется. Мы отметили, что иногда публиковались сведения о присуждении контрактов на меньшие суммы. С другой стороны, мы обнаружили, что иногда информация о присуждении контрактов не публикуется </w:t>
      </w:r>
      <w:r w:rsidRPr="00F833B4">
        <w:rPr>
          <w:iCs/>
          <w:lang w:val="ru-RU"/>
        </w:rPr>
        <w:t xml:space="preserve">на веб-сайте </w:t>
      </w:r>
      <w:r w:rsidR="00FE280E">
        <w:fldChar w:fldCharType="begin"/>
      </w:r>
      <w:r w:rsidR="00FE280E" w:rsidRPr="00FE280E">
        <w:rPr>
          <w:lang w:val="ru-RU"/>
        </w:rPr>
        <w:instrText xml:space="preserve"> </w:instrText>
      </w:r>
      <w:r w:rsidR="00FE280E">
        <w:instrText>HYPERLINK</w:instrText>
      </w:r>
      <w:r w:rsidR="00FE280E" w:rsidRPr="00FE280E">
        <w:rPr>
          <w:lang w:val="ru-RU"/>
        </w:rPr>
        <w:instrText xml:space="preserve"> "</w:instrText>
      </w:r>
      <w:r w:rsidR="00FE280E">
        <w:instrText>http</w:instrText>
      </w:r>
      <w:r w:rsidR="00FE280E" w:rsidRPr="00FE280E">
        <w:rPr>
          <w:lang w:val="ru-RU"/>
        </w:rPr>
        <w:instrText>://</w:instrText>
      </w:r>
      <w:r w:rsidR="00FE280E">
        <w:instrText>www</w:instrText>
      </w:r>
      <w:r w:rsidR="00FE280E" w:rsidRPr="00FE280E">
        <w:rPr>
          <w:lang w:val="ru-RU"/>
        </w:rPr>
        <w:instrText>.</w:instrText>
      </w:r>
      <w:r w:rsidR="00FE280E">
        <w:instrText>ungm</w:instrText>
      </w:r>
      <w:r w:rsidR="00FE280E" w:rsidRPr="00FE280E">
        <w:rPr>
          <w:lang w:val="ru-RU"/>
        </w:rPr>
        <w:instrText>.</w:instrText>
      </w:r>
      <w:r w:rsidR="00FE280E">
        <w:instrText>org</w:instrText>
      </w:r>
      <w:r w:rsidR="00FE280E" w:rsidRPr="00FE280E">
        <w:rPr>
          <w:lang w:val="ru-RU"/>
        </w:rPr>
        <w:instrText xml:space="preserve">" </w:instrText>
      </w:r>
      <w:r w:rsidR="00FE280E">
        <w:fldChar w:fldCharType="separate"/>
      </w:r>
      <w:r w:rsidRPr="00F833B4">
        <w:rPr>
          <w:rStyle w:val="Hyperlink"/>
          <w:lang w:val="ru-RU"/>
        </w:rPr>
        <w:t>www.ungm.org</w:t>
      </w:r>
      <w:r w:rsidR="00FE280E">
        <w:rPr>
          <w:rStyle w:val="Hyperlink"/>
          <w:lang w:val="ru-RU"/>
        </w:rPr>
        <w:fldChar w:fldCharType="end"/>
      </w:r>
      <w:r w:rsidRPr="00F833B4">
        <w:rPr>
          <w:lang w:val="ru-RU"/>
        </w:rPr>
        <w:t xml:space="preserve"> даже тогда, когда сумма контактов превышает </w:t>
      </w:r>
      <w:r w:rsidRPr="00F833B4">
        <w:rPr>
          <w:color w:val="000000"/>
          <w:lang w:val="ru-RU"/>
        </w:rPr>
        <w:t>50 000 швейцарских франков</w:t>
      </w:r>
      <w:r w:rsidRPr="00F833B4">
        <w:rPr>
          <w:lang w:val="ru-RU"/>
        </w:rPr>
        <w:t>.</w:t>
      </w:r>
    </w:p>
    <w:tbl>
      <w:tblPr>
        <w:tblStyle w:val="TableGrid2"/>
        <w:tblW w:w="0" w:type="auto"/>
        <w:tblInd w:w="-5" w:type="dxa"/>
        <w:tblLook w:val="04A0" w:firstRow="1" w:lastRow="0" w:firstColumn="1" w:lastColumn="0" w:noHBand="0" w:noVBand="1"/>
      </w:tblPr>
      <w:tblGrid>
        <w:gridCol w:w="9634"/>
      </w:tblGrid>
      <w:tr w:rsidR="00F67CBC" w:rsidRPr="00FE280E" w14:paraId="2873C493" w14:textId="77777777" w:rsidTr="00F833B4">
        <w:tc>
          <w:tcPr>
            <w:tcW w:w="9634" w:type="dxa"/>
          </w:tcPr>
          <w:p w14:paraId="26AC5967" w14:textId="77777777" w:rsidR="00F67CBC" w:rsidRPr="00F833B4" w:rsidRDefault="00F67CBC" w:rsidP="00F833B4">
            <w:pPr>
              <w:keepNext/>
              <w:rPr>
                <w:b/>
                <w:bCs/>
                <w:i/>
                <w:iCs/>
                <w:lang w:val="ru-RU"/>
              </w:rPr>
            </w:pPr>
            <w:r w:rsidRPr="00F833B4">
              <w:rPr>
                <w:b/>
                <w:bCs/>
                <w:i/>
                <w:iCs/>
                <w:lang w:val="ru-RU"/>
              </w:rPr>
              <w:lastRenderedPageBreak/>
              <w:t>Предложение 1</w:t>
            </w:r>
          </w:p>
          <w:p w14:paraId="3CEE9916" w14:textId="77777777" w:rsidR="00F67CBC" w:rsidRPr="00F833B4" w:rsidRDefault="00F67CBC" w:rsidP="00F833B4">
            <w:pPr>
              <w:spacing w:after="120"/>
              <w:rPr>
                <w:lang w:val="ru-RU"/>
              </w:rPr>
            </w:pPr>
            <w:r w:rsidRPr="00F833B4">
              <w:rPr>
                <w:lang w:val="ru-RU"/>
              </w:rPr>
              <w:t>104</w:t>
            </w:r>
            <w:r w:rsidRPr="00F833B4">
              <w:rPr>
                <w:lang w:val="ru-RU"/>
              </w:rPr>
              <w:tab/>
              <w:t xml:space="preserve">В целях обеспечения прозрачности </w:t>
            </w:r>
            <w:r w:rsidRPr="00F833B4">
              <w:rPr>
                <w:u w:val="single"/>
                <w:lang w:val="ru-RU"/>
              </w:rPr>
              <w:t>мы предлагаем</w:t>
            </w:r>
            <w:r w:rsidRPr="00F833B4">
              <w:rPr>
                <w:lang w:val="ru-RU"/>
              </w:rPr>
              <w:t xml:space="preserve"> публиковать </w:t>
            </w:r>
            <w:r w:rsidRPr="00F833B4">
              <w:rPr>
                <w:iCs/>
                <w:lang w:val="ru-RU"/>
              </w:rPr>
              <w:t xml:space="preserve">на веб-сайте </w:t>
            </w:r>
            <w:r w:rsidR="00FE280E">
              <w:fldChar w:fldCharType="begin"/>
            </w:r>
            <w:r w:rsidR="00FE280E" w:rsidRPr="00FE280E">
              <w:rPr>
                <w:lang w:val="ru-RU"/>
              </w:rPr>
              <w:instrText xml:space="preserve"> </w:instrText>
            </w:r>
            <w:r w:rsidR="00FE280E">
              <w:instrText>HYPERLINK</w:instrText>
            </w:r>
            <w:r w:rsidR="00FE280E" w:rsidRPr="00FE280E">
              <w:rPr>
                <w:lang w:val="ru-RU"/>
              </w:rPr>
              <w:instrText xml:space="preserve"> "</w:instrText>
            </w:r>
            <w:r w:rsidR="00FE280E">
              <w:instrText>http</w:instrText>
            </w:r>
            <w:r w:rsidR="00FE280E" w:rsidRPr="00FE280E">
              <w:rPr>
                <w:lang w:val="ru-RU"/>
              </w:rPr>
              <w:instrText>://</w:instrText>
            </w:r>
            <w:r w:rsidR="00FE280E">
              <w:instrText>www</w:instrText>
            </w:r>
            <w:r w:rsidR="00FE280E" w:rsidRPr="00FE280E">
              <w:rPr>
                <w:lang w:val="ru-RU"/>
              </w:rPr>
              <w:instrText>.</w:instrText>
            </w:r>
            <w:r w:rsidR="00FE280E">
              <w:instrText>ungm</w:instrText>
            </w:r>
            <w:r w:rsidR="00FE280E" w:rsidRPr="00FE280E">
              <w:rPr>
                <w:lang w:val="ru-RU"/>
              </w:rPr>
              <w:instrText>.</w:instrText>
            </w:r>
            <w:r w:rsidR="00FE280E">
              <w:instrText>org</w:instrText>
            </w:r>
            <w:r w:rsidR="00FE280E" w:rsidRPr="00FE280E">
              <w:rPr>
                <w:lang w:val="ru-RU"/>
              </w:rPr>
              <w:instrText xml:space="preserve">" </w:instrText>
            </w:r>
            <w:r w:rsidR="00FE280E">
              <w:fldChar w:fldCharType="separate"/>
            </w:r>
            <w:r w:rsidRPr="00F833B4">
              <w:rPr>
                <w:rStyle w:val="Hyperlink"/>
                <w:lang w:val="ru-RU"/>
              </w:rPr>
              <w:t>www.ungm.org</w:t>
            </w:r>
            <w:r w:rsidR="00FE280E">
              <w:rPr>
                <w:rStyle w:val="Hyperlink"/>
                <w:lang w:val="ru-RU"/>
              </w:rPr>
              <w:fldChar w:fldCharType="end"/>
            </w:r>
            <w:r w:rsidRPr="00F833B4">
              <w:rPr>
                <w:lang w:val="ru-RU"/>
              </w:rPr>
              <w:t xml:space="preserve"> всю информацию о присуждении контрактов на сумму свыше 2</w:t>
            </w:r>
            <w:r w:rsidRPr="00F833B4">
              <w:rPr>
                <w:color w:val="000000"/>
                <w:lang w:val="ru-RU"/>
              </w:rPr>
              <w:t>0 000 швейцарских франков</w:t>
            </w:r>
            <w:r w:rsidRPr="00F833B4">
              <w:rPr>
                <w:lang w:val="ru-RU"/>
              </w:rPr>
              <w:t>.</w:t>
            </w:r>
          </w:p>
        </w:tc>
      </w:tr>
    </w:tbl>
    <w:p w14:paraId="7C48FE3C"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51CBC76F" w14:textId="77777777" w:rsidTr="00F833B4">
        <w:trPr>
          <w:cantSplit/>
        </w:trPr>
        <w:tc>
          <w:tcPr>
            <w:tcW w:w="9634" w:type="dxa"/>
          </w:tcPr>
          <w:p w14:paraId="174E44E7" w14:textId="77777777" w:rsidR="00F67CBC" w:rsidRPr="00F833B4" w:rsidRDefault="00F67CBC" w:rsidP="00F833B4">
            <w:pPr>
              <w:rPr>
                <w:b/>
                <w:bCs/>
                <w:i/>
                <w:iCs/>
                <w:u w:val="single"/>
                <w:lang w:val="ru-RU"/>
              </w:rPr>
            </w:pPr>
            <w:r w:rsidRPr="00F833B4">
              <w:rPr>
                <w:b/>
                <w:bCs/>
                <w:i/>
                <w:iCs/>
                <w:u w:val="single"/>
                <w:lang w:val="ru-RU"/>
              </w:rPr>
              <w:t>Комментарии Генерального секретаря</w:t>
            </w:r>
          </w:p>
          <w:p w14:paraId="30B60432" w14:textId="77777777" w:rsidR="00F67CBC" w:rsidRPr="00F833B4" w:rsidRDefault="00F67CBC" w:rsidP="00F833B4">
            <w:pPr>
              <w:spacing w:after="120"/>
              <w:rPr>
                <w:lang w:val="ru-RU"/>
              </w:rPr>
            </w:pPr>
            <w:r w:rsidRPr="00F833B4">
              <w:rPr>
                <w:lang w:val="ru-RU"/>
              </w:rPr>
              <w:t>МСЭ согласен, что при организации тендеров на сумму свыше 2</w:t>
            </w:r>
            <w:r w:rsidRPr="00F833B4">
              <w:rPr>
                <w:color w:val="000000"/>
                <w:lang w:val="ru-RU"/>
              </w:rPr>
              <w:t>0 000 швейцарских франков</w:t>
            </w:r>
            <w:r w:rsidRPr="00F833B4">
              <w:rPr>
                <w:lang w:val="ru-RU"/>
              </w:rPr>
              <w:t xml:space="preserve">, сведения </w:t>
            </w:r>
            <w:r w:rsidRPr="00F833B4">
              <w:rPr>
                <w:color w:val="000000"/>
                <w:lang w:val="ru-RU"/>
              </w:rPr>
              <w:t>о которых опубликованы на веб-сайте ГРООН</w:t>
            </w:r>
            <w:r w:rsidRPr="00F833B4">
              <w:rPr>
                <w:lang w:val="ru-RU"/>
              </w:rPr>
              <w:t>, информация о присуждении контракта тому или иному участнику также должна быть о</w:t>
            </w:r>
            <w:r w:rsidRPr="00F833B4">
              <w:rPr>
                <w:color w:val="000000"/>
                <w:lang w:val="ru-RU"/>
              </w:rPr>
              <w:t>публикована на веб-сайте ГРООН.</w:t>
            </w:r>
          </w:p>
        </w:tc>
      </w:tr>
    </w:tbl>
    <w:p w14:paraId="11AEBBED" w14:textId="77777777" w:rsidR="00F67CBC" w:rsidRPr="00F833B4" w:rsidRDefault="00F67CBC" w:rsidP="00F833B4">
      <w:pPr>
        <w:pStyle w:val="Heading3"/>
        <w:rPr>
          <w:i/>
          <w:iCs/>
          <w:lang w:val="ru-RU"/>
        </w:rPr>
      </w:pPr>
      <w:bookmarkStart w:id="347" w:name="_Toc54769177"/>
      <w:bookmarkStart w:id="348" w:name="_Toc56180406"/>
      <w:r w:rsidRPr="00F833B4">
        <w:rPr>
          <w:i/>
          <w:iCs/>
          <w:lang w:val="ru-RU"/>
        </w:rPr>
        <w:t xml:space="preserve">Присуждение стратегических контрактов в МСЭ с использованием старого </w:t>
      </w:r>
      <w:r w:rsidRPr="00F833B4">
        <w:rPr>
          <w:i/>
          <w:color w:val="000000"/>
          <w:lang w:val="ru-RU"/>
        </w:rPr>
        <w:t>служебного приказа</w:t>
      </w:r>
      <w:r w:rsidRPr="00F833B4">
        <w:rPr>
          <w:color w:val="000000"/>
          <w:lang w:val="ru-RU"/>
        </w:rPr>
        <w:t xml:space="preserve"> </w:t>
      </w:r>
      <w:r w:rsidRPr="00F833B4">
        <w:rPr>
          <w:i/>
          <w:iCs/>
          <w:lang w:val="ru-RU"/>
        </w:rPr>
        <w:t>14/06</w:t>
      </w:r>
      <w:bookmarkEnd w:id="347"/>
      <w:bookmarkEnd w:id="348"/>
    </w:p>
    <w:p w14:paraId="776C3B53" w14:textId="77777777" w:rsidR="00F67CBC" w:rsidRPr="00F833B4" w:rsidRDefault="00F67CBC" w:rsidP="00F833B4">
      <w:pPr>
        <w:spacing w:after="120"/>
        <w:rPr>
          <w:lang w:val="ru-RU"/>
        </w:rPr>
      </w:pPr>
      <w:r w:rsidRPr="00F833B4">
        <w:rPr>
          <w:lang w:val="ru-RU"/>
        </w:rPr>
        <w:t>105</w:t>
      </w:r>
      <w:r w:rsidRPr="00F833B4">
        <w:rPr>
          <w:lang w:val="ru-RU"/>
        </w:rPr>
        <w:tab/>
        <w:t xml:space="preserve">В ходе нашей </w:t>
      </w:r>
      <w:r w:rsidRPr="00F833B4">
        <w:rPr>
          <w:color w:val="000000"/>
          <w:lang w:val="ru-RU"/>
        </w:rPr>
        <w:t>аудиторской проверки мы отметили, что некоторые еще действующие стратегические контракты в МСЭ были присуждены на основании служебного приказа</w:t>
      </w:r>
      <w:r w:rsidRPr="00F833B4">
        <w:rPr>
          <w:lang w:val="ru-RU"/>
        </w:rPr>
        <w:t xml:space="preserve"> 14/06, что создало серьезные проблемы в области закупок. </w:t>
      </w:r>
    </w:p>
    <w:tbl>
      <w:tblPr>
        <w:tblStyle w:val="TableGrid2"/>
        <w:tblW w:w="0" w:type="auto"/>
        <w:tblInd w:w="-5" w:type="dxa"/>
        <w:tblLook w:val="04A0" w:firstRow="1" w:lastRow="0" w:firstColumn="1" w:lastColumn="0" w:noHBand="0" w:noVBand="1"/>
      </w:tblPr>
      <w:tblGrid>
        <w:gridCol w:w="9634"/>
      </w:tblGrid>
      <w:tr w:rsidR="00F67CBC" w:rsidRPr="00FE280E" w14:paraId="6A2B7C82" w14:textId="77777777" w:rsidTr="00F833B4">
        <w:tc>
          <w:tcPr>
            <w:tcW w:w="9634" w:type="dxa"/>
          </w:tcPr>
          <w:p w14:paraId="0E2CE341" w14:textId="77777777" w:rsidR="00F67CBC" w:rsidRPr="00F833B4" w:rsidRDefault="00F67CBC" w:rsidP="00F833B4">
            <w:pPr>
              <w:keepNext/>
              <w:rPr>
                <w:b/>
                <w:bCs/>
                <w:i/>
                <w:iCs/>
                <w:lang w:val="ru-RU"/>
              </w:rPr>
            </w:pPr>
            <w:r w:rsidRPr="00F833B4">
              <w:rPr>
                <w:b/>
                <w:bCs/>
                <w:i/>
                <w:iCs/>
                <w:lang w:val="ru-RU"/>
              </w:rPr>
              <w:t>Предложение 2</w:t>
            </w:r>
          </w:p>
          <w:p w14:paraId="6B16F114" w14:textId="7995D14F" w:rsidR="00F67CBC" w:rsidRPr="00F833B4" w:rsidRDefault="00F67CBC" w:rsidP="00F833B4">
            <w:pPr>
              <w:spacing w:after="120"/>
              <w:rPr>
                <w:lang w:val="ru-RU"/>
              </w:rPr>
            </w:pPr>
            <w:r w:rsidRPr="00F833B4">
              <w:rPr>
                <w:lang w:val="ru-RU"/>
              </w:rPr>
              <w:t>106</w:t>
            </w:r>
            <w:r w:rsidRPr="00F833B4">
              <w:rPr>
                <w:lang w:val="ru-RU"/>
              </w:rPr>
              <w:tab/>
              <w:t>Учитывая тот факт, что в настоящее время существуют более строгие правила (руководство</w:t>
            </w:r>
            <w:r w:rsidRPr="00F833B4">
              <w:rPr>
                <w:color w:val="000000"/>
                <w:lang w:val="ru-RU"/>
              </w:rPr>
              <w:t xml:space="preserve"> по закупкам</w:t>
            </w:r>
            <w:r w:rsidRPr="00F833B4">
              <w:rPr>
                <w:lang w:val="ru-RU"/>
              </w:rPr>
              <w:t>), а многие все еще действующие контракты были утверждены на основании предыдущих правил, мы предлагаем начать пересмотр таких контрактов, превышающих определенное пороговое значение, а также проверить влияние применения к ним новых руководящих указаний и правил.</w:t>
            </w:r>
          </w:p>
        </w:tc>
      </w:tr>
    </w:tbl>
    <w:p w14:paraId="215464F7"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612BB379" w14:textId="77777777" w:rsidTr="00F833B4">
        <w:trPr>
          <w:cantSplit/>
        </w:trPr>
        <w:tc>
          <w:tcPr>
            <w:tcW w:w="9634" w:type="dxa"/>
          </w:tcPr>
          <w:p w14:paraId="3DB21420" w14:textId="77777777" w:rsidR="00F67CBC" w:rsidRPr="00F833B4" w:rsidRDefault="00F67CBC" w:rsidP="00F833B4">
            <w:pPr>
              <w:rPr>
                <w:b/>
                <w:bCs/>
                <w:i/>
                <w:iCs/>
                <w:u w:val="single"/>
                <w:lang w:val="ru-RU"/>
              </w:rPr>
            </w:pPr>
            <w:r w:rsidRPr="00F833B4">
              <w:rPr>
                <w:b/>
                <w:bCs/>
                <w:i/>
                <w:iCs/>
                <w:u w:val="single"/>
                <w:lang w:val="ru-RU"/>
              </w:rPr>
              <w:t>Комментарии Генерального секретаря</w:t>
            </w:r>
          </w:p>
          <w:p w14:paraId="73BAD288" w14:textId="77777777" w:rsidR="00F67CBC" w:rsidRPr="00F833B4" w:rsidRDefault="00F67CBC" w:rsidP="00F833B4">
            <w:pPr>
              <w:spacing w:after="120"/>
              <w:rPr>
                <w:lang w:val="ru-RU"/>
              </w:rPr>
            </w:pPr>
            <w:r w:rsidRPr="00F833B4">
              <w:rPr>
                <w:lang w:val="ru-RU"/>
              </w:rPr>
              <w:t>МСЭ согласен определить некоторые крупные стратегические контракты и провести предлагаемый пересмотр.</w:t>
            </w:r>
          </w:p>
        </w:tc>
      </w:tr>
    </w:tbl>
    <w:p w14:paraId="649123C3" w14:textId="038BCAF3" w:rsidR="00F67CBC" w:rsidRPr="00F833B4" w:rsidRDefault="00F67CBC" w:rsidP="00F833B4">
      <w:pPr>
        <w:pStyle w:val="Heading2"/>
        <w:rPr>
          <w:lang w:val="ru-RU"/>
        </w:rPr>
      </w:pPr>
      <w:bookmarkStart w:id="349" w:name="_Toc54354616"/>
      <w:bookmarkStart w:id="350" w:name="_Toc54769178"/>
      <w:bookmarkStart w:id="351" w:name="_Toc56179580"/>
      <w:bookmarkStart w:id="352" w:name="_Toc56180407"/>
      <w:r w:rsidRPr="00F833B4">
        <w:rPr>
          <w:color w:val="000000"/>
          <w:lang w:val="ru-RU"/>
        </w:rPr>
        <w:t>Проверка</w:t>
      </w:r>
      <w:r w:rsidRPr="00F833B4">
        <w:rPr>
          <w:lang w:val="ru-RU"/>
        </w:rPr>
        <w:t xml:space="preserve"> IAU</w:t>
      </w:r>
      <w:r w:rsidRPr="00F833B4">
        <w:rPr>
          <w:color w:val="000000"/>
          <w:lang w:val="ru-RU"/>
        </w:rPr>
        <w:t xml:space="preserve"> деятельности региональных/зональных отделений</w:t>
      </w:r>
      <w:bookmarkEnd w:id="349"/>
      <w:bookmarkEnd w:id="350"/>
      <w:bookmarkEnd w:id="351"/>
      <w:bookmarkEnd w:id="352"/>
    </w:p>
    <w:p w14:paraId="2F15E4E1" w14:textId="77777777" w:rsidR="00F67CBC" w:rsidRPr="00F833B4" w:rsidRDefault="00F67CBC" w:rsidP="00F833B4">
      <w:pPr>
        <w:rPr>
          <w:lang w:val="ru-RU"/>
        </w:rPr>
      </w:pPr>
      <w:r w:rsidRPr="00F833B4">
        <w:rPr>
          <w:lang w:val="ru-RU"/>
        </w:rPr>
        <w:t>107</w:t>
      </w:r>
      <w:r w:rsidRPr="00F833B4">
        <w:rPr>
          <w:lang w:val="ru-RU"/>
        </w:rPr>
        <w:tab/>
        <w:t>В мае 2020 года IAU выпустило документ "</w:t>
      </w:r>
      <w:r w:rsidRPr="00F833B4">
        <w:rPr>
          <w:color w:val="000000"/>
          <w:lang w:val="ru-RU"/>
        </w:rPr>
        <w:t>Проверка деятельности региональных/зональных отделений: проекты, региональные инициативы и меры</w:t>
      </w:r>
      <w:r w:rsidRPr="00F833B4">
        <w:rPr>
          <w:lang w:val="ru-RU"/>
        </w:rPr>
        <w:t xml:space="preserve">" (SG-SGO/IA/20-01), охватывающий период с января 2008 года по март 2019 года. Эта проверка включала управление проектами БРЭ, исполнение этих проектов и надзор за ними, однако не включала административную, финансовую и операционную деятельность по управлению персоналом на региональном уровне МСЭ. </w:t>
      </w:r>
    </w:p>
    <w:p w14:paraId="75FA5AEF" w14:textId="77777777" w:rsidR="00F67CBC" w:rsidRPr="00F833B4" w:rsidRDefault="00F67CBC" w:rsidP="00F833B4">
      <w:pPr>
        <w:rPr>
          <w:lang w:val="ru-RU"/>
        </w:rPr>
      </w:pPr>
      <w:r w:rsidRPr="00F833B4">
        <w:rPr>
          <w:lang w:val="ru-RU"/>
        </w:rPr>
        <w:t>108</w:t>
      </w:r>
      <w:r w:rsidRPr="00F833B4">
        <w:rPr>
          <w:lang w:val="ru-RU"/>
        </w:rPr>
        <w:tab/>
        <w:t xml:space="preserve">Результаты, которые следует упомянуть, касаются главным образом устаревших </w:t>
      </w:r>
      <w:r w:rsidRPr="00F833B4">
        <w:rPr>
          <w:color w:val="000000"/>
          <w:lang w:val="ru-RU"/>
        </w:rPr>
        <w:t>руководящих указаний по управлению проектами и</w:t>
      </w:r>
      <w:r w:rsidRPr="00F833B4">
        <w:rPr>
          <w:lang w:val="ru-RU"/>
        </w:rPr>
        <w:t xml:space="preserve"> недостаточно развитой системы найма консультантов </w:t>
      </w:r>
      <w:r w:rsidRPr="00F833B4">
        <w:rPr>
          <w:color w:val="000000"/>
          <w:lang w:val="ru-RU"/>
        </w:rPr>
        <w:t>в рамках SSA</w:t>
      </w:r>
      <w:r w:rsidRPr="00F833B4">
        <w:rPr>
          <w:lang w:val="ru-RU"/>
        </w:rPr>
        <w:t xml:space="preserve"> и </w:t>
      </w:r>
      <w:r w:rsidRPr="00F833B4">
        <w:rPr>
          <w:color w:val="000000"/>
          <w:lang w:val="ru-RU"/>
        </w:rPr>
        <w:t>управления ими</w:t>
      </w:r>
      <w:r w:rsidRPr="00F833B4">
        <w:rPr>
          <w:lang w:val="ru-RU"/>
        </w:rPr>
        <w:t>.</w:t>
      </w:r>
    </w:p>
    <w:p w14:paraId="207F82CE" w14:textId="77777777" w:rsidR="00F67CBC" w:rsidRPr="00F833B4" w:rsidRDefault="00F67CBC" w:rsidP="00F833B4">
      <w:pPr>
        <w:pStyle w:val="Heading1"/>
        <w:rPr>
          <w:lang w:val="ru-RU"/>
        </w:rPr>
      </w:pPr>
      <w:bookmarkStart w:id="353" w:name="_Toc56179581"/>
      <w:bookmarkStart w:id="354" w:name="_Toc56180408"/>
      <w:r w:rsidRPr="00F833B4">
        <w:rPr>
          <w:lang w:val="ru-RU"/>
        </w:rPr>
        <w:t>ПЕРСОНАЛ</w:t>
      </w:r>
      <w:bookmarkEnd w:id="353"/>
      <w:bookmarkEnd w:id="354"/>
    </w:p>
    <w:p w14:paraId="56C9D59A" w14:textId="77777777" w:rsidR="00F67CBC" w:rsidRPr="00F833B4" w:rsidRDefault="00F67CBC" w:rsidP="00F833B4">
      <w:pPr>
        <w:pStyle w:val="Heading3"/>
        <w:rPr>
          <w:i/>
          <w:iCs/>
          <w:lang w:val="ru-RU"/>
        </w:rPr>
      </w:pPr>
      <w:bookmarkStart w:id="355" w:name="_Toc56180409"/>
      <w:bookmarkStart w:id="356" w:name="_Toc54769180"/>
      <w:r w:rsidRPr="00F833B4">
        <w:rPr>
          <w:i/>
          <w:color w:val="000000"/>
          <w:lang w:val="ru-RU"/>
        </w:rPr>
        <w:t xml:space="preserve">Необходимо уделить более пристальное внимание </w:t>
      </w:r>
      <w:r w:rsidRPr="00F833B4">
        <w:rPr>
          <w:i/>
          <w:iCs/>
          <w:lang w:val="ru-RU"/>
        </w:rPr>
        <w:t>своевременной обработке административных данных и стабилизации системы ERP HRMD</w:t>
      </w:r>
      <w:bookmarkEnd w:id="355"/>
      <w:r w:rsidRPr="00F833B4">
        <w:rPr>
          <w:i/>
          <w:iCs/>
          <w:lang w:val="ru-RU"/>
        </w:rPr>
        <w:t xml:space="preserve"> </w:t>
      </w:r>
      <w:bookmarkEnd w:id="356"/>
    </w:p>
    <w:p w14:paraId="18145AB3" w14:textId="24F57A83" w:rsidR="00F67CBC" w:rsidRPr="00F833B4" w:rsidRDefault="00F67CBC" w:rsidP="00F833B4">
      <w:pPr>
        <w:rPr>
          <w:lang w:val="ru-RU"/>
        </w:rPr>
      </w:pPr>
      <w:r w:rsidRPr="00F833B4">
        <w:rPr>
          <w:lang w:val="ru-RU"/>
        </w:rPr>
        <w:t>109</w:t>
      </w:r>
      <w:r w:rsidRPr="00F833B4">
        <w:rPr>
          <w:lang w:val="ru-RU"/>
        </w:rPr>
        <w:tab/>
      </w:r>
      <w:r w:rsidRPr="00F833B4">
        <w:rPr>
          <w:color w:val="000000"/>
          <w:lang w:val="ru-RU"/>
        </w:rPr>
        <w:t>В рамках наших проверок, касающихся персонала, мы проанализировали ряд произвольно отобранных ведомостей заработной платы сотрудников</w:t>
      </w:r>
      <w:r w:rsidRPr="00F833B4">
        <w:rPr>
          <w:lang w:val="ru-RU"/>
        </w:rPr>
        <w:t xml:space="preserve">, чтобы проверить правильность выплаченных им сумм </w:t>
      </w:r>
      <w:r w:rsidRPr="00F833B4">
        <w:rPr>
          <w:color w:val="000000"/>
          <w:lang w:val="ru-RU"/>
        </w:rPr>
        <w:t>в сравнении с соответствующими пакетами вознаграждения,</w:t>
      </w:r>
      <w:r w:rsidRPr="00F833B4">
        <w:rPr>
          <w:lang w:val="ru-RU"/>
        </w:rPr>
        <w:t xml:space="preserve"> </w:t>
      </w:r>
      <w:r w:rsidRPr="00F833B4">
        <w:rPr>
          <w:color w:val="000000"/>
          <w:lang w:val="ru-RU"/>
        </w:rPr>
        <w:t xml:space="preserve">и запросили </w:t>
      </w:r>
      <w:r w:rsidRPr="00F833B4">
        <w:rPr>
          <w:color w:val="000000"/>
          <w:lang w:val="ru-RU"/>
        </w:rPr>
        <w:lastRenderedPageBreak/>
        <w:t>данные из личных дел сотрудников, подтверждающие обоснованность предоставленных пособий</w:t>
      </w:r>
      <w:r w:rsidRPr="00F833B4">
        <w:rPr>
          <w:lang w:val="ru-RU"/>
        </w:rPr>
        <w:t xml:space="preserve">. И хотя наши проверки не выявили </w:t>
      </w:r>
      <w:r w:rsidRPr="00F833B4">
        <w:rPr>
          <w:color w:val="000000"/>
          <w:lang w:val="ru-RU"/>
        </w:rPr>
        <w:t>каких-либо серьезных проблем, связанных с установлением прав</w:t>
      </w:r>
      <w:r w:rsidRPr="00F833B4">
        <w:rPr>
          <w:lang w:val="ru-RU"/>
        </w:rPr>
        <w:t xml:space="preserve">, мы знаем, исходя из опыта предыдущих аудиторских проверок, о существовании периодических задержек </w:t>
      </w:r>
      <w:r w:rsidRPr="00F833B4">
        <w:rPr>
          <w:color w:val="000000"/>
          <w:lang w:val="ru-RU"/>
        </w:rPr>
        <w:t>с обработкой данных, дающих право</w:t>
      </w:r>
      <w:r w:rsidRPr="00F833B4">
        <w:rPr>
          <w:lang w:val="ru-RU"/>
        </w:rPr>
        <w:t xml:space="preserve"> на получение определенных сумм. В результате этого выплачиваемые суммы могут (или могут больше) не соответствовать фактическим условиям, определяющим права </w:t>
      </w:r>
      <w:r w:rsidRPr="00F833B4">
        <w:rPr>
          <w:color w:val="000000"/>
          <w:lang w:val="ru-RU"/>
        </w:rPr>
        <w:t>отдельных сотрудников</w:t>
      </w:r>
      <w:r w:rsidRPr="00F833B4">
        <w:rPr>
          <w:lang w:val="ru-RU"/>
        </w:rPr>
        <w:t>.</w:t>
      </w:r>
    </w:p>
    <w:p w14:paraId="5FE85220" w14:textId="77777777" w:rsidR="00F67CBC" w:rsidRPr="00F833B4" w:rsidRDefault="00F67CBC" w:rsidP="00F833B4">
      <w:pPr>
        <w:rPr>
          <w:lang w:val="ru-RU"/>
        </w:rPr>
      </w:pPr>
      <w:proofErr w:type="gramStart"/>
      <w:r w:rsidRPr="00F833B4">
        <w:rPr>
          <w:lang w:val="ru-RU"/>
        </w:rPr>
        <w:t>110</w:t>
      </w:r>
      <w:proofErr w:type="gramEnd"/>
      <w:r w:rsidRPr="00F833B4">
        <w:rPr>
          <w:lang w:val="ru-RU"/>
        </w:rPr>
        <w:tab/>
        <w:t xml:space="preserve">В связи с этим руководство сообщило, что оно </w:t>
      </w:r>
      <w:r w:rsidRPr="00F833B4">
        <w:rPr>
          <w:color w:val="000000"/>
          <w:lang w:val="ru-RU"/>
        </w:rPr>
        <w:t>ликвидировало объем невыполненных работ, накопившийся за предыдущий период</w:t>
      </w:r>
      <w:r w:rsidRPr="00F833B4">
        <w:rPr>
          <w:lang w:val="ru-RU"/>
        </w:rPr>
        <w:t xml:space="preserve"> 2017–2019 годов, с привлечением для этого </w:t>
      </w:r>
      <w:r w:rsidRPr="00F833B4">
        <w:rPr>
          <w:color w:val="000000"/>
          <w:lang w:val="ru-RU"/>
        </w:rPr>
        <w:t>работников на краткосрочных контрактах</w:t>
      </w:r>
      <w:r w:rsidRPr="00F833B4">
        <w:rPr>
          <w:lang w:val="ru-RU"/>
        </w:rPr>
        <w:t xml:space="preserve">. Вместе с тем регулярная обработка вновь полученных документов не была обеспечена, и поэтому образовался новый </w:t>
      </w:r>
      <w:r w:rsidRPr="00F833B4">
        <w:rPr>
          <w:color w:val="000000"/>
          <w:lang w:val="ru-RU"/>
        </w:rPr>
        <w:t>объем невыполненных работ</w:t>
      </w:r>
      <w:r w:rsidRPr="00F833B4">
        <w:rPr>
          <w:lang w:val="ru-RU"/>
        </w:rPr>
        <w:t xml:space="preserve">, который по крайней мере частично заменил старый. Кроме того, как уже отмечалось в прошлом, </w:t>
      </w:r>
      <w:r w:rsidRPr="00F833B4">
        <w:rPr>
          <w:color w:val="000000"/>
          <w:lang w:val="ru-RU"/>
        </w:rPr>
        <w:t>отсутствует автоматическая система предупреждений, которая напоминала бы персоналу о предоставлении необходимой информации</w:t>
      </w:r>
      <w:r w:rsidRPr="00F833B4">
        <w:rPr>
          <w:lang w:val="ru-RU"/>
        </w:rPr>
        <w:t xml:space="preserve">. </w:t>
      </w:r>
    </w:p>
    <w:p w14:paraId="6EA3924E" w14:textId="4456E95D" w:rsidR="00F67CBC" w:rsidRPr="00F833B4" w:rsidRDefault="00F67CBC" w:rsidP="00F833B4">
      <w:pPr>
        <w:rPr>
          <w:lang w:val="ru-RU"/>
        </w:rPr>
      </w:pPr>
      <w:r w:rsidRPr="00F833B4">
        <w:rPr>
          <w:lang w:val="ru-RU"/>
        </w:rPr>
        <w:t>111</w:t>
      </w:r>
      <w:r w:rsidRPr="00F833B4">
        <w:rPr>
          <w:lang w:val="ru-RU"/>
        </w:rPr>
        <w:tab/>
        <w:t xml:space="preserve">Если требуется взыскать суммы, относящиеся к прошлому периоду, соответствующая выплата может произведена </w:t>
      </w:r>
      <w:proofErr w:type="spellStart"/>
      <w:r w:rsidRPr="00F833B4">
        <w:rPr>
          <w:lang w:val="ru-RU"/>
        </w:rPr>
        <w:t>ретроактивно</w:t>
      </w:r>
      <w:proofErr w:type="spellEnd"/>
      <w:r w:rsidRPr="00F833B4">
        <w:rPr>
          <w:lang w:val="ru-RU"/>
        </w:rPr>
        <w:t xml:space="preserve"> только за последний год (</w:t>
      </w:r>
      <w:r w:rsidRPr="00F833B4">
        <w:rPr>
          <w:color w:val="000000"/>
          <w:lang w:val="ru-RU"/>
        </w:rPr>
        <w:t>если затронутый сотрудник больше не соглашается вернуть средства</w:t>
      </w:r>
      <w:r w:rsidRPr="00F833B4">
        <w:rPr>
          <w:lang w:val="ru-RU"/>
        </w:rPr>
        <w:t xml:space="preserve">); поэтому долги необходимо возвращать вовремя, то есть чем больше задержка, тем больше риск последствий </w:t>
      </w:r>
      <w:r w:rsidRPr="00F833B4">
        <w:rPr>
          <w:color w:val="000000"/>
          <w:lang w:val="ru-RU"/>
        </w:rPr>
        <w:t>для финансовой отчетности</w:t>
      </w:r>
      <w:r w:rsidRPr="00F833B4">
        <w:rPr>
          <w:lang w:val="ru-RU"/>
        </w:rPr>
        <w:t>. В ходе недавнего перераспределения функций между SAS и секцией заработной платы не было назначено лицо, постоянно ответственное за реализацию процесса.</w:t>
      </w:r>
    </w:p>
    <w:p w14:paraId="14309DC5" w14:textId="77777777" w:rsidR="00F67CBC" w:rsidRPr="00F833B4" w:rsidRDefault="00F67CBC" w:rsidP="00F833B4">
      <w:pPr>
        <w:rPr>
          <w:lang w:val="ru-RU"/>
        </w:rPr>
      </w:pPr>
      <w:r w:rsidRPr="00F833B4">
        <w:rPr>
          <w:lang w:val="ru-RU"/>
        </w:rPr>
        <w:t>112</w:t>
      </w:r>
      <w:r w:rsidRPr="00F833B4">
        <w:rPr>
          <w:lang w:val="ru-RU"/>
        </w:rPr>
        <w:tab/>
        <w:t xml:space="preserve">Другим источником потенциальной ошибки (а также дополнительным бременем для соответствующих служб) является необходимость ручного ввода и корректировки данных на платформе SAP HRMD. </w:t>
      </w:r>
    </w:p>
    <w:p w14:paraId="2821438B" w14:textId="33D03E4E" w:rsidR="00F67CBC" w:rsidRPr="00F833B4" w:rsidRDefault="00F67CBC" w:rsidP="00F833B4">
      <w:pPr>
        <w:rPr>
          <w:lang w:val="ru-RU"/>
        </w:rPr>
      </w:pPr>
      <w:r w:rsidRPr="00F833B4">
        <w:rPr>
          <w:lang w:val="ru-RU"/>
        </w:rPr>
        <w:t>113</w:t>
      </w:r>
      <w:r w:rsidRPr="00F833B4">
        <w:rPr>
          <w:lang w:val="ru-RU"/>
        </w:rPr>
        <w:tab/>
        <w:t>В 2018 году был установлен перечень обязательных</w:t>
      </w:r>
      <w:r w:rsidRPr="00F833B4">
        <w:rPr>
          <w:color w:val="000000"/>
          <w:lang w:val="ru-RU"/>
        </w:rPr>
        <w:t xml:space="preserve"> усовершенствований </w:t>
      </w:r>
      <w:r w:rsidRPr="00F833B4">
        <w:rPr>
          <w:lang w:val="ru-RU"/>
        </w:rPr>
        <w:t>в</w:t>
      </w:r>
      <w:r w:rsidRPr="00F833B4">
        <w:rPr>
          <w:color w:val="000000"/>
          <w:lang w:val="ru-RU"/>
        </w:rPr>
        <w:t xml:space="preserve"> системе </w:t>
      </w:r>
      <w:r w:rsidRPr="00F833B4">
        <w:rPr>
          <w:lang w:val="ru-RU"/>
        </w:rPr>
        <w:t xml:space="preserve">SAP HRMD. В настоящее время он насчитывает 73 позиции (8 позиций были добавлены совсем недавно). 38 требований в этом перечне имеют приоритет 1, что соответствует ситуации, при которой ошибки в расчетах </w:t>
      </w:r>
      <w:r w:rsidRPr="00F833B4">
        <w:rPr>
          <w:color w:val="000000"/>
          <w:lang w:val="ru-RU"/>
        </w:rPr>
        <w:t>могут иметь финансовые последствия</w:t>
      </w:r>
      <w:r w:rsidRPr="00F833B4">
        <w:rPr>
          <w:lang w:val="ru-RU"/>
        </w:rPr>
        <w:t xml:space="preserve"> (т. e. последствия для отдельных лиц/заработных плат), а риск ошибок влечет за собой соответствующий риск для счетов МСЭ. </w:t>
      </w:r>
    </w:p>
    <w:p w14:paraId="1F28EF15" w14:textId="77777777" w:rsidR="00F67CBC" w:rsidRPr="00F833B4" w:rsidRDefault="00F67CBC" w:rsidP="00F833B4">
      <w:pPr>
        <w:rPr>
          <w:lang w:val="ru-RU"/>
        </w:rPr>
      </w:pPr>
      <w:r w:rsidRPr="00F833B4">
        <w:rPr>
          <w:lang w:val="ru-RU"/>
        </w:rPr>
        <w:t>114</w:t>
      </w:r>
      <w:r w:rsidRPr="00F833B4">
        <w:rPr>
          <w:lang w:val="ru-RU"/>
        </w:rPr>
        <w:tab/>
        <w:t>В</w:t>
      </w:r>
      <w:r w:rsidRPr="00F833B4">
        <w:rPr>
          <w:color w:val="000000"/>
          <w:lang w:val="ru-RU"/>
        </w:rPr>
        <w:t xml:space="preserve"> прошлом году сообщалось о начале реализации специального проекта, рассчитанного на</w:t>
      </w:r>
      <w:r w:rsidRPr="00F833B4">
        <w:rPr>
          <w:lang w:val="ru-RU"/>
        </w:rPr>
        <w:t xml:space="preserve"> двухгодичный период 2019−2020 годов, с целью </w:t>
      </w:r>
      <w:r w:rsidRPr="00F833B4">
        <w:rPr>
          <w:color w:val="000000"/>
          <w:lang w:val="ru-RU"/>
        </w:rPr>
        <w:t xml:space="preserve">устранения неполадок в системе и стабилизации соответствующих </w:t>
      </w:r>
      <w:r w:rsidRPr="00F833B4">
        <w:rPr>
          <w:lang w:val="ru-RU"/>
        </w:rPr>
        <w:t xml:space="preserve">модулей, включая интерфейсы с </w:t>
      </w:r>
      <w:r w:rsidRPr="00F833B4">
        <w:rPr>
          <w:color w:val="000000"/>
          <w:lang w:val="ru-RU"/>
        </w:rPr>
        <w:t>системами медицинского страхования</w:t>
      </w:r>
      <w:r w:rsidRPr="00F833B4">
        <w:rPr>
          <w:lang w:val="ru-RU"/>
        </w:rPr>
        <w:t>. В этом проекте участвовали 2,5 сотрудника</w:t>
      </w:r>
      <w:r w:rsidRPr="00F833B4">
        <w:rPr>
          <w:color w:val="000000"/>
          <w:lang w:val="ru-RU"/>
        </w:rPr>
        <w:t xml:space="preserve"> из Департамента информационных служб, которым помогал</w:t>
      </w:r>
      <w:r w:rsidRPr="00F833B4">
        <w:rPr>
          <w:lang w:val="ru-RU"/>
        </w:rPr>
        <w:t xml:space="preserve"> внешний консультант. Однако, в 2019 году в реализации этого проекта произошла заминка и было достигнуто лишь очень небольшое количество </w:t>
      </w:r>
      <w:r w:rsidRPr="00F833B4">
        <w:rPr>
          <w:color w:val="000000"/>
          <w:lang w:val="ru-RU"/>
        </w:rPr>
        <w:t>усовершенствований</w:t>
      </w:r>
      <w:r w:rsidRPr="00F833B4">
        <w:rPr>
          <w:lang w:val="ru-RU"/>
        </w:rPr>
        <w:t>. Сообщалось, что по состоянию на октябрь 2020 года были реализованы только 20 из 38 видов деятельности, имеющих приоритет 1 (еще 4 были закрыты ввиду изменений в правилах медицинского страхования).</w:t>
      </w:r>
    </w:p>
    <w:p w14:paraId="0068CC54" w14:textId="56F3151F" w:rsidR="00F67CBC" w:rsidRPr="00F833B4" w:rsidRDefault="00F67CBC" w:rsidP="00F833B4">
      <w:pPr>
        <w:rPr>
          <w:lang w:val="ru-RU"/>
        </w:rPr>
      </w:pPr>
      <w:r w:rsidRPr="00F833B4">
        <w:rPr>
          <w:lang w:val="ru-RU"/>
        </w:rPr>
        <w:t>115</w:t>
      </w:r>
      <w:r w:rsidRPr="00F833B4">
        <w:rPr>
          <w:lang w:val="ru-RU"/>
        </w:rPr>
        <w:tab/>
        <w:t xml:space="preserve">Это частично объясняется </w:t>
      </w:r>
      <w:r w:rsidRPr="00F833B4">
        <w:rPr>
          <w:color w:val="000000"/>
          <w:lang w:val="ru-RU"/>
        </w:rPr>
        <w:t>влиянием COVID-19</w:t>
      </w:r>
      <w:r w:rsidRPr="00F833B4">
        <w:rPr>
          <w:lang w:val="ru-RU"/>
        </w:rPr>
        <w:t xml:space="preserve"> и частично – возникновением других приоритетов, в частности, вопросов, связанных с переходом к системе медицинского страхования ЮНСМИС и необходимостью выполнения решения </w:t>
      </w:r>
      <w:r w:rsidRPr="00F833B4">
        <w:rPr>
          <w:color w:val="000000"/>
          <w:lang w:val="ru-RU"/>
        </w:rPr>
        <w:t>Административного трибунала МОТ, касающегося коррективы по месту службы в Женеве.</w:t>
      </w:r>
      <w:r w:rsidRPr="00F833B4">
        <w:rPr>
          <w:lang w:val="ru-RU"/>
        </w:rPr>
        <w:t xml:space="preserve"> Однако, не все эти вопросы были решены. Что касается изменения в АСХИ, мы были проинформированы о том, что корректировки были внесены без планов предварительного и текущего тестирования и надлежащей отчетности, что повысило риски возникновения ошибок и вызвало необходимость осуществления проверок. Кроме того, достигнутая интеграция не всегда полностью </w:t>
      </w:r>
      <w:r w:rsidRPr="00F833B4">
        <w:rPr>
          <w:color w:val="000000"/>
          <w:lang w:val="ru-RU"/>
        </w:rPr>
        <w:t>удовлетворяет бизнес-требованиям</w:t>
      </w:r>
      <w:r w:rsidRPr="00F833B4">
        <w:rPr>
          <w:lang w:val="ru-RU"/>
        </w:rPr>
        <w:t>, и система по-прежнему нуждается в стабилизации.</w:t>
      </w:r>
    </w:p>
    <w:p w14:paraId="4F7361DF" w14:textId="77777777" w:rsidR="00F67CBC" w:rsidRPr="00F833B4" w:rsidRDefault="00F67CBC" w:rsidP="00F833B4">
      <w:pPr>
        <w:rPr>
          <w:lang w:val="ru-RU"/>
        </w:rPr>
      </w:pPr>
      <w:r w:rsidRPr="00F833B4">
        <w:rPr>
          <w:lang w:val="ru-RU"/>
        </w:rPr>
        <w:t>116</w:t>
      </w:r>
      <w:r w:rsidRPr="00F833B4">
        <w:rPr>
          <w:lang w:val="ru-RU"/>
        </w:rPr>
        <w:tab/>
        <w:t xml:space="preserve">Ситуация с ручным вводом данных, касающихся </w:t>
      </w:r>
      <w:r w:rsidRPr="00F833B4">
        <w:rPr>
          <w:color w:val="000000"/>
          <w:lang w:val="ru-RU"/>
        </w:rPr>
        <w:t>семейных пособий</w:t>
      </w:r>
      <w:r w:rsidRPr="00F833B4">
        <w:rPr>
          <w:lang w:val="ru-RU"/>
        </w:rPr>
        <w:t xml:space="preserve"> (которые заносятся отдельно в </w:t>
      </w:r>
      <w:r w:rsidRPr="00F833B4">
        <w:rPr>
          <w:color w:val="000000"/>
          <w:lang w:val="ru-RU"/>
        </w:rPr>
        <w:t>таблицу в формате EXCEL</w:t>
      </w:r>
      <w:r w:rsidRPr="00F833B4">
        <w:rPr>
          <w:lang w:val="ru-RU"/>
        </w:rPr>
        <w:t xml:space="preserve">), </w:t>
      </w:r>
      <w:r w:rsidRPr="00F833B4">
        <w:rPr>
          <w:color w:val="000000"/>
          <w:lang w:val="ru-RU"/>
        </w:rPr>
        <w:t xml:space="preserve">может запустить цепную реакцию последствий для других </w:t>
      </w:r>
      <w:r w:rsidRPr="00F833B4">
        <w:rPr>
          <w:lang w:val="ru-RU"/>
        </w:rPr>
        <w:t>выплат. Никаких дополнительных проверок служба заработной платы не проводит и не был увеличен ее численный состав, как это было объявлено.</w:t>
      </w:r>
    </w:p>
    <w:p w14:paraId="187E7A10" w14:textId="467E177C" w:rsidR="00F67CBC" w:rsidRPr="00F833B4" w:rsidRDefault="00F67CBC" w:rsidP="00F833B4">
      <w:pPr>
        <w:rPr>
          <w:lang w:val="ru-RU"/>
        </w:rPr>
      </w:pPr>
      <w:r w:rsidRPr="00F833B4">
        <w:rPr>
          <w:lang w:val="ru-RU"/>
        </w:rPr>
        <w:lastRenderedPageBreak/>
        <w:t>117</w:t>
      </w:r>
      <w:r w:rsidRPr="00F833B4">
        <w:rPr>
          <w:lang w:val="ru-RU"/>
        </w:rPr>
        <w:tab/>
        <w:t>Теперь сроки завершения этой деятельности перенесены на 2021 год.</w:t>
      </w:r>
    </w:p>
    <w:p w14:paraId="471D75B4" w14:textId="77777777" w:rsidR="00F67CBC" w:rsidRPr="00F833B4" w:rsidRDefault="00F67CBC" w:rsidP="00F833B4">
      <w:pPr>
        <w:rPr>
          <w:lang w:val="ru-RU"/>
        </w:rPr>
      </w:pPr>
      <w:r w:rsidRPr="00F833B4">
        <w:rPr>
          <w:lang w:val="ru-RU"/>
        </w:rPr>
        <w:t>118</w:t>
      </w:r>
      <w:r w:rsidRPr="00F833B4">
        <w:rPr>
          <w:lang w:val="ru-RU"/>
        </w:rPr>
        <w:tab/>
        <w:t xml:space="preserve">С учетом </w:t>
      </w:r>
      <w:r w:rsidRPr="00F833B4">
        <w:rPr>
          <w:color w:val="000000"/>
          <w:lang w:val="ru-RU"/>
        </w:rPr>
        <w:t>ситуации, описанной выше,</w:t>
      </w:r>
      <w:r w:rsidRPr="00F833B4">
        <w:rPr>
          <w:lang w:val="ru-RU"/>
        </w:rPr>
        <w:t xml:space="preserve"> мы не можем </w:t>
      </w:r>
      <w:r w:rsidRPr="00F833B4">
        <w:rPr>
          <w:color w:val="000000"/>
          <w:lang w:val="ru-RU"/>
        </w:rPr>
        <w:t>сделать заключение</w:t>
      </w:r>
      <w:r w:rsidRPr="00F833B4">
        <w:rPr>
          <w:lang w:val="ru-RU"/>
        </w:rPr>
        <w:t xml:space="preserve"> относительно точности цифр, </w:t>
      </w:r>
      <w:r w:rsidRPr="00F833B4">
        <w:rPr>
          <w:color w:val="000000"/>
          <w:lang w:val="ru-RU"/>
        </w:rPr>
        <w:t>включенных в отчет о финансовой деятельности</w:t>
      </w:r>
      <w:r w:rsidRPr="00F833B4">
        <w:rPr>
          <w:lang w:val="ru-RU"/>
        </w:rPr>
        <w:t>.</w:t>
      </w:r>
    </w:p>
    <w:p w14:paraId="50395594" w14:textId="77777777" w:rsidR="00F67CBC" w:rsidRPr="00F833B4" w:rsidRDefault="00F67CBC" w:rsidP="00F833B4">
      <w:pPr>
        <w:rPr>
          <w:lang w:val="ru-RU"/>
        </w:rPr>
      </w:pPr>
      <w:r w:rsidRPr="00F833B4">
        <w:rPr>
          <w:lang w:val="ru-RU"/>
        </w:rPr>
        <w:t>119</w:t>
      </w:r>
      <w:r w:rsidRPr="00F833B4">
        <w:rPr>
          <w:lang w:val="ru-RU"/>
        </w:rPr>
        <w:tab/>
        <w:t xml:space="preserve">Covid-19 ускорил процесс цифровизации. Однако </w:t>
      </w:r>
      <w:r w:rsidRPr="00F833B4">
        <w:rPr>
          <w:color w:val="000000"/>
          <w:lang w:val="ru-RU"/>
        </w:rPr>
        <w:t>проект по электронному представлению заявок</w:t>
      </w:r>
      <w:r w:rsidRPr="00F833B4">
        <w:rPr>
          <w:lang w:val="ru-RU"/>
        </w:rPr>
        <w:t xml:space="preserve"> все еще далек от реализации и требует переоценки. Анализ рабочего процесса, проведенный несколько лет тому назад в качестве предварительного шага к созданию системы управления информацией, не обновлялся. Между тем, еще давно выявленная </w:t>
      </w:r>
      <w:r w:rsidRPr="00F833B4">
        <w:rPr>
          <w:color w:val="000000"/>
          <w:lang w:val="ru-RU"/>
        </w:rPr>
        <w:t>фрагментация потоков информации</w:t>
      </w:r>
      <w:r w:rsidRPr="00F833B4">
        <w:rPr>
          <w:lang w:val="ru-RU"/>
        </w:rPr>
        <w:t xml:space="preserve">, обуславливающая необходимость сбора и выверки данных из многочисленных источников, так и не была устранена. </w:t>
      </w:r>
    </w:p>
    <w:p w14:paraId="4294EAC7" w14:textId="77777777" w:rsidR="00F67CBC" w:rsidRPr="00F833B4" w:rsidRDefault="00F67CBC" w:rsidP="00F833B4">
      <w:pPr>
        <w:spacing w:after="120"/>
        <w:rPr>
          <w:lang w:val="ru-RU"/>
        </w:rPr>
      </w:pPr>
      <w:r w:rsidRPr="00F833B4">
        <w:rPr>
          <w:lang w:val="ru-RU"/>
        </w:rPr>
        <w:t>120</w:t>
      </w:r>
      <w:r w:rsidRPr="00F833B4">
        <w:rPr>
          <w:lang w:val="ru-RU"/>
        </w:rPr>
        <w:tab/>
        <w:t>Решение о создании системы</w:t>
      </w:r>
      <w:r w:rsidRPr="00F833B4">
        <w:rPr>
          <w:color w:val="000000"/>
          <w:lang w:val="ru-RU"/>
        </w:rPr>
        <w:t xml:space="preserve"> управления информацией</w:t>
      </w:r>
      <w:r w:rsidRPr="00F833B4">
        <w:rPr>
          <w:lang w:val="ru-RU"/>
        </w:rPr>
        <w:t xml:space="preserve"> носит стратегический характер и требует усилий всей организации. Эта система может </w:t>
      </w:r>
      <w:r w:rsidRPr="00F833B4">
        <w:rPr>
          <w:color w:val="000000"/>
          <w:lang w:val="ru-RU"/>
        </w:rPr>
        <w:t>способствовать повышению</w:t>
      </w:r>
      <w:r w:rsidRPr="00F833B4">
        <w:rPr>
          <w:lang w:val="ru-RU"/>
        </w:rPr>
        <w:t xml:space="preserve"> эффективности, необходимой для получения ожидаемых от МСЭ результатов </w:t>
      </w:r>
      <w:r w:rsidRPr="00F833B4">
        <w:rPr>
          <w:color w:val="000000"/>
          <w:lang w:val="ru-RU"/>
        </w:rPr>
        <w:t>в рамках имеющихся ресурсов</w:t>
      </w:r>
      <w:r w:rsidRPr="00F833B4">
        <w:rPr>
          <w:lang w:val="ru-RU"/>
        </w:rPr>
        <w:t xml:space="preserve">. </w:t>
      </w:r>
    </w:p>
    <w:tbl>
      <w:tblPr>
        <w:tblStyle w:val="TableGrid2"/>
        <w:tblW w:w="0" w:type="auto"/>
        <w:tblInd w:w="-5" w:type="dxa"/>
        <w:tblLook w:val="04A0" w:firstRow="1" w:lastRow="0" w:firstColumn="1" w:lastColumn="0" w:noHBand="0" w:noVBand="1"/>
      </w:tblPr>
      <w:tblGrid>
        <w:gridCol w:w="9634"/>
      </w:tblGrid>
      <w:tr w:rsidR="00F67CBC" w:rsidRPr="00FE280E" w14:paraId="03F8B4CB" w14:textId="77777777" w:rsidTr="00F833B4">
        <w:tc>
          <w:tcPr>
            <w:tcW w:w="9634" w:type="dxa"/>
          </w:tcPr>
          <w:p w14:paraId="65FFB03A" w14:textId="77777777" w:rsidR="00F67CBC" w:rsidRPr="00F833B4" w:rsidRDefault="00F67CBC" w:rsidP="00F833B4">
            <w:pPr>
              <w:keepNext/>
              <w:rPr>
                <w:b/>
                <w:i/>
                <w:lang w:val="ru-RU"/>
              </w:rPr>
            </w:pPr>
            <w:r w:rsidRPr="00F833B4">
              <w:rPr>
                <w:b/>
                <w:i/>
                <w:lang w:val="ru-RU"/>
              </w:rPr>
              <w:t>Рекомендация 4</w:t>
            </w:r>
          </w:p>
          <w:p w14:paraId="1D189C68" w14:textId="5543657B" w:rsidR="00F67CBC" w:rsidRPr="00F833B4" w:rsidRDefault="00F67CBC" w:rsidP="00F833B4">
            <w:pPr>
              <w:spacing w:after="120"/>
              <w:rPr>
                <w:lang w:val="ru-RU"/>
              </w:rPr>
            </w:pPr>
            <w:r w:rsidRPr="00F833B4">
              <w:rPr>
                <w:lang w:val="ru-RU"/>
              </w:rPr>
              <w:t>121</w:t>
            </w:r>
            <w:r w:rsidRPr="00F833B4">
              <w:rPr>
                <w:lang w:val="ru-RU"/>
              </w:rPr>
              <w:tab/>
            </w:r>
            <w:r w:rsidRPr="00F833B4">
              <w:rPr>
                <w:color w:val="000000"/>
                <w:lang w:val="ru-RU"/>
              </w:rPr>
              <w:t>Следует отметить, что предыдущий объем невыполненных работ был полностью ликвидирован</w:t>
            </w:r>
            <w:r w:rsidRPr="00F833B4">
              <w:rPr>
                <w:lang w:val="ru-RU"/>
              </w:rPr>
              <w:t xml:space="preserve">. Вместе с тем в настоящее время требуются целенаправленные усилия с целью систематического обновления административных данных без создания нового </w:t>
            </w:r>
            <w:r w:rsidRPr="00F833B4">
              <w:rPr>
                <w:color w:val="000000"/>
                <w:lang w:val="ru-RU"/>
              </w:rPr>
              <w:t>объема невыполненных работ</w:t>
            </w:r>
            <w:r w:rsidRPr="00F833B4">
              <w:rPr>
                <w:lang w:val="ru-RU"/>
              </w:rPr>
              <w:t xml:space="preserve">. Поэтому </w:t>
            </w:r>
            <w:r w:rsidRPr="00F833B4">
              <w:rPr>
                <w:u w:val="single"/>
                <w:lang w:val="ru-RU"/>
              </w:rPr>
              <w:t>мы рекомендуем</w:t>
            </w:r>
            <w:r w:rsidRPr="00F833B4">
              <w:rPr>
                <w:lang w:val="ru-RU"/>
              </w:rPr>
              <w:t xml:space="preserve"> обеспечить своевременную обработку документов, подтверждающих обоснованность выплат сотрудникам, и ввести автоматизированные процедуры оповещения, чтобы добиться их соответствия. В связи с этим, возможно, </w:t>
            </w:r>
            <w:r w:rsidRPr="00F833B4">
              <w:rPr>
                <w:color w:val="000000"/>
                <w:lang w:val="ru-RU"/>
              </w:rPr>
              <w:t>было бы целесообразно</w:t>
            </w:r>
            <w:r w:rsidRPr="00F833B4">
              <w:rPr>
                <w:lang w:val="ru-RU"/>
              </w:rPr>
              <w:t xml:space="preserve"> возложить на какого-либо ответственного специалиста </w:t>
            </w:r>
            <w:r w:rsidRPr="00F833B4">
              <w:rPr>
                <w:color w:val="000000"/>
                <w:lang w:val="ru-RU"/>
              </w:rPr>
              <w:t>конкретные задачи в этой области, если они еще не охвачены его текущими обязанностями</w:t>
            </w:r>
            <w:r w:rsidRPr="00F833B4">
              <w:rPr>
                <w:lang w:val="ru-RU"/>
              </w:rPr>
              <w:t>.</w:t>
            </w:r>
          </w:p>
          <w:p w14:paraId="5434F482" w14:textId="77777777" w:rsidR="00F67CBC" w:rsidRPr="00F833B4" w:rsidRDefault="00F67CBC" w:rsidP="00F833B4">
            <w:pPr>
              <w:spacing w:after="120"/>
              <w:rPr>
                <w:lang w:val="ru-RU"/>
              </w:rPr>
            </w:pPr>
            <w:r w:rsidRPr="00F833B4">
              <w:rPr>
                <w:lang w:val="ru-RU"/>
              </w:rPr>
              <w:t>122</w:t>
            </w:r>
            <w:r w:rsidRPr="00F833B4">
              <w:rPr>
                <w:lang w:val="ru-RU"/>
              </w:rPr>
              <w:tab/>
            </w:r>
            <w:r w:rsidRPr="00F833B4">
              <w:rPr>
                <w:u w:val="single"/>
                <w:lang w:val="ru-RU"/>
              </w:rPr>
              <w:t>М</w:t>
            </w:r>
            <w:r w:rsidRPr="00F833B4">
              <w:rPr>
                <w:color w:val="000000"/>
                <w:u w:val="single"/>
                <w:lang w:val="ru-RU"/>
              </w:rPr>
              <w:t>ы также повторяем нашу рекомендацию</w:t>
            </w:r>
            <w:r w:rsidRPr="00F833B4">
              <w:rPr>
                <w:lang w:val="ru-RU"/>
              </w:rPr>
              <w:t xml:space="preserve"> о том, чтобы в срочном порядке систематизировать в плане действий меры, необходимые для удовлетворительного решения вопросов, связанных с интеграцией новых </w:t>
            </w:r>
            <w:r w:rsidRPr="00F833B4">
              <w:rPr>
                <w:color w:val="000000"/>
                <w:lang w:val="ru-RU"/>
              </w:rPr>
              <w:t>функциональных возможностей</w:t>
            </w:r>
            <w:r w:rsidRPr="00F833B4">
              <w:rPr>
                <w:lang w:val="ru-RU"/>
              </w:rPr>
              <w:t xml:space="preserve"> в систему ERP. Эти меры должны включать привлечение дополнительных внешних ресурсов в тех случаях, когда это необходимо для разработки необходимых усовершенствований.</w:t>
            </w:r>
          </w:p>
          <w:p w14:paraId="0E94F7F2" w14:textId="77777777" w:rsidR="00F67CBC" w:rsidRPr="00F833B4" w:rsidRDefault="00F67CBC" w:rsidP="00F833B4">
            <w:pPr>
              <w:spacing w:after="120"/>
              <w:rPr>
                <w:lang w:val="ru-RU"/>
              </w:rPr>
            </w:pPr>
            <w:r w:rsidRPr="00F833B4">
              <w:rPr>
                <w:lang w:val="ru-RU"/>
              </w:rPr>
              <w:t>123</w:t>
            </w:r>
            <w:r w:rsidRPr="00F833B4">
              <w:rPr>
                <w:lang w:val="ru-RU"/>
              </w:rPr>
              <w:tab/>
              <w:t xml:space="preserve">В то же время </w:t>
            </w:r>
            <w:r w:rsidRPr="00F833B4">
              <w:rPr>
                <w:u w:val="single"/>
                <w:lang w:val="ru-RU"/>
              </w:rPr>
              <w:t>мы рекомендуем</w:t>
            </w:r>
            <w:r w:rsidRPr="00F833B4">
              <w:rPr>
                <w:lang w:val="ru-RU"/>
              </w:rPr>
              <w:t xml:space="preserve"> давать количественную оценку и надлежащим образом раскрывать потенциальное влияние ретроактивных выплат на счета МСЭ. </w:t>
            </w:r>
          </w:p>
        </w:tc>
      </w:tr>
    </w:tbl>
    <w:p w14:paraId="773C73DC"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20C1FA05" w14:textId="77777777" w:rsidTr="00F833B4">
        <w:trPr>
          <w:cantSplit/>
        </w:trPr>
        <w:tc>
          <w:tcPr>
            <w:tcW w:w="9634" w:type="dxa"/>
          </w:tcPr>
          <w:p w14:paraId="6535ADE4" w14:textId="77777777" w:rsidR="00F67CBC" w:rsidRPr="00F833B4" w:rsidRDefault="00F67CBC" w:rsidP="00F833B4">
            <w:pPr>
              <w:rPr>
                <w:b/>
                <w:bCs/>
                <w:i/>
                <w:iCs/>
                <w:u w:val="single"/>
                <w:lang w:val="ru-RU"/>
              </w:rPr>
            </w:pPr>
            <w:r w:rsidRPr="00F833B4">
              <w:rPr>
                <w:b/>
                <w:bCs/>
                <w:i/>
                <w:iCs/>
                <w:u w:val="single"/>
                <w:lang w:val="ru-RU"/>
              </w:rPr>
              <w:t>Комментарии Генерального секретаря</w:t>
            </w:r>
          </w:p>
          <w:p w14:paraId="575CDE1E" w14:textId="77777777" w:rsidR="00F67CBC" w:rsidRPr="00F833B4" w:rsidRDefault="00F67CBC" w:rsidP="00F833B4">
            <w:pPr>
              <w:spacing w:after="120"/>
              <w:rPr>
                <w:lang w:val="ru-RU"/>
              </w:rPr>
            </w:pPr>
            <w:r w:rsidRPr="00F833B4">
              <w:rPr>
                <w:lang w:val="ru-RU"/>
              </w:rPr>
              <w:t>МСЭ поддерживает рекомендации об ускорении интеграции существующих бизнес-процессов в систему ERP для сокращения ручной обработки информации и более широкого внедрения автоматизации с целью упрощения, сокращения времени обработки информации и уменьшения рисков. HRMD работает с Департаментом IS над проектом по усовершенствованию системы SAP HR с уделением первоочередного внимания перечню из 73 позиций, от устранения неполадок до разработки новых функций.</w:t>
            </w:r>
          </w:p>
        </w:tc>
      </w:tr>
    </w:tbl>
    <w:p w14:paraId="4CA1527B"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38BE51C1" w14:textId="77777777" w:rsidTr="00F833B4">
        <w:tc>
          <w:tcPr>
            <w:tcW w:w="9634" w:type="dxa"/>
          </w:tcPr>
          <w:p w14:paraId="63E60928" w14:textId="77777777" w:rsidR="00F67CBC" w:rsidRPr="00F833B4" w:rsidRDefault="00F67CBC" w:rsidP="00F833B4">
            <w:pPr>
              <w:keepNext/>
              <w:rPr>
                <w:b/>
                <w:i/>
                <w:lang w:val="ru-RU"/>
              </w:rPr>
            </w:pPr>
            <w:r w:rsidRPr="00F833B4">
              <w:rPr>
                <w:b/>
                <w:i/>
                <w:lang w:val="ru-RU"/>
              </w:rPr>
              <w:t>Рекомендация 5</w:t>
            </w:r>
          </w:p>
          <w:p w14:paraId="0AFA2085" w14:textId="77777777" w:rsidR="00F67CBC" w:rsidRPr="00F833B4" w:rsidRDefault="00F67CBC" w:rsidP="00F833B4">
            <w:pPr>
              <w:spacing w:after="120"/>
              <w:rPr>
                <w:lang w:val="ru-RU"/>
              </w:rPr>
            </w:pPr>
            <w:r w:rsidRPr="00F833B4">
              <w:rPr>
                <w:lang w:val="ru-RU"/>
              </w:rPr>
              <w:t>124</w:t>
            </w:r>
            <w:r w:rsidRPr="00F833B4">
              <w:rPr>
                <w:lang w:val="ru-RU"/>
              </w:rPr>
              <w:tab/>
            </w:r>
            <w:r w:rsidRPr="00F833B4">
              <w:rPr>
                <w:u w:val="single"/>
                <w:lang w:val="ru-RU"/>
              </w:rPr>
              <w:t>Мы рекомендуем</w:t>
            </w:r>
            <w:r w:rsidRPr="00F833B4">
              <w:rPr>
                <w:lang w:val="ru-RU"/>
              </w:rPr>
              <w:t xml:space="preserve"> также рассмотреть вопрос об ускорении реализации проекта по электронному представлению заявок, а также о разработке и внедрении реальной системы управления информацией, в том числе путем инвестирования средств во внешние службы. </w:t>
            </w:r>
          </w:p>
        </w:tc>
      </w:tr>
    </w:tbl>
    <w:p w14:paraId="78531EDE"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2AD9A3C4" w14:textId="77777777" w:rsidTr="00F833B4">
        <w:trPr>
          <w:cantSplit/>
        </w:trPr>
        <w:tc>
          <w:tcPr>
            <w:tcW w:w="9634" w:type="dxa"/>
          </w:tcPr>
          <w:p w14:paraId="27D42EF9" w14:textId="77777777" w:rsidR="00F67CBC" w:rsidRPr="00F833B4" w:rsidRDefault="00F67CBC" w:rsidP="00F833B4">
            <w:pPr>
              <w:rPr>
                <w:b/>
                <w:bCs/>
                <w:i/>
                <w:iCs/>
                <w:u w:val="single"/>
                <w:lang w:val="ru-RU"/>
              </w:rPr>
            </w:pPr>
            <w:r w:rsidRPr="00F833B4">
              <w:rPr>
                <w:b/>
                <w:bCs/>
                <w:i/>
                <w:iCs/>
                <w:u w:val="single"/>
                <w:lang w:val="ru-RU"/>
              </w:rPr>
              <w:lastRenderedPageBreak/>
              <w:t>Комментарии Генерального секретаря</w:t>
            </w:r>
          </w:p>
          <w:p w14:paraId="121AD7E8" w14:textId="77777777" w:rsidR="00F67CBC" w:rsidRPr="00F833B4" w:rsidRDefault="00F67CBC" w:rsidP="00F833B4">
            <w:pPr>
              <w:spacing w:after="120"/>
              <w:rPr>
                <w:lang w:val="ru-RU"/>
              </w:rPr>
            </w:pPr>
            <w:r w:rsidRPr="00F833B4">
              <w:rPr>
                <w:lang w:val="ru-RU"/>
              </w:rPr>
              <w:t>МСЭ, в целом, поддерживает эту рекомендацию, в частности, в контексте рабочей среды, сложившейся в ситуации, обусловленной Covid-19, при значительном увеличении числа документов, подготавливаемых и обрабатываемых в электронном формате, однако без управления ими в рамках какой-либо системы, в том числе системы ERP HR.</w:t>
            </w:r>
          </w:p>
        </w:tc>
      </w:tr>
    </w:tbl>
    <w:p w14:paraId="7A6C70CA" w14:textId="77777777" w:rsidR="00F67CBC" w:rsidRPr="00F833B4" w:rsidRDefault="00F67CBC" w:rsidP="00F833B4">
      <w:pPr>
        <w:pStyle w:val="Heading3"/>
        <w:rPr>
          <w:i/>
          <w:iCs/>
          <w:lang w:val="ru-RU"/>
        </w:rPr>
      </w:pPr>
      <w:bookmarkStart w:id="357" w:name="_Toc54769181"/>
      <w:bookmarkStart w:id="358" w:name="_Toc56180410"/>
      <w:r w:rsidRPr="00F833B4">
        <w:rPr>
          <w:i/>
          <w:iCs/>
          <w:lang w:val="ru-RU"/>
        </w:rPr>
        <w:t xml:space="preserve">Отсутствие заметного прогресса в </w:t>
      </w:r>
      <w:r w:rsidRPr="00F833B4">
        <w:rPr>
          <w:i/>
          <w:color w:val="000000"/>
          <w:lang w:val="ru-RU"/>
        </w:rPr>
        <w:t>выполнении Стратегического плана в области людских ресурс</w:t>
      </w:r>
      <w:bookmarkEnd w:id="357"/>
      <w:r w:rsidRPr="00F833B4">
        <w:rPr>
          <w:i/>
          <w:color w:val="000000"/>
          <w:lang w:val="ru-RU"/>
        </w:rPr>
        <w:t>ов</w:t>
      </w:r>
      <w:bookmarkEnd w:id="358"/>
    </w:p>
    <w:p w14:paraId="2D2FE660" w14:textId="6E57C5FD" w:rsidR="00F67CBC" w:rsidRPr="00F833B4" w:rsidRDefault="00F67CBC" w:rsidP="00F833B4">
      <w:pPr>
        <w:rPr>
          <w:lang w:val="ru-RU"/>
        </w:rPr>
      </w:pPr>
      <w:r w:rsidRPr="00F833B4">
        <w:rPr>
          <w:lang w:val="ru-RU"/>
        </w:rPr>
        <w:t>125</w:t>
      </w:r>
      <w:r w:rsidRPr="00F833B4">
        <w:rPr>
          <w:lang w:val="ru-RU"/>
        </w:rPr>
        <w:tab/>
        <w:t xml:space="preserve">Как отмечалось в прошлом году, оперативного плана по практической реализации Стратегического плана </w:t>
      </w:r>
      <w:r w:rsidRPr="00F833B4">
        <w:rPr>
          <w:color w:val="000000"/>
          <w:lang w:val="ru-RU"/>
        </w:rPr>
        <w:t>в среднесрочной и долгосрочной перспективе</w:t>
      </w:r>
      <w:r w:rsidRPr="00F833B4">
        <w:rPr>
          <w:lang w:val="ru-RU"/>
        </w:rPr>
        <w:t xml:space="preserve"> не существует</w:t>
      </w:r>
      <w:r w:rsidRPr="00F833B4">
        <w:rPr>
          <w:color w:val="000000"/>
          <w:lang w:val="ru-RU"/>
        </w:rPr>
        <w:t>,</w:t>
      </w:r>
      <w:r w:rsidRPr="00F833B4">
        <w:rPr>
          <w:lang w:val="ru-RU"/>
        </w:rPr>
        <w:t xml:space="preserve"> как не существует и временных рамок с промежуточными этапами его выполнения. Поэтому прогресс, если и наблюдается, то только в отдельных случаях.</w:t>
      </w:r>
    </w:p>
    <w:p w14:paraId="21A5C76B" w14:textId="77777777" w:rsidR="00F67CBC" w:rsidRPr="00F833B4" w:rsidRDefault="00F67CBC" w:rsidP="00F833B4">
      <w:pPr>
        <w:rPr>
          <w:lang w:val="ru-RU"/>
        </w:rPr>
      </w:pPr>
      <w:r w:rsidRPr="00F833B4">
        <w:rPr>
          <w:lang w:val="ru-RU"/>
        </w:rPr>
        <w:t>126</w:t>
      </w:r>
      <w:r w:rsidRPr="00F833B4">
        <w:rPr>
          <w:lang w:val="ru-RU"/>
        </w:rPr>
        <w:tab/>
        <w:t>Вместе с тем крупным достижением (</w:t>
      </w:r>
      <w:r w:rsidRPr="00F833B4">
        <w:rPr>
          <w:color w:val="000000"/>
          <w:lang w:val="ru-RU"/>
        </w:rPr>
        <w:t>согласующимся с нашими прошлыми рекомендациями</w:t>
      </w:r>
      <w:r w:rsidRPr="00F833B4">
        <w:rPr>
          <w:lang w:val="ru-RU"/>
        </w:rPr>
        <w:t xml:space="preserve">) является </w:t>
      </w:r>
      <w:r w:rsidRPr="00F833B4">
        <w:rPr>
          <w:color w:val="000000"/>
          <w:lang w:val="ru-RU"/>
        </w:rPr>
        <w:t>завершение составления каталога компетенций</w:t>
      </w:r>
      <w:r w:rsidRPr="00F833B4">
        <w:rPr>
          <w:lang w:val="ru-RU"/>
        </w:rPr>
        <w:t xml:space="preserve">, который включает теперь компетенции технического характера. Это является </w:t>
      </w:r>
      <w:r w:rsidRPr="00F833B4">
        <w:rPr>
          <w:color w:val="000000"/>
          <w:lang w:val="ru-RU"/>
        </w:rPr>
        <w:t xml:space="preserve">первым шагом к анализу пробелов в квалификации, который планируется провести </w:t>
      </w:r>
      <w:r w:rsidRPr="00F833B4">
        <w:rPr>
          <w:lang w:val="ru-RU"/>
        </w:rPr>
        <w:t>в ближайшие несколько месяцев. В этом отношении следует упомянуть два пилотных проекта: один – "Разрыв в навыках и диагностика культуры МСЭ" и второй – "О</w:t>
      </w:r>
      <w:r w:rsidRPr="00F833B4">
        <w:rPr>
          <w:color w:val="000000"/>
          <w:lang w:val="ru-RU"/>
        </w:rPr>
        <w:t>ценка культуры руководства"</w:t>
      </w:r>
      <w:r w:rsidRPr="00F833B4">
        <w:rPr>
          <w:lang w:val="ru-RU"/>
        </w:rPr>
        <w:t xml:space="preserve"> (последний проводится в связи с анализом у</w:t>
      </w:r>
      <w:r w:rsidRPr="00F833B4">
        <w:rPr>
          <w:color w:val="000000"/>
          <w:lang w:val="ru-RU"/>
        </w:rPr>
        <w:t>правления изменениями в организациях системы Организации Объединенных Наций</w:t>
      </w:r>
      <w:r w:rsidRPr="00F833B4">
        <w:rPr>
          <w:lang w:val="ru-RU"/>
        </w:rPr>
        <w:t>, JIU/REP/2019/4).</w:t>
      </w:r>
    </w:p>
    <w:p w14:paraId="6FE025D7" w14:textId="71DE24F0" w:rsidR="00F67CBC" w:rsidRPr="00F833B4" w:rsidRDefault="00F67CBC" w:rsidP="00F833B4">
      <w:pPr>
        <w:rPr>
          <w:lang w:val="ru-RU"/>
        </w:rPr>
      </w:pPr>
      <w:r w:rsidRPr="00F833B4">
        <w:rPr>
          <w:lang w:val="ru-RU"/>
        </w:rPr>
        <w:t>127</w:t>
      </w:r>
      <w:r w:rsidRPr="00F833B4">
        <w:rPr>
          <w:lang w:val="ru-RU"/>
        </w:rPr>
        <w:tab/>
        <w:t xml:space="preserve">К другим достижениям относятся деятельность </w:t>
      </w:r>
      <w:r w:rsidR="005274B8" w:rsidRPr="00F833B4">
        <w:rPr>
          <w:color w:val="000000"/>
          <w:lang w:val="ru-RU"/>
        </w:rPr>
        <w:t xml:space="preserve">Рабочей </w:t>
      </w:r>
      <w:r w:rsidRPr="00F833B4">
        <w:rPr>
          <w:color w:val="000000"/>
          <w:lang w:val="ru-RU"/>
        </w:rPr>
        <w:t>группы по внутреннему контролю</w:t>
      </w:r>
      <w:r w:rsidRPr="00F833B4">
        <w:rPr>
          <w:lang w:val="ru-RU"/>
        </w:rPr>
        <w:t xml:space="preserve">, начатая по инициативе Директора БРЭ, однако с потенциалом более широкого влияния. Эта деятельность включает </w:t>
      </w:r>
      <w:r w:rsidRPr="00F833B4">
        <w:rPr>
          <w:color w:val="000000"/>
          <w:lang w:val="ru-RU"/>
        </w:rPr>
        <w:t>политику мобильности, систему подотчетности и политику использования услуг внешних консультантов</w:t>
      </w:r>
      <w:r w:rsidRPr="00F833B4">
        <w:rPr>
          <w:lang w:val="ru-RU"/>
        </w:rPr>
        <w:t xml:space="preserve">. </w:t>
      </w:r>
    </w:p>
    <w:p w14:paraId="05189E5F" w14:textId="77777777" w:rsidR="00F67CBC" w:rsidRPr="00F833B4" w:rsidRDefault="00F67CBC" w:rsidP="00F833B4">
      <w:pPr>
        <w:rPr>
          <w:lang w:val="ru-RU"/>
        </w:rPr>
      </w:pPr>
      <w:r w:rsidRPr="00F833B4">
        <w:rPr>
          <w:lang w:val="ru-RU"/>
        </w:rPr>
        <w:t>128</w:t>
      </w:r>
      <w:r w:rsidRPr="00F833B4">
        <w:rPr>
          <w:lang w:val="ru-RU"/>
        </w:rPr>
        <w:tab/>
        <w:t xml:space="preserve">Вместе с тем, как признало само руководство, все эти меры </w:t>
      </w:r>
      <w:r w:rsidRPr="00F833B4">
        <w:rPr>
          <w:color w:val="000000"/>
          <w:lang w:val="ru-RU"/>
        </w:rPr>
        <w:t>находятся в стадии разработки</w:t>
      </w:r>
      <w:r w:rsidRPr="00F833B4">
        <w:rPr>
          <w:lang w:val="ru-RU"/>
        </w:rPr>
        <w:t xml:space="preserve"> и дожидаются всестороннего анализа и реализации, чтобы учесть </w:t>
      </w:r>
      <w:r w:rsidRPr="00F833B4">
        <w:rPr>
          <w:color w:val="000000"/>
          <w:lang w:val="ru-RU"/>
        </w:rPr>
        <w:t>меняющиеся обстоятельства</w:t>
      </w:r>
      <w:r w:rsidRPr="00F833B4">
        <w:rPr>
          <w:lang w:val="ru-RU"/>
        </w:rPr>
        <w:t xml:space="preserve">. </w:t>
      </w:r>
    </w:p>
    <w:p w14:paraId="1C806054" w14:textId="77777777" w:rsidR="00F67CBC" w:rsidRPr="00F833B4" w:rsidRDefault="00F67CBC" w:rsidP="00F833B4">
      <w:pPr>
        <w:rPr>
          <w:lang w:val="ru-RU"/>
        </w:rPr>
      </w:pPr>
      <w:r w:rsidRPr="00F833B4">
        <w:rPr>
          <w:lang w:val="ru-RU"/>
        </w:rPr>
        <w:t>129</w:t>
      </w:r>
      <w:r w:rsidRPr="00F833B4">
        <w:rPr>
          <w:lang w:val="ru-RU"/>
        </w:rPr>
        <w:tab/>
        <w:t xml:space="preserve">Так обстоит дело с </w:t>
      </w:r>
      <w:r w:rsidRPr="00F833B4">
        <w:rPr>
          <w:color w:val="000000"/>
          <w:lang w:val="ru-RU"/>
        </w:rPr>
        <w:t>политикой мобильности</w:t>
      </w:r>
      <w:r w:rsidRPr="00F833B4">
        <w:rPr>
          <w:lang w:val="ru-RU"/>
        </w:rPr>
        <w:t xml:space="preserve">, которая на данный момент не предусматривает обязательную ротацию персонала, а только добровольные откомандирования в другие отделения на непродолжительные периоды времени или для реализации конкретных проектов. Эту политику следовало бы расширить, и перевод сотрудников из одного </w:t>
      </w:r>
      <w:r w:rsidRPr="00F833B4">
        <w:rPr>
          <w:color w:val="000000"/>
          <w:lang w:val="ru-RU"/>
        </w:rPr>
        <w:t>места службы</w:t>
      </w:r>
      <w:r w:rsidRPr="00F833B4">
        <w:rPr>
          <w:lang w:val="ru-RU"/>
        </w:rPr>
        <w:t xml:space="preserve"> в другое должен</w:t>
      </w:r>
      <w:r w:rsidRPr="00F833B4">
        <w:rPr>
          <w:color w:val="000000"/>
          <w:lang w:val="ru-RU"/>
        </w:rPr>
        <w:t xml:space="preserve"> стать обязательным</w:t>
      </w:r>
      <w:r w:rsidRPr="00F833B4">
        <w:rPr>
          <w:lang w:val="ru-RU"/>
        </w:rPr>
        <w:t xml:space="preserve"> также в контексте общей реформы </w:t>
      </w:r>
      <w:r w:rsidRPr="00F833B4">
        <w:rPr>
          <w:color w:val="000000"/>
          <w:lang w:val="ru-RU"/>
        </w:rPr>
        <w:t>регионального присутствия МСЭ</w:t>
      </w:r>
      <w:r w:rsidRPr="00F833B4">
        <w:rPr>
          <w:lang w:val="ru-RU"/>
        </w:rPr>
        <w:t>.</w:t>
      </w:r>
    </w:p>
    <w:p w14:paraId="03FC4ABD" w14:textId="77777777" w:rsidR="00F67CBC" w:rsidRPr="00F833B4" w:rsidRDefault="00F67CBC" w:rsidP="00F833B4">
      <w:pPr>
        <w:rPr>
          <w:lang w:val="ru-RU"/>
        </w:rPr>
      </w:pPr>
      <w:r w:rsidRPr="00F833B4">
        <w:rPr>
          <w:lang w:val="ru-RU"/>
        </w:rPr>
        <w:t>130</w:t>
      </w:r>
      <w:r w:rsidRPr="00F833B4">
        <w:rPr>
          <w:lang w:val="ru-RU"/>
        </w:rPr>
        <w:tab/>
        <w:t>П</w:t>
      </w:r>
      <w:r w:rsidRPr="00F833B4">
        <w:rPr>
          <w:color w:val="000000"/>
          <w:lang w:val="ru-RU"/>
        </w:rPr>
        <w:t>ланируется также усовершенствовать систему подотчетности, чтобы отразить в ней новые требования</w:t>
      </w:r>
      <w:r w:rsidRPr="00F833B4">
        <w:rPr>
          <w:lang w:val="ru-RU"/>
        </w:rPr>
        <w:t xml:space="preserve">, обеспечить полное </w:t>
      </w:r>
      <w:r w:rsidRPr="00F833B4">
        <w:rPr>
          <w:color w:val="000000"/>
          <w:lang w:val="ru-RU"/>
        </w:rPr>
        <w:t>достижение контрольных показателей ОИГ и</w:t>
      </w:r>
      <w:r w:rsidRPr="00F833B4">
        <w:rPr>
          <w:lang w:val="ru-RU"/>
        </w:rPr>
        <w:t xml:space="preserve"> точнее согласовать ее с другими </w:t>
      </w:r>
      <w:r w:rsidRPr="00F833B4">
        <w:rPr>
          <w:color w:val="000000"/>
          <w:lang w:val="ru-RU"/>
        </w:rPr>
        <w:t>осуществляемыми в настоящее время инициативами</w:t>
      </w:r>
      <w:r w:rsidRPr="00F833B4">
        <w:rPr>
          <w:lang w:val="ru-RU"/>
        </w:rPr>
        <w:t xml:space="preserve">, такими как УОР. </w:t>
      </w:r>
    </w:p>
    <w:p w14:paraId="00CBEE6F" w14:textId="77777777" w:rsidR="00F67CBC" w:rsidRPr="00F833B4" w:rsidRDefault="00F67CBC" w:rsidP="00F833B4">
      <w:pPr>
        <w:spacing w:after="120"/>
        <w:rPr>
          <w:lang w:val="ru-RU"/>
        </w:rPr>
      </w:pPr>
      <w:r w:rsidRPr="00F833B4">
        <w:rPr>
          <w:lang w:val="ru-RU"/>
        </w:rPr>
        <w:t>131</w:t>
      </w:r>
      <w:r w:rsidRPr="00F833B4">
        <w:rPr>
          <w:lang w:val="ru-RU"/>
        </w:rPr>
        <w:tab/>
        <w:t xml:space="preserve">В настоящее время применяются более строгие принципы к использованию услуг консультантов, и введены процедуры их конкурентного отбора. Запланировано также новое приложение для найма консультантов БРЭ и управления ими. Оно станет частью </w:t>
      </w:r>
      <w:r w:rsidRPr="00F833B4">
        <w:rPr>
          <w:color w:val="000000"/>
          <w:lang w:val="ru-RU"/>
        </w:rPr>
        <w:t>общей системы ИТ</w:t>
      </w:r>
      <w:r w:rsidRPr="00F833B4">
        <w:rPr>
          <w:lang w:val="ru-RU"/>
        </w:rPr>
        <w:t xml:space="preserve"> для БРЭ, которая будет интегрирована в SAP. Ее п</w:t>
      </w:r>
      <w:r w:rsidRPr="00F833B4">
        <w:rPr>
          <w:color w:val="000000"/>
          <w:lang w:val="ru-RU"/>
        </w:rPr>
        <w:t>олномасштабная реализация</w:t>
      </w:r>
      <w:r w:rsidRPr="00F833B4">
        <w:rPr>
          <w:lang w:val="ru-RU"/>
        </w:rPr>
        <w:t xml:space="preserve"> намечена на декабрь 2021 года.</w:t>
      </w:r>
    </w:p>
    <w:tbl>
      <w:tblPr>
        <w:tblStyle w:val="TableGrid2"/>
        <w:tblW w:w="0" w:type="auto"/>
        <w:tblInd w:w="-5" w:type="dxa"/>
        <w:tblLook w:val="04A0" w:firstRow="1" w:lastRow="0" w:firstColumn="1" w:lastColumn="0" w:noHBand="0" w:noVBand="1"/>
      </w:tblPr>
      <w:tblGrid>
        <w:gridCol w:w="9634"/>
      </w:tblGrid>
      <w:tr w:rsidR="00F67CBC" w:rsidRPr="00FE280E" w14:paraId="356778D2" w14:textId="77777777" w:rsidTr="00F833B4">
        <w:tc>
          <w:tcPr>
            <w:tcW w:w="9634" w:type="dxa"/>
          </w:tcPr>
          <w:p w14:paraId="2A86CD86" w14:textId="77777777" w:rsidR="00F67CBC" w:rsidRPr="00F833B4" w:rsidRDefault="00F67CBC" w:rsidP="00F67CBC">
            <w:pPr>
              <w:keepNext/>
              <w:keepLines/>
              <w:spacing w:after="120"/>
              <w:rPr>
                <w:b/>
                <w:i/>
                <w:lang w:val="ru-RU"/>
              </w:rPr>
            </w:pPr>
            <w:r w:rsidRPr="00F833B4">
              <w:rPr>
                <w:b/>
                <w:i/>
                <w:lang w:val="ru-RU"/>
              </w:rPr>
              <w:t>Рекомендация 6</w:t>
            </w:r>
          </w:p>
          <w:p w14:paraId="1087662D" w14:textId="77777777" w:rsidR="00F67CBC" w:rsidRPr="00F833B4" w:rsidRDefault="00F67CBC" w:rsidP="00F67CBC">
            <w:pPr>
              <w:keepNext/>
              <w:keepLines/>
              <w:spacing w:after="120"/>
              <w:rPr>
                <w:lang w:val="ru-RU"/>
              </w:rPr>
            </w:pPr>
            <w:r w:rsidRPr="00F833B4">
              <w:rPr>
                <w:lang w:val="ru-RU"/>
              </w:rPr>
              <w:t>132</w:t>
            </w:r>
            <w:r w:rsidRPr="00F833B4">
              <w:rPr>
                <w:lang w:val="ru-RU"/>
              </w:rPr>
              <w:tab/>
            </w:r>
            <w:r w:rsidRPr="00F833B4">
              <w:rPr>
                <w:u w:val="single"/>
                <w:lang w:val="ru-RU"/>
              </w:rPr>
              <w:t>Мы рекомендуем</w:t>
            </w:r>
            <w:r w:rsidRPr="00F833B4">
              <w:rPr>
                <w:lang w:val="ru-RU"/>
              </w:rPr>
              <w:t xml:space="preserve"> придать импульс претворению в жизнь</w:t>
            </w:r>
            <w:r w:rsidRPr="00F833B4">
              <w:rPr>
                <w:color w:val="000000"/>
                <w:lang w:val="ru-RU"/>
              </w:rPr>
              <w:t xml:space="preserve"> новой стратегической системы</w:t>
            </w:r>
            <w:r w:rsidRPr="00F833B4">
              <w:rPr>
                <w:lang w:val="ru-RU"/>
              </w:rPr>
              <w:t xml:space="preserve"> </w:t>
            </w:r>
            <w:r w:rsidRPr="00F833B4">
              <w:rPr>
                <w:color w:val="000000"/>
                <w:lang w:val="ru-RU"/>
              </w:rPr>
              <w:t xml:space="preserve">через оперативные планы </w:t>
            </w:r>
            <w:r w:rsidRPr="00F833B4">
              <w:rPr>
                <w:lang w:val="ru-RU"/>
              </w:rPr>
              <w:t>и установление сроков для ее реализации.</w:t>
            </w:r>
          </w:p>
        </w:tc>
      </w:tr>
    </w:tbl>
    <w:p w14:paraId="5D92CF6A"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5A593FDB" w14:textId="77777777" w:rsidTr="00F833B4">
        <w:trPr>
          <w:cantSplit/>
        </w:trPr>
        <w:tc>
          <w:tcPr>
            <w:tcW w:w="9634" w:type="dxa"/>
          </w:tcPr>
          <w:p w14:paraId="642C03CD" w14:textId="77777777" w:rsidR="00F67CBC" w:rsidRPr="00F833B4" w:rsidRDefault="00F67CBC" w:rsidP="00F833B4">
            <w:pPr>
              <w:rPr>
                <w:b/>
                <w:bCs/>
                <w:i/>
                <w:iCs/>
                <w:u w:val="single"/>
                <w:lang w:val="ru-RU"/>
              </w:rPr>
            </w:pPr>
            <w:r w:rsidRPr="00F833B4">
              <w:rPr>
                <w:b/>
                <w:bCs/>
                <w:i/>
                <w:iCs/>
                <w:u w:val="single"/>
                <w:lang w:val="ru-RU"/>
              </w:rPr>
              <w:lastRenderedPageBreak/>
              <w:t>Комментарии Генерального секретаря</w:t>
            </w:r>
          </w:p>
          <w:p w14:paraId="079AB7B4" w14:textId="01FB8AC5" w:rsidR="00F67CBC" w:rsidRPr="00F833B4" w:rsidRDefault="00F67CBC" w:rsidP="00F833B4">
            <w:pPr>
              <w:spacing w:after="120"/>
              <w:rPr>
                <w:lang w:val="ru-RU"/>
              </w:rPr>
            </w:pPr>
            <w:r w:rsidRPr="00F833B4">
              <w:rPr>
                <w:lang w:val="ru-RU"/>
              </w:rPr>
              <w:t>Отчет о выполнении Стратегического плана в области людских ресурсов содержится в Документе</w:t>
            </w:r>
            <w:r w:rsidR="005274B8">
              <w:rPr>
                <w:lang w:val="ru-RU"/>
              </w:rPr>
              <w:t> </w:t>
            </w:r>
            <w:r w:rsidRPr="00F833B4">
              <w:rPr>
                <w:lang w:val="ru-RU"/>
              </w:rPr>
              <w:t>C20/54 "Отчет о ходе выполнения Стратегического плана в области людских ресурсов и Резолюции 48 (</w:t>
            </w:r>
            <w:proofErr w:type="spellStart"/>
            <w:r w:rsidRPr="00F833B4">
              <w:rPr>
                <w:lang w:val="ru-RU"/>
              </w:rPr>
              <w:t>Пересм</w:t>
            </w:r>
            <w:proofErr w:type="spellEnd"/>
            <w:r w:rsidRPr="00F833B4">
              <w:rPr>
                <w:lang w:val="ru-RU"/>
              </w:rPr>
              <w:t>. Дубай, 2018 г.)". Был достигнут определенный прогресс по нескольким аспектам совершенствования процессов; также были введены в действие новые и обновленные политические меры.</w:t>
            </w:r>
          </w:p>
          <w:p w14:paraId="55861AE7" w14:textId="77777777" w:rsidR="00F67CBC" w:rsidRPr="00F833B4" w:rsidRDefault="00F67CBC" w:rsidP="00F833B4">
            <w:pPr>
              <w:spacing w:after="120"/>
              <w:rPr>
                <w:lang w:val="ru-RU"/>
              </w:rPr>
            </w:pPr>
            <w:r w:rsidRPr="00F833B4">
              <w:rPr>
                <w:lang w:val="ru-RU"/>
              </w:rPr>
              <w:t xml:space="preserve">В рамках целей и задач в области людских ресурсов по повышению потенциала деятельности МСЭ была завершена реализация инициатив по четырем базовым компонентам: 1) соответствующие целевому назначению кадры, сочетающие в себе многообразие и оперативность (обеспечение соответствия кадров МСЭ целям Союза); 2) заинтересованный персонал; 3) услуги в области людских ресурсов, ориентированные на высокие достижения; 4) благоприятная рабочая среда. Осуществление этих видов деятельности привело к достижению результатов, изложенных в столбце F таблицы, прилагаемой к этому документу. </w:t>
            </w:r>
          </w:p>
          <w:p w14:paraId="14C2F7B2" w14:textId="77777777" w:rsidR="00F67CBC" w:rsidRPr="00F833B4" w:rsidRDefault="00F67CBC" w:rsidP="00F833B4">
            <w:pPr>
              <w:spacing w:after="120"/>
              <w:rPr>
                <w:lang w:val="ru-RU"/>
              </w:rPr>
            </w:pPr>
            <w:r w:rsidRPr="00F833B4">
              <w:rPr>
                <w:lang w:val="ru-RU"/>
              </w:rPr>
              <w:t>БРЭ провело оценку культуры руководства и в настоящее время выдвигает план действий, чтобы охватить области, требующие дальнейшего укрепления.</w:t>
            </w:r>
          </w:p>
          <w:p w14:paraId="16A53119" w14:textId="77777777" w:rsidR="00F67CBC" w:rsidRPr="00F833B4" w:rsidRDefault="00F67CBC" w:rsidP="00F833B4">
            <w:pPr>
              <w:spacing w:after="120"/>
              <w:rPr>
                <w:lang w:val="ru-RU"/>
              </w:rPr>
            </w:pPr>
            <w:r w:rsidRPr="00F833B4">
              <w:rPr>
                <w:lang w:val="ru-RU"/>
              </w:rPr>
              <w:t xml:space="preserve">Политика мобильности персонала также рассматривается в обзоре, проведенном компанией </w:t>
            </w:r>
            <w:proofErr w:type="spellStart"/>
            <w:r w:rsidRPr="00F833B4">
              <w:rPr>
                <w:lang w:val="ru-RU"/>
              </w:rPr>
              <w:t>PwC</w:t>
            </w:r>
            <w:proofErr w:type="spellEnd"/>
            <w:r w:rsidRPr="00F833B4">
              <w:rPr>
                <w:lang w:val="ru-RU"/>
              </w:rPr>
              <w:t>.</w:t>
            </w:r>
          </w:p>
        </w:tc>
      </w:tr>
    </w:tbl>
    <w:p w14:paraId="2CF3A21B" w14:textId="77777777" w:rsidR="00F67CBC" w:rsidRPr="00F833B4" w:rsidRDefault="00F67CBC" w:rsidP="006B37CA">
      <w:pPr>
        <w:pStyle w:val="Heading1"/>
        <w:ind w:left="0" w:firstLine="0"/>
        <w:rPr>
          <w:lang w:val="ru-RU"/>
        </w:rPr>
      </w:pPr>
      <w:bookmarkStart w:id="359" w:name="_Toc418501341"/>
      <w:bookmarkStart w:id="360" w:name="_Toc358192859"/>
      <w:bookmarkStart w:id="361" w:name="_Toc398125346"/>
      <w:bookmarkStart w:id="362" w:name="_Toc398125825"/>
      <w:bookmarkStart w:id="363" w:name="_Toc418597609"/>
      <w:bookmarkStart w:id="364" w:name="_Toc452157335"/>
      <w:bookmarkStart w:id="365" w:name="_Toc482995211"/>
      <w:bookmarkStart w:id="366" w:name="_Toc522633599"/>
      <w:bookmarkStart w:id="367" w:name="_Toc56179582"/>
      <w:bookmarkStart w:id="368" w:name="_Toc56180411"/>
      <w:r w:rsidRPr="00F833B4">
        <w:rPr>
          <w:lang w:val="ru-RU"/>
        </w:rPr>
        <w:t>ОТЧЕТ ОБ ИЗМЕНЕНИЯХ В ЧИСТЫХ АКТИВАХ ЗА ФИНАНСОВЫЙ ПЕРИОД, ЗАВЕРШИВШИЙСЯ 31 ДЕКАБРЯ 2019 ГОДА</w:t>
      </w:r>
      <w:bookmarkEnd w:id="359"/>
      <w:bookmarkEnd w:id="360"/>
      <w:bookmarkEnd w:id="361"/>
      <w:bookmarkEnd w:id="362"/>
      <w:bookmarkEnd w:id="363"/>
      <w:bookmarkEnd w:id="364"/>
      <w:bookmarkEnd w:id="365"/>
      <w:bookmarkEnd w:id="366"/>
      <w:bookmarkEnd w:id="367"/>
      <w:bookmarkEnd w:id="368"/>
    </w:p>
    <w:p w14:paraId="199EAEB7" w14:textId="77777777" w:rsidR="00F67CBC" w:rsidRPr="00F833B4" w:rsidRDefault="00F67CBC" w:rsidP="006B37CA">
      <w:pPr>
        <w:rPr>
          <w:lang w:val="ru-RU"/>
        </w:rPr>
      </w:pPr>
      <w:r w:rsidRPr="00F833B4">
        <w:rPr>
          <w:lang w:val="ru-RU"/>
        </w:rPr>
        <w:t>133</w:t>
      </w:r>
      <w:r w:rsidRPr="00F833B4">
        <w:rPr>
          <w:lang w:val="ru-RU"/>
        </w:rPr>
        <w:tab/>
        <w:t xml:space="preserve">В Таблице III "Отчет об изменениях в чистых активах" представлено не только движение накопленных собственных целевых и нецелевых средств и воздействие перехода к IPSAS, но и движение каждого вида собственных средств, как это отмечается в Примечании 4. </w:t>
      </w:r>
    </w:p>
    <w:p w14:paraId="77A17233" w14:textId="77777777" w:rsidR="00F67CBC" w:rsidRPr="00F833B4" w:rsidRDefault="00F67CBC" w:rsidP="006B37CA">
      <w:pPr>
        <w:pStyle w:val="Heading1"/>
        <w:ind w:left="0" w:firstLine="0"/>
        <w:rPr>
          <w:lang w:val="ru-RU"/>
        </w:rPr>
      </w:pPr>
      <w:bookmarkStart w:id="369" w:name="_Toc358192861"/>
      <w:bookmarkStart w:id="370" w:name="_Toc398125348"/>
      <w:bookmarkStart w:id="371" w:name="_Toc398125827"/>
      <w:bookmarkStart w:id="372" w:name="_Toc452157336"/>
      <w:bookmarkStart w:id="373" w:name="_Toc482995212"/>
      <w:bookmarkStart w:id="374" w:name="_Toc522633600"/>
      <w:bookmarkStart w:id="375" w:name="_Toc56179583"/>
      <w:bookmarkStart w:id="376" w:name="_Toc56180412"/>
      <w:r w:rsidRPr="00F833B4">
        <w:rPr>
          <w:lang w:val="ru-RU"/>
        </w:rPr>
        <w:t>ТАБЛИЦА ДВИЖЕНИЯ ДЕНЕЖНЫХ СРЕДСТВ ЗА ФИНАНСОВЫЙ ПЕРИОД, ЗАВЕРШИВШИЙСЯ 31 ДЕКАБРЯ</w:t>
      </w:r>
      <w:bookmarkEnd w:id="369"/>
      <w:r w:rsidRPr="00F833B4">
        <w:rPr>
          <w:lang w:val="ru-RU"/>
        </w:rPr>
        <w:t xml:space="preserve"> 2019 ГОДА</w:t>
      </w:r>
      <w:bookmarkEnd w:id="370"/>
      <w:bookmarkEnd w:id="371"/>
      <w:bookmarkEnd w:id="372"/>
      <w:bookmarkEnd w:id="373"/>
      <w:bookmarkEnd w:id="374"/>
      <w:bookmarkEnd w:id="375"/>
      <w:bookmarkEnd w:id="376"/>
    </w:p>
    <w:p w14:paraId="07A718EC" w14:textId="77777777" w:rsidR="00F67CBC" w:rsidRPr="00F833B4" w:rsidRDefault="00F67CBC" w:rsidP="006B37CA">
      <w:pPr>
        <w:rPr>
          <w:lang w:val="ru-RU"/>
        </w:rPr>
      </w:pPr>
      <w:r w:rsidRPr="00F833B4">
        <w:rPr>
          <w:lang w:val="ru-RU"/>
        </w:rPr>
        <w:t>134</w:t>
      </w:r>
      <w:r w:rsidRPr="00F833B4">
        <w:rPr>
          <w:lang w:val="ru-RU"/>
        </w:rPr>
        <w:tab/>
        <w:t>В таблице движения денежных средств определены источники притока средств; статьи, на которые потрачены денежные средства за отчетный период; и остаток денежных средств на дату составления отчета.</w:t>
      </w:r>
    </w:p>
    <w:p w14:paraId="3073DC18" w14:textId="77777777" w:rsidR="00F67CBC" w:rsidRPr="00F833B4" w:rsidRDefault="00F67CBC" w:rsidP="006B37CA">
      <w:pPr>
        <w:rPr>
          <w:lang w:val="ru-RU"/>
        </w:rPr>
      </w:pPr>
      <w:r w:rsidRPr="00F833B4">
        <w:rPr>
          <w:lang w:val="ru-RU"/>
        </w:rPr>
        <w:t>135</w:t>
      </w:r>
      <w:r w:rsidRPr="00F833B4">
        <w:rPr>
          <w:lang w:val="ru-RU"/>
        </w:rPr>
        <w:tab/>
        <w:t>В 2019 году МСЭ сообщил об</w:t>
      </w:r>
      <w:r w:rsidRPr="00F833B4">
        <w:rPr>
          <w:color w:val="000000"/>
          <w:lang w:val="ru-RU"/>
        </w:rPr>
        <w:t xml:space="preserve"> отрицательном значении движения денежных средств</w:t>
      </w:r>
      <w:r w:rsidRPr="00F833B4">
        <w:rPr>
          <w:lang w:val="ru-RU"/>
        </w:rPr>
        <w:t xml:space="preserve"> в результате оперативной деятельности в размере 7,5 млн. швейцарских франков, тогда как на конец 2018 года оно было положительным и составляло 33,7 млн. швейцарских франков. Положительное значение движения денежных средств зарегистрировано в результате финансовой деятельности (1,8 </w:t>
      </w:r>
      <w:proofErr w:type="gramStart"/>
      <w:r w:rsidRPr="00F833B4">
        <w:rPr>
          <w:lang w:val="ru-RU"/>
        </w:rPr>
        <w:t>млн.</w:t>
      </w:r>
      <w:proofErr w:type="gramEnd"/>
      <w:r w:rsidRPr="00F833B4">
        <w:rPr>
          <w:lang w:val="ru-RU"/>
        </w:rPr>
        <w:t xml:space="preserve"> швейцарских франков), что обусловлено выплатой ссуды ФИПОИ. По чистому движению денежных средств в результате инвестиционной деятельности (12,3 </w:t>
      </w:r>
      <w:proofErr w:type="gramStart"/>
      <w:r w:rsidRPr="00F833B4">
        <w:rPr>
          <w:lang w:val="ru-RU"/>
        </w:rPr>
        <w:t>млн.</w:t>
      </w:r>
      <w:proofErr w:type="gramEnd"/>
      <w:r w:rsidRPr="00F833B4">
        <w:rPr>
          <w:lang w:val="ru-RU"/>
        </w:rPr>
        <w:t xml:space="preserve"> швейцарских франков) наблюдается отрицательное изменение, по сравнению с 2018 годом (31,8 млн. швейцарских франков).</w:t>
      </w:r>
    </w:p>
    <w:p w14:paraId="67CF4DB2" w14:textId="77777777" w:rsidR="00F67CBC" w:rsidRPr="00F833B4" w:rsidRDefault="00F67CBC" w:rsidP="006B37CA">
      <w:pPr>
        <w:rPr>
          <w:lang w:val="ru-RU"/>
        </w:rPr>
      </w:pPr>
      <w:r w:rsidRPr="00F833B4">
        <w:rPr>
          <w:lang w:val="ru-RU"/>
        </w:rPr>
        <w:t>136</w:t>
      </w:r>
      <w:r w:rsidRPr="00F833B4">
        <w:rPr>
          <w:lang w:val="ru-RU"/>
        </w:rPr>
        <w:tab/>
        <w:t>Чистый результат по денежным средствам и эквивалентам денежных средств показал увеличение на 26,5 млн. швейцарских франков в 2019 году (с 161,8 млн. швейцарских франков на начало года до 178,9 млн. швейцарских франков на конец года). Мы проверили послужившие основой записи путем выборки по некоторым счетам. Как показал результат, все выбранные транзакции были надлежащим образом обоснованы подтверждающими документами. Таким образом, отчет о движении денежных средств проверен и подтвержден.</w:t>
      </w:r>
    </w:p>
    <w:p w14:paraId="16E4A2B9" w14:textId="77777777" w:rsidR="00F67CBC" w:rsidRPr="00F833B4" w:rsidRDefault="00F67CBC" w:rsidP="006B37CA">
      <w:pPr>
        <w:pStyle w:val="Heading1"/>
        <w:ind w:left="0" w:firstLine="0"/>
        <w:rPr>
          <w:lang w:val="ru-RU"/>
        </w:rPr>
      </w:pPr>
      <w:bookmarkStart w:id="377" w:name="_Toc358192860"/>
      <w:bookmarkStart w:id="378" w:name="_Toc398125347"/>
      <w:bookmarkStart w:id="379" w:name="_Toc398125826"/>
      <w:bookmarkStart w:id="380" w:name="_Toc452157337"/>
      <w:bookmarkStart w:id="381" w:name="_Toc482995213"/>
      <w:bookmarkStart w:id="382" w:name="_Toc522633601"/>
      <w:bookmarkStart w:id="383" w:name="_Toc56179584"/>
      <w:bookmarkStart w:id="384" w:name="_Toc56180413"/>
      <w:r w:rsidRPr="00F833B4">
        <w:rPr>
          <w:lang w:val="ru-RU"/>
        </w:rPr>
        <w:lastRenderedPageBreak/>
        <w:t>СРАВНЕНИЕ ПРЕДУСМОТРЕННЫХ В БЮДЖЕТЕ СУММ И ФАКТИЧЕСКИХ СУММ ЗА 2019 ФИНАНСОВЫЙ ГОД</w:t>
      </w:r>
      <w:bookmarkEnd w:id="377"/>
      <w:bookmarkEnd w:id="378"/>
      <w:bookmarkEnd w:id="379"/>
      <w:bookmarkEnd w:id="380"/>
      <w:bookmarkEnd w:id="381"/>
      <w:bookmarkEnd w:id="382"/>
      <w:bookmarkEnd w:id="383"/>
      <w:bookmarkEnd w:id="384"/>
    </w:p>
    <w:p w14:paraId="5C434CC0" w14:textId="77777777" w:rsidR="00F67CBC" w:rsidRPr="00F833B4" w:rsidRDefault="00F67CBC" w:rsidP="006B37CA">
      <w:pPr>
        <w:rPr>
          <w:lang w:val="ru-RU"/>
        </w:rPr>
      </w:pPr>
      <w:r w:rsidRPr="00F833B4">
        <w:rPr>
          <w:lang w:val="ru-RU"/>
        </w:rPr>
        <w:t>137</w:t>
      </w:r>
      <w:r w:rsidRPr="00F833B4">
        <w:rPr>
          <w:lang w:val="ru-RU"/>
        </w:rPr>
        <w:tab/>
        <w:t>Таблица V "Сравнительная таблица предусмотренных в бюджете сумм и фактических сумм за 2019 финансовый год" составлена в соответствии со стандартом IPSAS 24, который требует включения в финансовую отчетность сравнения сумм, полученных в результате исполнения этого бюджета. Данным стандартом предусматривается также раскрытие причин существенных расхождений, возникающих между бюджетом и фактическими суммами.</w:t>
      </w:r>
    </w:p>
    <w:p w14:paraId="1CE44EC6" w14:textId="77777777" w:rsidR="00F67CBC" w:rsidRPr="00F833B4" w:rsidRDefault="00F67CBC" w:rsidP="006B37CA">
      <w:pPr>
        <w:rPr>
          <w:lang w:val="ru-RU"/>
        </w:rPr>
      </w:pPr>
      <w:r w:rsidRPr="00F833B4">
        <w:rPr>
          <w:lang w:val="ru-RU"/>
        </w:rPr>
        <w:t>138</w:t>
      </w:r>
      <w:r w:rsidRPr="00F833B4">
        <w:rPr>
          <w:lang w:val="ru-RU"/>
        </w:rPr>
        <w:tab/>
        <w:t>В Таблицу V включена также бухгалтерская выверка расхождений между бюджетными результатами (фактическими суммами) и суммами, учтенными в бухгалтерской отчетности. Более подробная информация представлена в Примечании 26 к Отчету о финансовой деятельности, и мы также ссылаемся на комментарии Генерального секретаря, отраженные в Отчете о финансовой деятельности.</w:t>
      </w:r>
    </w:p>
    <w:p w14:paraId="7DAEC06B" w14:textId="77777777" w:rsidR="00F67CBC" w:rsidRPr="00F833B4" w:rsidRDefault="00F67CBC" w:rsidP="006B37CA">
      <w:pPr>
        <w:pStyle w:val="Heading1"/>
        <w:rPr>
          <w:lang w:val="ru-RU"/>
        </w:rPr>
      </w:pPr>
      <w:bookmarkStart w:id="385" w:name="_Toc358192862"/>
      <w:bookmarkStart w:id="386" w:name="_Toc398125349"/>
      <w:bookmarkStart w:id="387" w:name="_Toc398125828"/>
      <w:bookmarkStart w:id="388" w:name="_Toc452157338"/>
      <w:bookmarkStart w:id="389" w:name="_Toc482995214"/>
      <w:bookmarkStart w:id="390" w:name="_Toc522633602"/>
      <w:bookmarkStart w:id="391" w:name="_Toc56179585"/>
      <w:bookmarkStart w:id="392" w:name="_Toc56180414"/>
      <w:r w:rsidRPr="00F833B4">
        <w:rPr>
          <w:lang w:val="ru-RU"/>
        </w:rPr>
        <w:t>СТРАХОВАЯ КАССА ПЕРСОНАЛА</w:t>
      </w:r>
      <w:bookmarkEnd w:id="385"/>
      <w:bookmarkEnd w:id="386"/>
      <w:bookmarkEnd w:id="387"/>
      <w:bookmarkEnd w:id="388"/>
      <w:bookmarkEnd w:id="389"/>
      <w:bookmarkEnd w:id="390"/>
      <w:bookmarkEnd w:id="391"/>
      <w:bookmarkEnd w:id="392"/>
    </w:p>
    <w:p w14:paraId="3418B571" w14:textId="1A6BE831" w:rsidR="00F67CBC" w:rsidRPr="00F833B4" w:rsidRDefault="00F67CBC" w:rsidP="006B37CA">
      <w:pPr>
        <w:rPr>
          <w:lang w:val="ru-RU"/>
        </w:rPr>
      </w:pPr>
      <w:bookmarkStart w:id="393" w:name="_Ref418164202"/>
      <w:r w:rsidRPr="00F833B4">
        <w:rPr>
          <w:lang w:val="ru-RU"/>
        </w:rPr>
        <w:t>139</w:t>
      </w:r>
      <w:r w:rsidRPr="00F833B4">
        <w:rPr>
          <w:lang w:val="ru-RU"/>
        </w:rPr>
        <w:tab/>
        <w:t xml:space="preserve">В Приложение В3 к Отчету о финансовой деятельности включены два фонда: </w:t>
      </w:r>
      <w:r w:rsidRPr="00F833B4">
        <w:rPr>
          <w:i/>
          <w:iCs/>
          <w:lang w:val="ru-RU"/>
        </w:rPr>
        <w:t>Фонд резервных и дополнительных средств</w:t>
      </w:r>
      <w:r w:rsidRPr="00F833B4">
        <w:rPr>
          <w:lang w:val="ru-RU"/>
        </w:rPr>
        <w:t xml:space="preserve"> (общие активы которого составляют 6,2 млн. швейцарских франков (немного меньше, чем в 2018 г.) и </w:t>
      </w:r>
      <w:r w:rsidRPr="00F833B4">
        <w:rPr>
          <w:i/>
          <w:iCs/>
          <w:lang w:val="ru-RU"/>
        </w:rPr>
        <w:t>Фонд помощи</w:t>
      </w:r>
      <w:r w:rsidRPr="00F833B4">
        <w:rPr>
          <w:lang w:val="ru-RU"/>
        </w:rPr>
        <w:t xml:space="preserve"> (общие активы которого в 2019 г. составляют около 0,3 млн. швейцарских франков, как и в 2018 г.).</w:t>
      </w:r>
    </w:p>
    <w:p w14:paraId="32F59189" w14:textId="77777777" w:rsidR="00F67CBC" w:rsidRPr="00F833B4" w:rsidRDefault="00F67CBC" w:rsidP="006B37CA">
      <w:pPr>
        <w:rPr>
          <w:lang w:val="ru-RU"/>
        </w:rPr>
      </w:pPr>
      <w:r w:rsidRPr="00F833B4">
        <w:rPr>
          <w:lang w:val="ru-RU"/>
        </w:rPr>
        <w:t>140</w:t>
      </w:r>
      <w:r w:rsidRPr="00F833B4">
        <w:rPr>
          <w:lang w:val="ru-RU"/>
        </w:rPr>
        <w:tab/>
      </w:r>
      <w:bookmarkEnd w:id="393"/>
      <w:r w:rsidRPr="00F833B4">
        <w:rPr>
          <w:lang w:val="ru-RU"/>
        </w:rPr>
        <w:t xml:space="preserve">В отношении обязательств по </w:t>
      </w:r>
      <w:r w:rsidRPr="00F833B4">
        <w:rPr>
          <w:i/>
          <w:iCs/>
          <w:lang w:val="ru-RU"/>
        </w:rPr>
        <w:t>Фонду резервных и дополнительных средств</w:t>
      </w:r>
      <w:r w:rsidRPr="00F833B4">
        <w:rPr>
          <w:lang w:val="ru-RU"/>
        </w:rPr>
        <w:t xml:space="preserve"> показан актуарный резервный фонд объемом 54 000 швейцарских франков по статье "Вознаграждение сотрудников" в соответствии с актуарной оценкой, проведенной в 2010 году. </w:t>
      </w:r>
    </w:p>
    <w:p w14:paraId="11DCF450" w14:textId="77777777" w:rsidR="00F67CBC" w:rsidRPr="00F833B4" w:rsidRDefault="00F67CBC" w:rsidP="006B37CA">
      <w:pPr>
        <w:rPr>
          <w:lang w:val="ru-RU"/>
        </w:rPr>
      </w:pPr>
      <w:r w:rsidRPr="00F833B4">
        <w:rPr>
          <w:lang w:val="ru-RU"/>
        </w:rPr>
        <w:t>141</w:t>
      </w:r>
      <w:r w:rsidRPr="00F833B4">
        <w:rPr>
          <w:lang w:val="ru-RU"/>
        </w:rPr>
        <w:tab/>
        <w:t xml:space="preserve">Как указано в Примечании 2 к </w:t>
      </w:r>
      <w:r w:rsidRPr="00F833B4">
        <w:rPr>
          <w:color w:val="000000"/>
          <w:lang w:val="ru-RU"/>
        </w:rPr>
        <w:t>Отчету о финансовой деятельности</w:t>
      </w:r>
      <w:r w:rsidRPr="00F833B4">
        <w:rPr>
          <w:lang w:val="ru-RU"/>
        </w:rPr>
        <w:t>, эти фонды представляют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F833B4">
        <w:rPr>
          <w:color w:val="000000"/>
          <w:lang w:val="ru-RU"/>
        </w:rPr>
        <w:t xml:space="preserve">. </w:t>
      </w:r>
      <w:r w:rsidRPr="00F833B4">
        <w:rPr>
          <w:lang w:val="ru-RU"/>
        </w:rPr>
        <w:t xml:space="preserve">В 2019 году из Фонда резервных и дополнительных средств произведена выплата 21 пенсии по старости (22 − в 2018 г.) и 17 пенсий по случаю потери кормильца (в 2018 году их было 22); Фонд помощи служил для оказания помощи персоналу и пенсионерам, которые находились в сложном финансовом положении". </w:t>
      </w:r>
    </w:p>
    <w:p w14:paraId="649555BC" w14:textId="77777777" w:rsidR="00F67CBC" w:rsidRPr="00F833B4" w:rsidRDefault="00F67CBC" w:rsidP="00B0545C">
      <w:pPr>
        <w:rPr>
          <w:lang w:val="ru-RU"/>
        </w:rPr>
      </w:pPr>
      <w:r w:rsidRPr="00F833B4">
        <w:rPr>
          <w:lang w:val="ru-RU"/>
        </w:rPr>
        <w:t>142</w:t>
      </w:r>
      <w:r w:rsidRPr="00F833B4">
        <w:rPr>
          <w:lang w:val="ru-RU"/>
        </w:rPr>
        <w:tab/>
        <w:t>Ввиду изменения числа бенефициаров в 2019 году по Фонду резервных и дополнительных средств зарегистрированы расходы в сумме 16,9 тыс. швейцарских франков, что меньше, чем в 2018 году (когда они составили 19,4 тыс. швейцарских франков). По Фонду помощи расходов в 2019 году не производилось.</w:t>
      </w:r>
    </w:p>
    <w:p w14:paraId="500701BC" w14:textId="77777777" w:rsidR="00F67CBC" w:rsidRPr="00F833B4" w:rsidRDefault="00F67CBC" w:rsidP="006B37CA">
      <w:pPr>
        <w:pStyle w:val="Heading1"/>
        <w:ind w:left="0" w:firstLine="0"/>
        <w:rPr>
          <w:lang w:val="ru-RU"/>
        </w:rPr>
      </w:pPr>
      <w:bookmarkStart w:id="394" w:name="_Toc356330915"/>
      <w:bookmarkStart w:id="395" w:name="_Toc358192864"/>
      <w:bookmarkStart w:id="396" w:name="_Toc398125350"/>
      <w:bookmarkStart w:id="397" w:name="_Toc398125829"/>
      <w:bookmarkStart w:id="398" w:name="_Toc452157339"/>
      <w:bookmarkStart w:id="399" w:name="_Toc482995215"/>
      <w:bookmarkStart w:id="400" w:name="_Toc522633603"/>
      <w:bookmarkStart w:id="401" w:name="_Toc56179586"/>
      <w:bookmarkStart w:id="402" w:name="_Toc56180415"/>
      <w:r w:rsidRPr="00F833B4">
        <w:rPr>
          <w:lang w:val="ru-RU"/>
        </w:rPr>
        <w:t>ПРОГРАММА РАЗВИТИЯ ОРГАНИЗАЦИИ ОБЪЕДИНЕННЫХ НАЦИЙ (ПРООН), ФОНД РАЗВИТИЯ ИНФОРМАЦИОННО-КОММУНИКАЦИОННЫХ ТЕХНОЛОГИЙ (ФРИКТ) И</w:t>
      </w:r>
      <w:bookmarkEnd w:id="394"/>
      <w:r w:rsidRPr="00F833B4">
        <w:rPr>
          <w:lang w:val="ru-RU"/>
        </w:rPr>
        <w:t> ЦЕЛЕВЫЕ ФОНДЫ</w:t>
      </w:r>
      <w:bookmarkEnd w:id="395"/>
      <w:bookmarkEnd w:id="396"/>
      <w:bookmarkEnd w:id="397"/>
      <w:bookmarkEnd w:id="398"/>
      <w:bookmarkEnd w:id="399"/>
      <w:bookmarkEnd w:id="400"/>
      <w:bookmarkEnd w:id="401"/>
      <w:bookmarkEnd w:id="402"/>
    </w:p>
    <w:p w14:paraId="37DA6D7A" w14:textId="77777777" w:rsidR="00F67CBC" w:rsidRPr="00F833B4" w:rsidRDefault="00F67CBC" w:rsidP="006B37CA">
      <w:pPr>
        <w:rPr>
          <w:lang w:val="ru-RU"/>
        </w:rPr>
      </w:pPr>
      <w:r w:rsidRPr="00F833B4">
        <w:rPr>
          <w:lang w:val="ru-RU"/>
        </w:rPr>
        <w:t>143</w:t>
      </w:r>
      <w:r w:rsidRPr="00F833B4">
        <w:rPr>
          <w:lang w:val="ru-RU"/>
        </w:rPr>
        <w:tab/>
        <w:t xml:space="preserve">В Примечании 20 к </w:t>
      </w:r>
      <w:r w:rsidRPr="00F833B4">
        <w:rPr>
          <w:color w:val="000000"/>
          <w:lang w:val="ru-RU"/>
        </w:rPr>
        <w:t>Отчету о финансовой деятельности</w:t>
      </w:r>
      <w:r w:rsidRPr="00F833B4">
        <w:rPr>
          <w:lang w:val="ru-RU"/>
        </w:rPr>
        <w:t xml:space="preserve"> эти долгосрочные обязательства представлены в разбивке на следующие две категории: "</w:t>
      </w:r>
      <w:r w:rsidRPr="00F833B4">
        <w:rPr>
          <w:color w:val="000000"/>
          <w:lang w:val="ru-RU"/>
        </w:rPr>
        <w:t>Целевые средства третьих сторон</w:t>
      </w:r>
      <w:r w:rsidRPr="00F833B4">
        <w:rPr>
          <w:lang w:val="ru-RU"/>
        </w:rPr>
        <w:t>" и "</w:t>
      </w:r>
      <w:r w:rsidRPr="00F833B4">
        <w:rPr>
          <w:color w:val="000000"/>
          <w:lang w:val="ru-RU"/>
        </w:rPr>
        <w:t>Средства третьих сторон в процессе распределения на конкретные цели</w:t>
      </w:r>
      <w:r w:rsidRPr="00F833B4">
        <w:rPr>
          <w:lang w:val="ru-RU"/>
        </w:rPr>
        <w:t>". В таблице показаны также собственные средства МСЭ, распределенные на внебюджетные проекты.</w:t>
      </w:r>
    </w:p>
    <w:p w14:paraId="51A6B58A" w14:textId="77777777" w:rsidR="00F67CBC" w:rsidRPr="00F833B4" w:rsidRDefault="00F67CBC" w:rsidP="006B37CA">
      <w:pPr>
        <w:rPr>
          <w:lang w:val="ru-RU"/>
        </w:rPr>
      </w:pPr>
      <w:r w:rsidRPr="00F833B4">
        <w:rPr>
          <w:lang w:val="ru-RU"/>
        </w:rPr>
        <w:t>144</w:t>
      </w:r>
      <w:r w:rsidRPr="00F833B4">
        <w:rPr>
          <w:lang w:val="ru-RU"/>
        </w:rPr>
        <w:tab/>
        <w:t>В Правиле 5 Приложения 2 к Финансовому регламенту предусмотрено, что "</w:t>
      </w:r>
      <w:r w:rsidRPr="00F833B4">
        <w:rPr>
          <w:i/>
          <w:iCs/>
          <w:lang w:val="ru-RU"/>
        </w:rPr>
        <w:t>для каждого добровольного взноса или целевого фонда в рамках специального счета Союза открывается отдельный счет</w:t>
      </w:r>
      <w:r w:rsidRPr="00F833B4">
        <w:rPr>
          <w:lang w:val="ru-RU"/>
        </w:rPr>
        <w:t>".</w:t>
      </w:r>
    </w:p>
    <w:p w14:paraId="038F4F45" w14:textId="77777777" w:rsidR="00F67CBC" w:rsidRPr="00F833B4" w:rsidRDefault="00F67CBC" w:rsidP="006B37CA">
      <w:pPr>
        <w:rPr>
          <w:lang w:val="ru-RU"/>
        </w:rPr>
      </w:pPr>
      <w:r w:rsidRPr="00F833B4">
        <w:rPr>
          <w:lang w:val="ru-RU"/>
        </w:rPr>
        <w:t>145</w:t>
      </w:r>
      <w:r w:rsidRPr="00F833B4">
        <w:rPr>
          <w:lang w:val="ru-RU"/>
        </w:rPr>
        <w:tab/>
        <w:t xml:space="preserve">В Приложении В4 к Отчету о финансовой деятельности упомянуты проекты, финансируемые по линии целевых фондов, из средств </w:t>
      </w:r>
      <w:r w:rsidRPr="00F833B4">
        <w:rPr>
          <w:color w:val="000000"/>
          <w:lang w:val="ru-RU"/>
        </w:rPr>
        <w:t>Специального фонда технического сотрудничества (СФТС)</w:t>
      </w:r>
      <w:r w:rsidRPr="00F833B4">
        <w:rPr>
          <w:lang w:val="ru-RU"/>
        </w:rPr>
        <w:t xml:space="preserve"> – </w:t>
      </w:r>
      <w:r w:rsidRPr="00F833B4">
        <w:rPr>
          <w:lang w:val="ru-RU"/>
        </w:rPr>
        <w:lastRenderedPageBreak/>
        <w:t xml:space="preserve">предназначенного для удовлетворения потребностей развивающихся стран, запрашивающих экстренную помощь, и основывающегося на добровольных взносах – и частично финансируемые путем снятия средств из ФРИКТ, разрешенного в соответствии с решением Руководящего комитета ФРИКТ. Другие проекты финансируются за счет конкретных добровольных взносов (показанных в Приложении В5) и регулируются соглашениями с донорами. В Приложении В6 представлены проекты, относящиеся к ФРИКТ. </w:t>
      </w:r>
    </w:p>
    <w:p w14:paraId="2BE0BF44" w14:textId="7CEB8577" w:rsidR="00F67CBC" w:rsidRPr="00F833B4" w:rsidRDefault="00F67CBC" w:rsidP="00E62783">
      <w:pPr>
        <w:rPr>
          <w:lang w:val="ru-RU"/>
        </w:rPr>
      </w:pPr>
      <w:bookmarkStart w:id="403" w:name="_Hlk56172586"/>
      <w:r w:rsidRPr="00F833B4">
        <w:rPr>
          <w:lang w:val="ru-RU"/>
        </w:rPr>
        <w:t>146</w:t>
      </w:r>
      <w:r w:rsidRPr="00F833B4">
        <w:rPr>
          <w:lang w:val="ru-RU"/>
        </w:rPr>
        <w:tab/>
        <w:t xml:space="preserve">Как показано в вышеупомянутой таблице в Примечании 20, объем собственных средств МСЭ, выделенных на проекты, сократился в 2019 году до 5,3 млн. швейцарских франков, по сравнению с 5,6 млн. швейцарских франков в 2018 году. С другой стороны, общий объем средств третьих сторон в 2019 году </w:t>
      </w:r>
      <w:r w:rsidRPr="005274B8">
        <w:rPr>
          <w:lang w:val="ru-RU"/>
        </w:rPr>
        <w:t>увеличился (38</w:t>
      </w:r>
      <w:r w:rsidR="005274B8" w:rsidRPr="005274B8">
        <w:rPr>
          <w:lang w:val="ru-RU"/>
        </w:rPr>
        <w:t> </w:t>
      </w:r>
      <w:r w:rsidRPr="005274B8">
        <w:rPr>
          <w:lang w:val="ru-RU"/>
        </w:rPr>
        <w:t>325</w:t>
      </w:r>
      <w:r w:rsidR="005274B8" w:rsidRPr="005274B8">
        <w:rPr>
          <w:lang w:val="ru-RU"/>
        </w:rPr>
        <w:t xml:space="preserve"> 000 </w:t>
      </w:r>
      <w:r w:rsidRPr="005274B8">
        <w:rPr>
          <w:lang w:val="ru-RU"/>
        </w:rPr>
        <w:t>швейцарских франков), по сравнению с 2018 годом (33</w:t>
      </w:r>
      <w:r w:rsidR="005274B8" w:rsidRPr="005274B8">
        <w:rPr>
          <w:lang w:val="ru-RU"/>
        </w:rPr>
        <w:t> </w:t>
      </w:r>
      <w:r w:rsidRPr="005274B8">
        <w:rPr>
          <w:lang w:val="ru-RU"/>
        </w:rPr>
        <w:t>824</w:t>
      </w:r>
      <w:r w:rsidR="005274B8" w:rsidRPr="005274B8">
        <w:rPr>
          <w:lang w:val="ru-RU"/>
        </w:rPr>
        <w:t> 000</w:t>
      </w:r>
      <w:r w:rsidRPr="005274B8">
        <w:rPr>
          <w:lang w:val="ru-RU"/>
        </w:rPr>
        <w:t xml:space="preserve"> швейцарских франков).</w:t>
      </w:r>
    </w:p>
    <w:bookmarkEnd w:id="403"/>
    <w:p w14:paraId="68166C31" w14:textId="77777777" w:rsidR="00F67CBC" w:rsidRPr="00F833B4" w:rsidRDefault="00F67CBC" w:rsidP="006B37CA">
      <w:pPr>
        <w:rPr>
          <w:lang w:val="ru-RU"/>
        </w:rPr>
      </w:pPr>
      <w:r w:rsidRPr="00F833B4">
        <w:rPr>
          <w:lang w:val="ru-RU"/>
        </w:rPr>
        <w:t>147</w:t>
      </w:r>
      <w:r w:rsidRPr="00F833B4">
        <w:rPr>
          <w:lang w:val="ru-RU"/>
        </w:rPr>
        <w:tab/>
        <w:t xml:space="preserve">Ожидающие распределения средства третьих сторон в 2019 году увеличились до 3,2 млн. швейцарских франков (в 2018 г. они составляли 2,8 млн. швейцарских франков), ввиду закрытия в 2019 году различных проектов и перевода </w:t>
      </w:r>
      <w:r w:rsidRPr="00F833B4">
        <w:rPr>
          <w:color w:val="000000"/>
          <w:lang w:val="ru-RU"/>
        </w:rPr>
        <w:t>остатков средств</w:t>
      </w:r>
      <w:r w:rsidRPr="00F833B4">
        <w:rPr>
          <w:lang w:val="ru-RU"/>
        </w:rPr>
        <w:t xml:space="preserve"> на транзитные счета.</w:t>
      </w:r>
    </w:p>
    <w:p w14:paraId="3F41817F" w14:textId="77777777" w:rsidR="00F67CBC" w:rsidRPr="00F833B4" w:rsidRDefault="00F67CBC" w:rsidP="006B37CA">
      <w:pPr>
        <w:pStyle w:val="Heading1"/>
        <w:ind w:left="0" w:firstLine="0"/>
        <w:rPr>
          <w:lang w:val="ru-RU"/>
        </w:rPr>
      </w:pPr>
      <w:bookmarkStart w:id="404" w:name="_Toc9802147"/>
      <w:bookmarkStart w:id="405" w:name="_Toc56179587"/>
      <w:bookmarkStart w:id="406" w:name="_Toc56180416"/>
      <w:r w:rsidRPr="00F833B4">
        <w:rPr>
          <w:lang w:val="ru-RU"/>
        </w:rPr>
        <w:t>АУДИТ В ОБЛАСТИ ИТ</w:t>
      </w:r>
      <w:bookmarkEnd w:id="404"/>
      <w:bookmarkEnd w:id="405"/>
      <w:bookmarkEnd w:id="406"/>
    </w:p>
    <w:p w14:paraId="4F11BBFA" w14:textId="77777777" w:rsidR="00F67CBC" w:rsidRPr="00F833B4" w:rsidRDefault="00F67CBC" w:rsidP="006B37CA">
      <w:pPr>
        <w:rPr>
          <w:lang w:val="ru-RU"/>
        </w:rPr>
      </w:pPr>
      <w:r w:rsidRPr="00F833B4">
        <w:rPr>
          <w:lang w:val="ru-RU"/>
        </w:rPr>
        <w:t>148</w:t>
      </w:r>
      <w:r w:rsidRPr="00F833B4">
        <w:rPr>
          <w:lang w:val="ru-RU"/>
        </w:rPr>
        <w:tab/>
        <w:t xml:space="preserve">После проверок, проведенных в прошлые года, необходимо будет провести углубленную проверку в отношении: </w:t>
      </w:r>
    </w:p>
    <w:p w14:paraId="766553AA" w14:textId="77777777" w:rsidR="00F67CBC" w:rsidRPr="00F833B4" w:rsidRDefault="00F67CBC" w:rsidP="00F833B4">
      <w:pPr>
        <w:pStyle w:val="enumlev1"/>
        <w:rPr>
          <w:lang w:val="ru-RU"/>
        </w:rPr>
      </w:pPr>
      <w:r w:rsidRPr="00F833B4">
        <w:rPr>
          <w:lang w:val="ru-RU"/>
        </w:rPr>
        <w:t>•</w:t>
      </w:r>
      <w:r w:rsidRPr="00F833B4">
        <w:rPr>
          <w:lang w:val="ru-RU"/>
        </w:rPr>
        <w:tab/>
        <w:t xml:space="preserve">проекта SAP </w:t>
      </w:r>
      <w:proofErr w:type="spellStart"/>
      <w:r w:rsidRPr="00F833B4">
        <w:rPr>
          <w:lang w:val="ru-RU"/>
        </w:rPr>
        <w:t>Controlling</w:t>
      </w:r>
      <w:proofErr w:type="spellEnd"/>
      <w:r w:rsidRPr="00F833B4">
        <w:rPr>
          <w:lang w:val="ru-RU"/>
        </w:rPr>
        <w:t xml:space="preserve"> (SAP/CO) для</w:t>
      </w:r>
      <w:r w:rsidRPr="00F833B4">
        <w:rPr>
          <w:color w:val="000000"/>
          <w:lang w:val="ru-RU"/>
        </w:rPr>
        <w:t xml:space="preserve"> повторного внедрения модуля </w:t>
      </w:r>
      <w:r w:rsidRPr="00F833B4">
        <w:rPr>
          <w:lang w:val="ru-RU"/>
        </w:rPr>
        <w:t>аналитической отчетности в целях осуществления планирования и распределения/оценки RBM;</w:t>
      </w:r>
    </w:p>
    <w:p w14:paraId="2847858A" w14:textId="77777777" w:rsidR="00F67CBC" w:rsidRPr="00F833B4" w:rsidRDefault="00F67CBC" w:rsidP="00F833B4">
      <w:pPr>
        <w:pStyle w:val="enumlev1"/>
        <w:rPr>
          <w:lang w:val="ru-RU"/>
        </w:rPr>
      </w:pPr>
      <w:r w:rsidRPr="00F833B4">
        <w:rPr>
          <w:lang w:val="ru-RU"/>
        </w:rPr>
        <w:t>•</w:t>
      </w:r>
      <w:r w:rsidRPr="00F833B4">
        <w:rPr>
          <w:lang w:val="ru-RU"/>
        </w:rPr>
        <w:tab/>
        <w:t>нового программного обеспечения для банковских коммуникаций, модулей Автобанк, Управление денежными средствами и Платежи;</w:t>
      </w:r>
    </w:p>
    <w:p w14:paraId="5ADABE72" w14:textId="77777777" w:rsidR="00F67CBC" w:rsidRPr="00F833B4" w:rsidRDefault="00F67CBC" w:rsidP="00F833B4">
      <w:pPr>
        <w:pStyle w:val="enumlev1"/>
        <w:rPr>
          <w:lang w:val="ru-RU"/>
        </w:rPr>
      </w:pPr>
      <w:r w:rsidRPr="00F833B4">
        <w:rPr>
          <w:lang w:val="ru-RU"/>
        </w:rPr>
        <w:t>•</w:t>
      </w:r>
      <w:r w:rsidRPr="00F833B4">
        <w:rPr>
          <w:lang w:val="ru-RU"/>
        </w:rPr>
        <w:tab/>
        <w:t>интеграции процесса с системами SRM и CRM, со стандартным модулем управления контрактами;</w:t>
      </w:r>
    </w:p>
    <w:p w14:paraId="14C907EA" w14:textId="77777777" w:rsidR="00F67CBC" w:rsidRPr="00F833B4" w:rsidRDefault="00F67CBC" w:rsidP="00F833B4">
      <w:pPr>
        <w:pStyle w:val="enumlev1"/>
        <w:rPr>
          <w:lang w:val="ru-RU"/>
        </w:rPr>
      </w:pPr>
      <w:r w:rsidRPr="00F833B4">
        <w:rPr>
          <w:lang w:val="ru-RU"/>
        </w:rPr>
        <w:t>•</w:t>
      </w:r>
      <w:r w:rsidRPr="00F833B4">
        <w:rPr>
          <w:lang w:val="ru-RU"/>
        </w:rPr>
        <w:tab/>
        <w:t>модуля под названием "</w:t>
      </w:r>
      <w:proofErr w:type="spellStart"/>
      <w:r w:rsidRPr="00F833B4">
        <w:rPr>
          <w:lang w:val="ru-RU"/>
        </w:rPr>
        <w:t>AgileSI</w:t>
      </w:r>
      <w:proofErr w:type="spellEnd"/>
      <w:r w:rsidRPr="00F833B4">
        <w:rPr>
          <w:lang w:val="ru-RU"/>
        </w:rPr>
        <w:t>" для мониторинга событий и угроз в области безопасности.</w:t>
      </w:r>
    </w:p>
    <w:p w14:paraId="7F415014" w14:textId="77777777" w:rsidR="00F67CBC" w:rsidRPr="00F833B4" w:rsidRDefault="00F67CBC" w:rsidP="00F833B4">
      <w:pPr>
        <w:pStyle w:val="enumlev1"/>
        <w:ind w:left="0" w:firstLine="0"/>
        <w:rPr>
          <w:lang w:val="ru-RU"/>
        </w:rPr>
      </w:pPr>
      <w:r w:rsidRPr="00F833B4">
        <w:rPr>
          <w:lang w:val="ru-RU"/>
        </w:rPr>
        <w:t>Мы проверим состояние этих видов деятельности позднее, после того как они будут протестированы, проверены и затем запущены в производство.</w:t>
      </w:r>
    </w:p>
    <w:p w14:paraId="07AA18B0" w14:textId="77777777" w:rsidR="00F67CBC" w:rsidRPr="00F833B4" w:rsidRDefault="00F67CBC" w:rsidP="006B37CA">
      <w:pPr>
        <w:rPr>
          <w:lang w:val="ru-RU"/>
        </w:rPr>
      </w:pPr>
      <w:r w:rsidRPr="00F833B4">
        <w:rPr>
          <w:lang w:val="ru-RU"/>
        </w:rPr>
        <w:t>149</w:t>
      </w:r>
      <w:r w:rsidRPr="00F833B4">
        <w:rPr>
          <w:lang w:val="ru-RU"/>
        </w:rPr>
        <w:tab/>
      </w:r>
      <w:r w:rsidRPr="00F833B4">
        <w:rPr>
          <w:color w:val="000000"/>
          <w:lang w:val="ru-RU"/>
        </w:rPr>
        <w:t xml:space="preserve">Мы подчеркиваем, что увеличение объема дистанционной работы и использование ресурсов ИТ повлечет за собой </w:t>
      </w:r>
      <w:r w:rsidRPr="00F833B4">
        <w:rPr>
          <w:lang w:val="ru-RU"/>
        </w:rPr>
        <w:t xml:space="preserve">внесение некоторых коррективов в использование </w:t>
      </w:r>
      <w:r w:rsidRPr="00F833B4">
        <w:rPr>
          <w:color w:val="000000"/>
          <w:lang w:val="ru-RU"/>
        </w:rPr>
        <w:t>инструментов ИТ</w:t>
      </w:r>
      <w:r w:rsidRPr="00F833B4">
        <w:rPr>
          <w:lang w:val="ru-RU"/>
        </w:rPr>
        <w:t xml:space="preserve">. Мы </w:t>
      </w:r>
      <w:r w:rsidRPr="00F833B4">
        <w:rPr>
          <w:color w:val="000000"/>
          <w:lang w:val="ru-RU"/>
        </w:rPr>
        <w:t>будем наблюдать за эффективностью и действенностью мер, принятых руководством в ответ на этот вызов</w:t>
      </w:r>
      <w:r w:rsidRPr="00F833B4">
        <w:rPr>
          <w:lang w:val="ru-RU"/>
        </w:rPr>
        <w:t>.</w:t>
      </w:r>
    </w:p>
    <w:p w14:paraId="2381D083" w14:textId="77777777" w:rsidR="00F67CBC" w:rsidRPr="00F833B4" w:rsidRDefault="00F67CBC" w:rsidP="006B37CA">
      <w:pPr>
        <w:pStyle w:val="Heading1"/>
        <w:ind w:left="0" w:firstLine="0"/>
        <w:rPr>
          <w:lang w:val="ru-RU"/>
        </w:rPr>
      </w:pPr>
      <w:bookmarkStart w:id="407" w:name="_Toc56179588"/>
      <w:bookmarkStart w:id="408" w:name="_Toc56180417"/>
      <w:r w:rsidRPr="00F833B4">
        <w:rPr>
          <w:lang w:val="ru-RU"/>
        </w:rPr>
        <w:t>СИСТЕМА В ОБЛАСТИ ЭТИКИ</w:t>
      </w:r>
      <w:bookmarkEnd w:id="407"/>
      <w:bookmarkEnd w:id="408"/>
    </w:p>
    <w:p w14:paraId="4628EA63" w14:textId="77777777" w:rsidR="00F67CBC" w:rsidRPr="00F833B4" w:rsidRDefault="00F67CBC" w:rsidP="006B37CA">
      <w:pPr>
        <w:rPr>
          <w:lang w:val="ru-RU"/>
        </w:rPr>
      </w:pPr>
      <w:r w:rsidRPr="00F833B4">
        <w:rPr>
          <w:lang w:val="ru-RU"/>
        </w:rPr>
        <w:t>150</w:t>
      </w:r>
      <w:r w:rsidRPr="00F833B4">
        <w:rPr>
          <w:lang w:val="ru-RU"/>
        </w:rPr>
        <w:tab/>
        <w:t>Должность сотрудника по вопросам этики была создана в соответствии с Резолюцией 1308, утвержденной Советом (C09/121, п. 3.21) в декабре 2009 года. Сотрудник по вопросам этики был назначен в ноябре 2016 года, а в конце апреля 2018 года эта должность стала вакантной. Новый сотрудник по вопросам этики был нанят в июне 2019 года.</w:t>
      </w:r>
    </w:p>
    <w:p w14:paraId="2AB4A5AB" w14:textId="77777777" w:rsidR="00F67CBC" w:rsidRPr="00F833B4" w:rsidRDefault="00F67CBC" w:rsidP="00F833B4">
      <w:pPr>
        <w:pStyle w:val="Heading3"/>
        <w:rPr>
          <w:i/>
          <w:color w:val="000000"/>
          <w:lang w:val="ru-RU"/>
        </w:rPr>
      </w:pPr>
      <w:bookmarkStart w:id="409" w:name="_Toc9802149"/>
      <w:bookmarkStart w:id="410" w:name="_Toc56180418"/>
      <w:r w:rsidRPr="00F833B4">
        <w:rPr>
          <w:i/>
          <w:color w:val="000000"/>
          <w:lang w:val="ru-RU"/>
        </w:rPr>
        <w:t>Защита сотрудников, сообщающих о нарушениях</w:t>
      </w:r>
      <w:bookmarkEnd w:id="409"/>
      <w:r w:rsidRPr="00F833B4">
        <w:rPr>
          <w:i/>
          <w:color w:val="000000"/>
          <w:lang w:val="ru-RU"/>
        </w:rPr>
        <w:t>: достаточен ли и эффективен ли новый служебный приказ 20/06?</w:t>
      </w:r>
      <w:bookmarkEnd w:id="410"/>
    </w:p>
    <w:p w14:paraId="6F445275" w14:textId="6C549775" w:rsidR="00F67CBC" w:rsidRPr="00F833B4" w:rsidRDefault="00F67CBC" w:rsidP="00F833B4">
      <w:pPr>
        <w:rPr>
          <w:lang w:val="ru-RU"/>
        </w:rPr>
      </w:pPr>
      <w:r w:rsidRPr="00F833B4">
        <w:rPr>
          <w:lang w:val="ru-RU"/>
        </w:rPr>
        <w:t>151</w:t>
      </w:r>
      <w:r w:rsidRPr="00F833B4">
        <w:rPr>
          <w:lang w:val="ru-RU"/>
        </w:rPr>
        <w:tab/>
        <w:t xml:space="preserve">Служебный приказ 20/06 − ПОЛИТИКА И ЗАЩИТА В ОТНОШЕНИИ УВЕДОМЛЕНИЙ О СЛУЧАЯХ НЕПРАВОМЕРНЫХ ДЕЙСТВИЙ (Информирование о нарушениях) − был принят 10 сентября 2020 года. Этот новый служебный приказ </w:t>
      </w:r>
      <w:r w:rsidRPr="00F833B4">
        <w:rPr>
          <w:color w:val="000000"/>
          <w:lang w:val="ru-RU"/>
        </w:rPr>
        <w:t xml:space="preserve">отменяет и заменяет </w:t>
      </w:r>
      <w:r w:rsidRPr="00F833B4">
        <w:rPr>
          <w:lang w:val="ru-RU"/>
        </w:rPr>
        <w:t xml:space="preserve">служебный приказ </w:t>
      </w:r>
      <w:proofErr w:type="spellStart"/>
      <w:r w:rsidRPr="00F833B4">
        <w:rPr>
          <w:lang w:val="ru-RU"/>
        </w:rPr>
        <w:t>No</w:t>
      </w:r>
      <w:proofErr w:type="spellEnd"/>
      <w:r w:rsidRPr="00F833B4">
        <w:rPr>
          <w:lang w:val="ru-RU"/>
        </w:rPr>
        <w:t xml:space="preserve"> 11/04 от 22 февраля 2011</w:t>
      </w:r>
      <w:r w:rsidR="00E84783">
        <w:rPr>
          <w:lang w:val="ru-RU"/>
        </w:rPr>
        <w:t> </w:t>
      </w:r>
      <w:r w:rsidRPr="00F833B4">
        <w:rPr>
          <w:lang w:val="ru-RU"/>
        </w:rPr>
        <w:t>года.</w:t>
      </w:r>
    </w:p>
    <w:p w14:paraId="2B1C3B55" w14:textId="77777777" w:rsidR="00F67CBC" w:rsidRPr="00F833B4" w:rsidRDefault="00F67CBC" w:rsidP="00F833B4">
      <w:pPr>
        <w:rPr>
          <w:lang w:val="ru-RU"/>
        </w:rPr>
      </w:pPr>
      <w:r w:rsidRPr="00F833B4">
        <w:rPr>
          <w:lang w:val="ru-RU"/>
        </w:rPr>
        <w:lastRenderedPageBreak/>
        <w:t>152</w:t>
      </w:r>
      <w:r w:rsidRPr="00F833B4">
        <w:rPr>
          <w:lang w:val="ru-RU"/>
        </w:rPr>
        <w:tab/>
        <w:t xml:space="preserve">Этот служебный приказ вводит в действие в МСЭ политику и защиту в отношении уведомлений о случаях неправомерных действий (Информирование о нарушениях) и уточняет права и обязанности сотрудников МСЭ в отношении </w:t>
      </w:r>
      <w:r w:rsidRPr="00F833B4">
        <w:rPr>
          <w:color w:val="000000"/>
          <w:lang w:val="ru-RU"/>
        </w:rPr>
        <w:t xml:space="preserve">уведомлений о </w:t>
      </w:r>
      <w:r w:rsidRPr="00F833B4">
        <w:rPr>
          <w:lang w:val="ru-RU"/>
        </w:rPr>
        <w:t xml:space="preserve">случаях предполагаемых неправомерных действий, чтобы побудить их </w:t>
      </w:r>
      <w:r w:rsidRPr="00F833B4">
        <w:rPr>
          <w:color w:val="000000"/>
          <w:lang w:val="ru-RU"/>
        </w:rPr>
        <w:t>поднимать вызывающие беспокойство вопросы,</w:t>
      </w:r>
      <w:r w:rsidRPr="00F833B4">
        <w:rPr>
          <w:lang w:val="ru-RU"/>
        </w:rPr>
        <w:t xml:space="preserve"> и чтобы Союз мог </w:t>
      </w:r>
      <w:r w:rsidRPr="00F833B4">
        <w:rPr>
          <w:color w:val="000000"/>
          <w:lang w:val="ru-RU"/>
        </w:rPr>
        <w:t>рассматривать такие случаи</w:t>
      </w:r>
      <w:r w:rsidRPr="00F833B4">
        <w:rPr>
          <w:lang w:val="ru-RU"/>
        </w:rPr>
        <w:t>.</w:t>
      </w:r>
    </w:p>
    <w:p w14:paraId="751CE3D9" w14:textId="04434943" w:rsidR="00F67CBC" w:rsidRPr="00F833B4" w:rsidRDefault="00F67CBC" w:rsidP="00F833B4">
      <w:pPr>
        <w:rPr>
          <w:lang w:val="ru-RU"/>
        </w:rPr>
      </w:pPr>
      <w:r w:rsidRPr="00F833B4">
        <w:rPr>
          <w:lang w:val="ru-RU"/>
        </w:rPr>
        <w:t>153</w:t>
      </w:r>
      <w:r w:rsidRPr="00F833B4">
        <w:rPr>
          <w:lang w:val="ru-RU"/>
        </w:rPr>
        <w:tab/>
        <w:t xml:space="preserve">Этот служебный приказ касается всех действующих и бывших сотрудников МСЭ, включая избираемых должностных лиц, </w:t>
      </w:r>
      <w:r w:rsidRPr="00F833B4">
        <w:rPr>
          <w:color w:val="000000"/>
          <w:lang w:val="ru-RU"/>
        </w:rPr>
        <w:t>назначаемых сотрудников МСЭ</w:t>
      </w:r>
      <w:r w:rsidRPr="00F833B4">
        <w:rPr>
          <w:lang w:val="ru-RU"/>
        </w:rPr>
        <w:t xml:space="preserve">, стажеров, </w:t>
      </w:r>
      <w:r w:rsidRPr="00F833B4">
        <w:rPr>
          <w:color w:val="000000"/>
          <w:lang w:val="ru-RU"/>
        </w:rPr>
        <w:t>младших сотрудников категории специалистов</w:t>
      </w:r>
      <w:r w:rsidRPr="00F833B4">
        <w:rPr>
          <w:lang w:val="ru-RU"/>
        </w:rPr>
        <w:t xml:space="preserve"> и отдельных лиц, работающих в МСЭ </w:t>
      </w:r>
      <w:r w:rsidRPr="00F833B4">
        <w:rPr>
          <w:color w:val="000000"/>
          <w:lang w:val="ru-RU"/>
        </w:rPr>
        <w:t>на контрактах по линии специальных соглашений об услугах (SSA)</w:t>
      </w:r>
      <w:r w:rsidRPr="00F833B4">
        <w:rPr>
          <w:lang w:val="ru-RU"/>
        </w:rPr>
        <w:t xml:space="preserve">. Защита, введенная служебным приказом 20/06, применяется независимо от того, затрагивают ли соответствующие сообщения сотрудников МСЭ, лиц или организации, </w:t>
      </w:r>
      <w:r w:rsidRPr="00F833B4">
        <w:rPr>
          <w:color w:val="000000"/>
          <w:lang w:val="ru-RU"/>
        </w:rPr>
        <w:t>как внутри, так и вне МСЭ</w:t>
      </w:r>
      <w:r w:rsidRPr="00F833B4">
        <w:rPr>
          <w:lang w:val="ru-RU"/>
        </w:rPr>
        <w:t>.</w:t>
      </w:r>
    </w:p>
    <w:p w14:paraId="705DEFF8" w14:textId="77777777" w:rsidR="00F67CBC" w:rsidRPr="00F833B4" w:rsidRDefault="00F67CBC" w:rsidP="00F833B4">
      <w:pPr>
        <w:rPr>
          <w:lang w:val="ru-RU"/>
        </w:rPr>
      </w:pPr>
      <w:r w:rsidRPr="00F833B4">
        <w:rPr>
          <w:lang w:val="ru-RU"/>
        </w:rPr>
        <w:t>154</w:t>
      </w:r>
      <w:r w:rsidRPr="00F833B4">
        <w:rPr>
          <w:lang w:val="ru-RU"/>
        </w:rPr>
        <w:tab/>
      </w:r>
      <w:r w:rsidRPr="00F833B4">
        <w:rPr>
          <w:color w:val="000000"/>
          <w:lang w:val="ru-RU"/>
        </w:rPr>
        <w:t xml:space="preserve">Мы подтверждаем, что </w:t>
      </w:r>
      <w:r w:rsidRPr="00F833B4">
        <w:rPr>
          <w:lang w:val="ru-RU"/>
        </w:rPr>
        <w:t xml:space="preserve">этот служебный приказ является важным шагом с точки зрения предоставления </w:t>
      </w:r>
      <w:r w:rsidRPr="00F833B4">
        <w:rPr>
          <w:color w:val="000000"/>
          <w:lang w:val="ru-RU"/>
        </w:rPr>
        <w:t>правовой основы</w:t>
      </w:r>
      <w:r w:rsidRPr="00F833B4">
        <w:rPr>
          <w:lang w:val="ru-RU"/>
        </w:rPr>
        <w:t xml:space="preserve"> для з</w:t>
      </w:r>
      <w:r w:rsidRPr="00F833B4">
        <w:rPr>
          <w:color w:val="000000"/>
          <w:lang w:val="ru-RU"/>
        </w:rPr>
        <w:t>ащиты сотрудников, сообщающих о нарушениях</w:t>
      </w:r>
      <w:r w:rsidRPr="00F833B4">
        <w:rPr>
          <w:lang w:val="ru-RU"/>
        </w:rPr>
        <w:t>.</w:t>
      </w:r>
    </w:p>
    <w:p w14:paraId="5ECBEBE9" w14:textId="77777777" w:rsidR="00F67CBC" w:rsidRPr="00F833B4" w:rsidRDefault="00F67CBC" w:rsidP="00F833B4">
      <w:pPr>
        <w:rPr>
          <w:lang w:val="ru-RU"/>
        </w:rPr>
      </w:pPr>
      <w:r w:rsidRPr="00F833B4">
        <w:rPr>
          <w:lang w:val="ru-RU"/>
        </w:rPr>
        <w:t>155</w:t>
      </w:r>
      <w:r w:rsidRPr="00F833B4">
        <w:rPr>
          <w:lang w:val="ru-RU"/>
        </w:rPr>
        <w:tab/>
        <w:t xml:space="preserve">Наличие сотрудника по вопросам этики является еще одним важным признаком </w:t>
      </w:r>
      <w:r w:rsidRPr="00F833B4">
        <w:rPr>
          <w:color w:val="000000"/>
          <w:lang w:val="ru-RU"/>
        </w:rPr>
        <w:t>приверженности МСЭ политике нетерпимости к злоупотреблениям, а также приверженности культуре открытого выражения мнения в вопросах сдерживания и предотвращения нарушений</w:t>
      </w:r>
      <w:r w:rsidRPr="00F833B4">
        <w:rPr>
          <w:lang w:val="ru-RU"/>
        </w:rPr>
        <w:t xml:space="preserve">. </w:t>
      </w:r>
    </w:p>
    <w:p w14:paraId="50263C5C" w14:textId="4C4844B5" w:rsidR="00F67CBC" w:rsidRPr="00F833B4" w:rsidRDefault="00F67CBC" w:rsidP="00F833B4">
      <w:pPr>
        <w:rPr>
          <w:lang w:val="ru-RU"/>
        </w:rPr>
      </w:pPr>
      <w:r w:rsidRPr="00F833B4">
        <w:rPr>
          <w:lang w:val="ru-RU"/>
        </w:rPr>
        <w:t>156</w:t>
      </w:r>
      <w:r w:rsidRPr="00F833B4">
        <w:rPr>
          <w:lang w:val="ru-RU"/>
        </w:rPr>
        <w:tab/>
      </w:r>
      <w:r w:rsidRPr="00F833B4">
        <w:rPr>
          <w:color w:val="000000"/>
          <w:lang w:val="ru-RU"/>
        </w:rPr>
        <w:t>Мы подтверждаем также, что новый с</w:t>
      </w:r>
      <w:r w:rsidRPr="00F833B4">
        <w:rPr>
          <w:lang w:val="ru-RU"/>
        </w:rPr>
        <w:t xml:space="preserve">лужебный приказ содержит усовершенствованные положения о конфиденциальности применительно к персоналу МСЭ. Пункт 14 </w:t>
      </w:r>
      <w:r w:rsidRPr="00F833B4">
        <w:rPr>
          <w:color w:val="000000"/>
          <w:lang w:val="ru-RU"/>
        </w:rPr>
        <w:t>с</w:t>
      </w:r>
      <w:r w:rsidRPr="00F833B4">
        <w:rPr>
          <w:lang w:val="ru-RU"/>
        </w:rPr>
        <w:t>лужебного приказа 20/06 гласит: "Личн</w:t>
      </w:r>
      <w:r w:rsidRPr="00F833B4">
        <w:rPr>
          <w:color w:val="000000"/>
          <w:lang w:val="ru-RU"/>
        </w:rPr>
        <w:t xml:space="preserve">ая информация о сотруднике МСЭ, </w:t>
      </w:r>
      <w:r w:rsidRPr="00F833B4">
        <w:rPr>
          <w:lang w:val="ru-RU"/>
        </w:rPr>
        <w:t>сообщившем в у</w:t>
      </w:r>
      <w:r w:rsidRPr="00F833B4">
        <w:rPr>
          <w:color w:val="000000"/>
          <w:lang w:val="ru-RU"/>
        </w:rPr>
        <w:t>правление по вопросам этики</w:t>
      </w:r>
      <w:r w:rsidRPr="00F833B4">
        <w:rPr>
          <w:lang w:val="ru-RU"/>
        </w:rPr>
        <w:t xml:space="preserve"> о нарушении в соответствии с данной политикой, будет носить конфиденциальный характер. Конфиденциальность означает, что соответствующий(</w:t>
      </w:r>
      <w:proofErr w:type="spellStart"/>
      <w:r w:rsidRPr="00F833B4">
        <w:rPr>
          <w:lang w:val="ru-RU"/>
        </w:rPr>
        <w:t>яя</w:t>
      </w:r>
      <w:proofErr w:type="spellEnd"/>
      <w:r w:rsidRPr="00F833B4">
        <w:rPr>
          <w:lang w:val="ru-RU"/>
        </w:rPr>
        <w:t>) сотрудник(а) МСЭ сообщает свое имя, однако у</w:t>
      </w:r>
      <w:r w:rsidRPr="00F833B4">
        <w:rPr>
          <w:color w:val="000000"/>
          <w:lang w:val="ru-RU"/>
        </w:rPr>
        <w:t>правление по вопросам этики</w:t>
      </w:r>
      <w:r w:rsidRPr="00F833B4">
        <w:rPr>
          <w:lang w:val="ru-RU"/>
        </w:rPr>
        <w:t xml:space="preserve"> и орган, проводящий расследование, раскроют источник соответствующих заявлений вне рамок своих функций </w:t>
      </w:r>
      <w:r w:rsidRPr="00F833B4">
        <w:rPr>
          <w:color w:val="000000"/>
          <w:lang w:val="ru-RU"/>
        </w:rPr>
        <w:t>только на основе принципа "необходимого знания"</w:t>
      </w:r>
      <w:r w:rsidRPr="00F833B4">
        <w:rPr>
          <w:lang w:val="ru-RU"/>
        </w:rPr>
        <w:t xml:space="preserve"> при условии, что: a) соответствующий сотрудник МСЭ соглашается c таким раскрытием; или b)</w:t>
      </w:r>
      <w:r w:rsidR="00E84783">
        <w:rPr>
          <w:lang w:val="ru-RU"/>
        </w:rPr>
        <w:t> </w:t>
      </w:r>
      <w:r w:rsidRPr="00F833B4">
        <w:rPr>
          <w:lang w:val="ru-RU"/>
        </w:rPr>
        <w:t>у</w:t>
      </w:r>
      <w:r w:rsidRPr="00F833B4">
        <w:rPr>
          <w:color w:val="000000"/>
          <w:lang w:val="ru-RU"/>
        </w:rPr>
        <w:t>правление по вопросам этики</w:t>
      </w:r>
      <w:r w:rsidRPr="00F833B4">
        <w:rPr>
          <w:lang w:val="ru-RU"/>
        </w:rPr>
        <w:t xml:space="preserve"> или и орган, проводящий расследование, установит, что: i) этот сотрудник МСЭ сделал заявления, которые являются заведомо ложными, или не позаботился о том, чтобы узнать, являются они правдивыми или ложными; </w:t>
      </w:r>
      <w:proofErr w:type="spellStart"/>
      <w:r w:rsidRPr="00F833B4">
        <w:rPr>
          <w:lang w:val="ru-RU"/>
        </w:rPr>
        <w:t>ii</w:t>
      </w:r>
      <w:proofErr w:type="spellEnd"/>
      <w:r w:rsidRPr="00F833B4">
        <w:rPr>
          <w:lang w:val="ru-RU"/>
        </w:rPr>
        <w:t xml:space="preserve">) существует вероятность неминуемой угрозы или причинения серьезного вреда отдельным лицам или МСЭ; или </w:t>
      </w:r>
      <w:proofErr w:type="spellStart"/>
      <w:r w:rsidRPr="00F833B4">
        <w:rPr>
          <w:lang w:val="ru-RU"/>
        </w:rPr>
        <w:t>iii</w:t>
      </w:r>
      <w:proofErr w:type="spellEnd"/>
      <w:r w:rsidRPr="00F833B4">
        <w:rPr>
          <w:lang w:val="ru-RU"/>
        </w:rPr>
        <w:t xml:space="preserve">) компетентный судебный орган Государства-Члена просит МСЭ раскрыть такую информацию, и МСЭ решает выполнить эту просьбу, </w:t>
      </w:r>
      <w:r w:rsidRPr="00F833B4">
        <w:rPr>
          <w:color w:val="000000"/>
          <w:lang w:val="ru-RU"/>
        </w:rPr>
        <w:t xml:space="preserve">должным образом </w:t>
      </w:r>
      <w:r w:rsidRPr="00F833B4">
        <w:rPr>
          <w:lang w:val="ru-RU"/>
        </w:rPr>
        <w:t>учитывая</w:t>
      </w:r>
      <w:r w:rsidRPr="00F833B4">
        <w:rPr>
          <w:color w:val="000000"/>
          <w:lang w:val="ru-RU"/>
        </w:rPr>
        <w:t xml:space="preserve"> политику и принципы ООН</w:t>
      </w:r>
      <w:r w:rsidRPr="00F833B4">
        <w:rPr>
          <w:lang w:val="ru-RU"/>
        </w:rPr>
        <w:t xml:space="preserve"> в области прав человека".</w:t>
      </w:r>
    </w:p>
    <w:p w14:paraId="65E672C8" w14:textId="77777777" w:rsidR="00F67CBC" w:rsidRPr="00F833B4" w:rsidRDefault="00F67CBC" w:rsidP="00F833B4">
      <w:pPr>
        <w:rPr>
          <w:lang w:val="ru-RU"/>
        </w:rPr>
      </w:pPr>
      <w:r w:rsidRPr="00F833B4">
        <w:rPr>
          <w:lang w:val="ru-RU"/>
        </w:rPr>
        <w:t>157</w:t>
      </w:r>
      <w:r w:rsidRPr="00F833B4">
        <w:rPr>
          <w:lang w:val="ru-RU"/>
        </w:rPr>
        <w:tab/>
        <w:t xml:space="preserve">Вместе с тем мы не можем </w:t>
      </w:r>
      <w:proofErr w:type="gramStart"/>
      <w:r w:rsidRPr="00F833B4">
        <w:rPr>
          <w:lang w:val="ru-RU"/>
        </w:rPr>
        <w:t>на текущий момент</w:t>
      </w:r>
      <w:proofErr w:type="gramEnd"/>
      <w:r w:rsidRPr="00F833B4">
        <w:rPr>
          <w:lang w:val="ru-RU"/>
        </w:rPr>
        <w:t xml:space="preserve"> сказать, будет ли данная правовая основа эффективной для обеспечения достаточной степени анонимности </w:t>
      </w:r>
      <w:r w:rsidRPr="00F833B4">
        <w:rPr>
          <w:color w:val="000000"/>
          <w:lang w:val="ru-RU"/>
        </w:rPr>
        <w:t>сотрудников, сообщающих о нарушениях</w:t>
      </w:r>
      <w:r w:rsidRPr="00F833B4">
        <w:rPr>
          <w:lang w:val="ru-RU"/>
        </w:rPr>
        <w:t xml:space="preserve">, в частности внешних сотрудников. </w:t>
      </w:r>
      <w:r w:rsidRPr="00F833B4">
        <w:rPr>
          <w:color w:val="000000"/>
          <w:lang w:val="ru-RU"/>
        </w:rPr>
        <w:t>Следует отметить, что</w:t>
      </w:r>
      <w:r w:rsidRPr="00F833B4">
        <w:rPr>
          <w:lang w:val="ru-RU"/>
        </w:rPr>
        <w:t xml:space="preserve"> в случае мошенничества, имевшего место в региональном отделении, только "</w:t>
      </w:r>
      <w:r w:rsidRPr="00F833B4">
        <w:rPr>
          <w:color w:val="000000"/>
          <w:lang w:val="ru-RU"/>
        </w:rPr>
        <w:t>внешний" осведомитель</w:t>
      </w:r>
      <w:r w:rsidRPr="00F833B4">
        <w:rPr>
          <w:lang w:val="ru-RU"/>
        </w:rPr>
        <w:t xml:space="preserve"> позволил МСЭ </w:t>
      </w:r>
      <w:r w:rsidRPr="00F833B4">
        <w:rPr>
          <w:color w:val="000000"/>
          <w:lang w:val="ru-RU"/>
        </w:rPr>
        <w:t>обнаружить это мошенничество</w:t>
      </w:r>
      <w:r w:rsidRPr="00F833B4">
        <w:rPr>
          <w:lang w:val="ru-RU"/>
        </w:rPr>
        <w:t xml:space="preserve">. Что касается </w:t>
      </w:r>
      <w:r w:rsidRPr="00F833B4">
        <w:rPr>
          <w:color w:val="000000"/>
          <w:lang w:val="ru-RU"/>
        </w:rPr>
        <w:t>персонала МСЭ, мы отмечаем, что еще существует вероятность того, что потенциальный осведомитель</w:t>
      </w:r>
      <w:r w:rsidRPr="00F833B4">
        <w:rPr>
          <w:lang w:val="ru-RU"/>
        </w:rPr>
        <w:t xml:space="preserve"> может посчитать себя не полностью защищенным, учитывая тот факт, что МСЭ имеет право довести его/ее личн</w:t>
      </w:r>
      <w:r w:rsidRPr="00F833B4">
        <w:rPr>
          <w:color w:val="000000"/>
          <w:lang w:val="ru-RU"/>
        </w:rPr>
        <w:t xml:space="preserve">ую информацию до сведения </w:t>
      </w:r>
      <w:r w:rsidRPr="00F833B4">
        <w:rPr>
          <w:lang w:val="ru-RU"/>
        </w:rPr>
        <w:t>национальных органов власти, хотя и с "</w:t>
      </w:r>
      <w:r w:rsidRPr="00F833B4">
        <w:rPr>
          <w:color w:val="000000"/>
          <w:lang w:val="ru-RU"/>
        </w:rPr>
        <w:t>должным учетом политики и принципов ООН</w:t>
      </w:r>
      <w:r w:rsidRPr="00F833B4">
        <w:rPr>
          <w:lang w:val="ru-RU"/>
        </w:rPr>
        <w:t xml:space="preserve"> в области прав человека".</w:t>
      </w:r>
    </w:p>
    <w:p w14:paraId="54CE48EF" w14:textId="77777777" w:rsidR="00F67CBC" w:rsidRPr="00F833B4" w:rsidRDefault="00F67CBC" w:rsidP="00F833B4">
      <w:pPr>
        <w:rPr>
          <w:lang w:val="ru-RU"/>
        </w:rPr>
      </w:pPr>
      <w:r w:rsidRPr="00F833B4">
        <w:rPr>
          <w:lang w:val="ru-RU"/>
        </w:rPr>
        <w:t>158</w:t>
      </w:r>
      <w:r w:rsidRPr="00F833B4">
        <w:rPr>
          <w:lang w:val="ru-RU"/>
        </w:rPr>
        <w:tab/>
        <w:t>В своем ответе на рекомендацию 22/2018, содержащуюся в нашем аудиторском отчете за прошлый год, р</w:t>
      </w:r>
      <w:r w:rsidRPr="00F833B4">
        <w:rPr>
          <w:color w:val="000000"/>
          <w:lang w:val="ru-RU"/>
        </w:rPr>
        <w:t xml:space="preserve">уководство приняло на себя обязательство рассмотреть </w:t>
      </w:r>
      <w:r w:rsidRPr="00F833B4">
        <w:rPr>
          <w:lang w:val="ru-RU"/>
        </w:rPr>
        <w:t>"</w:t>
      </w:r>
      <w:r w:rsidRPr="00F833B4">
        <w:rPr>
          <w:i/>
          <w:iCs/>
          <w:lang w:val="ru-RU"/>
        </w:rPr>
        <w:t>возможность обеспечения</w:t>
      </w:r>
      <w:r w:rsidRPr="00F833B4">
        <w:rPr>
          <w:i/>
          <w:color w:val="000000"/>
          <w:lang w:val="ru-RU"/>
        </w:rPr>
        <w:t xml:space="preserve"> большей визуальной доступности этих вопросов для внешних пользователей веб-сайта</w:t>
      </w:r>
      <w:r w:rsidRPr="00F833B4">
        <w:rPr>
          <w:iCs/>
          <w:lang w:val="ru-RU"/>
        </w:rPr>
        <w:t>"</w:t>
      </w:r>
      <w:r w:rsidRPr="00F833B4">
        <w:rPr>
          <w:lang w:val="ru-RU"/>
        </w:rPr>
        <w:t xml:space="preserve">, чтобы облегчить взаимодействие и повысить эффективность </w:t>
      </w:r>
      <w:r w:rsidRPr="00F833B4">
        <w:rPr>
          <w:color w:val="000000"/>
          <w:lang w:val="ru-RU"/>
        </w:rPr>
        <w:t>информирования о нарушениях</w:t>
      </w:r>
      <w:r w:rsidRPr="00F833B4">
        <w:rPr>
          <w:lang w:val="ru-RU"/>
        </w:rPr>
        <w:t>.</w:t>
      </w:r>
    </w:p>
    <w:p w14:paraId="08D0D058" w14:textId="77777777" w:rsidR="00F67CBC" w:rsidRPr="00F833B4" w:rsidRDefault="00F67CBC" w:rsidP="00F833B4">
      <w:pPr>
        <w:rPr>
          <w:lang w:val="ru-RU"/>
        </w:rPr>
      </w:pPr>
      <w:r w:rsidRPr="00F833B4">
        <w:rPr>
          <w:lang w:val="ru-RU"/>
        </w:rPr>
        <w:t>159</w:t>
      </w:r>
      <w:r w:rsidRPr="00F833B4">
        <w:rPr>
          <w:lang w:val="ru-RU"/>
        </w:rPr>
        <w:tab/>
        <w:t xml:space="preserve">В контексте нашей текущей аудиторской проверки мы отметили, что в настоящее время на веб-сайте МСЭ содержится ссылка для внешних осведомителей, используя которую они могут сообщать о случаях предполагаемого мошенничества, и уточняется, что сообщения о неправомерных действиях могут передаваться на частную, </w:t>
      </w:r>
      <w:r w:rsidRPr="00F833B4">
        <w:rPr>
          <w:color w:val="000000"/>
          <w:lang w:val="ru-RU"/>
        </w:rPr>
        <w:t>шифрованную горячую линию</w:t>
      </w:r>
      <w:r w:rsidRPr="00F833B4">
        <w:rPr>
          <w:lang w:val="ru-RU"/>
        </w:rPr>
        <w:t xml:space="preserve">, размещенную на </w:t>
      </w:r>
      <w:r w:rsidRPr="00F833B4">
        <w:rPr>
          <w:lang w:val="ru-RU"/>
        </w:rPr>
        <w:lastRenderedPageBreak/>
        <w:t xml:space="preserve">независимом (не относящемся к МСЭ) сервере, где поступающие сообщения будут обрабатываться с соблюдением максимального </w:t>
      </w:r>
      <w:r w:rsidRPr="00F833B4">
        <w:rPr>
          <w:color w:val="000000"/>
          <w:lang w:val="ru-RU"/>
        </w:rPr>
        <w:t>режима конфиденциальности</w:t>
      </w:r>
      <w:r w:rsidRPr="00F833B4">
        <w:rPr>
          <w:lang w:val="ru-RU"/>
        </w:rPr>
        <w:t xml:space="preserve">. Вместе с тем мы считаем, что целесообразно было бы </w:t>
      </w:r>
      <w:r w:rsidRPr="00F833B4">
        <w:rPr>
          <w:color w:val="000000"/>
          <w:lang w:val="ru-RU"/>
        </w:rPr>
        <w:t>повысить визуальную доступность</w:t>
      </w:r>
      <w:r w:rsidRPr="00F833B4">
        <w:rPr>
          <w:lang w:val="ru-RU"/>
        </w:rPr>
        <w:t xml:space="preserve"> этой ссылки, поместив ее в верхнюю часть каждой веб-страницы МСЭ.</w:t>
      </w:r>
    </w:p>
    <w:p w14:paraId="4DD57970" w14:textId="0B80AC79" w:rsidR="00F67CBC" w:rsidRPr="00F833B4" w:rsidRDefault="00F67CBC" w:rsidP="00F833B4">
      <w:pPr>
        <w:spacing w:after="120"/>
        <w:rPr>
          <w:lang w:val="ru-RU"/>
        </w:rPr>
      </w:pPr>
      <w:proofErr w:type="gramStart"/>
      <w:r w:rsidRPr="00F833B4">
        <w:rPr>
          <w:lang w:val="ru-RU"/>
        </w:rPr>
        <w:t>160</w:t>
      </w:r>
      <w:r w:rsidRPr="00F833B4">
        <w:rPr>
          <w:lang w:val="ru-RU"/>
        </w:rPr>
        <w:tab/>
        <w:t>Кроме того</w:t>
      </w:r>
      <w:proofErr w:type="gramEnd"/>
      <w:r w:rsidRPr="00F833B4">
        <w:rPr>
          <w:lang w:val="ru-RU"/>
        </w:rPr>
        <w:t xml:space="preserve">, мы обращаем внимание на необходимость обеспечения, при рассмотрении вопроса о создании функции расследования, полной независимости этой функции от любой другой службы в рамках организации и с четким порядком подчиненности. К тому же должна быть предусмотрена и регламентирована возможность обращения в особых случаях к услугам </w:t>
      </w:r>
      <w:r w:rsidRPr="00F833B4">
        <w:rPr>
          <w:color w:val="000000"/>
          <w:lang w:val="ru-RU"/>
        </w:rPr>
        <w:t>внешних специалистов по расследованиям</w:t>
      </w:r>
      <w:r w:rsidRPr="00F833B4">
        <w:rPr>
          <w:lang w:val="ru-RU"/>
        </w:rPr>
        <w:t>.</w:t>
      </w:r>
    </w:p>
    <w:tbl>
      <w:tblPr>
        <w:tblStyle w:val="TableGrid2"/>
        <w:tblW w:w="0" w:type="auto"/>
        <w:tblInd w:w="-5" w:type="dxa"/>
        <w:tblLook w:val="04A0" w:firstRow="1" w:lastRow="0" w:firstColumn="1" w:lastColumn="0" w:noHBand="0" w:noVBand="1"/>
      </w:tblPr>
      <w:tblGrid>
        <w:gridCol w:w="9634"/>
      </w:tblGrid>
      <w:tr w:rsidR="00F67CBC" w:rsidRPr="00FE280E" w14:paraId="768DBA49" w14:textId="77777777" w:rsidTr="006B37CA">
        <w:tc>
          <w:tcPr>
            <w:tcW w:w="9634" w:type="dxa"/>
          </w:tcPr>
          <w:p w14:paraId="11A0A3BE" w14:textId="77777777" w:rsidR="00F67CBC" w:rsidRPr="00F833B4" w:rsidRDefault="00F67CBC" w:rsidP="006B37CA">
            <w:pPr>
              <w:rPr>
                <w:b/>
                <w:bCs/>
                <w:i/>
                <w:iCs/>
                <w:lang w:val="ru-RU"/>
              </w:rPr>
            </w:pPr>
            <w:r w:rsidRPr="00F833B4">
              <w:rPr>
                <w:b/>
                <w:bCs/>
                <w:i/>
                <w:iCs/>
                <w:lang w:val="ru-RU"/>
              </w:rPr>
              <w:t>Рекомендация 7</w:t>
            </w:r>
          </w:p>
          <w:p w14:paraId="5AB672A2" w14:textId="77777777" w:rsidR="00F67CBC" w:rsidRPr="00F833B4" w:rsidRDefault="00F67CBC" w:rsidP="006B37CA">
            <w:pPr>
              <w:spacing w:after="120"/>
              <w:rPr>
                <w:lang w:val="ru-RU"/>
              </w:rPr>
            </w:pPr>
            <w:r w:rsidRPr="00F833B4">
              <w:rPr>
                <w:lang w:val="ru-RU"/>
              </w:rPr>
              <w:t>161</w:t>
            </w:r>
            <w:r w:rsidRPr="00F833B4">
              <w:rPr>
                <w:lang w:val="ru-RU"/>
              </w:rPr>
              <w:tab/>
            </w:r>
            <w:r w:rsidRPr="00F833B4">
              <w:rPr>
                <w:color w:val="000000"/>
                <w:u w:val="single"/>
                <w:lang w:val="ru-RU"/>
              </w:rPr>
              <w:t xml:space="preserve">Мы повторяем нашу рекомендацию </w:t>
            </w:r>
            <w:r w:rsidRPr="00F833B4">
              <w:rPr>
                <w:u w:val="single"/>
                <w:lang w:val="ru-RU"/>
              </w:rPr>
              <w:t>21/2018</w:t>
            </w:r>
            <w:r w:rsidRPr="00F833B4">
              <w:rPr>
                <w:lang w:val="ru-RU"/>
              </w:rPr>
              <w:t xml:space="preserve"> "</w:t>
            </w:r>
            <w:r w:rsidRPr="00F833B4">
              <w:rPr>
                <w:color w:val="000000"/>
                <w:lang w:val="ru-RU"/>
              </w:rPr>
              <w:t>сотруднику по вопросам этики обеспечить надлежащую степень конфиденциальности посредством укрепления защиты личности сотрудника, сообщающего о нарушении</w:t>
            </w:r>
            <w:r w:rsidRPr="00F833B4">
              <w:rPr>
                <w:lang w:val="ru-RU"/>
              </w:rPr>
              <w:t xml:space="preserve">", добавив при этом, что МСЭ следует также </w:t>
            </w:r>
            <w:r w:rsidRPr="00F833B4">
              <w:rPr>
                <w:color w:val="000000"/>
                <w:lang w:val="ru-RU"/>
              </w:rPr>
              <w:t xml:space="preserve">обеспечить гарантию защиты </w:t>
            </w:r>
            <w:r w:rsidRPr="00F833B4">
              <w:rPr>
                <w:lang w:val="ru-RU"/>
              </w:rPr>
              <w:t>в отношении национальных судебных органов.</w:t>
            </w:r>
          </w:p>
          <w:p w14:paraId="24589D0D" w14:textId="626553D4" w:rsidR="00F67CBC" w:rsidRPr="00F833B4" w:rsidRDefault="00F67CBC" w:rsidP="00F833B4">
            <w:pPr>
              <w:spacing w:after="120"/>
              <w:rPr>
                <w:lang w:val="ru-RU"/>
              </w:rPr>
            </w:pPr>
            <w:r w:rsidRPr="00F833B4">
              <w:rPr>
                <w:lang w:val="ru-RU"/>
              </w:rPr>
              <w:t>162</w:t>
            </w:r>
            <w:r w:rsidRPr="00F833B4">
              <w:rPr>
                <w:lang w:val="ru-RU"/>
              </w:rPr>
              <w:tab/>
              <w:t xml:space="preserve">Мы </w:t>
            </w:r>
            <w:r w:rsidRPr="00F833B4">
              <w:rPr>
                <w:u w:val="single"/>
                <w:lang w:val="ru-RU"/>
              </w:rPr>
              <w:t>рекомендуем</w:t>
            </w:r>
            <w:r w:rsidRPr="00F833B4">
              <w:rPr>
                <w:lang w:val="ru-RU"/>
              </w:rPr>
              <w:t xml:space="preserve"> также установить внутренний канал для проведения оперативной и </w:t>
            </w:r>
            <w:r w:rsidRPr="00F833B4">
              <w:rPr>
                <w:color w:val="000000"/>
                <w:lang w:val="ru-RU"/>
              </w:rPr>
              <w:t>конфиденциальной оценки заявлений независимыми специалистами по проведению расследований</w:t>
            </w:r>
            <w:r w:rsidRPr="00F833B4">
              <w:rPr>
                <w:lang w:val="ru-RU"/>
              </w:rPr>
              <w:t xml:space="preserve"> (в дополнение к предварительной оценке </w:t>
            </w:r>
            <w:r w:rsidRPr="00F833B4">
              <w:rPr>
                <w:color w:val="000000"/>
                <w:lang w:val="ru-RU"/>
              </w:rPr>
              <w:t>сотрудником по вопросам этики</w:t>
            </w:r>
            <w:r w:rsidRPr="00F833B4">
              <w:rPr>
                <w:lang w:val="ru-RU"/>
              </w:rPr>
              <w:t xml:space="preserve">). Важно, чтобы в МСЭ функция расследования была поручена специальному подразделению, независимому от любой другой службы в рамках организации и с четким порядком подчиненности. Заявления, которые не могут быть рассмотрены внутри организации, например, ввиду того, что они направлены против высшего руководства или требуют специальных знаний (в области ИТ, экспертно-криминалистических знаний и др.), которыми МСЭ не обладает, должны рассматриваться внешними </w:t>
            </w:r>
            <w:r w:rsidRPr="00F833B4">
              <w:rPr>
                <w:color w:val="000000"/>
                <w:lang w:val="ru-RU"/>
              </w:rPr>
              <w:t>специалистами по проведению расследований</w:t>
            </w:r>
            <w:r w:rsidRPr="00F833B4">
              <w:rPr>
                <w:lang w:val="ru-RU"/>
              </w:rPr>
              <w:t xml:space="preserve"> (например, специалистами УСВН).</w:t>
            </w:r>
          </w:p>
        </w:tc>
      </w:tr>
    </w:tbl>
    <w:p w14:paraId="3630760F"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1497A986" w14:textId="77777777" w:rsidTr="00F833B4">
        <w:trPr>
          <w:cantSplit/>
        </w:trPr>
        <w:tc>
          <w:tcPr>
            <w:tcW w:w="9634" w:type="dxa"/>
          </w:tcPr>
          <w:p w14:paraId="7C2DFAE2" w14:textId="77777777" w:rsidR="00F67CBC" w:rsidRPr="00F833B4" w:rsidRDefault="00F67CBC" w:rsidP="00F833B4">
            <w:pPr>
              <w:rPr>
                <w:b/>
                <w:bCs/>
                <w:i/>
                <w:iCs/>
                <w:u w:val="single"/>
                <w:lang w:val="ru-RU"/>
              </w:rPr>
            </w:pPr>
            <w:r w:rsidRPr="00F833B4">
              <w:rPr>
                <w:b/>
                <w:bCs/>
                <w:i/>
                <w:iCs/>
                <w:u w:val="single"/>
                <w:lang w:val="ru-RU"/>
              </w:rPr>
              <w:t>Комментарии Генерального секретаря</w:t>
            </w:r>
          </w:p>
          <w:p w14:paraId="0AFE9D5A" w14:textId="77777777" w:rsidR="00F67CBC" w:rsidRPr="00F833B4" w:rsidRDefault="00F67CBC" w:rsidP="00F833B4">
            <w:pPr>
              <w:spacing w:after="120"/>
              <w:rPr>
                <w:lang w:val="ru-RU"/>
              </w:rPr>
            </w:pPr>
            <w:r w:rsidRPr="00F833B4">
              <w:rPr>
                <w:lang w:val="ru-RU"/>
              </w:rPr>
              <w:t xml:space="preserve">Новый служебный приказ 20/06, "Политика и защита в отношении уведомлений о случаях неправомерных действий (Информирование о нарушениях)", был обнародован в сентябре 2020 года. В служебном приказе 20/06 содержатся более жесткие </w:t>
            </w:r>
            <w:proofErr w:type="spellStart"/>
            <w:r w:rsidRPr="00F833B4">
              <w:rPr>
                <w:lang w:val="ru-RU"/>
              </w:rPr>
              <w:t>регламентарные</w:t>
            </w:r>
            <w:proofErr w:type="spellEnd"/>
            <w:r w:rsidRPr="00F833B4">
              <w:rPr>
                <w:lang w:val="ru-RU"/>
              </w:rPr>
              <w:t xml:space="preserve"> положения с описанием конфиденциальности, обеспечиваемой сотрудникам, сообщающим о нарушениях, в целях обеспечения им надлежащей степени конфиденциальности, необходимой для усиления защиты личности сотрудника, сообщающего о нарушении, и обеспечения надлежащей степени конфиденциальности на случай возможного поступления запросов со стороны судебных органов.</w:t>
            </w:r>
          </w:p>
          <w:p w14:paraId="64E732E0" w14:textId="77777777" w:rsidR="00F67CBC" w:rsidRPr="00F833B4" w:rsidRDefault="00F67CBC" w:rsidP="00F833B4">
            <w:pPr>
              <w:spacing w:after="120"/>
              <w:rPr>
                <w:lang w:val="ru-RU"/>
              </w:rPr>
            </w:pPr>
            <w:r w:rsidRPr="00F833B4">
              <w:rPr>
                <w:lang w:val="ru-RU"/>
              </w:rPr>
              <w:t>Служебный приказ 19/10, "Руководящие указания МСЭ по проведению расследований" предусматривает в настоящее время возможность передачи материалов расследования внешним следственным органам в случае, если расследование не может быть проведено внутренними силами.</w:t>
            </w:r>
          </w:p>
        </w:tc>
      </w:tr>
    </w:tbl>
    <w:p w14:paraId="194F2D9C"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833B4" w14:paraId="5BC23E99" w14:textId="77777777" w:rsidTr="006B37CA">
        <w:tc>
          <w:tcPr>
            <w:tcW w:w="9634" w:type="dxa"/>
          </w:tcPr>
          <w:p w14:paraId="0D95686E" w14:textId="77777777" w:rsidR="00F67CBC" w:rsidRPr="00F833B4" w:rsidRDefault="00F67CBC" w:rsidP="001114F8">
            <w:pPr>
              <w:keepNext/>
              <w:keepLines/>
              <w:rPr>
                <w:b/>
                <w:bCs/>
                <w:i/>
                <w:iCs/>
                <w:lang w:val="ru-RU"/>
              </w:rPr>
            </w:pPr>
            <w:r w:rsidRPr="00F833B4">
              <w:rPr>
                <w:b/>
                <w:bCs/>
                <w:i/>
                <w:iCs/>
                <w:lang w:val="ru-RU"/>
              </w:rPr>
              <w:t>Предложение 3</w:t>
            </w:r>
          </w:p>
          <w:p w14:paraId="37D404A0" w14:textId="77777777" w:rsidR="00F67CBC" w:rsidRPr="00F833B4" w:rsidRDefault="00F67CBC" w:rsidP="001114F8">
            <w:pPr>
              <w:keepNext/>
              <w:keepLines/>
              <w:spacing w:after="120"/>
              <w:rPr>
                <w:lang w:val="ru-RU"/>
              </w:rPr>
            </w:pPr>
            <w:r w:rsidRPr="00F833B4">
              <w:rPr>
                <w:lang w:val="ru-RU"/>
              </w:rPr>
              <w:t>163</w:t>
            </w:r>
            <w:r w:rsidRPr="00F833B4">
              <w:rPr>
                <w:lang w:val="ru-RU"/>
              </w:rPr>
              <w:tab/>
              <w:t>Признавая, что на веб-сайте МСЭ введена ссылка "</w:t>
            </w:r>
            <w:r w:rsidRPr="00F833B4">
              <w:rPr>
                <w:color w:val="000000"/>
                <w:lang w:val="ru-RU"/>
              </w:rPr>
              <w:t>сообщения о неправомерном поведении"</w:t>
            </w:r>
            <w:r w:rsidRPr="00F833B4">
              <w:rPr>
                <w:lang w:val="ru-RU"/>
              </w:rPr>
              <w:t xml:space="preserve">, </w:t>
            </w:r>
            <w:r w:rsidRPr="00F833B4">
              <w:rPr>
                <w:u w:val="single"/>
                <w:lang w:val="ru-RU"/>
              </w:rPr>
              <w:t>мы предлагаем</w:t>
            </w:r>
            <w:r w:rsidRPr="00F833B4">
              <w:rPr>
                <w:lang w:val="ru-RU"/>
              </w:rPr>
              <w:t xml:space="preserve"> </w:t>
            </w:r>
            <w:r w:rsidRPr="00F833B4">
              <w:rPr>
                <w:color w:val="000000"/>
                <w:lang w:val="ru-RU"/>
              </w:rPr>
              <w:t>повысить ее визуальную доступность</w:t>
            </w:r>
            <w:r w:rsidRPr="00F833B4">
              <w:rPr>
                <w:lang w:val="ru-RU"/>
              </w:rPr>
              <w:t>, например, поместив ее в верхнюю часть каждой веб-страницы.</w:t>
            </w:r>
          </w:p>
        </w:tc>
      </w:tr>
    </w:tbl>
    <w:p w14:paraId="45E85091" w14:textId="77777777" w:rsidR="00F67CBC" w:rsidRPr="00F833B4" w:rsidRDefault="00F67CBC" w:rsidP="00072F51">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1ABC474E" w14:textId="77777777" w:rsidTr="006B37CA">
        <w:trPr>
          <w:cantSplit/>
        </w:trPr>
        <w:tc>
          <w:tcPr>
            <w:tcW w:w="9634" w:type="dxa"/>
          </w:tcPr>
          <w:p w14:paraId="7C67B479" w14:textId="77777777" w:rsidR="00F67CBC" w:rsidRPr="00F833B4" w:rsidRDefault="00F67CBC" w:rsidP="006B37CA">
            <w:pPr>
              <w:rPr>
                <w:b/>
                <w:bCs/>
                <w:i/>
                <w:iCs/>
                <w:u w:val="single"/>
                <w:lang w:val="ru-RU"/>
              </w:rPr>
            </w:pPr>
            <w:r w:rsidRPr="00F833B4">
              <w:rPr>
                <w:b/>
                <w:bCs/>
                <w:i/>
                <w:iCs/>
                <w:u w:val="single"/>
                <w:lang w:val="ru-RU"/>
              </w:rPr>
              <w:lastRenderedPageBreak/>
              <w:t>Комментарии Генерального секретаря</w:t>
            </w:r>
          </w:p>
          <w:p w14:paraId="31837214" w14:textId="77777777" w:rsidR="00F67CBC" w:rsidRPr="00F833B4" w:rsidRDefault="00F67CBC" w:rsidP="00F833B4">
            <w:pPr>
              <w:spacing w:after="120"/>
              <w:rPr>
                <w:lang w:val="ru-RU"/>
              </w:rPr>
            </w:pPr>
            <w:r w:rsidRPr="00F833B4">
              <w:rPr>
                <w:lang w:val="ru-RU"/>
              </w:rPr>
              <w:t xml:space="preserve">МСЭ предложит </w:t>
            </w:r>
            <w:r w:rsidRPr="00F833B4">
              <w:rPr>
                <w:color w:val="000000"/>
                <w:lang w:val="ru-RU"/>
              </w:rPr>
              <w:t>повысить визуальную доступность</w:t>
            </w:r>
            <w:r w:rsidRPr="00F833B4">
              <w:rPr>
                <w:lang w:val="ru-RU"/>
              </w:rPr>
              <w:t xml:space="preserve"> ссылки "</w:t>
            </w:r>
            <w:r w:rsidRPr="00F833B4">
              <w:rPr>
                <w:color w:val="000000"/>
                <w:lang w:val="ru-RU"/>
              </w:rPr>
              <w:t>сообщения о неправомерном поведении"</w:t>
            </w:r>
            <w:r w:rsidRPr="00F833B4">
              <w:rPr>
                <w:lang w:val="ru-RU"/>
              </w:rPr>
              <w:t xml:space="preserve"> в рамках предстоящего изменения дизайна веб-сайта МСЭ. </w:t>
            </w:r>
          </w:p>
        </w:tc>
      </w:tr>
    </w:tbl>
    <w:p w14:paraId="44082D3D" w14:textId="77777777" w:rsidR="00F67CBC" w:rsidRPr="00F833B4" w:rsidRDefault="00F67CBC" w:rsidP="00F833B4">
      <w:pPr>
        <w:pStyle w:val="Heading3"/>
        <w:rPr>
          <w:i/>
          <w:iCs/>
          <w:lang w:val="ru-RU"/>
        </w:rPr>
      </w:pPr>
      <w:bookmarkStart w:id="411" w:name="_Toc54769190"/>
      <w:bookmarkStart w:id="412" w:name="_Toc56180419"/>
      <w:bookmarkStart w:id="413" w:name="_Toc482176263"/>
      <w:bookmarkStart w:id="414" w:name="_Toc482995216"/>
      <w:bookmarkStart w:id="415" w:name="_Toc522633604"/>
      <w:r w:rsidRPr="00F833B4">
        <w:rPr>
          <w:i/>
          <w:color w:val="000000"/>
          <w:lang w:val="ru-RU"/>
        </w:rPr>
        <w:t>Согласуются ли полностью с заявлением об абсолютной нетерпимости к злоупотреблениям меры, принятые в связи с конкретным случаем мошенничества</w:t>
      </w:r>
      <w:r w:rsidRPr="00F833B4">
        <w:rPr>
          <w:i/>
          <w:iCs/>
          <w:lang w:val="ru-RU"/>
        </w:rPr>
        <w:t>?</w:t>
      </w:r>
      <w:bookmarkEnd w:id="411"/>
      <w:bookmarkEnd w:id="412"/>
    </w:p>
    <w:p w14:paraId="08BC55F4" w14:textId="77777777" w:rsidR="00F67CBC" w:rsidRPr="00F833B4" w:rsidRDefault="00F67CBC" w:rsidP="00F833B4">
      <w:pPr>
        <w:rPr>
          <w:lang w:val="ru-RU"/>
        </w:rPr>
      </w:pPr>
      <w:r w:rsidRPr="00F833B4">
        <w:rPr>
          <w:lang w:val="ru-RU"/>
        </w:rPr>
        <w:t>164</w:t>
      </w:r>
      <w:r w:rsidRPr="00F833B4">
        <w:rPr>
          <w:lang w:val="ru-RU"/>
        </w:rPr>
        <w:tab/>
        <w:t xml:space="preserve">Мы имеем в виду реакцию МСЭ на конфиденциальный отчет, выпущенный внешним </w:t>
      </w:r>
      <w:r w:rsidRPr="00F833B4">
        <w:rPr>
          <w:color w:val="000000"/>
          <w:lang w:val="ru-RU"/>
        </w:rPr>
        <w:t>специалистом по проведению расследований</w:t>
      </w:r>
      <w:r w:rsidRPr="00F833B4">
        <w:rPr>
          <w:lang w:val="ru-RU"/>
        </w:rPr>
        <w:t xml:space="preserve"> в начале 2020 года (так называемый "Дополнительный отчет").</w:t>
      </w:r>
    </w:p>
    <w:p w14:paraId="3C3A2E7C" w14:textId="77777777" w:rsidR="00F67CBC" w:rsidRPr="00F833B4" w:rsidRDefault="00F67CBC" w:rsidP="00F833B4">
      <w:pPr>
        <w:rPr>
          <w:lang w:val="ru-RU"/>
        </w:rPr>
      </w:pPr>
      <w:r w:rsidRPr="00F833B4">
        <w:rPr>
          <w:lang w:val="ru-RU"/>
        </w:rPr>
        <w:t>165</w:t>
      </w:r>
      <w:r w:rsidRPr="00F833B4">
        <w:rPr>
          <w:lang w:val="ru-RU"/>
        </w:rPr>
        <w:tab/>
        <w:t xml:space="preserve">В связи со случаем мошенничества, выявленным в </w:t>
      </w:r>
      <w:r w:rsidRPr="00F833B4">
        <w:rPr>
          <w:color w:val="000000"/>
          <w:lang w:val="ru-RU"/>
        </w:rPr>
        <w:t>региональном отделении в Бангкоке</w:t>
      </w:r>
      <w:r w:rsidRPr="00F833B4">
        <w:rPr>
          <w:lang w:val="ru-RU"/>
        </w:rPr>
        <w:t xml:space="preserve">, внешнему </w:t>
      </w:r>
      <w:r w:rsidRPr="00F833B4">
        <w:rPr>
          <w:color w:val="000000"/>
          <w:lang w:val="ru-RU"/>
        </w:rPr>
        <w:t>специалисту по проведению расследований</w:t>
      </w:r>
      <w:r w:rsidRPr="00F833B4">
        <w:rPr>
          <w:lang w:val="ru-RU"/>
        </w:rPr>
        <w:t xml:space="preserve"> было поручено выяснить, имели ли место: </w:t>
      </w:r>
    </w:p>
    <w:p w14:paraId="1F161168" w14:textId="77777777" w:rsidR="00F67CBC" w:rsidRPr="00F833B4" w:rsidRDefault="00F67CBC" w:rsidP="00F833B4">
      <w:pPr>
        <w:pStyle w:val="enumlev1"/>
        <w:rPr>
          <w:lang w:val="ru-RU"/>
        </w:rPr>
      </w:pPr>
      <w:r w:rsidRPr="00F833B4">
        <w:rPr>
          <w:lang w:val="ru-RU"/>
        </w:rPr>
        <w:t>i)</w:t>
      </w:r>
      <w:r w:rsidRPr="00F833B4">
        <w:rPr>
          <w:lang w:val="ru-RU"/>
        </w:rPr>
        <w:tab/>
        <w:t xml:space="preserve">систематические или единичные недоработки; и/или </w:t>
      </w:r>
    </w:p>
    <w:p w14:paraId="2CA68BC3" w14:textId="77777777" w:rsidR="00F67CBC" w:rsidRPr="00F833B4" w:rsidRDefault="00F67CBC" w:rsidP="00F833B4">
      <w:pPr>
        <w:pStyle w:val="enumlev1"/>
        <w:rPr>
          <w:lang w:val="ru-RU"/>
        </w:rPr>
      </w:pPr>
      <w:proofErr w:type="spellStart"/>
      <w:r w:rsidRPr="00F833B4">
        <w:rPr>
          <w:lang w:val="ru-RU"/>
        </w:rPr>
        <w:t>ii</w:t>
      </w:r>
      <w:proofErr w:type="spellEnd"/>
      <w:r w:rsidRPr="00F833B4">
        <w:rPr>
          <w:lang w:val="ru-RU"/>
        </w:rPr>
        <w:t>)</w:t>
      </w:r>
      <w:r w:rsidRPr="00F833B4">
        <w:rPr>
          <w:lang w:val="ru-RU"/>
        </w:rPr>
        <w:tab/>
        <w:t xml:space="preserve">халатное исполнение управленческих обязанностей при осуществлении контроля и надзора. </w:t>
      </w:r>
    </w:p>
    <w:p w14:paraId="0C4C8E89" w14:textId="77777777" w:rsidR="00F67CBC" w:rsidRPr="00F833B4" w:rsidRDefault="00F67CBC" w:rsidP="00F833B4">
      <w:pPr>
        <w:rPr>
          <w:lang w:val="ru-RU"/>
        </w:rPr>
      </w:pPr>
      <w:r w:rsidRPr="00F833B4">
        <w:rPr>
          <w:lang w:val="ru-RU"/>
        </w:rPr>
        <w:t>166</w:t>
      </w:r>
      <w:r w:rsidRPr="00F833B4">
        <w:rPr>
          <w:lang w:val="ru-RU"/>
        </w:rPr>
        <w:tab/>
        <w:t xml:space="preserve">В отчете были выявлены </w:t>
      </w:r>
      <w:r w:rsidRPr="00F833B4">
        <w:rPr>
          <w:color w:val="000000"/>
          <w:lang w:val="ru-RU"/>
        </w:rPr>
        <w:t>единичные и систематические нарушения</w:t>
      </w:r>
      <w:r w:rsidRPr="00F833B4">
        <w:rPr>
          <w:lang w:val="ru-RU"/>
        </w:rPr>
        <w:t xml:space="preserve">, а также упущения и небрежное отношение к </w:t>
      </w:r>
      <w:r w:rsidRPr="00F833B4">
        <w:rPr>
          <w:color w:val="000000"/>
          <w:lang w:val="ru-RU"/>
        </w:rPr>
        <w:t>управленческим обязанностям</w:t>
      </w:r>
      <w:r w:rsidRPr="00F833B4">
        <w:rPr>
          <w:lang w:val="ru-RU"/>
        </w:rPr>
        <w:t>, что привело к созданию условий, позволивших мошеннику реализовывать свою мошенническую схему на протяжении длительного периода времени. И хотя никто их соответствующих лиц не знал об этой мошеннической схеме, это мошенничество, возможно, вскрылось бы ранее, если бы все стороны полностью выполняли свои обязанности.</w:t>
      </w:r>
    </w:p>
    <w:p w14:paraId="7004D750" w14:textId="644DDCDB" w:rsidR="00F67CBC" w:rsidRPr="00F833B4" w:rsidRDefault="00F67CBC" w:rsidP="00F833B4">
      <w:pPr>
        <w:rPr>
          <w:szCs w:val="22"/>
          <w:lang w:val="ru-RU"/>
        </w:rPr>
      </w:pPr>
      <w:r w:rsidRPr="00F833B4">
        <w:rPr>
          <w:lang w:val="ru-RU"/>
        </w:rPr>
        <w:t>167</w:t>
      </w:r>
      <w:r w:rsidRPr="00F833B4">
        <w:rPr>
          <w:lang w:val="ru-RU"/>
        </w:rPr>
        <w:tab/>
        <w:t xml:space="preserve">На конец октября 2020 года МСЭ не было принято никаких мер дисциплинарного характера в отношении соответствующих сотрудников. Между тем, почти все они подали в отставку (причем, одни сделали это до начала "дальнейшего </w:t>
      </w:r>
      <w:r w:rsidRPr="00F833B4">
        <w:rPr>
          <w:szCs w:val="22"/>
          <w:lang w:val="ru-RU"/>
        </w:rPr>
        <w:t>расследования", а другие – после получения его результатов).</w:t>
      </w:r>
    </w:p>
    <w:p w14:paraId="04C50516" w14:textId="77777777" w:rsidR="00F67CBC" w:rsidRPr="00F833B4" w:rsidRDefault="00F67CBC" w:rsidP="00E84783">
      <w:pPr>
        <w:rPr>
          <w:rFonts w:asciiTheme="minorHAnsi" w:hAnsiTheme="minorHAnsi"/>
          <w:szCs w:val="22"/>
          <w:lang w:val="ru-RU"/>
        </w:rPr>
      </w:pPr>
      <w:r w:rsidRPr="00F833B4">
        <w:rPr>
          <w:szCs w:val="22"/>
          <w:lang w:val="ru-RU"/>
        </w:rPr>
        <w:t>168</w:t>
      </w:r>
      <w:r w:rsidRPr="00F833B4">
        <w:rPr>
          <w:szCs w:val="22"/>
          <w:lang w:val="ru-RU"/>
        </w:rPr>
        <w:tab/>
        <w:t xml:space="preserve">Следует напомнить, что в рамках Организации Объединенных Наций разработаны специальные положения, предусматривающие возмещение финансового ущерба, возникшего в результате </w:t>
      </w:r>
      <w:r w:rsidRPr="00E84783">
        <w:rPr>
          <w:lang w:val="ru-RU"/>
        </w:rPr>
        <w:t>серьезного</w:t>
      </w:r>
      <w:r w:rsidRPr="00F833B4">
        <w:rPr>
          <w:szCs w:val="22"/>
          <w:lang w:val="ru-RU"/>
        </w:rPr>
        <w:t xml:space="preserve"> несоблюдения своих обязанностей международными гражданскими служащими в период их нахождения на службе. В этом отношении "Краткое руководство ООН по мерам дисциплинарного характера" ссылается на правило 10.1 Главы X </w:t>
      </w:r>
      <w:r w:rsidRPr="00F833B4">
        <w:rPr>
          <w:bCs/>
          <w:szCs w:val="22"/>
          <w:lang w:val="ru-RU"/>
        </w:rPr>
        <w:t>Положений и правил о персонале Организации Объединенных Наций,</w:t>
      </w:r>
      <w:r w:rsidRPr="00F833B4">
        <w:rPr>
          <w:b/>
          <w:bCs/>
          <w:szCs w:val="22"/>
          <w:lang w:val="ru-RU"/>
        </w:rPr>
        <w:t xml:space="preserve"> </w:t>
      </w:r>
      <w:r w:rsidRPr="00F833B4">
        <w:rPr>
          <w:szCs w:val="22"/>
          <w:lang w:val="ru-RU"/>
        </w:rPr>
        <w:t>которое гласит следующее: "В тех случаях, когда Генеральный секретарь считает, что невыполнение сотрудником его обязанностей или несоблюдение норм поведения, которых должен придерживаться международный гражданский служащий, представляют собой проступок, такому сотруднику может быть предложено возместить Организации Объединенных Наций частично или полностью любой финансовый ущерб, который понесла Организация Объединенных Наций в результате его действий, если такие действия будут сочтены преднамеренными, безрассудными или грубо неосторожными".</w:t>
      </w:r>
    </w:p>
    <w:p w14:paraId="1560DB8F" w14:textId="77777777" w:rsidR="00F67CBC" w:rsidRPr="00F833B4" w:rsidRDefault="00F67CBC" w:rsidP="00F833B4">
      <w:pPr>
        <w:rPr>
          <w:lang w:val="ru-RU"/>
        </w:rPr>
      </w:pPr>
      <w:r w:rsidRPr="00F833B4">
        <w:rPr>
          <w:lang w:val="ru-RU"/>
        </w:rPr>
        <w:t>169</w:t>
      </w:r>
      <w:r w:rsidRPr="00F833B4">
        <w:rPr>
          <w:lang w:val="ru-RU"/>
        </w:rPr>
        <w:tab/>
        <w:t xml:space="preserve">Отсутствие своевременных и эффективных мер реагирования не в полной мере согласуется с </w:t>
      </w:r>
      <w:r w:rsidRPr="00F833B4">
        <w:rPr>
          <w:color w:val="000000"/>
          <w:lang w:val="ru-RU"/>
        </w:rPr>
        <w:t xml:space="preserve">политикой нетерпимости, провозглашенной </w:t>
      </w:r>
      <w:r w:rsidRPr="00F833B4">
        <w:rPr>
          <w:lang w:val="ru-RU"/>
        </w:rPr>
        <w:t xml:space="preserve">в официальных документах, подрывая тем самым доверие к культуре </w:t>
      </w:r>
      <w:r w:rsidRPr="00F833B4">
        <w:rPr>
          <w:color w:val="000000"/>
          <w:lang w:val="ru-RU"/>
        </w:rPr>
        <w:t>открытого выражения мнения, и может разочаровать потенциальных осведомителей</w:t>
      </w:r>
      <w:r w:rsidRPr="00F833B4">
        <w:rPr>
          <w:lang w:val="ru-RU"/>
        </w:rPr>
        <w:t>.</w:t>
      </w:r>
    </w:p>
    <w:p w14:paraId="3FD3CA20" w14:textId="15B5F8FB" w:rsidR="00F67CBC" w:rsidRPr="00F833B4" w:rsidRDefault="00F67CBC" w:rsidP="00F833B4">
      <w:pPr>
        <w:spacing w:after="120"/>
        <w:rPr>
          <w:lang w:val="ru-RU"/>
        </w:rPr>
      </w:pPr>
      <w:r w:rsidRPr="00F833B4">
        <w:rPr>
          <w:lang w:val="ru-RU"/>
        </w:rPr>
        <w:t>170</w:t>
      </w:r>
      <w:r w:rsidRPr="00F833B4">
        <w:rPr>
          <w:lang w:val="ru-RU"/>
        </w:rPr>
        <w:tab/>
        <w:t>Кроме того, ввиду ограниченного характера порученного расследования, в</w:t>
      </w:r>
      <w:r w:rsidR="00E84783">
        <w:rPr>
          <w:lang w:val="ru-RU"/>
        </w:rPr>
        <w:t> </w:t>
      </w:r>
      <w:r w:rsidRPr="00F833B4">
        <w:rPr>
          <w:lang w:val="ru-RU"/>
        </w:rPr>
        <w:t>"Дополнительном отчете" не вскрыты некоторые важные аспекты, в частности: реальная сумма денежных средств, которую мошенник задолжал в связи со своими ненадлежащими действиями, виды деятельности, предпринятой компаниями мошенника в других странах, а также некоторые другие обстоятельства, заслуживающие дополнительного расследования (как отмечалось в нашем с</w:t>
      </w:r>
      <w:r w:rsidRPr="00F833B4">
        <w:rPr>
          <w:color w:val="000000"/>
          <w:lang w:val="ru-RU"/>
        </w:rPr>
        <w:t>пециальном отчете "Рассмотрение случая мошенничества в МСЭ"</w:t>
      </w:r>
      <w:r w:rsidRPr="00F833B4">
        <w:rPr>
          <w:lang w:val="ru-RU"/>
        </w:rPr>
        <w:t xml:space="preserve">). Эти вопросы не ставят под сомнение качество и актуальность этого отчета. </w:t>
      </w:r>
    </w:p>
    <w:tbl>
      <w:tblPr>
        <w:tblStyle w:val="TableGrid2"/>
        <w:tblW w:w="0" w:type="auto"/>
        <w:tblInd w:w="-5" w:type="dxa"/>
        <w:tblLook w:val="04A0" w:firstRow="1" w:lastRow="0" w:firstColumn="1" w:lastColumn="0" w:noHBand="0" w:noVBand="1"/>
      </w:tblPr>
      <w:tblGrid>
        <w:gridCol w:w="9634"/>
      </w:tblGrid>
      <w:tr w:rsidR="00F67CBC" w:rsidRPr="00FE280E" w14:paraId="544647DE" w14:textId="77777777" w:rsidTr="00F833B4">
        <w:tc>
          <w:tcPr>
            <w:tcW w:w="9634" w:type="dxa"/>
          </w:tcPr>
          <w:p w14:paraId="3AFE0AE9" w14:textId="77777777" w:rsidR="00F67CBC" w:rsidRPr="00F833B4" w:rsidRDefault="00F67CBC" w:rsidP="00F833B4">
            <w:pPr>
              <w:rPr>
                <w:b/>
                <w:bCs/>
                <w:i/>
                <w:iCs/>
                <w:lang w:val="ru-RU"/>
              </w:rPr>
            </w:pPr>
            <w:r w:rsidRPr="00F833B4">
              <w:rPr>
                <w:b/>
                <w:bCs/>
                <w:i/>
                <w:iCs/>
                <w:lang w:val="ru-RU"/>
              </w:rPr>
              <w:lastRenderedPageBreak/>
              <w:t>Рекомендация 8</w:t>
            </w:r>
          </w:p>
          <w:p w14:paraId="3EF56BF4" w14:textId="77777777" w:rsidR="00F67CBC" w:rsidRPr="00F833B4" w:rsidRDefault="00F67CBC" w:rsidP="00F833B4">
            <w:pPr>
              <w:spacing w:after="120"/>
              <w:rPr>
                <w:lang w:val="ru-RU"/>
              </w:rPr>
            </w:pPr>
            <w:r w:rsidRPr="00F833B4">
              <w:rPr>
                <w:lang w:val="ru-RU"/>
              </w:rPr>
              <w:t>171</w:t>
            </w:r>
            <w:r w:rsidRPr="00F833B4">
              <w:rPr>
                <w:lang w:val="ru-RU"/>
              </w:rPr>
              <w:tab/>
            </w:r>
            <w:r w:rsidRPr="00F833B4">
              <w:rPr>
                <w:color w:val="000000"/>
                <w:lang w:val="ru-RU"/>
              </w:rPr>
              <w:t xml:space="preserve">Подчеркивая тот факт, что </w:t>
            </w:r>
            <w:r w:rsidRPr="00F833B4">
              <w:rPr>
                <w:lang w:val="ru-RU"/>
              </w:rPr>
              <w:t xml:space="preserve">в "Дополнительном отчете" вновь подтверждаются наши критические замечания, касающиеся систем внутреннего контроля в регионах, </w:t>
            </w:r>
            <w:r w:rsidRPr="00F833B4">
              <w:rPr>
                <w:u w:val="single"/>
                <w:lang w:val="ru-RU"/>
              </w:rPr>
              <w:t>мы рекомендуем</w:t>
            </w:r>
            <w:r w:rsidRPr="00F833B4">
              <w:rPr>
                <w:lang w:val="ru-RU"/>
              </w:rPr>
              <w:t xml:space="preserve"> МСЭ:</w:t>
            </w:r>
          </w:p>
          <w:p w14:paraId="683B4B47" w14:textId="011D7EC4" w:rsidR="00F67CBC" w:rsidRPr="00F833B4" w:rsidRDefault="00F67CBC" w:rsidP="00F833B4">
            <w:pPr>
              <w:pStyle w:val="enumlev1"/>
              <w:rPr>
                <w:lang w:val="ru-RU"/>
              </w:rPr>
            </w:pPr>
            <w:r w:rsidRPr="00F833B4">
              <w:rPr>
                <w:i/>
                <w:iCs/>
                <w:lang w:val="ru-RU"/>
              </w:rPr>
              <w:t>a)</w:t>
            </w:r>
            <w:r w:rsidRPr="00F833B4">
              <w:rPr>
                <w:lang w:val="ru-RU"/>
              </w:rPr>
              <w:tab/>
              <w:t xml:space="preserve">распространить расследование на весь периметр деятельности, предпринятой мошенником, чтобы установить : i) не замешаны ли в этом другие сотрудники или другие лица, не относящиеся к МСЭ; </w:t>
            </w:r>
            <w:proofErr w:type="spellStart"/>
            <w:r w:rsidRPr="00F833B4">
              <w:rPr>
                <w:lang w:val="ru-RU"/>
              </w:rPr>
              <w:t>ii</w:t>
            </w:r>
            <w:proofErr w:type="spellEnd"/>
            <w:r w:rsidRPr="00F833B4">
              <w:rPr>
                <w:lang w:val="ru-RU"/>
              </w:rPr>
              <w:t xml:space="preserve">) точную сумму, подлежащую возврату в результате ненадлежащих действий мошенника (в том числе </w:t>
            </w:r>
            <w:r w:rsidRPr="00F833B4">
              <w:rPr>
                <w:color w:val="000000"/>
                <w:lang w:val="ru-RU"/>
              </w:rPr>
              <w:t xml:space="preserve">запросив сотрудничество </w:t>
            </w:r>
            <w:r w:rsidRPr="00F833B4">
              <w:rPr>
                <w:lang w:val="ru-RU"/>
              </w:rPr>
              <w:t>со стороны национальных следственных органов соответствующих стран);</w:t>
            </w:r>
          </w:p>
          <w:p w14:paraId="45C3C240" w14:textId="77777777" w:rsidR="00F67CBC" w:rsidRPr="00F833B4" w:rsidRDefault="00F67CBC" w:rsidP="00F833B4">
            <w:pPr>
              <w:pStyle w:val="enumlev1"/>
              <w:rPr>
                <w:color w:val="000000"/>
                <w:lang w:val="ru-RU"/>
              </w:rPr>
            </w:pPr>
            <w:r w:rsidRPr="00F833B4">
              <w:rPr>
                <w:i/>
                <w:iCs/>
                <w:lang w:val="ru-RU"/>
              </w:rPr>
              <w:t>b)</w:t>
            </w:r>
            <w:r w:rsidRPr="00F833B4">
              <w:rPr>
                <w:i/>
                <w:iCs/>
                <w:lang w:val="ru-RU"/>
              </w:rPr>
              <w:tab/>
            </w:r>
            <w:r w:rsidRPr="00F833B4">
              <w:rPr>
                <w:lang w:val="ru-RU"/>
              </w:rPr>
              <w:t xml:space="preserve">завершить в срочном порядке проводимые в настоящее время </w:t>
            </w:r>
            <w:r w:rsidRPr="00F833B4">
              <w:rPr>
                <w:color w:val="000000"/>
                <w:lang w:val="ru-RU"/>
              </w:rPr>
              <w:t>дисциплинарные разбирательства, чтобы обеспечить достижение конкретного результата;</w:t>
            </w:r>
          </w:p>
          <w:p w14:paraId="01FFFAD4" w14:textId="77777777" w:rsidR="00F67CBC" w:rsidRPr="00F833B4" w:rsidRDefault="00F67CBC" w:rsidP="00E84783">
            <w:pPr>
              <w:pStyle w:val="enumlev1"/>
              <w:spacing w:after="120"/>
              <w:rPr>
                <w:lang w:val="ru-RU"/>
              </w:rPr>
            </w:pPr>
            <w:r w:rsidRPr="00F833B4">
              <w:rPr>
                <w:i/>
                <w:color w:val="000000"/>
                <w:lang w:val="ru-RU"/>
              </w:rPr>
              <w:t>с)</w:t>
            </w:r>
            <w:r w:rsidRPr="00F833B4">
              <w:rPr>
                <w:i/>
                <w:color w:val="000000"/>
                <w:lang w:val="ru-RU"/>
              </w:rPr>
              <w:tab/>
            </w:r>
            <w:r w:rsidRPr="00F833B4">
              <w:rPr>
                <w:color w:val="000000"/>
                <w:lang w:val="ru-RU"/>
              </w:rPr>
              <w:t xml:space="preserve">подумать о включении в Положения о персонале положения, аналогичного </w:t>
            </w:r>
            <w:r w:rsidRPr="00F833B4">
              <w:rPr>
                <w:color w:val="000000"/>
                <w:szCs w:val="22"/>
                <w:lang w:val="ru-RU"/>
              </w:rPr>
              <w:t xml:space="preserve">"Краткому </w:t>
            </w:r>
            <w:r w:rsidRPr="00F833B4">
              <w:rPr>
                <w:szCs w:val="22"/>
                <w:lang w:val="ru-RU"/>
              </w:rPr>
              <w:t>руководству ООН по</w:t>
            </w:r>
            <w:r w:rsidRPr="00F833B4">
              <w:rPr>
                <w:color w:val="000000"/>
                <w:szCs w:val="22"/>
                <w:lang w:val="ru-RU"/>
              </w:rPr>
              <w:t xml:space="preserve"> мер</w:t>
            </w:r>
            <w:r w:rsidRPr="00F833B4">
              <w:rPr>
                <w:szCs w:val="22"/>
                <w:lang w:val="ru-RU"/>
              </w:rPr>
              <w:t>ам дисциплинарного характера</w:t>
            </w:r>
            <w:r w:rsidRPr="00F833B4">
              <w:rPr>
                <w:color w:val="000000"/>
                <w:szCs w:val="22"/>
                <w:lang w:val="ru-RU"/>
              </w:rPr>
              <w:t xml:space="preserve">", чтобы предусмотреть возмещение </w:t>
            </w:r>
            <w:r w:rsidRPr="00F833B4">
              <w:rPr>
                <w:szCs w:val="22"/>
                <w:lang w:val="ru-RU"/>
              </w:rPr>
              <w:t xml:space="preserve">финансового ущерба теми сотрудниками, ненадлежащие действия которых, как выяснилось, стали причиной возникновения ущерба в контексте </w:t>
            </w:r>
            <w:r w:rsidRPr="00F833B4">
              <w:rPr>
                <w:color w:val="000000"/>
                <w:lang w:val="ru-RU"/>
              </w:rPr>
              <w:t>дисциплинарные разбирательства.</w:t>
            </w:r>
          </w:p>
        </w:tc>
      </w:tr>
    </w:tbl>
    <w:p w14:paraId="273FF9FA" w14:textId="77777777" w:rsidR="00F67CBC" w:rsidRPr="00F833B4" w:rsidRDefault="00F67CBC" w:rsidP="00E84783">
      <w:pPr>
        <w:spacing w:before="0"/>
        <w:rPr>
          <w:lang w:val="ru-RU"/>
        </w:rPr>
      </w:pPr>
    </w:p>
    <w:tbl>
      <w:tblPr>
        <w:tblStyle w:val="TableGrid2"/>
        <w:tblW w:w="0" w:type="auto"/>
        <w:tblInd w:w="-5" w:type="dxa"/>
        <w:tblLook w:val="04A0" w:firstRow="1" w:lastRow="0" w:firstColumn="1" w:lastColumn="0" w:noHBand="0" w:noVBand="1"/>
      </w:tblPr>
      <w:tblGrid>
        <w:gridCol w:w="9634"/>
      </w:tblGrid>
      <w:tr w:rsidR="00F67CBC" w:rsidRPr="00FE280E" w14:paraId="06A3C5F2" w14:textId="77777777" w:rsidTr="00F833B4">
        <w:trPr>
          <w:cantSplit/>
        </w:trPr>
        <w:tc>
          <w:tcPr>
            <w:tcW w:w="9634" w:type="dxa"/>
          </w:tcPr>
          <w:p w14:paraId="5C65ACA2" w14:textId="77777777" w:rsidR="00F67CBC" w:rsidRPr="00F833B4" w:rsidRDefault="00F67CBC" w:rsidP="00F833B4">
            <w:pPr>
              <w:rPr>
                <w:b/>
                <w:bCs/>
                <w:i/>
                <w:iCs/>
                <w:u w:val="single"/>
                <w:lang w:val="ru-RU"/>
              </w:rPr>
            </w:pPr>
            <w:r w:rsidRPr="00F833B4">
              <w:rPr>
                <w:b/>
                <w:bCs/>
                <w:i/>
                <w:iCs/>
                <w:u w:val="single"/>
                <w:lang w:val="ru-RU"/>
              </w:rPr>
              <w:t>Комментарии Генерального секретаря</w:t>
            </w:r>
          </w:p>
          <w:p w14:paraId="439CA143" w14:textId="77777777" w:rsidR="00F67CBC" w:rsidRPr="00F833B4" w:rsidRDefault="00F67CBC" w:rsidP="00F833B4">
            <w:pPr>
              <w:spacing w:after="120"/>
              <w:rPr>
                <w:lang w:val="ru-RU"/>
              </w:rPr>
            </w:pPr>
            <w:r w:rsidRPr="00F833B4">
              <w:rPr>
                <w:bCs/>
                <w:iCs/>
                <w:lang w:val="ru-RU"/>
              </w:rPr>
              <w:t xml:space="preserve">Генеральный секретарь хотел бы довести до сведения </w:t>
            </w:r>
            <w:r w:rsidRPr="00F833B4">
              <w:rPr>
                <w:lang w:val="ru-RU"/>
              </w:rPr>
              <w:t>Внешнего аудитора один конкретный аспект усилий МСЭ, направленных на</w:t>
            </w:r>
            <w:r w:rsidRPr="00F833B4">
              <w:rPr>
                <w:bCs/>
                <w:iCs/>
                <w:lang w:val="ru-RU"/>
              </w:rPr>
              <w:t xml:space="preserve"> привлечение к ответственности лиц, совершивших акты мошенничества (особенно лиц, на которых ложится основная ответственность), о котором </w:t>
            </w:r>
            <w:r w:rsidRPr="00F833B4">
              <w:rPr>
                <w:lang w:val="ru-RU"/>
              </w:rPr>
              <w:t xml:space="preserve">Внешний аудитор, возможно, не знал. В связи с этим сообщаем, что </w:t>
            </w:r>
            <w:r w:rsidRPr="00F833B4">
              <w:rPr>
                <w:bCs/>
                <w:iCs/>
                <w:lang w:val="ru-RU"/>
              </w:rPr>
              <w:t>Генеральный секретарь намерен начинать процессуальные действия в отношении виновного лица и его сообщников до того, как это сделают национальные суды Таиланда.</w:t>
            </w:r>
            <w:r w:rsidRPr="00F833B4">
              <w:rPr>
                <w:lang w:val="ru-RU"/>
              </w:rPr>
              <w:t xml:space="preserve"> С этой целью подразделение МСЭ по правовым вопросам на протяжении вот уже нескольких месяцев находится в контакте национальными органами власти Таиланда и продолжит свои усилия, чтобы попытаться получить от них руководство и помощь. </w:t>
            </w:r>
          </w:p>
          <w:p w14:paraId="6AE35C15" w14:textId="77777777" w:rsidR="00F67CBC" w:rsidRPr="00F833B4" w:rsidRDefault="00F67CBC" w:rsidP="00F833B4">
            <w:pPr>
              <w:spacing w:after="120"/>
              <w:rPr>
                <w:lang w:val="ru-RU"/>
              </w:rPr>
            </w:pPr>
            <w:r w:rsidRPr="00F833B4">
              <w:rPr>
                <w:lang w:val="ru-RU"/>
              </w:rPr>
              <w:t xml:space="preserve">В отношении рекомендации 8 </w:t>
            </w:r>
            <w:r w:rsidRPr="00F833B4">
              <w:rPr>
                <w:bCs/>
                <w:iCs/>
                <w:lang w:val="ru-RU"/>
              </w:rPr>
              <w:t>Генеральный секретарь хотел бы высказать конкретные комментарии:</w:t>
            </w:r>
          </w:p>
          <w:p w14:paraId="2F507C2E" w14:textId="77777777" w:rsidR="00F67CBC" w:rsidRPr="00F833B4" w:rsidRDefault="00F67CBC" w:rsidP="00F833B4">
            <w:pPr>
              <w:spacing w:after="120"/>
              <w:rPr>
                <w:lang w:val="ru-RU"/>
              </w:rPr>
            </w:pPr>
            <w:r w:rsidRPr="00F833B4">
              <w:rPr>
                <w:bCs/>
                <w:iCs/>
                <w:lang w:val="ru-RU"/>
              </w:rPr>
              <w:t>относительно части а) рекомендации: в настоящее время МСЭ не имеет возможности и не компетентен расследовать выявленные важные элементы. Однако, эти элементы могут быть рассмотрены в контексте жалобы в национальных судах Таиланда;</w:t>
            </w:r>
          </w:p>
          <w:p w14:paraId="3DB8AF94" w14:textId="77777777" w:rsidR="00F67CBC" w:rsidRPr="00F833B4" w:rsidRDefault="00F67CBC" w:rsidP="00F833B4">
            <w:pPr>
              <w:spacing w:after="120"/>
              <w:rPr>
                <w:lang w:val="ru-RU"/>
              </w:rPr>
            </w:pPr>
            <w:r w:rsidRPr="00F833B4">
              <w:rPr>
                <w:bCs/>
                <w:iCs/>
                <w:lang w:val="ru-RU"/>
              </w:rPr>
              <w:t xml:space="preserve">относительно части b) рекомендации: ведущееся </w:t>
            </w:r>
            <w:r w:rsidRPr="00F833B4">
              <w:rPr>
                <w:lang w:val="ru-RU"/>
              </w:rPr>
              <w:t>дисциплинарное разбирательство будет завершено в ближайшие несколько недель, чтобы обеспечить</w:t>
            </w:r>
            <w:r w:rsidRPr="00F833B4">
              <w:rPr>
                <w:bCs/>
                <w:iCs/>
                <w:lang w:val="ru-RU"/>
              </w:rPr>
              <w:t xml:space="preserve"> </w:t>
            </w:r>
            <w:r w:rsidRPr="00F833B4">
              <w:rPr>
                <w:lang w:val="ru-RU"/>
              </w:rPr>
              <w:t>достижение конкретного результата;</w:t>
            </w:r>
          </w:p>
          <w:p w14:paraId="71348373" w14:textId="77777777" w:rsidR="00F67CBC" w:rsidRPr="00F833B4" w:rsidRDefault="00F67CBC" w:rsidP="00F833B4">
            <w:pPr>
              <w:spacing w:after="120"/>
              <w:rPr>
                <w:lang w:val="ru-RU"/>
              </w:rPr>
            </w:pPr>
            <w:r w:rsidRPr="00F833B4">
              <w:rPr>
                <w:bCs/>
                <w:iCs/>
                <w:lang w:val="ru-RU"/>
              </w:rPr>
              <w:t>относительно части с) рекомендации: в н</w:t>
            </w:r>
            <w:r w:rsidRPr="00F833B4">
              <w:rPr>
                <w:lang w:val="ru-RU"/>
              </w:rPr>
              <w:t xml:space="preserve">ормативно-правовой базе МСЭ </w:t>
            </w:r>
            <w:r w:rsidRPr="00F833B4">
              <w:rPr>
                <w:bCs/>
                <w:iCs/>
                <w:lang w:val="ru-RU"/>
              </w:rPr>
              <w:t xml:space="preserve">такого положения не существует, и положения ООН, как таковые, не применимы к МСЭ. Генеральный секретарь был бы готов рассмотреть возможность включения такого положения в </w:t>
            </w:r>
            <w:r w:rsidRPr="00F833B4">
              <w:rPr>
                <w:lang w:val="ru-RU"/>
              </w:rPr>
              <w:t>Положения о персонале и Правила о персонале.</w:t>
            </w:r>
          </w:p>
        </w:tc>
      </w:tr>
    </w:tbl>
    <w:p w14:paraId="53ED8F6F" w14:textId="77777777" w:rsidR="00F67CBC" w:rsidRPr="00F833B4" w:rsidRDefault="00F67CBC" w:rsidP="006B37CA">
      <w:pPr>
        <w:pStyle w:val="Heading1"/>
        <w:ind w:left="0" w:firstLine="0"/>
        <w:rPr>
          <w:lang w:val="ru-RU"/>
        </w:rPr>
      </w:pPr>
      <w:bookmarkStart w:id="416" w:name="_Toc56179589"/>
      <w:bookmarkStart w:id="417" w:name="_Toc56180420"/>
      <w:r w:rsidRPr="00F833B4">
        <w:rPr>
          <w:lang w:val="ru-RU"/>
        </w:rPr>
        <w:t>ПОДРАЗДЕЛЕНИЕ ВНУТРЕННЕГО АУДИТА (IAU)</w:t>
      </w:r>
      <w:bookmarkEnd w:id="413"/>
      <w:bookmarkEnd w:id="414"/>
      <w:bookmarkEnd w:id="415"/>
      <w:bookmarkEnd w:id="416"/>
      <w:bookmarkEnd w:id="417"/>
    </w:p>
    <w:p w14:paraId="5BA469D8" w14:textId="77777777" w:rsidR="00F67CBC" w:rsidRPr="00F833B4" w:rsidRDefault="00F67CBC" w:rsidP="006B37CA">
      <w:pPr>
        <w:rPr>
          <w:lang w:val="ru-RU"/>
        </w:rPr>
      </w:pPr>
      <w:r w:rsidRPr="00F833B4">
        <w:rPr>
          <w:lang w:val="ru-RU"/>
        </w:rPr>
        <w:t>172</w:t>
      </w:r>
      <w:r w:rsidRPr="00F833B4">
        <w:rPr>
          <w:lang w:val="ru-RU"/>
        </w:rPr>
        <w:tab/>
        <w:t xml:space="preserve">В этой части нашего отчета в кратком виде рассматриваются отношения между Внешним аудитором и подразделением внутреннего аудита, </w:t>
      </w:r>
      <w:r w:rsidRPr="00F833B4">
        <w:rPr>
          <w:color w:val="000000"/>
          <w:lang w:val="ru-RU"/>
        </w:rPr>
        <w:t>которому поручено оказывать также материально-техническую поддержку деятельности Внешнего аудитора.</w:t>
      </w:r>
    </w:p>
    <w:p w14:paraId="4D7D591C" w14:textId="77777777" w:rsidR="00F67CBC" w:rsidRPr="00F833B4" w:rsidRDefault="00F67CBC" w:rsidP="006B37CA">
      <w:pPr>
        <w:rPr>
          <w:lang w:val="ru-RU"/>
        </w:rPr>
      </w:pPr>
      <w:r w:rsidRPr="00F833B4">
        <w:rPr>
          <w:lang w:val="ru-RU"/>
        </w:rPr>
        <w:lastRenderedPageBreak/>
        <w:t>173</w:t>
      </w:r>
      <w:r w:rsidRPr="00F833B4">
        <w:rPr>
          <w:lang w:val="ru-RU"/>
        </w:rPr>
        <w:tab/>
        <w:t xml:space="preserve">Мы признательны за содействие, оказанное нам </w:t>
      </w:r>
      <w:r w:rsidRPr="00F833B4">
        <w:rPr>
          <w:color w:val="000000"/>
          <w:lang w:val="ru-RU"/>
        </w:rPr>
        <w:t xml:space="preserve">руководителем </w:t>
      </w:r>
      <w:r w:rsidRPr="00F833B4">
        <w:rPr>
          <w:lang w:val="ru-RU"/>
        </w:rPr>
        <w:t>и всеми сотрудниками IAU. В соответствии с общей практикой, IAU предоставляет Внешнему аудитору свои аудиторские отчеты, а также планы проведения аудиторских проверок.</w:t>
      </w:r>
    </w:p>
    <w:p w14:paraId="5CD0789D" w14:textId="77777777" w:rsidR="00F67CBC" w:rsidRPr="00F833B4" w:rsidRDefault="00F67CBC" w:rsidP="006B37CA">
      <w:pPr>
        <w:rPr>
          <w:lang w:val="ru-RU"/>
        </w:rPr>
      </w:pPr>
      <w:r w:rsidRPr="00F833B4">
        <w:rPr>
          <w:lang w:val="ru-RU"/>
        </w:rPr>
        <w:t>174</w:t>
      </w:r>
      <w:r w:rsidRPr="00F833B4">
        <w:rPr>
          <w:lang w:val="ru-RU"/>
        </w:rPr>
        <w:tab/>
        <w:t>В соответствии с требованиями передового опыта мы продолжаем следить за деятельностью подразделения внутреннего аудита.</w:t>
      </w:r>
    </w:p>
    <w:p w14:paraId="44AFF906" w14:textId="77777777" w:rsidR="00F67CBC" w:rsidRPr="00F833B4" w:rsidRDefault="00F67CBC" w:rsidP="006B37CA">
      <w:pPr>
        <w:pStyle w:val="Heading1"/>
        <w:ind w:left="0" w:firstLine="0"/>
        <w:rPr>
          <w:lang w:val="ru-RU"/>
        </w:rPr>
      </w:pPr>
      <w:bookmarkStart w:id="418" w:name="_Toc356330916"/>
      <w:bookmarkStart w:id="419" w:name="_Toc415170524"/>
      <w:bookmarkStart w:id="420" w:name="_Toc415566518"/>
      <w:bookmarkStart w:id="421" w:name="_Toc418501347"/>
      <w:bookmarkStart w:id="422" w:name="_Toc418861208"/>
      <w:bookmarkStart w:id="423" w:name="_Toc452157343"/>
      <w:bookmarkStart w:id="424" w:name="_Toc482995217"/>
      <w:bookmarkStart w:id="425" w:name="_Toc522633605"/>
      <w:bookmarkStart w:id="426" w:name="_Toc56179590"/>
      <w:bookmarkStart w:id="427" w:name="_Toc56180421"/>
      <w:r w:rsidRPr="00F833B4">
        <w:rPr>
          <w:lang w:val="ru-RU"/>
        </w:rPr>
        <w:t>ПОСЛЕДУЮЩИЕ МЕРЫ В СВЯЗИ С ПРЕДЫДУЩИМИ РЕКОМЕНДАЦИЯМИ И ПРЕДЛОЖЕНИЯМИ</w:t>
      </w:r>
      <w:bookmarkEnd w:id="418"/>
      <w:bookmarkEnd w:id="419"/>
      <w:bookmarkEnd w:id="420"/>
      <w:bookmarkEnd w:id="421"/>
      <w:bookmarkEnd w:id="422"/>
      <w:bookmarkEnd w:id="423"/>
      <w:bookmarkEnd w:id="424"/>
      <w:bookmarkEnd w:id="425"/>
      <w:bookmarkEnd w:id="426"/>
      <w:bookmarkEnd w:id="427"/>
    </w:p>
    <w:p w14:paraId="2DF13ACA" w14:textId="77777777" w:rsidR="00F67CBC" w:rsidRPr="00F833B4" w:rsidRDefault="00F67CBC" w:rsidP="006B37CA">
      <w:pPr>
        <w:rPr>
          <w:lang w:val="ru-RU"/>
        </w:rPr>
      </w:pPr>
      <w:r w:rsidRPr="00F833B4">
        <w:rPr>
          <w:lang w:val="ru-RU"/>
        </w:rPr>
        <w:t>175</w:t>
      </w:r>
      <w:r w:rsidRPr="00F833B4">
        <w:rPr>
          <w:lang w:val="ru-RU"/>
        </w:rPr>
        <w:tab/>
        <w:t>В Приложении I представлены все наши предыдущие рекомендации, а также комментарии, полученные от руководства МСЭ к моменту предоставления Отчета. В Приложении II представлены последующие меры, предпринятые в отношении всех наших предложений.</w:t>
      </w:r>
    </w:p>
    <w:p w14:paraId="1A692888" w14:textId="77777777" w:rsidR="00F67CBC" w:rsidRPr="00F833B4" w:rsidRDefault="00F67CBC" w:rsidP="006B37CA">
      <w:pPr>
        <w:rPr>
          <w:lang w:val="ru-RU"/>
        </w:rPr>
      </w:pPr>
      <w:r w:rsidRPr="00F833B4">
        <w:rPr>
          <w:lang w:val="ru-RU"/>
        </w:rPr>
        <w:t>176</w:t>
      </w:r>
      <w:r w:rsidRPr="00F833B4">
        <w:rPr>
          <w:lang w:val="ru-RU"/>
        </w:rPr>
        <w:tab/>
        <w:t>Рекомендации, получившие оценку "Выполнено", не будут включаться повторно в отчет об аудиторской проверке следующего года, если только они не требуют принятия последующих мер на ежегодной основе.</w:t>
      </w:r>
    </w:p>
    <w:p w14:paraId="4F44B861" w14:textId="77777777" w:rsidR="00F67CBC" w:rsidRPr="00F833B4" w:rsidRDefault="00F67CBC">
      <w:pPr>
        <w:tabs>
          <w:tab w:val="clear" w:pos="794"/>
          <w:tab w:val="clear" w:pos="1191"/>
          <w:tab w:val="clear" w:pos="1588"/>
          <w:tab w:val="clear" w:pos="1985"/>
        </w:tabs>
        <w:overflowPunct/>
        <w:autoSpaceDE/>
        <w:autoSpaceDN/>
        <w:adjustRightInd/>
        <w:spacing w:before="0"/>
        <w:textAlignment w:val="auto"/>
        <w:rPr>
          <w:lang w:val="ru-RU"/>
        </w:rPr>
      </w:pPr>
    </w:p>
    <w:p w14:paraId="1A624C50" w14:textId="77777777" w:rsidR="00F67CBC" w:rsidRPr="00F833B4" w:rsidRDefault="00F67CBC">
      <w:pPr>
        <w:tabs>
          <w:tab w:val="clear" w:pos="794"/>
          <w:tab w:val="clear" w:pos="1191"/>
          <w:tab w:val="clear" w:pos="1588"/>
          <w:tab w:val="clear" w:pos="1985"/>
        </w:tabs>
        <w:overflowPunct/>
        <w:autoSpaceDE/>
        <w:autoSpaceDN/>
        <w:adjustRightInd/>
        <w:spacing w:before="0"/>
        <w:textAlignment w:val="auto"/>
        <w:rPr>
          <w:lang w:val="ru-RU"/>
        </w:rPr>
        <w:sectPr w:rsidR="00F67CBC" w:rsidRPr="00F833B4" w:rsidSect="00F833B4">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299"/>
        </w:sectPr>
      </w:pPr>
    </w:p>
    <w:p w14:paraId="7069A7B5" w14:textId="77777777" w:rsidR="00B86204" w:rsidRPr="002F16BB" w:rsidRDefault="00B86204" w:rsidP="00B86204">
      <w:pPr>
        <w:pStyle w:val="AnnexNo"/>
        <w:spacing w:before="360"/>
        <w:rPr>
          <w:lang w:val="ru-RU"/>
        </w:rPr>
      </w:pPr>
      <w:bookmarkStart w:id="428" w:name="_Toc56180422"/>
      <w:r w:rsidRPr="002F16BB">
        <w:rPr>
          <w:lang w:val="ru-RU"/>
        </w:rPr>
        <w:lastRenderedPageBreak/>
        <w:t>ПРИЛОЖЕНИЕ I</w:t>
      </w:r>
      <w:bookmarkEnd w:id="428"/>
    </w:p>
    <w:p w14:paraId="2053CC75" w14:textId="77777777" w:rsidR="00B86204" w:rsidRPr="002F16BB" w:rsidRDefault="00B86204" w:rsidP="00016740">
      <w:pPr>
        <w:pStyle w:val="Annextitle"/>
        <w:rPr>
          <w:lang w:val="ru-RU"/>
        </w:rPr>
      </w:pPr>
      <w:bookmarkStart w:id="429" w:name="_Toc452157345"/>
      <w:bookmarkStart w:id="430" w:name="_Toc482995219"/>
      <w:bookmarkStart w:id="431" w:name="_Toc56180423"/>
      <w:r w:rsidRPr="002F16BB">
        <w:rPr>
          <w:lang w:val="ru-RU"/>
        </w:rPr>
        <w:t>Последующие меры в связи с рекомендациями, представленными в наших предыдущих отчетах</w:t>
      </w:r>
      <w:bookmarkEnd w:id="429"/>
      <w:bookmarkEnd w:id="430"/>
      <w:bookmarkEnd w:id="431"/>
    </w:p>
    <w:tbl>
      <w:tblPr>
        <w:tblW w:w="5004" w:type="pct"/>
        <w:tblLayout w:type="fixed"/>
        <w:tblCellMar>
          <w:left w:w="85" w:type="dxa"/>
          <w:right w:w="85" w:type="dxa"/>
        </w:tblCellMar>
        <w:tblLook w:val="0000" w:firstRow="0" w:lastRow="0" w:firstColumn="0" w:lastColumn="0" w:noHBand="0" w:noVBand="0"/>
      </w:tblPr>
      <w:tblGrid>
        <w:gridCol w:w="949"/>
        <w:gridCol w:w="3405"/>
        <w:gridCol w:w="3813"/>
        <w:gridCol w:w="3816"/>
        <w:gridCol w:w="2016"/>
      </w:tblGrid>
      <w:tr w:rsidR="00B86204" w:rsidRPr="00FE280E" w14:paraId="7C37302A" w14:textId="77777777" w:rsidTr="00016740">
        <w:trPr>
          <w:tblHeader/>
        </w:trPr>
        <w:tc>
          <w:tcPr>
            <w:tcW w:w="339" w:type="pct"/>
            <w:tcBorders>
              <w:top w:val="single" w:sz="4" w:space="0" w:color="auto"/>
              <w:left w:val="single" w:sz="4" w:space="0" w:color="auto"/>
              <w:bottom w:val="single" w:sz="4" w:space="0" w:color="auto"/>
              <w:right w:val="single" w:sz="4" w:space="0" w:color="auto"/>
            </w:tcBorders>
            <w:vAlign w:val="center"/>
          </w:tcPr>
          <w:p w14:paraId="49D7682A" w14:textId="77777777" w:rsidR="00B86204" w:rsidRPr="002F16BB" w:rsidRDefault="00B86204" w:rsidP="00016740">
            <w:pPr>
              <w:pStyle w:val="Tablehead"/>
              <w:keepLines/>
              <w:spacing w:before="20" w:after="20"/>
              <w:ind w:left="-57" w:right="-57"/>
              <w:rPr>
                <w:sz w:val="18"/>
                <w:szCs w:val="18"/>
                <w:lang w:val="ru-RU" w:eastAsia="it-IT"/>
              </w:rPr>
            </w:pPr>
            <w:r w:rsidRPr="002F16BB">
              <w:rPr>
                <w:sz w:val="18"/>
                <w:szCs w:val="18"/>
                <w:lang w:val="ru-RU" w:eastAsia="it-IT"/>
              </w:rPr>
              <w:t>№</w:t>
            </w:r>
          </w:p>
        </w:tc>
        <w:tc>
          <w:tcPr>
            <w:tcW w:w="1216" w:type="pct"/>
            <w:tcBorders>
              <w:top w:val="single" w:sz="4" w:space="0" w:color="auto"/>
              <w:left w:val="single" w:sz="4" w:space="0" w:color="auto"/>
              <w:bottom w:val="single" w:sz="4" w:space="0" w:color="auto"/>
              <w:right w:val="single" w:sz="4" w:space="0" w:color="auto"/>
            </w:tcBorders>
            <w:vAlign w:val="center"/>
          </w:tcPr>
          <w:p w14:paraId="67C3EDEB"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Рекомендация, представленная Государственной счетной палатой Италии</w:t>
            </w:r>
          </w:p>
        </w:tc>
        <w:tc>
          <w:tcPr>
            <w:tcW w:w="1362" w:type="pct"/>
            <w:tcBorders>
              <w:top w:val="single" w:sz="4" w:space="0" w:color="auto"/>
              <w:left w:val="single" w:sz="4" w:space="0" w:color="auto"/>
              <w:bottom w:val="single" w:sz="4" w:space="0" w:color="auto"/>
              <w:right w:val="single" w:sz="4" w:space="0" w:color="auto"/>
            </w:tcBorders>
            <w:vAlign w:val="center"/>
          </w:tcPr>
          <w:p w14:paraId="628B4854"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 xml:space="preserve">Комментарии, полученные от Генерального секретаря, на дату опубликования </w:t>
            </w:r>
            <w:r>
              <w:rPr>
                <w:sz w:val="18"/>
                <w:szCs w:val="18"/>
                <w:lang w:val="ru-RU"/>
              </w:rPr>
              <w:br/>
            </w:r>
            <w:r w:rsidRPr="002F16BB">
              <w:rPr>
                <w:sz w:val="18"/>
                <w:szCs w:val="18"/>
                <w:lang w:val="ru-RU"/>
              </w:rPr>
              <w:t>аудиторского отчета</w:t>
            </w:r>
          </w:p>
        </w:tc>
        <w:tc>
          <w:tcPr>
            <w:tcW w:w="1363" w:type="pct"/>
            <w:tcBorders>
              <w:top w:val="single" w:sz="4" w:space="0" w:color="auto"/>
              <w:left w:val="single" w:sz="4" w:space="0" w:color="auto"/>
              <w:bottom w:val="single" w:sz="4" w:space="0" w:color="auto"/>
              <w:right w:val="single" w:sz="4" w:space="0" w:color="auto"/>
            </w:tcBorders>
            <w:vAlign w:val="center"/>
          </w:tcPr>
          <w:p w14:paraId="1462B74E"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Статус выполнения по сообщению руководства МСЭ</w:t>
            </w:r>
          </w:p>
        </w:tc>
        <w:tc>
          <w:tcPr>
            <w:tcW w:w="720" w:type="pct"/>
            <w:tcBorders>
              <w:top w:val="single" w:sz="4" w:space="0" w:color="auto"/>
              <w:left w:val="single" w:sz="4" w:space="0" w:color="auto"/>
              <w:bottom w:val="single" w:sz="4" w:space="0" w:color="auto"/>
              <w:right w:val="single" w:sz="4" w:space="0" w:color="auto"/>
            </w:tcBorders>
            <w:vAlign w:val="center"/>
          </w:tcPr>
          <w:p w14:paraId="2A1ED752"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Статус, по оценке Государственной счетной палаты Италии</w:t>
            </w:r>
          </w:p>
        </w:tc>
      </w:tr>
      <w:tr w:rsidR="00B86204" w:rsidRPr="002F16BB" w14:paraId="62AE1DC6" w14:textId="77777777" w:rsidTr="00016740">
        <w:tc>
          <w:tcPr>
            <w:tcW w:w="339" w:type="pct"/>
            <w:tcBorders>
              <w:top w:val="single" w:sz="4" w:space="0" w:color="auto"/>
              <w:left w:val="single" w:sz="4" w:space="0" w:color="auto"/>
              <w:bottom w:val="single" w:sz="4" w:space="0" w:color="auto"/>
              <w:right w:val="single" w:sz="4" w:space="0" w:color="auto"/>
            </w:tcBorders>
          </w:tcPr>
          <w:p w14:paraId="6C3FB11E"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1/2018</w:t>
            </w:r>
          </w:p>
        </w:tc>
        <w:tc>
          <w:tcPr>
            <w:tcW w:w="1216" w:type="pct"/>
            <w:tcBorders>
              <w:top w:val="single" w:sz="4" w:space="0" w:color="auto"/>
              <w:left w:val="single" w:sz="4" w:space="0" w:color="auto"/>
              <w:bottom w:val="single" w:sz="4" w:space="0" w:color="auto"/>
              <w:right w:val="single" w:sz="4" w:space="0" w:color="auto"/>
            </w:tcBorders>
          </w:tcPr>
          <w:p w14:paraId="627AC176" w14:textId="77777777" w:rsidR="00B86204" w:rsidRPr="002F16BB" w:rsidRDefault="00B86204" w:rsidP="00016740">
            <w:pPr>
              <w:pStyle w:val="Tabletext"/>
              <w:spacing w:before="20" w:after="20"/>
              <w:rPr>
                <w:sz w:val="18"/>
                <w:szCs w:val="18"/>
                <w:lang w:val="ru-RU"/>
              </w:rPr>
            </w:pPr>
            <w:r w:rsidRPr="002F16BB">
              <w:rPr>
                <w:sz w:val="18"/>
                <w:szCs w:val="18"/>
                <w:lang w:val="ru-RU"/>
              </w:rPr>
              <w:t>Мы повторяем нашу рекомендацию 1/2012, и вследствие этого мы рекомендуем требовать для работы с банковскими счетами, в качестве общего правила, по крайней мере двойную подпись, и в любом случае принять меры к обеспечению соблюдения условий совместной подписи и индивидуальной подписи в случае операций с суммами, превышающими 5000 долл. США.</w:t>
            </w:r>
          </w:p>
        </w:tc>
        <w:tc>
          <w:tcPr>
            <w:tcW w:w="1362" w:type="pct"/>
            <w:tcBorders>
              <w:top w:val="single" w:sz="4" w:space="0" w:color="auto"/>
              <w:left w:val="single" w:sz="4" w:space="0" w:color="auto"/>
              <w:bottom w:val="single" w:sz="4" w:space="0" w:color="auto"/>
              <w:right w:val="single" w:sz="4" w:space="0" w:color="auto"/>
            </w:tcBorders>
          </w:tcPr>
          <w:p w14:paraId="1A5CA58F" w14:textId="77777777" w:rsidR="00B86204" w:rsidRPr="002F16BB" w:rsidRDefault="00B86204" w:rsidP="00016740">
            <w:pPr>
              <w:pStyle w:val="Tabletext"/>
              <w:spacing w:before="20" w:after="20"/>
              <w:rPr>
                <w:sz w:val="18"/>
                <w:szCs w:val="18"/>
                <w:lang w:val="ru-RU"/>
              </w:rPr>
            </w:pPr>
            <w:r w:rsidRPr="002F16BB">
              <w:rPr>
                <w:sz w:val="18"/>
                <w:szCs w:val="18"/>
                <w:lang w:val="ru-RU"/>
              </w:rPr>
              <w:t>Мы принимаем к сведению настоящую рекомендацию. Двойная подпись уже существует во всех банках, и все перемещения персонала также отражаются. Мы проведем проверку по всем нашим банкам, с тем чтобы удостовериться, что наши распоряжения надлежащим образом зарегистрированы.</w:t>
            </w:r>
          </w:p>
        </w:tc>
        <w:tc>
          <w:tcPr>
            <w:tcW w:w="1363" w:type="pct"/>
            <w:tcBorders>
              <w:top w:val="single" w:sz="4" w:space="0" w:color="auto"/>
              <w:left w:val="single" w:sz="4" w:space="0" w:color="auto"/>
              <w:bottom w:val="single" w:sz="4" w:space="0" w:color="auto"/>
              <w:right w:val="single" w:sz="4" w:space="0" w:color="auto"/>
            </w:tcBorders>
          </w:tcPr>
          <w:p w14:paraId="6F4822AF" w14:textId="37262A47" w:rsidR="00B86204" w:rsidRPr="002F16BB" w:rsidRDefault="00B86204" w:rsidP="00016740">
            <w:pPr>
              <w:pStyle w:val="Tabletext"/>
              <w:spacing w:before="20" w:after="20"/>
              <w:rPr>
                <w:sz w:val="18"/>
                <w:szCs w:val="18"/>
                <w:lang w:val="ru-RU"/>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Pr>
                <w:b/>
                <w:bCs/>
                <w:sz w:val="18"/>
                <w:szCs w:val="18"/>
              </w:rPr>
              <w:t> </w:t>
            </w:r>
            <w:r w:rsidRPr="002F16BB">
              <w:rPr>
                <w:b/>
                <w:bCs/>
                <w:sz w:val="18"/>
                <w:szCs w:val="18"/>
                <w:lang w:val="ru-RU"/>
              </w:rPr>
              <w:t>г</w:t>
            </w:r>
            <w:r w:rsidRPr="002F16BB">
              <w:rPr>
                <w:sz w:val="18"/>
                <w:szCs w:val="18"/>
                <w:lang w:val="ru-RU"/>
              </w:rPr>
              <w:t>.:</w:t>
            </w:r>
          </w:p>
          <w:p w14:paraId="3D677535" w14:textId="77777777" w:rsidR="00B86204" w:rsidRPr="002F16BB" w:rsidRDefault="00B86204" w:rsidP="00016740">
            <w:pPr>
              <w:pStyle w:val="Tabletext"/>
              <w:spacing w:before="20" w:after="20"/>
              <w:rPr>
                <w:sz w:val="18"/>
                <w:szCs w:val="18"/>
                <w:lang w:val="ru-RU"/>
              </w:rPr>
            </w:pPr>
            <w:r w:rsidRPr="002F16BB">
              <w:rPr>
                <w:sz w:val="18"/>
                <w:szCs w:val="18"/>
                <w:lang w:val="ru-RU"/>
              </w:rPr>
              <w:t xml:space="preserve">Мы полностью осуществили проверку всех </w:t>
            </w:r>
            <w:r w:rsidRPr="002F16BB">
              <w:rPr>
                <w:color w:val="000000"/>
                <w:sz w:val="18"/>
                <w:szCs w:val="18"/>
                <w:lang w:val="ru-RU"/>
              </w:rPr>
              <w:t>уполномоченных лиц с правом подписи для обеспечения надлежащего выполнения наших распоряжений</w:t>
            </w:r>
            <w:r w:rsidRPr="002F16BB">
              <w:rPr>
                <w:sz w:val="18"/>
                <w:szCs w:val="18"/>
                <w:lang w:val="ru-RU"/>
              </w:rPr>
              <w:t>.</w:t>
            </w:r>
          </w:p>
          <w:p w14:paraId="45083FCE" w14:textId="77777777" w:rsidR="00B86204" w:rsidRPr="002F16BB" w:rsidRDefault="00B86204" w:rsidP="00016740">
            <w:pPr>
              <w:pStyle w:val="Tabletext"/>
              <w:spacing w:before="20" w:after="20"/>
              <w:rPr>
                <w:sz w:val="18"/>
                <w:szCs w:val="18"/>
                <w:lang w:val="ru-RU"/>
              </w:rPr>
            </w:pPr>
            <w:r w:rsidRPr="002F16BB">
              <w:rPr>
                <w:sz w:val="18"/>
                <w:szCs w:val="18"/>
                <w:lang w:val="ru-RU"/>
              </w:rPr>
              <w:t>Мы примем последующие меры по этому досье в начале 2020 года, анализируя подтверждения от банков на 31 декабря 2019 года.</w:t>
            </w:r>
          </w:p>
          <w:p w14:paraId="68849B99" w14:textId="77777777" w:rsidR="00B86204" w:rsidRPr="002F16BB" w:rsidRDefault="00B86204" w:rsidP="00016740">
            <w:pPr>
              <w:pStyle w:val="Tabletext"/>
              <w:spacing w:before="20" w:after="20"/>
              <w:rPr>
                <w:sz w:val="18"/>
                <w:szCs w:val="18"/>
                <w:lang w:val="ru-RU"/>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 xml:space="preserve">: </w:t>
            </w:r>
          </w:p>
          <w:p w14:paraId="42522DA6" w14:textId="77777777" w:rsidR="00B86204" w:rsidRPr="002F16BB" w:rsidRDefault="00B86204" w:rsidP="00016740">
            <w:pPr>
              <w:pStyle w:val="Tabletext"/>
              <w:spacing w:before="20" w:after="20"/>
              <w:rPr>
                <w:sz w:val="18"/>
                <w:szCs w:val="18"/>
                <w:lang w:val="ru-RU"/>
              </w:rPr>
            </w:pPr>
            <w:r w:rsidRPr="002F16BB">
              <w:rPr>
                <w:sz w:val="18"/>
                <w:szCs w:val="18"/>
                <w:lang w:val="ru-RU"/>
              </w:rPr>
              <w:t>Некоторые банки еще не зарегистрировали наших распоряжений, поэтому мы регулярно принимаем последующие меры по данному вопросу.</w:t>
            </w:r>
          </w:p>
        </w:tc>
        <w:tc>
          <w:tcPr>
            <w:tcW w:w="720" w:type="pct"/>
            <w:tcBorders>
              <w:top w:val="single" w:sz="4" w:space="0" w:color="auto"/>
              <w:left w:val="single" w:sz="4" w:space="0" w:color="auto"/>
              <w:bottom w:val="single" w:sz="4" w:space="0" w:color="auto"/>
              <w:right w:val="single" w:sz="4" w:space="0" w:color="auto"/>
            </w:tcBorders>
          </w:tcPr>
          <w:p w14:paraId="65AE16D0" w14:textId="77777777" w:rsidR="00B86204" w:rsidRPr="002F16BB" w:rsidRDefault="00B86204" w:rsidP="00016740">
            <w:pPr>
              <w:pStyle w:val="Tabletext"/>
              <w:spacing w:before="20" w:after="20"/>
              <w:rPr>
                <w:sz w:val="18"/>
                <w:szCs w:val="18"/>
                <w:lang w:val="ru-RU"/>
              </w:rPr>
            </w:pPr>
            <w:r w:rsidRPr="002F16BB">
              <w:rPr>
                <w:sz w:val="18"/>
                <w:szCs w:val="18"/>
                <w:lang w:val="ru-RU"/>
              </w:rPr>
              <w:t>В процессе выполнения.</w:t>
            </w:r>
          </w:p>
        </w:tc>
      </w:tr>
      <w:tr w:rsidR="00B86204" w:rsidRPr="002F16BB" w14:paraId="0FFFD766" w14:textId="77777777" w:rsidTr="00016740">
        <w:tc>
          <w:tcPr>
            <w:tcW w:w="339" w:type="pct"/>
            <w:tcBorders>
              <w:top w:val="single" w:sz="4" w:space="0" w:color="auto"/>
              <w:left w:val="single" w:sz="4" w:space="0" w:color="auto"/>
              <w:bottom w:val="single" w:sz="4" w:space="0" w:color="auto"/>
              <w:right w:val="single" w:sz="4" w:space="0" w:color="auto"/>
            </w:tcBorders>
          </w:tcPr>
          <w:p w14:paraId="4CB92A91"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2/2018</w:t>
            </w:r>
          </w:p>
        </w:tc>
        <w:tc>
          <w:tcPr>
            <w:tcW w:w="1216" w:type="pct"/>
            <w:tcBorders>
              <w:top w:val="single" w:sz="4" w:space="0" w:color="auto"/>
              <w:left w:val="single" w:sz="4" w:space="0" w:color="auto"/>
              <w:bottom w:val="single" w:sz="4" w:space="0" w:color="auto"/>
              <w:right w:val="single" w:sz="4" w:space="0" w:color="auto"/>
            </w:tcBorders>
          </w:tcPr>
          <w:p w14:paraId="76A2DD41" w14:textId="0B2F027D" w:rsidR="00B86204" w:rsidRPr="002F16BB" w:rsidRDefault="00B86204" w:rsidP="00016740">
            <w:pPr>
              <w:pStyle w:val="Tabletext"/>
              <w:spacing w:before="20" w:after="20"/>
              <w:rPr>
                <w:sz w:val="18"/>
                <w:szCs w:val="18"/>
                <w:lang w:val="ru-RU"/>
              </w:rPr>
            </w:pPr>
            <w:r w:rsidRPr="002F16BB">
              <w:rPr>
                <w:sz w:val="18"/>
                <w:szCs w:val="18"/>
                <w:lang w:val="ru-RU"/>
              </w:rPr>
              <w:t>С учетом указаний, содержащихся в стандарте IPSAS 39, мы рекомендуем руководству, даже в случае решения принять ставку дисконтирования, полученную на основе 30-летней кривой доходности высококачественных корпоративных облигаций в швейцарских франках, начиная с 2019</w:t>
            </w:r>
            <w:r>
              <w:rPr>
                <w:sz w:val="18"/>
                <w:szCs w:val="18"/>
              </w:rPr>
              <w:t> </w:t>
            </w:r>
            <w:r w:rsidRPr="002F16BB">
              <w:rPr>
                <w:sz w:val="18"/>
                <w:szCs w:val="18"/>
                <w:lang w:val="ru-RU"/>
              </w:rPr>
              <w:t xml:space="preserve">года раскрывать также − в примечаниях к отчету о финансовой деятельности − сумму актуарных обязательств по линии АСХИ, рассчитанную с использованием ставки дисконтирования, соответствующей доходности долгосрочных </w:t>
            </w:r>
            <w:r w:rsidRPr="002F16BB">
              <w:rPr>
                <w:sz w:val="18"/>
                <w:szCs w:val="18"/>
                <w:lang w:val="ru-RU"/>
              </w:rPr>
              <w:lastRenderedPageBreak/>
              <w:t>государственных облигаций в швейцарских франках.</w:t>
            </w:r>
          </w:p>
        </w:tc>
        <w:tc>
          <w:tcPr>
            <w:tcW w:w="1362" w:type="pct"/>
            <w:tcBorders>
              <w:top w:val="single" w:sz="4" w:space="0" w:color="auto"/>
              <w:left w:val="single" w:sz="4" w:space="0" w:color="auto"/>
              <w:bottom w:val="single" w:sz="4" w:space="0" w:color="auto"/>
              <w:right w:val="single" w:sz="4" w:space="0" w:color="auto"/>
            </w:tcBorders>
          </w:tcPr>
          <w:p w14:paraId="610F0BFC" w14:textId="77777777" w:rsidR="00B86204" w:rsidRPr="002F16BB" w:rsidRDefault="00B86204" w:rsidP="00016740">
            <w:pPr>
              <w:pStyle w:val="Tabletext"/>
              <w:spacing w:before="20" w:after="20"/>
              <w:rPr>
                <w:sz w:val="18"/>
                <w:szCs w:val="18"/>
                <w:lang w:val="ru-RU"/>
              </w:rPr>
            </w:pPr>
            <w:r w:rsidRPr="002F16BB">
              <w:rPr>
                <w:sz w:val="18"/>
                <w:szCs w:val="18"/>
                <w:lang w:val="ru-RU"/>
              </w:rPr>
              <w:lastRenderedPageBreak/>
              <w:t>Мы принимаем к сведению данную рекомендацию. Мы закажем нашему актуарию проведение анализа чувствительности за 2019 год. Сумма обязательств, рассчитанная с использованием ставки дисконтирования на основании долгосрочных государственных облигаций в швейцарских франках, будет раскрыта в примечаниях к Отчету о финансовой деятельности за 2019 год.</w:t>
            </w:r>
          </w:p>
        </w:tc>
        <w:tc>
          <w:tcPr>
            <w:tcW w:w="1363" w:type="pct"/>
            <w:tcBorders>
              <w:top w:val="single" w:sz="4" w:space="0" w:color="auto"/>
              <w:left w:val="single" w:sz="4" w:space="0" w:color="auto"/>
              <w:bottom w:val="single" w:sz="4" w:space="0" w:color="auto"/>
              <w:right w:val="single" w:sz="4" w:space="0" w:color="auto"/>
            </w:tcBorders>
          </w:tcPr>
          <w:p w14:paraId="194BA8AD" w14:textId="3FB015F6" w:rsidR="00B86204" w:rsidRPr="002F16BB" w:rsidRDefault="00B86204" w:rsidP="00016740">
            <w:pPr>
              <w:pStyle w:val="Tabletext"/>
              <w:spacing w:before="20" w:after="20"/>
              <w:rPr>
                <w:sz w:val="18"/>
                <w:szCs w:val="18"/>
                <w:lang w:val="ru-RU"/>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0692BE6E" w14:textId="77777777" w:rsidR="00B86204" w:rsidRPr="002F16BB" w:rsidRDefault="00B86204" w:rsidP="00016740">
            <w:pPr>
              <w:pStyle w:val="Tabletext"/>
              <w:spacing w:before="20" w:after="20"/>
              <w:rPr>
                <w:sz w:val="18"/>
                <w:szCs w:val="18"/>
                <w:lang w:val="ru-RU"/>
              </w:rPr>
            </w:pPr>
            <w:r w:rsidRPr="002F16BB">
              <w:rPr>
                <w:sz w:val="18"/>
                <w:szCs w:val="18"/>
                <w:lang w:val="ru-RU"/>
              </w:rPr>
              <w:t>Мы встретились с нашими актуариями и предложили им провести оценку за 2019 год на основании двух ставок дисконтирования, как это рекомендуется.</w:t>
            </w:r>
          </w:p>
          <w:p w14:paraId="46A043AC" w14:textId="77777777" w:rsidR="00B86204" w:rsidRPr="002F16BB" w:rsidRDefault="00B86204" w:rsidP="00016740">
            <w:pPr>
              <w:pStyle w:val="Tabletext"/>
              <w:spacing w:before="20" w:after="20"/>
              <w:rPr>
                <w:sz w:val="18"/>
                <w:szCs w:val="18"/>
                <w:lang w:val="ru-RU"/>
              </w:rPr>
            </w:pPr>
            <w:r w:rsidRPr="002F16BB">
              <w:rPr>
                <w:sz w:val="18"/>
                <w:szCs w:val="18"/>
                <w:lang w:val="ru-RU"/>
              </w:rPr>
              <w:t>Отчет за 2019 год будет доступен в феврале, а результат будет отражен в отчете о финансовой деятельности.</w:t>
            </w:r>
          </w:p>
          <w:p w14:paraId="0D5102CA" w14:textId="77777777" w:rsidR="00B86204" w:rsidRPr="002F16BB" w:rsidRDefault="00B86204" w:rsidP="00016740">
            <w:pPr>
              <w:pStyle w:val="Tabletext"/>
              <w:spacing w:before="20" w:after="20"/>
              <w:rPr>
                <w:sz w:val="18"/>
                <w:szCs w:val="18"/>
                <w:lang w:val="ru-RU"/>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77E4C909" w14:textId="77777777" w:rsidR="00B86204" w:rsidRPr="002F16BB" w:rsidRDefault="00B86204" w:rsidP="00016740">
            <w:pPr>
              <w:pStyle w:val="Tabletext"/>
              <w:spacing w:before="20" w:after="20"/>
              <w:rPr>
                <w:sz w:val="18"/>
                <w:szCs w:val="18"/>
                <w:lang w:val="ru-RU"/>
              </w:rPr>
            </w:pPr>
            <w:r w:rsidRPr="002F16BB">
              <w:rPr>
                <w:sz w:val="18"/>
                <w:szCs w:val="18"/>
                <w:lang w:val="ru-RU"/>
              </w:rPr>
              <w:t>Анализ чувствительности был проведен и отражен в отчете о финансовой деятельности за 2019 год</w:t>
            </w:r>
            <w:r>
              <w:rPr>
                <w:sz w:val="18"/>
                <w:szCs w:val="18"/>
                <w:lang w:val="ru-RU"/>
              </w:rPr>
              <w:t>.</w:t>
            </w:r>
          </w:p>
        </w:tc>
        <w:tc>
          <w:tcPr>
            <w:tcW w:w="720" w:type="pct"/>
            <w:tcBorders>
              <w:top w:val="single" w:sz="4" w:space="0" w:color="auto"/>
              <w:left w:val="single" w:sz="4" w:space="0" w:color="auto"/>
              <w:bottom w:val="single" w:sz="4" w:space="0" w:color="auto"/>
              <w:right w:val="single" w:sz="4" w:space="0" w:color="auto"/>
            </w:tcBorders>
          </w:tcPr>
          <w:p w14:paraId="1F014D51" w14:textId="77777777" w:rsidR="00B86204" w:rsidRPr="002F16BB" w:rsidRDefault="00B86204" w:rsidP="00016740">
            <w:pPr>
              <w:pStyle w:val="Tabletext"/>
              <w:spacing w:before="20" w:after="20"/>
              <w:rPr>
                <w:sz w:val="18"/>
                <w:szCs w:val="18"/>
                <w:lang w:val="ru-RU"/>
              </w:rPr>
            </w:pPr>
            <w:r w:rsidRPr="002F16BB">
              <w:rPr>
                <w:sz w:val="18"/>
                <w:szCs w:val="18"/>
                <w:lang w:val="ru-RU" w:eastAsia="it-IT"/>
              </w:rPr>
              <w:t>Выполнено.</w:t>
            </w:r>
          </w:p>
        </w:tc>
      </w:tr>
      <w:tr w:rsidR="00B86204" w:rsidRPr="002F16BB" w14:paraId="3521B761" w14:textId="77777777" w:rsidTr="00016740">
        <w:tc>
          <w:tcPr>
            <w:tcW w:w="339" w:type="pct"/>
            <w:tcBorders>
              <w:top w:val="single" w:sz="4" w:space="0" w:color="auto"/>
              <w:left w:val="single" w:sz="4" w:space="0" w:color="auto"/>
              <w:bottom w:val="single" w:sz="4" w:space="0" w:color="auto"/>
              <w:right w:val="single" w:sz="4" w:space="0" w:color="auto"/>
            </w:tcBorders>
          </w:tcPr>
          <w:p w14:paraId="64F715A8" w14:textId="77777777" w:rsidR="00B86204" w:rsidRPr="002F16BB" w:rsidRDefault="00B86204" w:rsidP="00016740">
            <w:pPr>
              <w:pStyle w:val="Tabletext"/>
              <w:keepNext/>
              <w:spacing w:before="20" w:after="20"/>
              <w:jc w:val="center"/>
              <w:rPr>
                <w:b/>
                <w:sz w:val="18"/>
                <w:szCs w:val="18"/>
                <w:lang w:val="ru-RU" w:eastAsia="it-IT"/>
              </w:rPr>
            </w:pPr>
            <w:r w:rsidRPr="002F16BB">
              <w:rPr>
                <w:b/>
                <w:sz w:val="18"/>
                <w:szCs w:val="18"/>
                <w:lang w:val="ru-RU" w:eastAsia="it-IT"/>
              </w:rPr>
              <w:t>Рек.</w:t>
            </w:r>
            <w:r w:rsidRPr="002F16BB">
              <w:rPr>
                <w:b/>
                <w:sz w:val="18"/>
                <w:szCs w:val="18"/>
                <w:lang w:val="ru-RU" w:eastAsia="it-IT"/>
              </w:rPr>
              <w:br/>
              <w:t>3/2018</w:t>
            </w:r>
          </w:p>
        </w:tc>
        <w:tc>
          <w:tcPr>
            <w:tcW w:w="1216" w:type="pct"/>
            <w:tcBorders>
              <w:top w:val="single" w:sz="4" w:space="0" w:color="auto"/>
              <w:left w:val="single" w:sz="4" w:space="0" w:color="auto"/>
              <w:bottom w:val="single" w:sz="4" w:space="0" w:color="auto"/>
              <w:right w:val="single" w:sz="4" w:space="0" w:color="auto"/>
            </w:tcBorders>
          </w:tcPr>
          <w:p w14:paraId="7606B14F" w14:textId="77777777" w:rsidR="00B86204" w:rsidRPr="002F16BB" w:rsidRDefault="00B86204" w:rsidP="00016740">
            <w:pPr>
              <w:pStyle w:val="Tabletext"/>
              <w:keepNext/>
              <w:spacing w:before="20" w:after="20"/>
              <w:rPr>
                <w:sz w:val="18"/>
                <w:szCs w:val="18"/>
                <w:lang w:val="ru-RU"/>
              </w:rPr>
            </w:pPr>
            <w:r w:rsidRPr="002F16BB">
              <w:rPr>
                <w:sz w:val="18"/>
                <w:szCs w:val="18"/>
                <w:lang w:val="ru-RU"/>
              </w:rPr>
              <w:t xml:space="preserve">Мы рекомендуем: i) применять новые процедуры закупок, вступившие в силу в апреле 2019 года для закупок низкой стоимости и закупок на сумму менее 20 000 швейцарских франков/долл. США, также и к выполнению проектов технической помощи в рамках Программы развития Организации Объединенных Наций (ПРООН) и договоренностей по целевым фондам; </w:t>
            </w:r>
            <w:proofErr w:type="spellStart"/>
            <w:r w:rsidRPr="002F16BB">
              <w:rPr>
                <w:sz w:val="18"/>
                <w:szCs w:val="18"/>
                <w:lang w:val="ru-RU"/>
              </w:rPr>
              <w:t>ii</w:t>
            </w:r>
            <w:proofErr w:type="spellEnd"/>
            <w:r w:rsidRPr="002F16BB">
              <w:rPr>
                <w:sz w:val="18"/>
                <w:szCs w:val="18"/>
                <w:lang w:val="ru-RU"/>
              </w:rPr>
              <w:t>) чтобы руководство эффективно контролировало все заказы на закупки, сумма которых не превышает порогового уровня в 20 000 швейцарских франков/долл. США.</w:t>
            </w:r>
          </w:p>
        </w:tc>
        <w:tc>
          <w:tcPr>
            <w:tcW w:w="1362" w:type="pct"/>
            <w:tcBorders>
              <w:top w:val="single" w:sz="4" w:space="0" w:color="auto"/>
              <w:left w:val="single" w:sz="4" w:space="0" w:color="auto"/>
              <w:bottom w:val="single" w:sz="4" w:space="0" w:color="auto"/>
              <w:right w:val="single" w:sz="4" w:space="0" w:color="auto"/>
            </w:tcBorders>
          </w:tcPr>
          <w:p w14:paraId="79CD1763" w14:textId="77777777" w:rsidR="00B86204" w:rsidRPr="002F16BB" w:rsidRDefault="00B86204" w:rsidP="00016740">
            <w:pPr>
              <w:pStyle w:val="Tabletext"/>
              <w:keepNext/>
              <w:spacing w:before="20" w:after="20"/>
              <w:rPr>
                <w:sz w:val="18"/>
                <w:szCs w:val="18"/>
                <w:lang w:val="ru-RU"/>
              </w:rPr>
            </w:pPr>
            <w:r w:rsidRPr="002F16BB">
              <w:rPr>
                <w:sz w:val="18"/>
                <w:szCs w:val="18"/>
                <w:lang w:val="ru-RU"/>
              </w:rPr>
              <w:t>Эта рекомендация уже выполнена. При том что это не было в явной форме указано в новых процедурах, вступивших в силу 1 апреля 2019 года, это было понятно по смыслу, и процедуры были представлены всем внутренним заинтересованным сторонам в МСЭ как применимые ко всем случаям закупок, подпадающим под действие этих процедур, независимо от источника финансирования, и именно понимаемые таким образом эти процедуры применяются с 1 апреля 2019 года. В целях исключения любых возможных сомнений в этом отношении, текст новых процедур был обновлен, с тем чтобы указать, что процедуры применяются независимо от источника финансирования.</w:t>
            </w:r>
          </w:p>
        </w:tc>
        <w:tc>
          <w:tcPr>
            <w:tcW w:w="1363" w:type="pct"/>
            <w:tcBorders>
              <w:top w:val="single" w:sz="4" w:space="0" w:color="auto"/>
              <w:left w:val="single" w:sz="4" w:space="0" w:color="auto"/>
              <w:bottom w:val="single" w:sz="4" w:space="0" w:color="auto"/>
              <w:right w:val="single" w:sz="4" w:space="0" w:color="auto"/>
            </w:tcBorders>
          </w:tcPr>
          <w:p w14:paraId="4C071C30" w14:textId="188192F6" w:rsidR="00B86204" w:rsidRPr="002F16BB" w:rsidRDefault="00B86204" w:rsidP="00016740">
            <w:pPr>
              <w:pStyle w:val="Tabletext"/>
              <w:keepNext/>
              <w:spacing w:before="20" w:after="20"/>
              <w:rPr>
                <w:sz w:val="18"/>
                <w:szCs w:val="18"/>
                <w:lang w:val="ru-RU"/>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Pr>
                <w:b/>
                <w:bCs/>
                <w:sz w:val="18"/>
                <w:szCs w:val="18"/>
              </w:rPr>
              <w:t> </w:t>
            </w:r>
            <w:r w:rsidRPr="002F16BB">
              <w:rPr>
                <w:b/>
                <w:bCs/>
                <w:sz w:val="18"/>
                <w:szCs w:val="18"/>
                <w:lang w:val="ru-RU"/>
              </w:rPr>
              <w:t>г</w:t>
            </w:r>
            <w:r w:rsidRPr="002F16BB">
              <w:rPr>
                <w:sz w:val="18"/>
                <w:szCs w:val="18"/>
                <w:lang w:val="ru-RU"/>
              </w:rPr>
              <w:t>.:</w:t>
            </w:r>
          </w:p>
          <w:p w14:paraId="47D13494" w14:textId="77777777" w:rsidR="00B86204" w:rsidRPr="002F16BB" w:rsidRDefault="00B86204" w:rsidP="00016740">
            <w:pPr>
              <w:pStyle w:val="Tabletext"/>
              <w:keepNext/>
              <w:spacing w:before="20" w:after="20"/>
              <w:rPr>
                <w:sz w:val="18"/>
                <w:szCs w:val="18"/>
                <w:lang w:val="ru-RU"/>
              </w:rPr>
            </w:pPr>
            <w:r w:rsidRPr="002F16BB">
              <w:rPr>
                <w:sz w:val="18"/>
                <w:szCs w:val="18"/>
                <w:lang w:val="ru-RU"/>
              </w:rPr>
              <w:t>Осуществлено. Базовые правила были аннулированы Советом в июне 2019 года. Руководство МСЭ по закупкам, вступившее в силу в июне 2019 года, теперь является руководством по всем закупкам в МСЭ независимо от источника финансирования.</w:t>
            </w:r>
          </w:p>
          <w:p w14:paraId="3FDAF51F" w14:textId="77777777" w:rsidR="00B86204" w:rsidRPr="002F16BB" w:rsidRDefault="00B86204" w:rsidP="00016740">
            <w:pPr>
              <w:pStyle w:val="Tabletext"/>
              <w:keepNext/>
              <w:spacing w:before="20" w:after="20"/>
              <w:rPr>
                <w:sz w:val="18"/>
                <w:szCs w:val="18"/>
                <w:lang w:val="ru-RU"/>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4DFA7A8E" w14:textId="77777777" w:rsidR="00B86204" w:rsidRPr="002F16BB" w:rsidRDefault="00B86204" w:rsidP="00016740">
            <w:pPr>
              <w:pStyle w:val="Tabletext"/>
              <w:keepNext/>
              <w:spacing w:before="20" w:after="20"/>
              <w:rPr>
                <w:sz w:val="18"/>
                <w:szCs w:val="18"/>
                <w:lang w:val="ru-RU"/>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1D3C80B1" w14:textId="77777777" w:rsidR="00B86204" w:rsidRPr="002F16BB" w:rsidRDefault="00B86204" w:rsidP="00016740">
            <w:pPr>
              <w:pStyle w:val="Tabletext"/>
              <w:keepNext/>
              <w:spacing w:before="20" w:after="20"/>
              <w:rPr>
                <w:sz w:val="18"/>
                <w:szCs w:val="18"/>
                <w:lang w:val="ru-RU"/>
              </w:rPr>
            </w:pPr>
            <w:r w:rsidRPr="002F16BB">
              <w:rPr>
                <w:sz w:val="18"/>
                <w:szCs w:val="18"/>
                <w:lang w:val="ru-RU" w:eastAsia="it-IT"/>
              </w:rPr>
              <w:t>Выполнено.</w:t>
            </w:r>
          </w:p>
        </w:tc>
      </w:tr>
      <w:tr w:rsidR="00B86204" w:rsidRPr="002F16BB" w14:paraId="08AB8003" w14:textId="77777777" w:rsidTr="00016740">
        <w:tc>
          <w:tcPr>
            <w:tcW w:w="339" w:type="pct"/>
            <w:tcBorders>
              <w:top w:val="single" w:sz="4" w:space="0" w:color="auto"/>
              <w:left w:val="single" w:sz="4" w:space="0" w:color="auto"/>
              <w:bottom w:val="single" w:sz="4" w:space="0" w:color="auto"/>
              <w:right w:val="single" w:sz="4" w:space="0" w:color="auto"/>
            </w:tcBorders>
          </w:tcPr>
          <w:p w14:paraId="6984DD1A"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4/2018</w:t>
            </w:r>
          </w:p>
        </w:tc>
        <w:tc>
          <w:tcPr>
            <w:tcW w:w="1216" w:type="pct"/>
            <w:tcBorders>
              <w:top w:val="single" w:sz="4" w:space="0" w:color="auto"/>
              <w:left w:val="single" w:sz="4" w:space="0" w:color="auto"/>
              <w:bottom w:val="single" w:sz="4" w:space="0" w:color="auto"/>
              <w:right w:val="single" w:sz="4" w:space="0" w:color="auto"/>
            </w:tcBorders>
          </w:tcPr>
          <w:p w14:paraId="2923189F" w14:textId="77777777" w:rsidR="00B86204" w:rsidRPr="002F16BB" w:rsidRDefault="00B86204" w:rsidP="00016740">
            <w:pPr>
              <w:pStyle w:val="Tabletext"/>
              <w:spacing w:before="20" w:after="20"/>
              <w:rPr>
                <w:sz w:val="18"/>
                <w:szCs w:val="18"/>
                <w:lang w:val="ru-RU"/>
              </w:rPr>
            </w:pPr>
            <w:r w:rsidRPr="002F16BB">
              <w:rPr>
                <w:sz w:val="18"/>
                <w:szCs w:val="18"/>
                <w:lang w:val="ru-RU"/>
              </w:rPr>
              <w:t>Мы рекомендуем руководству обновить программное обеспечение SRM МСЭ, для того чтобы обеспечить возможность автоматического контроля заказов на закупки или контрактов, сумма которых превышает 20 000 швейцарских франков на одного поставщика за календарный год.</w:t>
            </w:r>
          </w:p>
        </w:tc>
        <w:tc>
          <w:tcPr>
            <w:tcW w:w="1362" w:type="pct"/>
            <w:tcBorders>
              <w:top w:val="single" w:sz="4" w:space="0" w:color="auto"/>
              <w:left w:val="single" w:sz="4" w:space="0" w:color="auto"/>
              <w:bottom w:val="single" w:sz="4" w:space="0" w:color="auto"/>
              <w:right w:val="single" w:sz="4" w:space="0" w:color="auto"/>
            </w:tcBorders>
          </w:tcPr>
          <w:p w14:paraId="42744E00" w14:textId="77777777" w:rsidR="00B86204" w:rsidRPr="002F16BB" w:rsidRDefault="00B86204" w:rsidP="00016740">
            <w:pPr>
              <w:pStyle w:val="Tabletext"/>
              <w:spacing w:before="20" w:after="20"/>
              <w:rPr>
                <w:sz w:val="18"/>
                <w:szCs w:val="18"/>
                <w:lang w:val="ru-RU"/>
              </w:rPr>
            </w:pPr>
            <w:r w:rsidRPr="002F16BB">
              <w:rPr>
                <w:sz w:val="18"/>
                <w:szCs w:val="18"/>
                <w:lang w:val="ru-RU"/>
              </w:rPr>
              <w:t>Мы принимаем к сведению данную рекомендацию. В настоящее время в системе ERP возможно получение онлайновых отчетов, которые включают "Заказы на закупки, включая общую сумму на одного поставщика".</w:t>
            </w:r>
          </w:p>
        </w:tc>
        <w:tc>
          <w:tcPr>
            <w:tcW w:w="1363" w:type="pct"/>
            <w:tcBorders>
              <w:top w:val="single" w:sz="4" w:space="0" w:color="auto"/>
              <w:left w:val="single" w:sz="4" w:space="0" w:color="auto"/>
              <w:bottom w:val="single" w:sz="4" w:space="0" w:color="auto"/>
              <w:right w:val="single" w:sz="4" w:space="0" w:color="auto"/>
            </w:tcBorders>
          </w:tcPr>
          <w:p w14:paraId="02E11F5C" w14:textId="2DB4EF64" w:rsidR="00B86204" w:rsidRPr="002F16BB" w:rsidRDefault="00B86204" w:rsidP="00016740">
            <w:pPr>
              <w:pStyle w:val="Tabletext"/>
              <w:spacing w:before="20" w:after="20"/>
              <w:rPr>
                <w:sz w:val="18"/>
                <w:szCs w:val="18"/>
                <w:lang w:val="ru-RU"/>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117CB93B" w14:textId="77777777" w:rsidR="00B86204" w:rsidRPr="002F16BB" w:rsidRDefault="00B86204" w:rsidP="00016740">
            <w:pPr>
              <w:pStyle w:val="Tabletext"/>
              <w:spacing w:before="20" w:after="20"/>
              <w:rPr>
                <w:sz w:val="18"/>
                <w:szCs w:val="18"/>
                <w:lang w:val="ru-RU"/>
              </w:rPr>
            </w:pPr>
            <w:r w:rsidRPr="002F16BB">
              <w:rPr>
                <w:sz w:val="18"/>
                <w:szCs w:val="18"/>
                <w:lang w:val="ru-RU"/>
              </w:rPr>
              <w:t>Обновление ERP было осуществлено в ноябре 2019 года.</w:t>
            </w:r>
          </w:p>
          <w:p w14:paraId="78DAD7BC" w14:textId="77777777" w:rsidR="00B86204" w:rsidRPr="002F16BB" w:rsidRDefault="00B86204" w:rsidP="00016740">
            <w:pPr>
              <w:pStyle w:val="Tabletext"/>
              <w:spacing w:before="20" w:after="20"/>
              <w:rPr>
                <w:sz w:val="18"/>
                <w:szCs w:val="18"/>
                <w:lang w:val="ru-RU"/>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7E934D31" w14:textId="77777777" w:rsidR="00B86204" w:rsidRPr="002F16BB" w:rsidRDefault="00B86204" w:rsidP="00016740">
            <w:pPr>
              <w:pStyle w:val="Tabletext"/>
              <w:spacing w:before="20" w:after="20"/>
              <w:rPr>
                <w:sz w:val="18"/>
                <w:szCs w:val="18"/>
                <w:lang w:val="ru-RU"/>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7405416A" w14:textId="77777777" w:rsidR="00B86204" w:rsidRPr="002F16BB" w:rsidRDefault="00B86204" w:rsidP="00016740">
            <w:pPr>
              <w:pStyle w:val="Tabletext"/>
              <w:spacing w:before="20" w:after="20"/>
              <w:rPr>
                <w:sz w:val="18"/>
                <w:szCs w:val="18"/>
                <w:lang w:val="ru-RU"/>
              </w:rPr>
            </w:pPr>
            <w:r w:rsidRPr="002F16BB">
              <w:rPr>
                <w:sz w:val="18"/>
                <w:szCs w:val="18"/>
                <w:lang w:val="ru-RU" w:eastAsia="it-IT"/>
              </w:rPr>
              <w:t>Выполнено.</w:t>
            </w:r>
          </w:p>
        </w:tc>
      </w:tr>
      <w:tr w:rsidR="00B86204" w:rsidRPr="002F16BB" w14:paraId="3440508A" w14:textId="77777777" w:rsidTr="00016740">
        <w:tc>
          <w:tcPr>
            <w:tcW w:w="339" w:type="pct"/>
            <w:vMerge w:val="restart"/>
            <w:tcBorders>
              <w:top w:val="single" w:sz="4" w:space="0" w:color="auto"/>
              <w:left w:val="single" w:sz="4" w:space="0" w:color="auto"/>
              <w:right w:val="single" w:sz="4" w:space="0" w:color="auto"/>
            </w:tcBorders>
          </w:tcPr>
          <w:p w14:paraId="365ABA59" w14:textId="77777777" w:rsidR="00B86204" w:rsidRPr="002F16BB" w:rsidRDefault="00B86204" w:rsidP="00016740">
            <w:pPr>
              <w:pStyle w:val="Tabletext"/>
              <w:spacing w:before="20" w:after="20"/>
              <w:jc w:val="center"/>
              <w:rPr>
                <w:rFonts w:cs="Calibri"/>
                <w:b/>
                <w:sz w:val="18"/>
                <w:szCs w:val="18"/>
                <w:lang w:val="ru-RU" w:eastAsia="it-IT"/>
              </w:rPr>
            </w:pPr>
            <w:r w:rsidRPr="002F16BB">
              <w:rPr>
                <w:rFonts w:cs="Calibri"/>
                <w:b/>
                <w:sz w:val="18"/>
                <w:szCs w:val="18"/>
                <w:lang w:val="ru-RU" w:eastAsia="it-IT"/>
              </w:rPr>
              <w:t>Рек.</w:t>
            </w:r>
            <w:r w:rsidRPr="002F16BB">
              <w:rPr>
                <w:rFonts w:cs="Calibri"/>
                <w:b/>
                <w:sz w:val="18"/>
                <w:szCs w:val="18"/>
                <w:lang w:val="ru-RU" w:eastAsia="it-IT"/>
              </w:rPr>
              <w:br/>
            </w:r>
            <w:r w:rsidRPr="002F16BB">
              <w:rPr>
                <w:rFonts w:cs="Calibri"/>
                <w:b/>
                <w:bCs/>
                <w:sz w:val="18"/>
                <w:szCs w:val="18"/>
                <w:lang w:val="ru-RU" w:eastAsia="it-IT"/>
              </w:rPr>
              <w:t>5/2018</w:t>
            </w:r>
          </w:p>
        </w:tc>
        <w:tc>
          <w:tcPr>
            <w:tcW w:w="1216" w:type="pct"/>
            <w:vMerge w:val="restart"/>
            <w:tcBorders>
              <w:top w:val="single" w:sz="4" w:space="0" w:color="auto"/>
              <w:left w:val="single" w:sz="4" w:space="0" w:color="auto"/>
              <w:right w:val="single" w:sz="4" w:space="0" w:color="auto"/>
            </w:tcBorders>
          </w:tcPr>
          <w:p w14:paraId="51ABB834" w14:textId="77777777" w:rsidR="00B86204" w:rsidRPr="002F16BB" w:rsidRDefault="00B86204" w:rsidP="00016740">
            <w:pPr>
              <w:widowControl w:val="0"/>
              <w:kinsoku w:val="0"/>
              <w:spacing w:before="20" w:after="20"/>
              <w:rPr>
                <w:rFonts w:cs="Calibri"/>
                <w:sz w:val="18"/>
                <w:szCs w:val="18"/>
                <w:lang w:val="ru-RU" w:eastAsia="it-IT"/>
              </w:rPr>
            </w:pPr>
            <w:r w:rsidRPr="002F16BB">
              <w:rPr>
                <w:rFonts w:cs="Calibri"/>
                <w:sz w:val="18"/>
                <w:szCs w:val="18"/>
                <w:lang w:val="ru-RU" w:eastAsia="it-IT"/>
              </w:rPr>
              <w:t>Мы рекомендуем внедрить руководящие указания, охватывающие все аспекты процесса отбора поставщиков. Директор регионального отделения должен осуществлять проверку процесса закупок и утверждать предпочтительного поставщика.</w:t>
            </w:r>
          </w:p>
        </w:tc>
        <w:tc>
          <w:tcPr>
            <w:tcW w:w="1362" w:type="pct"/>
            <w:tcBorders>
              <w:top w:val="single" w:sz="4" w:space="0" w:color="auto"/>
              <w:left w:val="single" w:sz="4" w:space="0" w:color="auto"/>
              <w:bottom w:val="single" w:sz="4" w:space="0" w:color="auto"/>
              <w:right w:val="single" w:sz="4" w:space="0" w:color="auto"/>
            </w:tcBorders>
          </w:tcPr>
          <w:p w14:paraId="43C694DB"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eastAsia="it-IT"/>
              </w:rPr>
              <w:t>Ввиду введения с 1 апреля 2019 года новых процедур закупок, возможно, потребуется пересмотреть данную рекомендацию.</w:t>
            </w:r>
          </w:p>
        </w:tc>
        <w:tc>
          <w:tcPr>
            <w:tcW w:w="1363" w:type="pct"/>
            <w:vMerge w:val="restart"/>
            <w:tcBorders>
              <w:top w:val="single" w:sz="4" w:space="0" w:color="auto"/>
              <w:left w:val="single" w:sz="4" w:space="0" w:color="auto"/>
              <w:right w:val="single" w:sz="4" w:space="0" w:color="auto"/>
            </w:tcBorders>
          </w:tcPr>
          <w:p w14:paraId="344979F7" w14:textId="5B156F38" w:rsidR="00B86204" w:rsidRPr="002F16BB" w:rsidRDefault="00B86204" w:rsidP="00016740">
            <w:pPr>
              <w:keepNext/>
              <w:spacing w:before="20" w:after="20"/>
              <w:rPr>
                <w:rFonts w:cs="Calibri"/>
                <w:b/>
                <w:bCs/>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01D8BB7F"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 xml:space="preserve">Новые процедуры, введенные в апреле 2019 года, также включены в </w:t>
            </w:r>
            <w:r w:rsidRPr="002F16BB">
              <w:rPr>
                <w:sz w:val="18"/>
                <w:szCs w:val="18"/>
                <w:lang w:val="ru-RU"/>
              </w:rPr>
              <w:t>Руководство</w:t>
            </w:r>
            <w:r w:rsidRPr="002F16BB">
              <w:rPr>
                <w:rFonts w:cs="Calibri"/>
                <w:sz w:val="18"/>
                <w:szCs w:val="18"/>
                <w:lang w:val="ru-RU" w:eastAsia="it-IT"/>
              </w:rPr>
              <w:t xml:space="preserve"> МСЭ по закупкам, которое вступило в силу в июне 2019 года.</w:t>
            </w:r>
          </w:p>
          <w:p w14:paraId="729DA48A" w14:textId="77777777" w:rsidR="00B86204" w:rsidRPr="002F16BB" w:rsidRDefault="00B86204" w:rsidP="00016740">
            <w:pPr>
              <w:keepNext/>
              <w:spacing w:before="20" w:after="20"/>
              <w:rPr>
                <w:rFonts w:cs="Calibri"/>
                <w:b/>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24BE4530" w14:textId="77777777" w:rsidR="00B86204" w:rsidRPr="002F16BB" w:rsidRDefault="00B86204" w:rsidP="00016740">
            <w:pPr>
              <w:keepNext/>
              <w:spacing w:before="20" w:after="20"/>
              <w:rPr>
                <w:rFonts w:cs="Calibri"/>
                <w:sz w:val="18"/>
                <w:szCs w:val="18"/>
                <w:lang w:val="ru-RU" w:eastAsia="it-IT"/>
              </w:rPr>
            </w:pPr>
            <w:r w:rsidRPr="002F16BB">
              <w:rPr>
                <w:sz w:val="18"/>
                <w:szCs w:val="18"/>
                <w:lang w:val="ru-RU" w:eastAsia="it-IT"/>
              </w:rPr>
              <w:t>Осуществлено.</w:t>
            </w:r>
          </w:p>
        </w:tc>
        <w:tc>
          <w:tcPr>
            <w:tcW w:w="720" w:type="pct"/>
            <w:vMerge w:val="restart"/>
            <w:tcBorders>
              <w:top w:val="single" w:sz="4" w:space="0" w:color="auto"/>
              <w:left w:val="single" w:sz="4" w:space="0" w:color="auto"/>
              <w:right w:val="single" w:sz="4" w:space="0" w:color="auto"/>
            </w:tcBorders>
          </w:tcPr>
          <w:p w14:paraId="32710101"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eastAsia="it-IT"/>
              </w:rPr>
              <w:t>Выполнено.</w:t>
            </w:r>
          </w:p>
        </w:tc>
      </w:tr>
      <w:tr w:rsidR="00B86204" w:rsidRPr="00FE280E" w14:paraId="60A49689" w14:textId="77777777" w:rsidTr="00016740">
        <w:tc>
          <w:tcPr>
            <w:tcW w:w="339" w:type="pct"/>
            <w:vMerge/>
            <w:tcBorders>
              <w:left w:val="single" w:sz="4" w:space="0" w:color="auto"/>
              <w:bottom w:val="single" w:sz="4" w:space="0" w:color="auto"/>
              <w:right w:val="single" w:sz="4" w:space="0" w:color="auto"/>
            </w:tcBorders>
          </w:tcPr>
          <w:p w14:paraId="225E9B6C" w14:textId="77777777" w:rsidR="00B86204" w:rsidRPr="002F16BB" w:rsidRDefault="00B86204" w:rsidP="00016740">
            <w:pPr>
              <w:pStyle w:val="Tabletext"/>
              <w:spacing w:before="20" w:after="20"/>
              <w:jc w:val="center"/>
              <w:rPr>
                <w:rFonts w:cs="Calibri"/>
                <w:b/>
                <w:sz w:val="18"/>
                <w:szCs w:val="18"/>
                <w:lang w:val="ru-RU" w:eastAsia="it-IT"/>
              </w:rPr>
            </w:pPr>
          </w:p>
        </w:tc>
        <w:tc>
          <w:tcPr>
            <w:tcW w:w="1216" w:type="pct"/>
            <w:vMerge/>
            <w:tcBorders>
              <w:left w:val="single" w:sz="4" w:space="0" w:color="auto"/>
              <w:bottom w:val="single" w:sz="4" w:space="0" w:color="auto"/>
              <w:right w:val="single" w:sz="4" w:space="0" w:color="auto"/>
            </w:tcBorders>
          </w:tcPr>
          <w:p w14:paraId="227D372F" w14:textId="77777777" w:rsidR="00B86204" w:rsidRPr="002F16BB" w:rsidRDefault="00B86204" w:rsidP="00016740">
            <w:pPr>
              <w:pStyle w:val="Tabletext"/>
              <w:spacing w:before="20" w:after="20"/>
              <w:rPr>
                <w:rFonts w:cs="Calibri"/>
                <w:sz w:val="18"/>
                <w:szCs w:val="18"/>
                <w:lang w:val="ru-RU"/>
              </w:rPr>
            </w:pPr>
          </w:p>
        </w:tc>
        <w:tc>
          <w:tcPr>
            <w:tcW w:w="1362" w:type="pct"/>
            <w:tcBorders>
              <w:top w:val="single" w:sz="4" w:space="0" w:color="auto"/>
              <w:left w:val="single" w:sz="4" w:space="0" w:color="auto"/>
              <w:bottom w:val="single" w:sz="4" w:space="0" w:color="auto"/>
              <w:right w:val="single" w:sz="4" w:space="0" w:color="auto"/>
            </w:tcBorders>
          </w:tcPr>
          <w:p w14:paraId="38BABB59" w14:textId="77777777" w:rsidR="00B86204" w:rsidRPr="002F16BB" w:rsidRDefault="00B86204" w:rsidP="00016740">
            <w:pPr>
              <w:widowControl w:val="0"/>
              <w:kinsoku w:val="0"/>
              <w:spacing w:before="20" w:after="20"/>
              <w:rPr>
                <w:rFonts w:cs="Calibri"/>
                <w:sz w:val="18"/>
                <w:szCs w:val="18"/>
                <w:lang w:val="ru-RU" w:eastAsia="it-IT"/>
              </w:rPr>
            </w:pPr>
            <w:r w:rsidRPr="002F16BB">
              <w:rPr>
                <w:rFonts w:cs="Calibri"/>
                <w:b/>
                <w:bCs/>
                <w:sz w:val="18"/>
                <w:szCs w:val="18"/>
                <w:lang w:val="ru-RU" w:eastAsia="it-IT"/>
              </w:rPr>
              <w:t>Наш ответ</w:t>
            </w:r>
          </w:p>
          <w:p w14:paraId="6EB224CA" w14:textId="77777777" w:rsidR="00B86204" w:rsidRPr="002F16BB" w:rsidRDefault="00B86204" w:rsidP="00016740">
            <w:pPr>
              <w:widowControl w:val="0"/>
              <w:kinsoku w:val="0"/>
              <w:spacing w:before="20" w:after="20"/>
              <w:rPr>
                <w:rFonts w:cs="Calibri"/>
                <w:sz w:val="18"/>
                <w:szCs w:val="18"/>
                <w:lang w:val="ru-RU" w:eastAsia="it-IT"/>
              </w:rPr>
            </w:pPr>
            <w:r w:rsidRPr="002F16BB">
              <w:rPr>
                <w:rFonts w:cs="Calibri"/>
                <w:sz w:val="18"/>
                <w:szCs w:val="18"/>
                <w:lang w:val="ru-RU" w:eastAsia="it-IT"/>
              </w:rPr>
              <w:t xml:space="preserve">Руководство сообщило, что в соответствии с новыми процедурами закупок, вступившими в силу 1 апреля 2019 года, руководитель проекта будет участвовать только в закупках низкой стоимости, сумма которых менее 5000 швейцарских франков за операцию и годовой максимальный объем которых не превышает 20 000 швейцарских франков. </w:t>
            </w:r>
            <w:r w:rsidRPr="002F16BB">
              <w:rPr>
                <w:rFonts w:cs="Calibri"/>
                <w:sz w:val="18"/>
                <w:szCs w:val="18"/>
                <w:lang w:val="ru-RU" w:eastAsia="it-IT"/>
              </w:rPr>
              <w:lastRenderedPageBreak/>
              <w:t>Корзина покупок стоимостью более 5000 швейцарских франков будет направляться в отдел закупок, который будет проводить конкурс, при условии, что не применяется отказ от проведения конкурса. Таким образом, руководитель проекта более не будет участвовать в проведении конкурса (привлечении поставщиков), как это было ранее. Мы будем следить за выполнением новых процедур при проведении наших будущих аудиторских проверок. Мы принимаем к сведению, что директор регионального отделения не является участником новой процедуры; мы полагаем, что следует учитывать его/ее положение ключевой фигуры в системе внутреннего контроля.</w:t>
            </w:r>
          </w:p>
        </w:tc>
        <w:tc>
          <w:tcPr>
            <w:tcW w:w="1363" w:type="pct"/>
            <w:vMerge/>
            <w:tcBorders>
              <w:left w:val="single" w:sz="4" w:space="0" w:color="auto"/>
              <w:bottom w:val="single" w:sz="4" w:space="0" w:color="auto"/>
              <w:right w:val="single" w:sz="4" w:space="0" w:color="auto"/>
            </w:tcBorders>
          </w:tcPr>
          <w:p w14:paraId="433A42F5" w14:textId="77777777" w:rsidR="00B86204" w:rsidRPr="002F16BB" w:rsidRDefault="00B86204" w:rsidP="00016740">
            <w:pPr>
              <w:pStyle w:val="Tabletext"/>
              <w:spacing w:before="20" w:after="20"/>
              <w:rPr>
                <w:rFonts w:cs="Calibri"/>
                <w:b/>
                <w:bCs/>
                <w:sz w:val="18"/>
                <w:szCs w:val="18"/>
                <w:lang w:val="ru-RU" w:eastAsia="it-IT"/>
              </w:rPr>
            </w:pPr>
          </w:p>
        </w:tc>
        <w:tc>
          <w:tcPr>
            <w:tcW w:w="720" w:type="pct"/>
            <w:vMerge/>
            <w:tcBorders>
              <w:left w:val="single" w:sz="4" w:space="0" w:color="auto"/>
              <w:bottom w:val="single" w:sz="4" w:space="0" w:color="auto"/>
              <w:right w:val="single" w:sz="4" w:space="0" w:color="auto"/>
            </w:tcBorders>
          </w:tcPr>
          <w:p w14:paraId="2D27884C" w14:textId="77777777" w:rsidR="00B86204" w:rsidRPr="002F16BB" w:rsidRDefault="00B86204" w:rsidP="00016740">
            <w:pPr>
              <w:pStyle w:val="Tabletext"/>
              <w:spacing w:before="20" w:after="20"/>
              <w:rPr>
                <w:rFonts w:cs="Calibri"/>
                <w:sz w:val="18"/>
                <w:szCs w:val="18"/>
                <w:lang w:val="ru-RU" w:eastAsia="it-IT"/>
              </w:rPr>
            </w:pPr>
          </w:p>
        </w:tc>
      </w:tr>
      <w:tr w:rsidR="00B86204" w:rsidRPr="002F16BB" w14:paraId="0E14733A" w14:textId="77777777" w:rsidTr="00016740">
        <w:trPr>
          <w:trHeight w:val="699"/>
        </w:trPr>
        <w:tc>
          <w:tcPr>
            <w:tcW w:w="339" w:type="pct"/>
            <w:vMerge w:val="restart"/>
            <w:tcBorders>
              <w:top w:val="single" w:sz="4" w:space="0" w:color="auto"/>
              <w:left w:val="single" w:sz="4" w:space="0" w:color="auto"/>
              <w:right w:val="single" w:sz="4" w:space="0" w:color="auto"/>
            </w:tcBorders>
          </w:tcPr>
          <w:p w14:paraId="252FF830" w14:textId="77777777" w:rsidR="00B86204" w:rsidRPr="002F16BB" w:rsidRDefault="00B86204" w:rsidP="00016740">
            <w:pPr>
              <w:pStyle w:val="Tabletext"/>
              <w:spacing w:before="20" w:after="20"/>
              <w:jc w:val="center"/>
              <w:rPr>
                <w:rFonts w:cs="Calibri"/>
                <w:b/>
                <w:sz w:val="18"/>
                <w:szCs w:val="18"/>
                <w:lang w:val="ru-RU" w:eastAsia="it-IT"/>
              </w:rPr>
            </w:pPr>
            <w:r w:rsidRPr="002F16BB">
              <w:rPr>
                <w:b/>
                <w:sz w:val="18"/>
                <w:szCs w:val="18"/>
                <w:lang w:val="ru-RU" w:eastAsia="it-IT"/>
              </w:rPr>
              <w:t>Рек.</w:t>
            </w:r>
            <w:r w:rsidRPr="002F16BB">
              <w:rPr>
                <w:rFonts w:cs="Calibri"/>
                <w:b/>
                <w:bCs/>
                <w:sz w:val="18"/>
                <w:szCs w:val="18"/>
                <w:lang w:val="ru-RU" w:eastAsia="it-IT"/>
              </w:rPr>
              <w:t xml:space="preserve"> 6/2018</w:t>
            </w:r>
          </w:p>
        </w:tc>
        <w:tc>
          <w:tcPr>
            <w:tcW w:w="1216" w:type="pct"/>
            <w:vMerge w:val="restart"/>
            <w:tcBorders>
              <w:top w:val="single" w:sz="4" w:space="0" w:color="auto"/>
              <w:left w:val="single" w:sz="4" w:space="0" w:color="auto"/>
              <w:right w:val="single" w:sz="4" w:space="0" w:color="auto"/>
            </w:tcBorders>
          </w:tcPr>
          <w:p w14:paraId="3C510AED"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eastAsia="it-IT"/>
              </w:rPr>
              <w:t>Мы полагаем, что разрешение руководителю проекта иметь доступ к поступающим предложениям могло существенным образом повлиять на предыдущие процедуры закупок, и мы подчеркиваем также, что существует высокий риск мошенничества при проведении конкурсных торгов. В связи с этим, в целях совершенствования механизмов контроля мы рекомендуем, чтобы сотрудник/руководитель проекта имели доступ к полученным предложениям только по истечении предельного срока их представления (например, установив, что заявки направляются в отдел закупок и передаются руководителю проекта после истечения предельного срока).</w:t>
            </w:r>
          </w:p>
        </w:tc>
        <w:tc>
          <w:tcPr>
            <w:tcW w:w="1362" w:type="pct"/>
            <w:tcBorders>
              <w:top w:val="single" w:sz="4" w:space="0" w:color="auto"/>
              <w:left w:val="single" w:sz="4" w:space="0" w:color="auto"/>
              <w:bottom w:val="single" w:sz="4" w:space="0" w:color="auto"/>
              <w:right w:val="single" w:sz="4" w:space="0" w:color="auto"/>
            </w:tcBorders>
          </w:tcPr>
          <w:p w14:paraId="0C1CF680" w14:textId="77777777" w:rsidR="00B86204" w:rsidRPr="002F16BB" w:rsidRDefault="00B86204" w:rsidP="00016740">
            <w:pPr>
              <w:widowControl w:val="0"/>
              <w:kinsoku w:val="0"/>
              <w:spacing w:before="20" w:after="20"/>
              <w:rPr>
                <w:rFonts w:cs="Calibri"/>
                <w:sz w:val="18"/>
                <w:szCs w:val="18"/>
                <w:lang w:val="ru-RU"/>
              </w:rPr>
            </w:pPr>
            <w:r w:rsidRPr="002F16BB">
              <w:rPr>
                <w:rFonts w:cs="Calibri"/>
                <w:sz w:val="18"/>
                <w:szCs w:val="18"/>
                <w:lang w:val="ru-RU" w:eastAsia="it-IT"/>
              </w:rPr>
              <w:t>Ввиду введения с 1 апреля 2019 года новых процедур закупок, возможно, потребуется пересмотреть данную рекомендацию.</w:t>
            </w:r>
          </w:p>
        </w:tc>
        <w:tc>
          <w:tcPr>
            <w:tcW w:w="1363" w:type="pct"/>
            <w:vMerge w:val="restart"/>
            <w:tcBorders>
              <w:top w:val="single" w:sz="4" w:space="0" w:color="auto"/>
              <w:left w:val="single" w:sz="4" w:space="0" w:color="auto"/>
              <w:right w:val="single" w:sz="4" w:space="0" w:color="auto"/>
            </w:tcBorders>
          </w:tcPr>
          <w:p w14:paraId="4E293C27" w14:textId="60D40114" w:rsidR="00B86204" w:rsidRPr="002F16BB" w:rsidRDefault="00B86204" w:rsidP="00016740">
            <w:pPr>
              <w:keepNext/>
              <w:spacing w:before="20" w:after="20"/>
              <w:rPr>
                <w:rFonts w:cs="Calibri"/>
                <w:b/>
                <w:bCs/>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1EF59217"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Упомянутые новые процедуры закупок были подтверждены в Справочнике МСЭ по закупкам от июня 2019 года.</w:t>
            </w:r>
          </w:p>
          <w:p w14:paraId="4DF241BD" w14:textId="77777777" w:rsidR="00B86204" w:rsidRPr="002F16BB" w:rsidRDefault="00B86204" w:rsidP="00016740">
            <w:pPr>
              <w:keepNext/>
              <w:spacing w:before="20" w:after="20"/>
              <w:rPr>
                <w:rFonts w:cs="Calibri"/>
                <w:b/>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61D0D124" w14:textId="77777777" w:rsidR="00B86204" w:rsidRPr="002F16BB" w:rsidRDefault="00B86204" w:rsidP="00016740">
            <w:pPr>
              <w:keepNext/>
              <w:spacing w:before="20" w:after="20"/>
              <w:rPr>
                <w:rFonts w:cs="Calibri"/>
                <w:sz w:val="18"/>
                <w:szCs w:val="18"/>
                <w:lang w:val="ru-RU" w:eastAsia="it-IT"/>
              </w:rPr>
            </w:pPr>
            <w:r w:rsidRPr="002F16BB">
              <w:rPr>
                <w:sz w:val="18"/>
                <w:szCs w:val="18"/>
                <w:lang w:val="ru-RU" w:eastAsia="it-IT"/>
              </w:rPr>
              <w:t>Осуществлено.</w:t>
            </w:r>
          </w:p>
        </w:tc>
        <w:tc>
          <w:tcPr>
            <w:tcW w:w="720" w:type="pct"/>
            <w:vMerge w:val="restart"/>
            <w:tcBorders>
              <w:top w:val="single" w:sz="4" w:space="0" w:color="auto"/>
              <w:left w:val="single" w:sz="4" w:space="0" w:color="auto"/>
              <w:right w:val="single" w:sz="4" w:space="0" w:color="auto"/>
            </w:tcBorders>
          </w:tcPr>
          <w:p w14:paraId="22F437FC"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eastAsia="it-IT"/>
              </w:rPr>
              <w:t>Выполнено.</w:t>
            </w:r>
          </w:p>
        </w:tc>
      </w:tr>
      <w:tr w:rsidR="00B86204" w:rsidRPr="00FE280E" w14:paraId="7AC830BD" w14:textId="77777777" w:rsidTr="00016740">
        <w:trPr>
          <w:trHeight w:val="3632"/>
        </w:trPr>
        <w:tc>
          <w:tcPr>
            <w:tcW w:w="339" w:type="pct"/>
            <w:vMerge/>
            <w:tcBorders>
              <w:left w:val="single" w:sz="4" w:space="0" w:color="auto"/>
              <w:bottom w:val="single" w:sz="4" w:space="0" w:color="auto"/>
              <w:right w:val="single" w:sz="4" w:space="0" w:color="auto"/>
            </w:tcBorders>
          </w:tcPr>
          <w:p w14:paraId="41951FC8" w14:textId="77777777" w:rsidR="00B86204" w:rsidRPr="002F16BB" w:rsidRDefault="00B86204" w:rsidP="00016740">
            <w:pPr>
              <w:pStyle w:val="Tabletext"/>
              <w:spacing w:before="20" w:after="20"/>
              <w:jc w:val="center"/>
              <w:rPr>
                <w:b/>
                <w:sz w:val="18"/>
                <w:szCs w:val="18"/>
                <w:lang w:val="ru-RU" w:eastAsia="it-IT"/>
              </w:rPr>
            </w:pPr>
          </w:p>
        </w:tc>
        <w:tc>
          <w:tcPr>
            <w:tcW w:w="1216" w:type="pct"/>
            <w:vMerge/>
            <w:tcBorders>
              <w:left w:val="single" w:sz="4" w:space="0" w:color="auto"/>
              <w:bottom w:val="single" w:sz="4" w:space="0" w:color="auto"/>
              <w:right w:val="single" w:sz="4" w:space="0" w:color="auto"/>
            </w:tcBorders>
          </w:tcPr>
          <w:p w14:paraId="10F11FD7" w14:textId="77777777" w:rsidR="00B86204" w:rsidRPr="002F16BB" w:rsidRDefault="00B86204" w:rsidP="00016740">
            <w:pPr>
              <w:pStyle w:val="Tabletext"/>
              <w:spacing w:before="20" w:after="20"/>
              <w:rPr>
                <w:rFonts w:cs="Calibri"/>
                <w:sz w:val="18"/>
                <w:szCs w:val="18"/>
                <w:lang w:val="ru-RU" w:eastAsia="it-IT"/>
              </w:rPr>
            </w:pPr>
          </w:p>
        </w:tc>
        <w:tc>
          <w:tcPr>
            <w:tcW w:w="1362" w:type="pct"/>
            <w:tcBorders>
              <w:top w:val="single" w:sz="4" w:space="0" w:color="auto"/>
              <w:left w:val="single" w:sz="4" w:space="0" w:color="auto"/>
              <w:bottom w:val="single" w:sz="4" w:space="0" w:color="auto"/>
              <w:right w:val="single" w:sz="4" w:space="0" w:color="auto"/>
            </w:tcBorders>
          </w:tcPr>
          <w:p w14:paraId="0D5F28F7" w14:textId="77777777" w:rsidR="00B86204" w:rsidRPr="002F16BB" w:rsidRDefault="00B86204" w:rsidP="00016740">
            <w:pPr>
              <w:widowControl w:val="0"/>
              <w:kinsoku w:val="0"/>
              <w:spacing w:before="20" w:after="20"/>
              <w:rPr>
                <w:rFonts w:cs="Calibri"/>
                <w:b/>
                <w:bCs/>
                <w:sz w:val="18"/>
                <w:szCs w:val="18"/>
                <w:lang w:val="ru-RU" w:eastAsia="it-IT"/>
              </w:rPr>
            </w:pPr>
            <w:r w:rsidRPr="002F16BB">
              <w:rPr>
                <w:rFonts w:cs="Calibri"/>
                <w:b/>
                <w:bCs/>
                <w:sz w:val="18"/>
                <w:szCs w:val="18"/>
                <w:lang w:val="ru-RU" w:eastAsia="it-IT"/>
              </w:rPr>
              <w:t>Наш ответ</w:t>
            </w:r>
          </w:p>
          <w:p w14:paraId="16B34581"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Руководство подчеркнуло, что в рамках новых процедур закупок руководители проектов в региональных отделениях, как правило, будут запрашивать предложения по ценам только для закупок низкой стоимости. Для закупок на сумму более 5000 швейцарских франков предложения по ценам запрашивает отдел закупок в рамках конкурсных торгов, при условии, что не применяется отказ от проведения конкурса. Мы будем следить за выполнением новых процедур при проведении наших будущих аудиторских проверок. Мы подчеркиваем, что наше наблюдение относилось ко всем процедурам закупок, независимо от какого бы то ни было порогового значения.</w:t>
            </w:r>
          </w:p>
        </w:tc>
        <w:tc>
          <w:tcPr>
            <w:tcW w:w="1363" w:type="pct"/>
            <w:vMerge/>
            <w:tcBorders>
              <w:left w:val="single" w:sz="4" w:space="0" w:color="auto"/>
              <w:bottom w:val="single" w:sz="4" w:space="0" w:color="auto"/>
              <w:right w:val="single" w:sz="4" w:space="0" w:color="auto"/>
            </w:tcBorders>
          </w:tcPr>
          <w:p w14:paraId="767E1B0F" w14:textId="77777777" w:rsidR="00B86204" w:rsidRPr="002F16BB" w:rsidRDefault="00B86204" w:rsidP="00016740">
            <w:pPr>
              <w:keepNext/>
              <w:spacing w:before="20" w:after="20"/>
              <w:rPr>
                <w:b/>
                <w:bCs/>
                <w:sz w:val="18"/>
                <w:szCs w:val="18"/>
                <w:lang w:val="ru-RU" w:eastAsia="it-IT"/>
              </w:rPr>
            </w:pPr>
          </w:p>
        </w:tc>
        <w:tc>
          <w:tcPr>
            <w:tcW w:w="720" w:type="pct"/>
            <w:vMerge/>
            <w:tcBorders>
              <w:left w:val="single" w:sz="4" w:space="0" w:color="auto"/>
              <w:bottom w:val="single" w:sz="4" w:space="0" w:color="auto"/>
              <w:right w:val="single" w:sz="4" w:space="0" w:color="auto"/>
            </w:tcBorders>
          </w:tcPr>
          <w:p w14:paraId="5EE10D4D" w14:textId="77777777" w:rsidR="00B86204" w:rsidRPr="002F16BB" w:rsidRDefault="00B86204" w:rsidP="00016740">
            <w:pPr>
              <w:pStyle w:val="Tabletext"/>
              <w:spacing w:before="20" w:after="20"/>
              <w:rPr>
                <w:sz w:val="18"/>
                <w:szCs w:val="18"/>
                <w:lang w:val="ru-RU" w:eastAsia="it-IT"/>
              </w:rPr>
            </w:pPr>
          </w:p>
        </w:tc>
      </w:tr>
      <w:tr w:rsidR="00B86204" w:rsidRPr="002F16BB" w14:paraId="6698CB97" w14:textId="77777777" w:rsidTr="00016740">
        <w:tc>
          <w:tcPr>
            <w:tcW w:w="339" w:type="pct"/>
            <w:tcBorders>
              <w:top w:val="single" w:sz="4" w:space="0" w:color="auto"/>
              <w:left w:val="single" w:sz="4" w:space="0" w:color="auto"/>
              <w:bottom w:val="single" w:sz="4" w:space="0" w:color="auto"/>
              <w:right w:val="single" w:sz="4" w:space="0" w:color="auto"/>
            </w:tcBorders>
          </w:tcPr>
          <w:p w14:paraId="6D02C6D5" w14:textId="77777777" w:rsidR="00B86204" w:rsidRPr="002F16BB" w:rsidRDefault="00B86204" w:rsidP="00016740">
            <w:pPr>
              <w:pStyle w:val="Tabletext"/>
              <w:spacing w:before="20" w:after="20"/>
              <w:jc w:val="center"/>
              <w:rPr>
                <w:rFonts w:cs="Calibri"/>
                <w:b/>
                <w:sz w:val="18"/>
                <w:szCs w:val="18"/>
                <w:lang w:val="ru-RU" w:eastAsia="it-IT"/>
              </w:rPr>
            </w:pPr>
            <w:r w:rsidRPr="002F16BB">
              <w:rPr>
                <w:b/>
                <w:sz w:val="18"/>
                <w:szCs w:val="18"/>
                <w:lang w:val="ru-RU" w:eastAsia="it-IT"/>
              </w:rPr>
              <w:lastRenderedPageBreak/>
              <w:t>Рек.</w:t>
            </w:r>
            <w:r w:rsidRPr="002F16BB">
              <w:rPr>
                <w:rFonts w:cs="Calibri"/>
                <w:b/>
                <w:bCs/>
                <w:sz w:val="18"/>
                <w:szCs w:val="18"/>
                <w:lang w:val="ru-RU" w:eastAsia="it-IT"/>
              </w:rPr>
              <w:t xml:space="preserve"> 7/2018</w:t>
            </w:r>
          </w:p>
        </w:tc>
        <w:tc>
          <w:tcPr>
            <w:tcW w:w="1216" w:type="pct"/>
            <w:tcBorders>
              <w:top w:val="single" w:sz="4" w:space="0" w:color="auto"/>
              <w:left w:val="single" w:sz="4" w:space="0" w:color="auto"/>
              <w:bottom w:val="single" w:sz="4" w:space="0" w:color="auto"/>
              <w:right w:val="single" w:sz="4" w:space="0" w:color="auto"/>
            </w:tcBorders>
          </w:tcPr>
          <w:p w14:paraId="1E92C31B" w14:textId="77777777" w:rsidR="00B86204" w:rsidRPr="002F16BB" w:rsidRDefault="00B86204" w:rsidP="00016740">
            <w:pPr>
              <w:widowControl w:val="0"/>
              <w:kinsoku w:val="0"/>
              <w:spacing w:before="20" w:after="20"/>
              <w:rPr>
                <w:rFonts w:cs="Calibri"/>
                <w:sz w:val="18"/>
                <w:szCs w:val="18"/>
                <w:lang w:val="ru-RU" w:eastAsia="it-IT"/>
              </w:rPr>
            </w:pPr>
            <w:r w:rsidRPr="002F16BB">
              <w:rPr>
                <w:rFonts w:cs="Calibri"/>
                <w:sz w:val="18"/>
                <w:szCs w:val="18"/>
                <w:lang w:val="ru-RU" w:eastAsia="it-IT"/>
              </w:rPr>
              <w:t>Мы рекомендуем, чтобы отдел закупок внедрил систему, в которой фамилия заказчика заявки на закупку определяется немедленно и автоматически.</w:t>
            </w:r>
          </w:p>
        </w:tc>
        <w:tc>
          <w:tcPr>
            <w:tcW w:w="1362" w:type="pct"/>
            <w:tcBorders>
              <w:top w:val="single" w:sz="4" w:space="0" w:color="auto"/>
              <w:left w:val="single" w:sz="4" w:space="0" w:color="auto"/>
              <w:bottom w:val="single" w:sz="4" w:space="0" w:color="auto"/>
              <w:right w:val="single" w:sz="4" w:space="0" w:color="auto"/>
            </w:tcBorders>
          </w:tcPr>
          <w:p w14:paraId="7F53A1AB"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eastAsia="it-IT"/>
              </w:rPr>
              <w:t>Принимается, персоналу, составляющему Корзину покупок, будет дано указание составлять Корзину покупок с использованием стандартной функции "от имени заказчика". Будет реализовано автоматическое уведомление заказчика по электронной почте.</w:t>
            </w:r>
          </w:p>
        </w:tc>
        <w:tc>
          <w:tcPr>
            <w:tcW w:w="1363" w:type="pct"/>
            <w:tcBorders>
              <w:top w:val="single" w:sz="4" w:space="0" w:color="auto"/>
              <w:left w:val="single" w:sz="4" w:space="0" w:color="auto"/>
              <w:bottom w:val="single" w:sz="4" w:space="0" w:color="auto"/>
              <w:right w:val="single" w:sz="4" w:space="0" w:color="auto"/>
            </w:tcBorders>
          </w:tcPr>
          <w:p w14:paraId="466E2C89" w14:textId="159C0B94"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0BAF50B9"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В процессе осуществления.</w:t>
            </w:r>
          </w:p>
          <w:p w14:paraId="5FB89196" w14:textId="77777777" w:rsidR="00B86204" w:rsidRPr="002F16BB" w:rsidRDefault="00B86204" w:rsidP="00016740">
            <w:pPr>
              <w:keepNext/>
              <w:spacing w:before="20" w:after="20"/>
              <w:rPr>
                <w:rFonts w:cs="Calibri"/>
                <w:b/>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46B6132A"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В процессе осуществления.</w:t>
            </w:r>
          </w:p>
        </w:tc>
        <w:tc>
          <w:tcPr>
            <w:tcW w:w="720" w:type="pct"/>
            <w:tcBorders>
              <w:top w:val="single" w:sz="4" w:space="0" w:color="auto"/>
              <w:left w:val="single" w:sz="4" w:space="0" w:color="auto"/>
              <w:bottom w:val="single" w:sz="4" w:space="0" w:color="auto"/>
              <w:right w:val="single" w:sz="4" w:space="0" w:color="auto"/>
            </w:tcBorders>
          </w:tcPr>
          <w:p w14:paraId="520A0CC5"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t>В процессе выполнения.</w:t>
            </w:r>
          </w:p>
        </w:tc>
      </w:tr>
      <w:tr w:rsidR="00B86204" w:rsidRPr="002F16BB" w14:paraId="7AE41D24" w14:textId="77777777" w:rsidTr="00016740">
        <w:tc>
          <w:tcPr>
            <w:tcW w:w="339" w:type="pct"/>
            <w:tcBorders>
              <w:top w:val="single" w:sz="4" w:space="0" w:color="auto"/>
              <w:left w:val="single" w:sz="4" w:space="0" w:color="auto"/>
              <w:bottom w:val="single" w:sz="4" w:space="0" w:color="auto"/>
              <w:right w:val="single" w:sz="4" w:space="0" w:color="auto"/>
            </w:tcBorders>
          </w:tcPr>
          <w:p w14:paraId="0EC73A86" w14:textId="77777777" w:rsidR="00B86204" w:rsidRPr="002F16BB" w:rsidRDefault="00B86204" w:rsidP="00016740">
            <w:pPr>
              <w:pStyle w:val="Tabletext"/>
              <w:spacing w:before="20" w:after="20"/>
              <w:jc w:val="center"/>
              <w:rPr>
                <w:rFonts w:cs="Calibri"/>
                <w:b/>
                <w:sz w:val="18"/>
                <w:szCs w:val="18"/>
                <w:lang w:val="ru-RU" w:eastAsia="it-IT"/>
              </w:rPr>
            </w:pPr>
            <w:r w:rsidRPr="002F16BB">
              <w:rPr>
                <w:b/>
                <w:sz w:val="18"/>
                <w:szCs w:val="18"/>
                <w:lang w:val="ru-RU" w:eastAsia="it-IT"/>
              </w:rPr>
              <w:t>Рек.</w:t>
            </w:r>
            <w:r w:rsidRPr="002F16BB">
              <w:rPr>
                <w:b/>
                <w:sz w:val="18"/>
                <w:szCs w:val="18"/>
                <w:lang w:val="ru-RU" w:eastAsia="it-IT"/>
              </w:rPr>
              <w:br/>
            </w:r>
            <w:r w:rsidRPr="002F16BB">
              <w:rPr>
                <w:rFonts w:cs="Calibri"/>
                <w:b/>
                <w:bCs/>
                <w:sz w:val="18"/>
                <w:szCs w:val="18"/>
                <w:lang w:val="ru-RU" w:eastAsia="it-IT"/>
              </w:rPr>
              <w:t>8/2018</w:t>
            </w:r>
          </w:p>
        </w:tc>
        <w:tc>
          <w:tcPr>
            <w:tcW w:w="1216" w:type="pct"/>
            <w:tcBorders>
              <w:top w:val="single" w:sz="4" w:space="0" w:color="auto"/>
              <w:left w:val="single" w:sz="4" w:space="0" w:color="auto"/>
              <w:bottom w:val="single" w:sz="4" w:space="0" w:color="auto"/>
              <w:right w:val="single" w:sz="4" w:space="0" w:color="auto"/>
            </w:tcBorders>
          </w:tcPr>
          <w:p w14:paraId="0C1CD1EB"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eastAsia="it-IT"/>
              </w:rPr>
              <w:t xml:space="preserve">Мы повторяем свою рекомендацию </w:t>
            </w:r>
            <w:proofErr w:type="gramStart"/>
            <w:r w:rsidRPr="002F16BB">
              <w:rPr>
                <w:rFonts w:cs="Calibri"/>
                <w:sz w:val="18"/>
                <w:szCs w:val="18"/>
                <w:lang w:val="ru-RU" w:eastAsia="it-IT"/>
              </w:rPr>
              <w:t>9/2017</w:t>
            </w:r>
            <w:proofErr w:type="gramEnd"/>
            <w:r w:rsidRPr="002F16BB">
              <w:rPr>
                <w:rFonts w:cs="Calibri"/>
                <w:sz w:val="18"/>
                <w:szCs w:val="18"/>
                <w:lang w:val="ru-RU" w:eastAsia="it-IT"/>
              </w:rPr>
              <w:t xml:space="preserve"> и мы рекомендуем, чтобы сотрудники, участвующие в процессе закупок, подписывали Декларацию об отсутствии конфликта интересов (DACI) в случае любых закупок, независимо от порогового уровня их стоимости.</w:t>
            </w:r>
          </w:p>
        </w:tc>
        <w:tc>
          <w:tcPr>
            <w:tcW w:w="1362" w:type="pct"/>
            <w:tcBorders>
              <w:top w:val="single" w:sz="4" w:space="0" w:color="auto"/>
              <w:left w:val="single" w:sz="4" w:space="0" w:color="auto"/>
              <w:bottom w:val="single" w:sz="4" w:space="0" w:color="auto"/>
              <w:right w:val="single" w:sz="4" w:space="0" w:color="auto"/>
            </w:tcBorders>
          </w:tcPr>
          <w:p w14:paraId="48ADD06E"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eastAsia="it-IT"/>
              </w:rPr>
              <w:t>МСЭ сохраняет свою позицию, согласно которой только ключевые сотрудники, участвующие в процессе закупок, должны подписывать DACI. Данная рекомендация частично выполнена по состоянию на 1 апреля 2019 года. После этой даты в любом случае, если запрашивающее подразделение предлагает поставщика для осуществления у него закупок на сумму более 5000 швейцарских франков, он/она подписывает DACI.</w:t>
            </w:r>
          </w:p>
        </w:tc>
        <w:tc>
          <w:tcPr>
            <w:tcW w:w="1363" w:type="pct"/>
            <w:tcBorders>
              <w:top w:val="single" w:sz="4" w:space="0" w:color="auto"/>
              <w:left w:val="single" w:sz="4" w:space="0" w:color="auto"/>
              <w:bottom w:val="single" w:sz="4" w:space="0" w:color="auto"/>
              <w:right w:val="single" w:sz="4" w:space="0" w:color="auto"/>
            </w:tcBorders>
          </w:tcPr>
          <w:p w14:paraId="4F21DE4E" w14:textId="0380EB12"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615A4813"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Осуществлено согласно Руководству МСЭ по закупкам от июня 2019 года. Были определены ключевые сотрудники, которые должны подписывать DACI, и каждый раз, когда предлагается поставщик для осуществления у него закупок на сумму более 5000 швейцарских франков, запрашивающие лица подписывают эту форму.</w:t>
            </w:r>
          </w:p>
          <w:p w14:paraId="5F8BF6C3" w14:textId="77777777" w:rsidR="00B86204" w:rsidRPr="002F16BB" w:rsidRDefault="00B86204" w:rsidP="00016740">
            <w:pPr>
              <w:keepNext/>
              <w:spacing w:before="20" w:after="20"/>
              <w:rPr>
                <w:rFonts w:cs="Calibri"/>
                <w:b/>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17868C55" w14:textId="77777777" w:rsidR="00B86204" w:rsidRPr="002F16BB" w:rsidRDefault="00B86204" w:rsidP="00016740">
            <w:pPr>
              <w:keepNext/>
              <w:spacing w:before="20" w:after="20"/>
              <w:rPr>
                <w:rFonts w:cs="Calibri"/>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1FC2452A"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eastAsia="it-IT"/>
              </w:rPr>
              <w:t>Выполнено.</w:t>
            </w:r>
          </w:p>
        </w:tc>
      </w:tr>
      <w:tr w:rsidR="00B86204" w:rsidRPr="002F16BB" w14:paraId="553575F1" w14:textId="77777777" w:rsidTr="00016740">
        <w:tc>
          <w:tcPr>
            <w:tcW w:w="339" w:type="pct"/>
            <w:tcBorders>
              <w:top w:val="single" w:sz="4" w:space="0" w:color="auto"/>
              <w:left w:val="single" w:sz="4" w:space="0" w:color="auto"/>
              <w:bottom w:val="single" w:sz="4" w:space="0" w:color="auto"/>
              <w:right w:val="single" w:sz="4" w:space="0" w:color="auto"/>
            </w:tcBorders>
          </w:tcPr>
          <w:p w14:paraId="1C3EF9D2" w14:textId="77777777" w:rsidR="00B86204" w:rsidRPr="002F16BB" w:rsidRDefault="00B86204" w:rsidP="00016740">
            <w:pPr>
              <w:pStyle w:val="Tabletext"/>
              <w:spacing w:before="20" w:after="20"/>
              <w:jc w:val="center"/>
              <w:rPr>
                <w:rFonts w:cs="Calibri"/>
                <w:sz w:val="18"/>
                <w:szCs w:val="18"/>
                <w:lang w:val="ru-RU" w:eastAsia="it-IT"/>
              </w:rPr>
            </w:pPr>
            <w:r w:rsidRPr="002F16BB">
              <w:rPr>
                <w:b/>
                <w:sz w:val="18"/>
                <w:szCs w:val="18"/>
                <w:lang w:val="ru-RU" w:eastAsia="it-IT"/>
              </w:rPr>
              <w:t>Рек. 9/2018</w:t>
            </w:r>
          </w:p>
        </w:tc>
        <w:tc>
          <w:tcPr>
            <w:tcW w:w="1216" w:type="pct"/>
            <w:tcBorders>
              <w:top w:val="single" w:sz="4" w:space="0" w:color="auto"/>
              <w:left w:val="single" w:sz="4" w:space="0" w:color="auto"/>
              <w:bottom w:val="single" w:sz="4" w:space="0" w:color="auto"/>
              <w:right w:val="single" w:sz="4" w:space="0" w:color="auto"/>
            </w:tcBorders>
          </w:tcPr>
          <w:p w14:paraId="3702BDFD"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Ввиду вышеизложенного мы рекомендуем установить процедуру ежегодной выборочной проверки заявлений о раскрытии финансовой информации и заявлений об отсутствии конфликта интересов, для проверки правдивости информации, заявляемой отдельными сотрудниками.</w:t>
            </w:r>
          </w:p>
        </w:tc>
        <w:tc>
          <w:tcPr>
            <w:tcW w:w="1362" w:type="pct"/>
            <w:tcBorders>
              <w:top w:val="single" w:sz="4" w:space="0" w:color="auto"/>
              <w:left w:val="single" w:sz="4" w:space="0" w:color="auto"/>
              <w:bottom w:val="single" w:sz="4" w:space="0" w:color="auto"/>
              <w:right w:val="single" w:sz="4" w:space="0" w:color="auto"/>
            </w:tcBorders>
          </w:tcPr>
          <w:p w14:paraId="7F3F5E6F"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В Служебном приказе 11/03 от 22 февраля 2011 года сотруднику по вопросам этики поручается предоставлять конфиденциальные руководство и консультации всем сотрудникам в отношении раскрытия их финансовой информации, а также обращать их внимание на конфликты или потенциальные конфликты интересов, очевидные в заявлениях о раскрытии финансовой информации. Это предполагает, что сотрудник по вопросам этики не только является получателем и хранителем заявлений о раскрытии финансовой информации, но и проверяет заявления на их полноту и также рассматривает представления, чтобы оценить, требуются ли последующие действия по поводу потенциальных конфликтов. Если сотрудник по вопросам этики приходит к выводу, что в заявлении могут содержаться простые вопросы, которые нельзя решить </w:t>
            </w:r>
            <w:r w:rsidRPr="002F16BB">
              <w:rPr>
                <w:rFonts w:cs="Calibri"/>
                <w:sz w:val="18"/>
                <w:szCs w:val="18"/>
                <w:lang w:val="ru-RU" w:eastAsia="it-IT"/>
              </w:rPr>
              <w:lastRenderedPageBreak/>
              <w:t>путем запроса разъяснений у соответствующего сотрудника, но которые могут квалифицироваться как намеренно неточная или ложная информация, или же он подозревает потенциальный случай конфликта интересов либо ситуацию или действия, показывающие потенциальное ненадлежащее поведение, неправомерные действия или запрещенный вид практики или поведения, этот случай может расследоваться в соответствии с руководящими указаниями, опубликованными в недавно выпущенном Служебном приказе 19/10 от 2 мая 2019 года.</w:t>
            </w:r>
          </w:p>
        </w:tc>
        <w:tc>
          <w:tcPr>
            <w:tcW w:w="1363" w:type="pct"/>
            <w:tcBorders>
              <w:top w:val="single" w:sz="4" w:space="0" w:color="auto"/>
              <w:left w:val="single" w:sz="4" w:space="0" w:color="auto"/>
              <w:bottom w:val="single" w:sz="4" w:space="0" w:color="auto"/>
              <w:right w:val="single" w:sz="4" w:space="0" w:color="auto"/>
            </w:tcBorders>
          </w:tcPr>
          <w:p w14:paraId="3D16CC20" w14:textId="7D78057D"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lastRenderedPageBreak/>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2EA1AE95"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На сессии Совета 2019 года МСЭ обязался улучшить свою ежегодную форму раскрытия финансовой информации в двух областях: обеспечить, чтобы сотрудники, заполняющие форму, подтверждали свою подотчетность перед МСЭ, и расширить охват раскрытия финансовой информации. В соответствии с этим обязательством </w:t>
            </w:r>
            <w:r w:rsidRPr="002F16BB">
              <w:rPr>
                <w:color w:val="000000"/>
                <w:sz w:val="18"/>
                <w:szCs w:val="18"/>
                <w:lang w:val="ru-RU"/>
              </w:rPr>
              <w:t>Управление по вопросам этики</w:t>
            </w:r>
            <w:r w:rsidRPr="002F16BB">
              <w:rPr>
                <w:rFonts w:cs="Calibri"/>
                <w:sz w:val="18"/>
                <w:szCs w:val="18"/>
                <w:lang w:val="ru-RU" w:eastAsia="it-IT"/>
              </w:rPr>
              <w:t xml:space="preserve"> разработало пересмотренную форму раскрытия информации, в которой сотрудники подтверждают, что они соблюдают соответствующие направления политики и процедуры МСЭ, подтверждают свою подотчетность МСЭ и соблюдение этих правил, а</w:t>
            </w:r>
            <w:r>
              <w:rPr>
                <w:rFonts w:cs="Calibri"/>
                <w:sz w:val="18"/>
                <w:szCs w:val="18"/>
                <w:lang w:val="ru-RU" w:eastAsia="it-IT"/>
              </w:rPr>
              <w:t> </w:t>
            </w:r>
            <w:r w:rsidRPr="002F16BB">
              <w:rPr>
                <w:rFonts w:cs="Calibri"/>
                <w:sz w:val="18"/>
                <w:szCs w:val="18"/>
                <w:lang w:val="ru-RU" w:eastAsia="it-IT"/>
              </w:rPr>
              <w:t xml:space="preserve">также раскрывают информацию об обстоятельствах, которые следует довести до сведения МСЭ, чтобы смягчить их последствия. Документ о концепции предлагаемого </w:t>
            </w:r>
            <w:r w:rsidRPr="002F16BB">
              <w:rPr>
                <w:rFonts w:cs="Calibri"/>
                <w:sz w:val="18"/>
                <w:szCs w:val="18"/>
                <w:lang w:val="ru-RU" w:eastAsia="it-IT"/>
              </w:rPr>
              <w:lastRenderedPageBreak/>
              <w:t>пересмотра будет обсуждаться Координационным комитетом в декабре 2019 года.</w:t>
            </w:r>
          </w:p>
          <w:p w14:paraId="0BB3647F"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Ответственность за формы по раскрытию информации будет по-прежнему нести Управление по вопросам этики, которое будет и далее рассматривать каждое заявление с целью определения того, требуются ли последующие меры. </w:t>
            </w:r>
          </w:p>
          <w:p w14:paraId="7C2311DB" w14:textId="77777777"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687107D3"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В сентябре 2020 года была опубликована пересмотренная политика раскрытия финансовой информации – Политика МСЭ по заявлению о заинтересованности (Служебный приказ 20/07). Новая практика раскрытия финансовой информации будет распространена на всех сотрудников с января 2021 года, и для нее создана новая форма раскрытия информации.</w:t>
            </w:r>
          </w:p>
          <w:p w14:paraId="534620DD"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В настоящее время Управление по вопросам этики завершает подготовку по раскрытию финансовой информации для форм раскрытия информации 2019 года и продолжает рассматривать каждое заявление с целью определения того, требуются ли последующие меры.</w:t>
            </w:r>
          </w:p>
        </w:tc>
        <w:tc>
          <w:tcPr>
            <w:tcW w:w="720" w:type="pct"/>
            <w:tcBorders>
              <w:top w:val="single" w:sz="4" w:space="0" w:color="auto"/>
              <w:left w:val="single" w:sz="4" w:space="0" w:color="auto"/>
              <w:bottom w:val="single" w:sz="4" w:space="0" w:color="auto"/>
              <w:right w:val="single" w:sz="4" w:space="0" w:color="auto"/>
            </w:tcBorders>
          </w:tcPr>
          <w:p w14:paraId="446797C0"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lastRenderedPageBreak/>
              <w:t>В процессе выполнения.</w:t>
            </w:r>
          </w:p>
        </w:tc>
      </w:tr>
      <w:tr w:rsidR="00B86204" w:rsidRPr="002F16BB" w14:paraId="154CC69F" w14:textId="77777777" w:rsidTr="00016740">
        <w:tc>
          <w:tcPr>
            <w:tcW w:w="339" w:type="pct"/>
            <w:tcBorders>
              <w:top w:val="single" w:sz="4" w:space="0" w:color="auto"/>
              <w:left w:val="single" w:sz="4" w:space="0" w:color="auto"/>
              <w:bottom w:val="single" w:sz="4" w:space="0" w:color="auto"/>
              <w:right w:val="single" w:sz="4" w:space="0" w:color="auto"/>
            </w:tcBorders>
          </w:tcPr>
          <w:p w14:paraId="7EFA8C8B" w14:textId="77777777" w:rsidR="00B86204" w:rsidRPr="002F16BB" w:rsidRDefault="00B86204" w:rsidP="00016740">
            <w:pPr>
              <w:pStyle w:val="Tabletext"/>
              <w:spacing w:before="20" w:after="20"/>
              <w:jc w:val="center"/>
              <w:rPr>
                <w:rFonts w:cs="Calibri"/>
                <w:sz w:val="18"/>
                <w:szCs w:val="18"/>
                <w:lang w:val="ru-RU" w:eastAsia="it-IT"/>
              </w:rPr>
            </w:pPr>
            <w:r w:rsidRPr="002F16BB">
              <w:rPr>
                <w:b/>
                <w:sz w:val="18"/>
                <w:szCs w:val="18"/>
                <w:lang w:val="ru-RU" w:eastAsia="it-IT"/>
              </w:rPr>
              <w:t>Рек. 10/2018</w:t>
            </w:r>
          </w:p>
        </w:tc>
        <w:tc>
          <w:tcPr>
            <w:tcW w:w="1216" w:type="pct"/>
            <w:tcBorders>
              <w:top w:val="single" w:sz="4" w:space="0" w:color="auto"/>
              <w:left w:val="single" w:sz="4" w:space="0" w:color="auto"/>
              <w:bottom w:val="single" w:sz="4" w:space="0" w:color="auto"/>
              <w:right w:val="single" w:sz="4" w:space="0" w:color="auto"/>
            </w:tcBorders>
          </w:tcPr>
          <w:p w14:paraId="6CEEA335"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Мы рекомендуем разработать руководящие указания, где указывалось бы, как и в какой степени следует вовлекать директора регионального отделения в процесс закупок и какие проверки следует проводить на уровне штаб-квартиры перед разрешением закупок.</w:t>
            </w:r>
          </w:p>
        </w:tc>
        <w:tc>
          <w:tcPr>
            <w:tcW w:w="1362" w:type="pct"/>
            <w:tcBorders>
              <w:top w:val="single" w:sz="4" w:space="0" w:color="auto"/>
              <w:left w:val="single" w:sz="4" w:space="0" w:color="auto"/>
              <w:bottom w:val="single" w:sz="4" w:space="0" w:color="auto"/>
              <w:right w:val="single" w:sz="4" w:space="0" w:color="auto"/>
            </w:tcBorders>
          </w:tcPr>
          <w:p w14:paraId="19F82C0E"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МСЭ согласен рассмотреть роль директора регионального отделения в процессе закупок и платежа. Директором БРЭ была создана внутренняя рабочая группа для укрепления внутреннего контроля. В группу входят сотрудники БРЭ, FRMD (финансы, закупки), подразделения по правовым вопросам, HRMD, Управления по вопросам этики и Департамента информационных услуг. В круг ведения группы входит, в частности, рассмотрение слабых мест в различных процессах и выводов, содержащихся в отчетах </w:t>
            </w:r>
            <w:r w:rsidRPr="002F16BB">
              <w:rPr>
                <w:rFonts w:cs="Calibri"/>
                <w:sz w:val="18"/>
                <w:szCs w:val="18"/>
                <w:lang w:val="ru-RU" w:eastAsia="it-IT"/>
              </w:rPr>
              <w:lastRenderedPageBreak/>
              <w:t>по внутреннему и внешнему аудиту, а также подготовка плана действий для смягчения последствий каких-либо дефектов и связанных с ними рисков.</w:t>
            </w:r>
          </w:p>
        </w:tc>
        <w:tc>
          <w:tcPr>
            <w:tcW w:w="1363" w:type="pct"/>
            <w:tcBorders>
              <w:top w:val="single" w:sz="4" w:space="0" w:color="auto"/>
              <w:left w:val="single" w:sz="4" w:space="0" w:color="auto"/>
              <w:bottom w:val="single" w:sz="4" w:space="0" w:color="auto"/>
              <w:right w:val="single" w:sz="4" w:space="0" w:color="auto"/>
            </w:tcBorders>
          </w:tcPr>
          <w:p w14:paraId="60BEDC0B" w14:textId="0671082B" w:rsidR="00B86204" w:rsidRPr="002F16BB" w:rsidRDefault="00B86204" w:rsidP="00016740">
            <w:pPr>
              <w:pStyle w:val="Tabletext"/>
              <w:spacing w:before="20" w:after="20"/>
              <w:rPr>
                <w:rFonts w:cs="Calibri"/>
                <w:sz w:val="18"/>
                <w:szCs w:val="18"/>
                <w:lang w:val="ru-RU" w:eastAsia="it-IT"/>
              </w:rPr>
            </w:pPr>
            <w:bookmarkStart w:id="432" w:name="_Hlk27573980"/>
            <w:r w:rsidRPr="002F16BB">
              <w:rPr>
                <w:b/>
                <w:bCs/>
                <w:sz w:val="18"/>
                <w:szCs w:val="18"/>
                <w:lang w:val="ru-RU" w:eastAsia="it-IT"/>
              </w:rPr>
              <w:lastRenderedPageBreak/>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150C6C5D"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Совет 2019 года утвердил обновленное Руководство по закупкам. МСЭ принял решение о дальнейшем рассмотрении роли директора регионального отделения в процессе закупок и платежа в соответствии с новым Руководством по закупкам.</w:t>
            </w:r>
          </w:p>
          <w:p w14:paraId="18A5E183"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Была проведена профессиональная подготовка по Руководству по закупкам для всех директоров региональных отделений и других региональных сотрудников.</w:t>
            </w:r>
          </w:p>
          <w:bookmarkEnd w:id="432"/>
          <w:p w14:paraId="2EC91B22" w14:textId="77777777"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lastRenderedPageBreak/>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7422B832"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730155FD"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eastAsia="it-IT"/>
              </w:rPr>
              <w:lastRenderedPageBreak/>
              <w:t>Выполнено.</w:t>
            </w:r>
          </w:p>
        </w:tc>
      </w:tr>
      <w:tr w:rsidR="00B86204" w:rsidRPr="002F16BB" w14:paraId="3F9B86E4" w14:textId="77777777" w:rsidTr="00016740">
        <w:tc>
          <w:tcPr>
            <w:tcW w:w="339" w:type="pct"/>
            <w:tcBorders>
              <w:top w:val="single" w:sz="4" w:space="0" w:color="auto"/>
              <w:left w:val="single" w:sz="4" w:space="0" w:color="auto"/>
              <w:bottom w:val="single" w:sz="4" w:space="0" w:color="auto"/>
              <w:right w:val="single" w:sz="4" w:space="0" w:color="auto"/>
            </w:tcBorders>
          </w:tcPr>
          <w:p w14:paraId="3D6C710B" w14:textId="77777777" w:rsidR="00B86204" w:rsidRPr="002F16BB" w:rsidRDefault="00B86204" w:rsidP="00016740">
            <w:pPr>
              <w:pStyle w:val="Tabletext"/>
              <w:spacing w:before="20" w:after="20"/>
              <w:jc w:val="center"/>
              <w:rPr>
                <w:rFonts w:cs="Calibri"/>
                <w:sz w:val="18"/>
                <w:szCs w:val="18"/>
                <w:lang w:val="ru-RU" w:eastAsia="it-IT"/>
              </w:rPr>
            </w:pPr>
            <w:r w:rsidRPr="002F16BB">
              <w:rPr>
                <w:b/>
                <w:sz w:val="18"/>
                <w:szCs w:val="18"/>
                <w:lang w:val="ru-RU" w:eastAsia="it-IT"/>
              </w:rPr>
              <w:t>Рек. 11/2018</w:t>
            </w:r>
          </w:p>
        </w:tc>
        <w:tc>
          <w:tcPr>
            <w:tcW w:w="1216" w:type="pct"/>
            <w:tcBorders>
              <w:top w:val="single" w:sz="4" w:space="0" w:color="auto"/>
              <w:left w:val="single" w:sz="4" w:space="0" w:color="auto"/>
              <w:bottom w:val="single" w:sz="4" w:space="0" w:color="auto"/>
              <w:right w:val="single" w:sz="4" w:space="0" w:color="auto"/>
            </w:tcBorders>
          </w:tcPr>
          <w:p w14:paraId="04397E14"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Мы рекомендуем создать стандартную систему мониторинга, с помощью контрольных перечней или инструментов на базе ИТ, где указывалось бы, как следует эффективно привлекать директора регионального отделения и БРЭ к оценке </w:t>
            </w:r>
            <w:proofErr w:type="spellStart"/>
            <w:r w:rsidRPr="002F16BB">
              <w:rPr>
                <w:rFonts w:cs="Calibri"/>
                <w:sz w:val="18"/>
                <w:szCs w:val="18"/>
                <w:lang w:val="ru-RU" w:eastAsia="it-IT"/>
              </w:rPr>
              <w:t>ex-post</w:t>
            </w:r>
            <w:proofErr w:type="spellEnd"/>
            <w:r w:rsidRPr="002F16BB">
              <w:rPr>
                <w:rFonts w:cs="Calibri"/>
                <w:sz w:val="18"/>
                <w:szCs w:val="18"/>
                <w:lang w:val="ru-RU" w:eastAsia="it-IT"/>
              </w:rPr>
              <w:t xml:space="preserve"> эффективности расходов.</w:t>
            </w:r>
          </w:p>
        </w:tc>
        <w:tc>
          <w:tcPr>
            <w:tcW w:w="1362" w:type="pct"/>
            <w:tcBorders>
              <w:top w:val="single" w:sz="4" w:space="0" w:color="auto"/>
              <w:left w:val="single" w:sz="4" w:space="0" w:color="auto"/>
              <w:bottom w:val="single" w:sz="4" w:space="0" w:color="auto"/>
              <w:right w:val="single" w:sz="4" w:space="0" w:color="auto"/>
            </w:tcBorders>
          </w:tcPr>
          <w:p w14:paraId="2CA678E5"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МСЭ принял к сведению рекомендацию 11 и будет далее изучать эффективность участия директоров региональных отделений в оценке эффективности расходов МСЭ в соответствующих регионах.</w:t>
            </w:r>
          </w:p>
        </w:tc>
        <w:tc>
          <w:tcPr>
            <w:tcW w:w="1363" w:type="pct"/>
            <w:tcBorders>
              <w:top w:val="single" w:sz="4" w:space="0" w:color="auto"/>
              <w:left w:val="single" w:sz="4" w:space="0" w:color="auto"/>
              <w:bottom w:val="single" w:sz="4" w:space="0" w:color="auto"/>
              <w:right w:val="single" w:sz="4" w:space="0" w:color="auto"/>
            </w:tcBorders>
          </w:tcPr>
          <w:p w14:paraId="0978A271" w14:textId="3FAF11D5"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73FC73D5"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Чрезвычайное значение имеет привлечение директоров региональных отделений к оценке эффективности расходов МСЭ по соответствующим регионам. БРЭ укрепило свою деятельность по планированию на базе УОР на 2020 год, включая региональную деятельность. Наряду с этим БРЭ рассматривает свои ИТ</w:t>
            </w:r>
            <w:r w:rsidRPr="002F16BB">
              <w:rPr>
                <w:rFonts w:cs="Calibri"/>
                <w:sz w:val="18"/>
                <w:szCs w:val="18"/>
                <w:lang w:val="ru-RU" w:eastAsia="it-IT"/>
              </w:rPr>
              <w:noBreakHyphen/>
              <w:t>инструменты поддержки планирования и мониторинга издержек. Улучшенное планирование и усовершенствованные инструменты МСЭ должны стать хорошей основой для оценки эффективности издержек МСЭ по соответствующим регионам.</w:t>
            </w:r>
          </w:p>
          <w:p w14:paraId="36F4A7B8" w14:textId="77777777"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62D302B3"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БРЭ и IS рассматривают целесообразность включения отчетности на страновом уровне в</w:t>
            </w:r>
            <w:r>
              <w:rPr>
                <w:rFonts w:cs="Calibri"/>
                <w:sz w:val="18"/>
                <w:szCs w:val="18"/>
                <w:lang w:val="ru-RU" w:eastAsia="it-IT"/>
              </w:rPr>
              <w:t> </w:t>
            </w:r>
            <w:r w:rsidRPr="002F16BB">
              <w:rPr>
                <w:rFonts w:cs="Calibri"/>
                <w:sz w:val="18"/>
                <w:szCs w:val="18"/>
                <w:lang w:val="ru-RU" w:eastAsia="it-IT"/>
              </w:rPr>
              <w:t>SAP.</w:t>
            </w:r>
          </w:p>
        </w:tc>
        <w:tc>
          <w:tcPr>
            <w:tcW w:w="720" w:type="pct"/>
            <w:tcBorders>
              <w:top w:val="single" w:sz="4" w:space="0" w:color="auto"/>
              <w:left w:val="single" w:sz="4" w:space="0" w:color="auto"/>
              <w:bottom w:val="single" w:sz="4" w:space="0" w:color="auto"/>
              <w:right w:val="single" w:sz="4" w:space="0" w:color="auto"/>
            </w:tcBorders>
          </w:tcPr>
          <w:p w14:paraId="541B8A75"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t>В процессе выполнения.</w:t>
            </w:r>
          </w:p>
        </w:tc>
      </w:tr>
      <w:tr w:rsidR="00B86204" w:rsidRPr="002F16BB" w14:paraId="1FAAC0EC" w14:textId="77777777" w:rsidTr="00016740">
        <w:tc>
          <w:tcPr>
            <w:tcW w:w="339" w:type="pct"/>
            <w:tcBorders>
              <w:top w:val="single" w:sz="4" w:space="0" w:color="auto"/>
              <w:left w:val="single" w:sz="4" w:space="0" w:color="auto"/>
              <w:bottom w:val="single" w:sz="4" w:space="0" w:color="auto"/>
              <w:right w:val="single" w:sz="4" w:space="0" w:color="auto"/>
            </w:tcBorders>
          </w:tcPr>
          <w:p w14:paraId="4C92B13E"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12/2018</w:t>
            </w:r>
          </w:p>
        </w:tc>
        <w:tc>
          <w:tcPr>
            <w:tcW w:w="1216" w:type="pct"/>
            <w:tcBorders>
              <w:top w:val="single" w:sz="4" w:space="0" w:color="auto"/>
              <w:left w:val="single" w:sz="4" w:space="0" w:color="auto"/>
              <w:bottom w:val="single" w:sz="4" w:space="0" w:color="auto"/>
              <w:right w:val="single" w:sz="4" w:space="0" w:color="auto"/>
            </w:tcBorders>
          </w:tcPr>
          <w:p w14:paraId="32A67E40"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Ввиду этого, также для совершенствования системы внутреннего контроля на региональном уровне, мы рекомендуем МСЭ разработать специальные руководящие указания или, в соответствии с передовым опытом, опубликовать подробный региональный оперативный справочник, в котором все процессы, такие как управление денежными средствами, реестр основных средств и т. п., были бы стандартизованы посредством специальных процедур и контрольных перечней, чтобы гарантировать наличие </w:t>
            </w:r>
            <w:r w:rsidRPr="002F16BB">
              <w:rPr>
                <w:rFonts w:cs="Calibri"/>
                <w:sz w:val="18"/>
                <w:szCs w:val="18"/>
                <w:lang w:val="ru-RU" w:eastAsia="it-IT"/>
              </w:rPr>
              <w:lastRenderedPageBreak/>
              <w:t>эффективной системы внутреннего контроля на региональном уровне.</w:t>
            </w:r>
          </w:p>
        </w:tc>
        <w:tc>
          <w:tcPr>
            <w:tcW w:w="1362" w:type="pct"/>
            <w:tcBorders>
              <w:top w:val="single" w:sz="4" w:space="0" w:color="auto"/>
              <w:left w:val="single" w:sz="4" w:space="0" w:color="auto"/>
              <w:bottom w:val="single" w:sz="4" w:space="0" w:color="auto"/>
              <w:right w:val="single" w:sz="4" w:space="0" w:color="auto"/>
            </w:tcBorders>
          </w:tcPr>
          <w:p w14:paraId="38463837"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lastRenderedPageBreak/>
              <w:t>Мы принимаем к сведению данную рекомендацию. Руководящие указания, касающиеся региональных/зональных отделений, уже имеются. FRMD и БРЭ/ADM проведут полный анализ этих руководящих указаний для совершенствования процессов и внутреннего контроля. Директором БРЭ была создана внутренняя рабочая группа для укрепления внутреннего контроля. В группу входят сотрудники БРЭ, FRMD (финансы, закупки), подразделения по правовым вопросам, HRMD, управления по вопросам этики и Департамента информационных услуг.</w:t>
            </w:r>
          </w:p>
        </w:tc>
        <w:tc>
          <w:tcPr>
            <w:tcW w:w="1363" w:type="pct"/>
            <w:tcBorders>
              <w:top w:val="single" w:sz="4" w:space="0" w:color="auto"/>
              <w:left w:val="single" w:sz="4" w:space="0" w:color="auto"/>
              <w:bottom w:val="single" w:sz="4" w:space="0" w:color="auto"/>
              <w:right w:val="single" w:sz="4" w:space="0" w:color="auto"/>
            </w:tcBorders>
          </w:tcPr>
          <w:p w14:paraId="78E75D16" w14:textId="0E16C5D7"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5EEAFD4A"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В настоящее время рассматривается ряд руководящих указаний. При рассмотрении будет приниматься во внимание работа внутренней рабочей группы по укреплению внутреннего контроля.</w:t>
            </w:r>
          </w:p>
          <w:p w14:paraId="7803FA16" w14:textId="77777777" w:rsidR="00B86204" w:rsidRPr="002F16BB" w:rsidRDefault="00B86204" w:rsidP="00016740">
            <w:pPr>
              <w:pStyle w:val="Tabletext"/>
              <w:keepNext/>
              <w:keepLines/>
              <w:spacing w:before="20" w:after="20"/>
              <w:rPr>
                <w:rFonts w:cs="Calibri"/>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4B9E2802"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Пересмотренные руководящие указания по управлению денежными средствами доведены до региональных и зональных отделений, и были проведены информационные собрания. </w:t>
            </w:r>
          </w:p>
          <w:p w14:paraId="0D71C50C"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lastRenderedPageBreak/>
              <w:t>Подготовлены руководящие указания по закупкам активов для проектов и по инвентарному перечню для активов для проектов, находящихся в ведении МСЭ. Произведена конфигурация системы SAP, и она готова к включению активов для проектов, находящихся в ведении МСЭ, в систему инвентарного учета.</w:t>
            </w:r>
          </w:p>
        </w:tc>
        <w:tc>
          <w:tcPr>
            <w:tcW w:w="720" w:type="pct"/>
            <w:tcBorders>
              <w:top w:val="single" w:sz="4" w:space="0" w:color="auto"/>
              <w:left w:val="single" w:sz="4" w:space="0" w:color="auto"/>
              <w:bottom w:val="single" w:sz="4" w:space="0" w:color="auto"/>
              <w:right w:val="single" w:sz="4" w:space="0" w:color="auto"/>
            </w:tcBorders>
          </w:tcPr>
          <w:p w14:paraId="60A11B8C"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lastRenderedPageBreak/>
              <w:t>В процессе выполнения.</w:t>
            </w:r>
          </w:p>
        </w:tc>
      </w:tr>
      <w:tr w:rsidR="00B86204" w:rsidRPr="00FE280E" w14:paraId="7D94A909" w14:textId="77777777" w:rsidTr="00016740">
        <w:tc>
          <w:tcPr>
            <w:tcW w:w="339" w:type="pct"/>
            <w:tcBorders>
              <w:top w:val="single" w:sz="4" w:space="0" w:color="auto"/>
              <w:left w:val="single" w:sz="4" w:space="0" w:color="auto"/>
              <w:bottom w:val="single" w:sz="4" w:space="0" w:color="auto"/>
              <w:right w:val="single" w:sz="4" w:space="0" w:color="auto"/>
            </w:tcBorders>
          </w:tcPr>
          <w:p w14:paraId="74B7E942"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13/2018</w:t>
            </w:r>
          </w:p>
        </w:tc>
        <w:tc>
          <w:tcPr>
            <w:tcW w:w="1216" w:type="pct"/>
            <w:tcBorders>
              <w:top w:val="single" w:sz="4" w:space="0" w:color="auto"/>
              <w:left w:val="single" w:sz="4" w:space="0" w:color="auto"/>
              <w:bottom w:val="single" w:sz="4" w:space="0" w:color="auto"/>
              <w:right w:val="single" w:sz="4" w:space="0" w:color="auto"/>
            </w:tcBorders>
          </w:tcPr>
          <w:p w14:paraId="4E7C8CC6"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Для совершенствования системы внутреннего контроля на региональном уровне мы рекомендуем руководству разработать особый и подробный список расходов, которые могут разрешать или исключать директора региональных отделений.</w:t>
            </w:r>
          </w:p>
        </w:tc>
        <w:tc>
          <w:tcPr>
            <w:tcW w:w="1362" w:type="pct"/>
            <w:tcBorders>
              <w:top w:val="single" w:sz="4" w:space="0" w:color="auto"/>
              <w:left w:val="single" w:sz="4" w:space="0" w:color="auto"/>
              <w:bottom w:val="single" w:sz="4" w:space="0" w:color="auto"/>
              <w:right w:val="single" w:sz="4" w:space="0" w:color="auto"/>
            </w:tcBorders>
          </w:tcPr>
          <w:p w14:paraId="1B317541"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Эта рекомендация будет принята во внимание при анализе руководящих указаний.</w:t>
            </w:r>
          </w:p>
        </w:tc>
        <w:tc>
          <w:tcPr>
            <w:tcW w:w="1363" w:type="pct"/>
            <w:tcBorders>
              <w:top w:val="single" w:sz="4" w:space="0" w:color="auto"/>
              <w:left w:val="single" w:sz="4" w:space="0" w:color="auto"/>
              <w:bottom w:val="single" w:sz="4" w:space="0" w:color="auto"/>
              <w:right w:val="single" w:sz="4" w:space="0" w:color="auto"/>
            </w:tcBorders>
          </w:tcPr>
          <w:p w14:paraId="536BF29D" w14:textId="50B5C23E"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6F474D1F"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Настоящая рекомендация будет принята во внимание при планировании и осуществлении оперативных планов БРЭ на 2020 год.</w:t>
            </w:r>
          </w:p>
          <w:p w14:paraId="1D66812B" w14:textId="77777777"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00761F79"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В июле 2020 года в рамках процесса УОР БРЭ ввело в действие документ о делегировании полномочий, в котором содержатся пороговые значения для утверждения, применимые к директорам региональных отделений, установив пороговое значение 15 000 долл. США для утверждения издержек на уровне директора регионального отделения с четкими положениями, касающимися подотчетности.</w:t>
            </w:r>
          </w:p>
        </w:tc>
        <w:tc>
          <w:tcPr>
            <w:tcW w:w="720" w:type="pct"/>
            <w:tcBorders>
              <w:top w:val="single" w:sz="4" w:space="0" w:color="auto"/>
              <w:left w:val="single" w:sz="4" w:space="0" w:color="auto"/>
              <w:bottom w:val="single" w:sz="4" w:space="0" w:color="auto"/>
              <w:right w:val="single" w:sz="4" w:space="0" w:color="auto"/>
            </w:tcBorders>
          </w:tcPr>
          <w:p w14:paraId="4EA2180F" w14:textId="77777777" w:rsidR="00B86204" w:rsidRPr="002F16BB" w:rsidRDefault="00B86204" w:rsidP="00016740">
            <w:pPr>
              <w:widowControl w:val="0"/>
              <w:kinsoku w:val="0"/>
              <w:adjustRightInd/>
              <w:spacing w:before="20" w:after="20"/>
              <w:rPr>
                <w:rFonts w:cs="Calibri"/>
                <w:sz w:val="18"/>
                <w:szCs w:val="18"/>
                <w:lang w:val="ru-RU" w:eastAsia="it-IT"/>
              </w:rPr>
            </w:pPr>
            <w:r w:rsidRPr="002F16BB">
              <w:rPr>
                <w:sz w:val="18"/>
                <w:szCs w:val="18"/>
                <w:lang w:val="ru-RU"/>
              </w:rPr>
              <w:t>В процессе выполнения.</w:t>
            </w:r>
          </w:p>
          <w:p w14:paraId="3B81CCA5"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Мы будем контролировать осуществление в контексте наших следующих аудиторских проверок.</w:t>
            </w:r>
          </w:p>
        </w:tc>
      </w:tr>
      <w:tr w:rsidR="00B86204" w:rsidRPr="00FE280E" w14:paraId="065671A1" w14:textId="77777777" w:rsidTr="00016740">
        <w:tc>
          <w:tcPr>
            <w:tcW w:w="339" w:type="pct"/>
            <w:tcBorders>
              <w:top w:val="single" w:sz="4" w:space="0" w:color="auto"/>
              <w:left w:val="single" w:sz="4" w:space="0" w:color="auto"/>
              <w:bottom w:val="single" w:sz="4" w:space="0" w:color="auto"/>
              <w:right w:val="single" w:sz="4" w:space="0" w:color="auto"/>
            </w:tcBorders>
          </w:tcPr>
          <w:p w14:paraId="4B25A8F8"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14/2018</w:t>
            </w:r>
          </w:p>
        </w:tc>
        <w:tc>
          <w:tcPr>
            <w:tcW w:w="1216" w:type="pct"/>
            <w:tcBorders>
              <w:top w:val="single" w:sz="4" w:space="0" w:color="auto"/>
              <w:left w:val="single" w:sz="4" w:space="0" w:color="auto"/>
              <w:bottom w:val="single" w:sz="4" w:space="0" w:color="auto"/>
              <w:right w:val="single" w:sz="4" w:space="0" w:color="auto"/>
            </w:tcBorders>
          </w:tcPr>
          <w:p w14:paraId="7ECFFEBE"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Для совершенствования системы внутреннего контроля на региональном уровне мы рекомендуем директорам региональных отделений проводить </w:t>
            </w:r>
            <w:proofErr w:type="spellStart"/>
            <w:r w:rsidRPr="002F16BB">
              <w:rPr>
                <w:rFonts w:cs="Calibri"/>
                <w:sz w:val="18"/>
                <w:szCs w:val="18"/>
                <w:lang w:val="ru-RU" w:eastAsia="it-IT"/>
              </w:rPr>
              <w:t>необъявляемые</w:t>
            </w:r>
            <w:proofErr w:type="spellEnd"/>
            <w:r w:rsidRPr="002F16BB">
              <w:rPr>
                <w:rFonts w:cs="Calibri"/>
                <w:sz w:val="18"/>
                <w:szCs w:val="18"/>
                <w:lang w:val="ru-RU" w:eastAsia="it-IT"/>
              </w:rPr>
              <w:t xml:space="preserve"> проверки учетных записей мелких сумм расходов в зональных отделениях и вести по стандартной форме аудиторское досье таких проверок, которое следует незамедлительно передавать в штаб-квартиру и FRMD.</w:t>
            </w:r>
          </w:p>
        </w:tc>
        <w:tc>
          <w:tcPr>
            <w:tcW w:w="1362" w:type="pct"/>
            <w:tcBorders>
              <w:top w:val="single" w:sz="4" w:space="0" w:color="auto"/>
              <w:left w:val="single" w:sz="4" w:space="0" w:color="auto"/>
              <w:bottom w:val="single" w:sz="4" w:space="0" w:color="auto"/>
              <w:right w:val="single" w:sz="4" w:space="0" w:color="auto"/>
            </w:tcBorders>
          </w:tcPr>
          <w:p w14:paraId="0C6CB843"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Мы принимаем к сведению данную рекомендацию, но хотели бы отметить, что отчетность по мелким суммам уже ежемесячно контролируется и подписывается руководителем регионального/зонального отделения перед представлением в штаб-квартиру. В соответствии с рекомендацией 12 из Специального отчета за 2018 год об укреплении регионального присутствия будет далее изучаться целесообразность проведения </w:t>
            </w:r>
            <w:proofErr w:type="spellStart"/>
            <w:r w:rsidRPr="002F16BB">
              <w:rPr>
                <w:rFonts w:cs="Calibri"/>
                <w:sz w:val="18"/>
                <w:szCs w:val="18"/>
                <w:lang w:val="ru-RU" w:eastAsia="it-IT"/>
              </w:rPr>
              <w:t>необъявляемых</w:t>
            </w:r>
            <w:proofErr w:type="spellEnd"/>
            <w:r w:rsidRPr="002F16BB">
              <w:rPr>
                <w:rFonts w:cs="Calibri"/>
                <w:sz w:val="18"/>
                <w:szCs w:val="18"/>
                <w:lang w:val="ru-RU" w:eastAsia="it-IT"/>
              </w:rPr>
              <w:t xml:space="preserve"> проверок.</w:t>
            </w:r>
          </w:p>
        </w:tc>
        <w:tc>
          <w:tcPr>
            <w:tcW w:w="1363" w:type="pct"/>
            <w:tcBorders>
              <w:top w:val="single" w:sz="4" w:space="0" w:color="auto"/>
              <w:left w:val="single" w:sz="4" w:space="0" w:color="auto"/>
              <w:bottom w:val="single" w:sz="4" w:space="0" w:color="auto"/>
              <w:right w:val="single" w:sz="4" w:space="0" w:color="auto"/>
            </w:tcBorders>
          </w:tcPr>
          <w:p w14:paraId="41E591EB" w14:textId="070B975E"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1F1BCB53"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Директор БРЭ 23 августа 2019 года направила всем сотрудникам БРЭ категории специалистов и выше внутренний меморандум "Укрепление внутреннего контроля". Этот меморандум, в том числе, охватывает такие темы, как банковские счета, мелкие суммы расходов и </w:t>
            </w:r>
            <w:proofErr w:type="gramStart"/>
            <w:r w:rsidRPr="002F16BB">
              <w:rPr>
                <w:rFonts w:cs="Calibri"/>
                <w:sz w:val="18"/>
                <w:szCs w:val="18"/>
                <w:lang w:val="ru-RU" w:eastAsia="it-IT"/>
              </w:rPr>
              <w:t>представитель</w:t>
            </w:r>
            <w:r>
              <w:rPr>
                <w:rFonts w:cs="Calibri"/>
                <w:sz w:val="18"/>
                <w:szCs w:val="18"/>
                <w:lang w:val="ru-RU" w:eastAsia="it-IT"/>
              </w:rPr>
              <w:t>-</w:t>
            </w:r>
            <w:proofErr w:type="spellStart"/>
            <w:r w:rsidRPr="002F16BB">
              <w:rPr>
                <w:rFonts w:cs="Calibri"/>
                <w:sz w:val="18"/>
                <w:szCs w:val="18"/>
                <w:lang w:val="ru-RU" w:eastAsia="it-IT"/>
              </w:rPr>
              <w:t>ские</w:t>
            </w:r>
            <w:proofErr w:type="spellEnd"/>
            <w:proofErr w:type="gramEnd"/>
            <w:r w:rsidRPr="002F16BB">
              <w:rPr>
                <w:rFonts w:cs="Calibri"/>
                <w:sz w:val="18"/>
                <w:szCs w:val="18"/>
                <w:lang w:val="ru-RU" w:eastAsia="it-IT"/>
              </w:rPr>
              <w:t xml:space="preserve"> расходы. Кроме того, FRMD пересмотрел </w:t>
            </w:r>
            <w:r w:rsidRPr="002F16BB">
              <w:rPr>
                <w:color w:val="000000"/>
                <w:sz w:val="18"/>
                <w:szCs w:val="18"/>
                <w:lang w:val="ru-RU"/>
              </w:rPr>
              <w:t>Руководство по управлению денежными средствами и финансовым вопросам для региональных/зональных отделен</w:t>
            </w:r>
            <w:r w:rsidRPr="002F16BB">
              <w:rPr>
                <w:rFonts w:cs="Calibri"/>
                <w:sz w:val="18"/>
                <w:szCs w:val="18"/>
                <w:lang w:val="ru-RU" w:eastAsia="it-IT"/>
              </w:rPr>
              <w:t>ий.</w:t>
            </w:r>
          </w:p>
          <w:p w14:paraId="0853F8A9" w14:textId="77777777"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lastRenderedPageBreak/>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18772624"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Согласно пересмотренному </w:t>
            </w:r>
            <w:r w:rsidRPr="00582F21">
              <w:rPr>
                <w:i/>
                <w:iCs/>
                <w:color w:val="000000"/>
                <w:sz w:val="18"/>
                <w:szCs w:val="18"/>
                <w:lang w:val="ru-RU"/>
              </w:rPr>
              <w:t>Руководству по управлению денежными средствами и финансовым вопросам для региональных/</w:t>
            </w:r>
            <w:r w:rsidRPr="00582F21">
              <w:rPr>
                <w:i/>
                <w:iCs/>
                <w:color w:val="000000"/>
                <w:sz w:val="18"/>
                <w:szCs w:val="18"/>
                <w:lang w:val="ru-RU"/>
              </w:rPr>
              <w:br/>
              <w:t>зональных отделений</w:t>
            </w:r>
            <w:r w:rsidRPr="002F16BB">
              <w:rPr>
                <w:rFonts w:cs="Calibri"/>
                <w:sz w:val="18"/>
                <w:szCs w:val="18"/>
                <w:lang w:val="ru-RU" w:eastAsia="it-IT"/>
              </w:rPr>
              <w:t xml:space="preserve"> директорами региональных отделений или FRMD могут проводиться необъявленные проверки.</w:t>
            </w:r>
          </w:p>
        </w:tc>
        <w:tc>
          <w:tcPr>
            <w:tcW w:w="720" w:type="pct"/>
            <w:tcBorders>
              <w:top w:val="single" w:sz="4" w:space="0" w:color="auto"/>
              <w:left w:val="single" w:sz="4" w:space="0" w:color="auto"/>
              <w:bottom w:val="single" w:sz="4" w:space="0" w:color="auto"/>
              <w:right w:val="single" w:sz="4" w:space="0" w:color="auto"/>
            </w:tcBorders>
          </w:tcPr>
          <w:p w14:paraId="2DFEF624"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lastRenderedPageBreak/>
              <w:t>В процессе выполнения.</w:t>
            </w:r>
          </w:p>
          <w:p w14:paraId="29358C5C"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Мы будем контролировать осуществление в контексте наших следующих аудиторских проверок.</w:t>
            </w:r>
          </w:p>
        </w:tc>
      </w:tr>
      <w:tr w:rsidR="00B86204" w:rsidRPr="002F16BB" w14:paraId="78C7E1DD" w14:textId="77777777" w:rsidTr="00016740">
        <w:tc>
          <w:tcPr>
            <w:tcW w:w="339" w:type="pct"/>
            <w:tcBorders>
              <w:top w:val="single" w:sz="4" w:space="0" w:color="auto"/>
              <w:left w:val="single" w:sz="4" w:space="0" w:color="auto"/>
              <w:bottom w:val="single" w:sz="4" w:space="0" w:color="auto"/>
              <w:right w:val="single" w:sz="4" w:space="0" w:color="auto"/>
            </w:tcBorders>
          </w:tcPr>
          <w:p w14:paraId="3D51D68D"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15/2018</w:t>
            </w:r>
          </w:p>
        </w:tc>
        <w:tc>
          <w:tcPr>
            <w:tcW w:w="1216" w:type="pct"/>
            <w:tcBorders>
              <w:top w:val="single" w:sz="4" w:space="0" w:color="auto"/>
              <w:left w:val="single" w:sz="4" w:space="0" w:color="auto"/>
              <w:bottom w:val="single" w:sz="4" w:space="0" w:color="auto"/>
              <w:right w:val="single" w:sz="4" w:space="0" w:color="auto"/>
            </w:tcBorders>
          </w:tcPr>
          <w:p w14:paraId="07A0A762"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Для повышения эффективности контроля за служебными командировками, связанными с региональным присутствием, мы рекомендуем создать систему эффективного программного и технического мониторинга с использованием точных, надежных и последовательных показателей для оценки того, необходима ли для МСЭ данная служебная командировка, и при возможности иметь независимое подразделение/орган, который будет оценивать, выполнены ли в служебной командировке планировавшиеся задачи.</w:t>
            </w:r>
          </w:p>
        </w:tc>
        <w:tc>
          <w:tcPr>
            <w:tcW w:w="1362" w:type="pct"/>
            <w:tcBorders>
              <w:top w:val="single" w:sz="4" w:space="0" w:color="auto"/>
              <w:left w:val="single" w:sz="4" w:space="0" w:color="auto"/>
              <w:bottom w:val="single" w:sz="4" w:space="0" w:color="auto"/>
              <w:right w:val="single" w:sz="4" w:space="0" w:color="auto"/>
            </w:tcBorders>
          </w:tcPr>
          <w:p w14:paraId="39420B02"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МСЭ принял к сведению рекомендацию 15 и будет изучать дальнейшее совершенствование мониторинга служебных командировок. Следует учесть, что каждый запрос на командировку от персонала БРЭ представляется на утверждение руководителю, в том числе директору регионального отделения. Наличие формы утвержденного запроса на командировку обязательно для получения электронного командировочного предписания.</w:t>
            </w:r>
          </w:p>
        </w:tc>
        <w:tc>
          <w:tcPr>
            <w:tcW w:w="1363" w:type="pct"/>
            <w:tcBorders>
              <w:top w:val="single" w:sz="4" w:space="0" w:color="auto"/>
              <w:left w:val="single" w:sz="4" w:space="0" w:color="auto"/>
              <w:bottom w:val="single" w:sz="4" w:space="0" w:color="auto"/>
              <w:right w:val="single" w:sz="4" w:space="0" w:color="auto"/>
            </w:tcBorders>
          </w:tcPr>
          <w:p w14:paraId="35AD0C3E" w14:textId="2E72727A"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4ABB690F"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Были представлены ежегодные планы командировок, и эта деятельность продолжится в 2020 году.</w:t>
            </w:r>
          </w:p>
          <w:p w14:paraId="12BA49AE" w14:textId="77777777"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0FA95AE7" w14:textId="3DFB6432"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Осуществление планировалось в 2020 году, но ввиду пандемии </w:t>
            </w:r>
            <w:proofErr w:type="spellStart"/>
            <w:r w:rsidRPr="002F16BB">
              <w:rPr>
                <w:rFonts w:cs="Calibri"/>
                <w:sz w:val="18"/>
                <w:szCs w:val="18"/>
                <w:lang w:val="ru-RU" w:eastAsia="it-IT"/>
              </w:rPr>
              <w:t>Covid</w:t>
            </w:r>
            <w:proofErr w:type="spellEnd"/>
            <w:r w:rsidRPr="002F16BB">
              <w:rPr>
                <w:rFonts w:cs="Calibri"/>
                <w:sz w:val="18"/>
                <w:szCs w:val="18"/>
                <w:lang w:val="ru-RU" w:eastAsia="it-IT"/>
              </w:rPr>
              <w:t xml:space="preserve"> все служебные командировки были временно прекращены. Осуществление возобновится, когда в период восстановления после пандемии </w:t>
            </w:r>
            <w:r w:rsidR="00016740" w:rsidRPr="002F16BB">
              <w:rPr>
                <w:rFonts w:cs="Calibri"/>
                <w:sz w:val="18"/>
                <w:szCs w:val="18"/>
                <w:lang w:val="ru-RU" w:eastAsia="it-IT"/>
              </w:rPr>
              <w:t xml:space="preserve">COVID </w:t>
            </w:r>
            <w:r w:rsidRPr="002F16BB">
              <w:rPr>
                <w:rFonts w:cs="Calibri"/>
                <w:sz w:val="18"/>
                <w:szCs w:val="18"/>
                <w:lang w:val="ru-RU" w:eastAsia="it-IT"/>
              </w:rPr>
              <w:t>возобновятся поездки.</w:t>
            </w:r>
          </w:p>
        </w:tc>
        <w:tc>
          <w:tcPr>
            <w:tcW w:w="720" w:type="pct"/>
            <w:tcBorders>
              <w:top w:val="single" w:sz="4" w:space="0" w:color="auto"/>
              <w:left w:val="single" w:sz="4" w:space="0" w:color="auto"/>
              <w:bottom w:val="single" w:sz="4" w:space="0" w:color="auto"/>
              <w:right w:val="single" w:sz="4" w:space="0" w:color="auto"/>
            </w:tcBorders>
          </w:tcPr>
          <w:p w14:paraId="6F10F65B"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t>В процессе выполнения.</w:t>
            </w:r>
          </w:p>
        </w:tc>
      </w:tr>
      <w:tr w:rsidR="00B86204" w:rsidRPr="002F16BB" w14:paraId="5C3E2602" w14:textId="77777777" w:rsidTr="00016740">
        <w:tc>
          <w:tcPr>
            <w:tcW w:w="339" w:type="pct"/>
            <w:tcBorders>
              <w:top w:val="single" w:sz="4" w:space="0" w:color="auto"/>
              <w:left w:val="single" w:sz="4" w:space="0" w:color="auto"/>
              <w:bottom w:val="single" w:sz="4" w:space="0" w:color="auto"/>
              <w:right w:val="single" w:sz="4" w:space="0" w:color="auto"/>
            </w:tcBorders>
          </w:tcPr>
          <w:p w14:paraId="2730CF33"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16/2018</w:t>
            </w:r>
          </w:p>
        </w:tc>
        <w:tc>
          <w:tcPr>
            <w:tcW w:w="1216" w:type="pct"/>
            <w:tcBorders>
              <w:top w:val="single" w:sz="4" w:space="0" w:color="auto"/>
              <w:left w:val="single" w:sz="4" w:space="0" w:color="auto"/>
              <w:bottom w:val="single" w:sz="4" w:space="0" w:color="auto"/>
              <w:right w:val="single" w:sz="4" w:space="0" w:color="auto"/>
            </w:tcBorders>
          </w:tcPr>
          <w:p w14:paraId="1689B15F"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Учитывая, что тот факт, что сотрудники МСЭ часто выезжают в свои родные страны и осуществляют там проекты, может отрицательно сказываться на независимости МСЭ в отношении Государств-Членов, мы рекомендуем, во избежание возможных конфликтов интересов, чтобы директора региональных отделений и штаб-квартира проводили тщательный анализ направления сотрудников в служебные командировки в их родные страны и в то же время осуществляли надлежащий мониторинг всех служебных командировок. </w:t>
            </w:r>
          </w:p>
        </w:tc>
        <w:tc>
          <w:tcPr>
            <w:tcW w:w="1362" w:type="pct"/>
            <w:tcBorders>
              <w:top w:val="single" w:sz="4" w:space="0" w:color="auto"/>
              <w:left w:val="single" w:sz="4" w:space="0" w:color="auto"/>
              <w:bottom w:val="single" w:sz="4" w:space="0" w:color="auto"/>
              <w:right w:val="single" w:sz="4" w:space="0" w:color="auto"/>
            </w:tcBorders>
          </w:tcPr>
          <w:p w14:paraId="3B6634D2"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МСЭ принял к сведению рекомендацию 16 и будет ее рассматривать.</w:t>
            </w:r>
          </w:p>
        </w:tc>
        <w:tc>
          <w:tcPr>
            <w:tcW w:w="1363" w:type="pct"/>
            <w:tcBorders>
              <w:top w:val="single" w:sz="4" w:space="0" w:color="auto"/>
              <w:left w:val="single" w:sz="4" w:space="0" w:color="auto"/>
              <w:bottom w:val="single" w:sz="4" w:space="0" w:color="auto"/>
              <w:right w:val="single" w:sz="4" w:space="0" w:color="auto"/>
            </w:tcBorders>
          </w:tcPr>
          <w:p w14:paraId="5B0535AD" w14:textId="1803B79D"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71E9226F" w14:textId="77777777" w:rsidR="00B86204" w:rsidRPr="002F16BB" w:rsidRDefault="00B86204" w:rsidP="00016740">
            <w:pPr>
              <w:keepNext/>
              <w:spacing w:before="20" w:after="20"/>
              <w:rPr>
                <w:rFonts w:cs="Calibri"/>
                <w:sz w:val="18"/>
                <w:szCs w:val="18"/>
                <w:lang w:val="ru-RU" w:eastAsia="it-IT"/>
              </w:rPr>
            </w:pPr>
            <w:r w:rsidRPr="002F16BB">
              <w:rPr>
                <w:rFonts w:cs="Calibri"/>
                <w:sz w:val="18"/>
                <w:szCs w:val="18"/>
                <w:lang w:val="ru-RU" w:eastAsia="it-IT"/>
              </w:rPr>
              <w:t>В процессе рассмотрения.</w:t>
            </w:r>
          </w:p>
          <w:p w14:paraId="17DAEE71" w14:textId="77777777" w:rsidR="00B86204" w:rsidRPr="002F16BB" w:rsidRDefault="00B86204" w:rsidP="00016740">
            <w:pPr>
              <w:keepNext/>
              <w:spacing w:before="20" w:after="20"/>
              <w:rPr>
                <w:rFonts w:cs="Calibri"/>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44FA311A" w14:textId="31213C71"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Продолжается рассмотрение этой рекомендации, поскольку служебные командировки временно прекращены. Осуществление возобновится, когда в период восстановления после пандемии </w:t>
            </w:r>
            <w:r w:rsidR="00016740" w:rsidRPr="002F16BB">
              <w:rPr>
                <w:rFonts w:cs="Calibri"/>
                <w:sz w:val="18"/>
                <w:szCs w:val="18"/>
                <w:lang w:val="ru-RU" w:eastAsia="it-IT"/>
              </w:rPr>
              <w:t xml:space="preserve">COVID </w:t>
            </w:r>
            <w:r w:rsidRPr="002F16BB">
              <w:rPr>
                <w:rFonts w:cs="Calibri"/>
                <w:sz w:val="18"/>
                <w:szCs w:val="18"/>
                <w:lang w:val="ru-RU" w:eastAsia="it-IT"/>
              </w:rPr>
              <w:t>возобновятся поездки.</w:t>
            </w:r>
          </w:p>
        </w:tc>
        <w:tc>
          <w:tcPr>
            <w:tcW w:w="720" w:type="pct"/>
            <w:tcBorders>
              <w:top w:val="single" w:sz="4" w:space="0" w:color="auto"/>
              <w:left w:val="single" w:sz="4" w:space="0" w:color="auto"/>
              <w:bottom w:val="single" w:sz="4" w:space="0" w:color="auto"/>
              <w:right w:val="single" w:sz="4" w:space="0" w:color="auto"/>
            </w:tcBorders>
          </w:tcPr>
          <w:p w14:paraId="4D3A9A4C"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t>В процессе выполнения.</w:t>
            </w:r>
          </w:p>
        </w:tc>
      </w:tr>
      <w:tr w:rsidR="00B86204" w:rsidRPr="002F16BB" w14:paraId="30872267" w14:textId="77777777" w:rsidTr="00016740">
        <w:tc>
          <w:tcPr>
            <w:tcW w:w="339" w:type="pct"/>
            <w:tcBorders>
              <w:top w:val="single" w:sz="4" w:space="0" w:color="auto"/>
              <w:left w:val="single" w:sz="4" w:space="0" w:color="auto"/>
              <w:bottom w:val="single" w:sz="4" w:space="0" w:color="auto"/>
              <w:right w:val="single" w:sz="4" w:space="0" w:color="auto"/>
            </w:tcBorders>
          </w:tcPr>
          <w:p w14:paraId="5744F0BE" w14:textId="77777777" w:rsidR="00B86204" w:rsidRPr="002F16BB" w:rsidRDefault="00B86204" w:rsidP="00016740">
            <w:pPr>
              <w:pStyle w:val="Tabletext"/>
              <w:keepNext/>
              <w:keepLines/>
              <w:spacing w:before="20" w:after="20"/>
              <w:jc w:val="center"/>
              <w:rPr>
                <w:b/>
                <w:sz w:val="18"/>
                <w:szCs w:val="18"/>
                <w:lang w:val="ru-RU" w:eastAsia="it-IT"/>
              </w:rPr>
            </w:pPr>
            <w:r w:rsidRPr="002F16BB">
              <w:rPr>
                <w:b/>
                <w:sz w:val="18"/>
                <w:szCs w:val="18"/>
                <w:lang w:val="ru-RU" w:eastAsia="it-IT"/>
              </w:rPr>
              <w:lastRenderedPageBreak/>
              <w:t>Рек. 17/2018</w:t>
            </w:r>
          </w:p>
        </w:tc>
        <w:tc>
          <w:tcPr>
            <w:tcW w:w="1216" w:type="pct"/>
            <w:tcBorders>
              <w:top w:val="single" w:sz="4" w:space="0" w:color="auto"/>
              <w:left w:val="single" w:sz="4" w:space="0" w:color="auto"/>
              <w:bottom w:val="single" w:sz="4" w:space="0" w:color="auto"/>
              <w:right w:val="single" w:sz="4" w:space="0" w:color="auto"/>
            </w:tcBorders>
          </w:tcPr>
          <w:p w14:paraId="0AD496F2"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Мы считаем, что меры следует принять в каждой из рассматриваемых областей. Не делая заранее выводов в отношении более подробных наблюдений и рекомендаций, которые будут даны позднее, мы рекомендуем, чтобы руководство безотлагательно повысило уровень внутреннего контроля над ЛР, в частности в отношении привлечения консультантов, через систему, предусматривающую мониторинг их деятельности с помощью ключевых показателей деятельности и принятия конкретных оперативных справочников, руководящих указаний и контрольных перечней, которые могут помочь оценить необходимость привлечения консультантов и, </w:t>
            </w:r>
            <w:proofErr w:type="spellStart"/>
            <w:r w:rsidRPr="002F16BB">
              <w:rPr>
                <w:rFonts w:cs="Calibri"/>
                <w:sz w:val="18"/>
                <w:szCs w:val="18"/>
                <w:lang w:val="ru-RU" w:eastAsia="it-IT"/>
              </w:rPr>
              <w:t>ex-post</w:t>
            </w:r>
            <w:proofErr w:type="spellEnd"/>
            <w:r w:rsidRPr="002F16BB">
              <w:rPr>
                <w:rFonts w:cs="Calibri"/>
                <w:sz w:val="18"/>
                <w:szCs w:val="18"/>
                <w:lang w:val="ru-RU" w:eastAsia="it-IT"/>
              </w:rPr>
              <w:t>, их деятельность.</w:t>
            </w:r>
          </w:p>
        </w:tc>
        <w:tc>
          <w:tcPr>
            <w:tcW w:w="1362" w:type="pct"/>
            <w:tcBorders>
              <w:top w:val="single" w:sz="4" w:space="0" w:color="auto"/>
              <w:left w:val="single" w:sz="4" w:space="0" w:color="auto"/>
              <w:bottom w:val="single" w:sz="4" w:space="0" w:color="auto"/>
              <w:right w:val="single" w:sz="4" w:space="0" w:color="auto"/>
            </w:tcBorders>
          </w:tcPr>
          <w:p w14:paraId="18AF874D"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Персонал на местах руководствуется политикой и процедурами, связанными с управлением показателями деятельности и развитием и установленными в Служебном приказе 18/06 от 19 апреля 2018 года. Эта политика включает в качестве одного из основных принципов согласование отдельных задач с задачами организационного характера, установленными в оперативных планах Секторов.</w:t>
            </w:r>
          </w:p>
          <w:p w14:paraId="20E65018"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Что касается эффективного мониторинга задач, поручаемых персоналу на местах, в ходе проектирования и внедрения новой системы служебной аттестации (E-PMDS) Департамент управления ЛР работал над укреплением постановки рабочих задач путем разработки более точных описаний, связанных с этими задачами (описание задач, соответствующих видов деятельности, KPI, временных рамок, партнеров, ресурсов и ограничений).</w:t>
            </w:r>
          </w:p>
          <w:p w14:paraId="3E9B6842"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 xml:space="preserve">Что касается укрепления политики и процедур привлечения консультантов и экспертов и управления ими, Департамент HRM и БРЭ занимаются разработкой более четких процедур, учитывая также рекомендации, данные ОИГ в обзоре руководства МСЭ, а также рекомендации подразделения внутреннего аудита. HRMD занимается проведением операции по "очистке" существующего списка, который будет включать данные о научной деятельности и другие сведения </w:t>
            </w:r>
            <w:proofErr w:type="gramStart"/>
            <w:r w:rsidRPr="002F16BB">
              <w:rPr>
                <w:rFonts w:cs="Calibri"/>
                <w:sz w:val="18"/>
                <w:szCs w:val="18"/>
                <w:lang w:val="ru-RU" w:eastAsia="it-IT"/>
              </w:rPr>
              <w:t>о всех</w:t>
            </w:r>
            <w:proofErr w:type="gramEnd"/>
            <w:r w:rsidRPr="002F16BB">
              <w:rPr>
                <w:rFonts w:cs="Calibri"/>
                <w:sz w:val="18"/>
                <w:szCs w:val="18"/>
                <w:lang w:val="ru-RU" w:eastAsia="it-IT"/>
              </w:rPr>
              <w:t xml:space="preserve"> кандидатах. HRMD контактирует с ООН относительно использования недавно созданного Центра проверки справочных данных ООН в Бонне.</w:t>
            </w:r>
          </w:p>
        </w:tc>
        <w:tc>
          <w:tcPr>
            <w:tcW w:w="1363" w:type="pct"/>
            <w:tcBorders>
              <w:top w:val="single" w:sz="4" w:space="0" w:color="auto"/>
              <w:left w:val="single" w:sz="4" w:space="0" w:color="auto"/>
              <w:bottom w:val="single" w:sz="4" w:space="0" w:color="auto"/>
              <w:right w:val="single" w:sz="4" w:space="0" w:color="auto"/>
            </w:tcBorders>
          </w:tcPr>
          <w:p w14:paraId="6AFB8703" w14:textId="7AF3A85C"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t xml:space="preserve">Обновление, по состоянию на декабрь </w:t>
            </w:r>
            <w:r w:rsidRPr="002F16BB">
              <w:rPr>
                <w:b/>
                <w:bCs/>
                <w:sz w:val="18"/>
                <w:szCs w:val="18"/>
                <w:lang w:val="ru-RU"/>
              </w:rPr>
              <w:t>2019</w:t>
            </w:r>
            <w:r w:rsidR="00016740">
              <w:rPr>
                <w:b/>
                <w:bCs/>
                <w:sz w:val="18"/>
                <w:szCs w:val="18"/>
              </w:rPr>
              <w:t> </w:t>
            </w:r>
            <w:r w:rsidRPr="002F16BB">
              <w:rPr>
                <w:b/>
                <w:bCs/>
                <w:sz w:val="18"/>
                <w:szCs w:val="18"/>
                <w:lang w:val="ru-RU"/>
              </w:rPr>
              <w:t>г</w:t>
            </w:r>
            <w:r w:rsidRPr="002F16BB">
              <w:rPr>
                <w:bCs/>
                <w:sz w:val="18"/>
                <w:szCs w:val="18"/>
                <w:lang w:val="ru-RU"/>
              </w:rPr>
              <w:t>.</w:t>
            </w:r>
            <w:r w:rsidRPr="002F16BB">
              <w:rPr>
                <w:sz w:val="18"/>
                <w:szCs w:val="18"/>
                <w:lang w:val="ru-RU"/>
              </w:rPr>
              <w:t>:</w:t>
            </w:r>
          </w:p>
          <w:p w14:paraId="4E777287"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Сделанные комментарии остаются в силе.</w:t>
            </w:r>
          </w:p>
          <w:p w14:paraId="5771895F" w14:textId="77777777" w:rsidR="00B86204" w:rsidRPr="002F16BB" w:rsidRDefault="00B86204" w:rsidP="00016740">
            <w:pPr>
              <w:pStyle w:val="Tabletext"/>
              <w:spacing w:before="20" w:after="20"/>
              <w:rPr>
                <w:rFonts w:cs="Calibri"/>
                <w:sz w:val="18"/>
                <w:szCs w:val="18"/>
                <w:lang w:val="ru-RU" w:eastAsia="it-IT"/>
              </w:rPr>
            </w:pPr>
            <w:r w:rsidRPr="002F16BB">
              <w:rPr>
                <w:b/>
                <w:bCs/>
                <w:sz w:val="18"/>
                <w:szCs w:val="18"/>
                <w:lang w:val="ru-RU" w:eastAsia="it-IT"/>
              </w:rPr>
              <w:t xml:space="preserve">Обновление, по состоянию на сентябрь </w:t>
            </w:r>
            <w:r w:rsidRPr="002F16BB">
              <w:rPr>
                <w:b/>
                <w:bCs/>
                <w:sz w:val="18"/>
                <w:szCs w:val="18"/>
                <w:lang w:val="ru-RU"/>
              </w:rPr>
              <w:t>2020 г</w:t>
            </w:r>
            <w:r w:rsidRPr="002F16BB">
              <w:rPr>
                <w:bCs/>
                <w:sz w:val="18"/>
                <w:szCs w:val="18"/>
                <w:lang w:val="ru-RU"/>
              </w:rPr>
              <w:t>.</w:t>
            </w:r>
            <w:r w:rsidRPr="002F16BB">
              <w:rPr>
                <w:sz w:val="18"/>
                <w:szCs w:val="18"/>
                <w:lang w:val="ru-RU"/>
              </w:rPr>
              <w:t>:</w:t>
            </w:r>
          </w:p>
          <w:p w14:paraId="39AFE3AB"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Работа по укреплению и упорядочению направлений политики и процедур в этих областях продолжается в контексте работы, проводимой Группой по внутреннему контролю, управляемой БРЭ. Эта работа охватывает области, упоминаемые в столбце "Комментарии".</w:t>
            </w:r>
          </w:p>
        </w:tc>
        <w:tc>
          <w:tcPr>
            <w:tcW w:w="720" w:type="pct"/>
            <w:tcBorders>
              <w:top w:val="single" w:sz="4" w:space="0" w:color="auto"/>
              <w:left w:val="single" w:sz="4" w:space="0" w:color="auto"/>
              <w:bottom w:val="single" w:sz="4" w:space="0" w:color="auto"/>
              <w:right w:val="single" w:sz="4" w:space="0" w:color="auto"/>
            </w:tcBorders>
          </w:tcPr>
          <w:p w14:paraId="2BBDEF03" w14:textId="77777777" w:rsidR="00B86204" w:rsidRPr="002F16BB" w:rsidRDefault="00B86204" w:rsidP="00016740">
            <w:pPr>
              <w:pStyle w:val="Tabletext"/>
              <w:spacing w:before="20" w:after="20"/>
              <w:rPr>
                <w:rFonts w:cs="Calibri"/>
                <w:sz w:val="18"/>
                <w:szCs w:val="18"/>
                <w:lang w:val="ru-RU" w:eastAsia="it-IT"/>
              </w:rPr>
            </w:pPr>
            <w:r w:rsidRPr="002F16BB">
              <w:rPr>
                <w:sz w:val="18"/>
                <w:szCs w:val="18"/>
                <w:lang w:val="ru-RU"/>
              </w:rPr>
              <w:t>В процессе выполнения.</w:t>
            </w:r>
          </w:p>
        </w:tc>
      </w:tr>
    </w:tbl>
    <w:p w14:paraId="4B3F9ADD" w14:textId="77777777" w:rsidR="00B86204" w:rsidRPr="002F16BB" w:rsidRDefault="00B86204" w:rsidP="00016740">
      <w:pPr>
        <w:tabs>
          <w:tab w:val="clear" w:pos="794"/>
          <w:tab w:val="clear" w:pos="1191"/>
          <w:tab w:val="clear" w:pos="1588"/>
          <w:tab w:val="clear" w:pos="1985"/>
        </w:tabs>
        <w:overflowPunct/>
        <w:autoSpaceDE/>
        <w:autoSpaceDN/>
        <w:adjustRightInd/>
        <w:spacing w:before="0"/>
        <w:textAlignment w:val="auto"/>
        <w:rPr>
          <w:lang w:val="ru-RU"/>
        </w:rPr>
      </w:pPr>
      <w:r w:rsidRPr="002F16BB">
        <w:rPr>
          <w:lang w:val="ru-RU"/>
        </w:rPr>
        <w:br w:type="page"/>
      </w:r>
    </w:p>
    <w:tbl>
      <w:tblPr>
        <w:tblW w:w="15021" w:type="dxa"/>
        <w:tblLayout w:type="fixed"/>
        <w:tblCellMar>
          <w:left w:w="57" w:type="dxa"/>
          <w:right w:w="57" w:type="dxa"/>
        </w:tblCellMar>
        <w:tblLook w:val="04A0" w:firstRow="1" w:lastRow="0" w:firstColumn="1" w:lastColumn="0" w:noHBand="0" w:noVBand="1"/>
      </w:tblPr>
      <w:tblGrid>
        <w:gridCol w:w="1009"/>
        <w:gridCol w:w="1614"/>
        <w:gridCol w:w="1656"/>
        <w:gridCol w:w="2252"/>
        <w:gridCol w:w="2253"/>
        <w:gridCol w:w="2410"/>
        <w:gridCol w:w="2409"/>
        <w:gridCol w:w="1418"/>
      </w:tblGrid>
      <w:tr w:rsidR="00B86204" w:rsidRPr="00FE280E" w14:paraId="32E56710" w14:textId="77777777" w:rsidTr="00016740">
        <w:trPr>
          <w:tblHead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FB22"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rFonts w:cs="Calibri"/>
                <w:b/>
                <w:bCs/>
                <w:color w:val="000000"/>
                <w:sz w:val="16"/>
                <w:szCs w:val="16"/>
                <w:lang w:val="ru-RU" w:eastAsia="en-GB"/>
              </w:rPr>
              <w:lastRenderedPageBreak/>
              <w:t>№</w:t>
            </w:r>
          </w:p>
        </w:tc>
        <w:tc>
          <w:tcPr>
            <w:tcW w:w="1614" w:type="dxa"/>
            <w:tcBorders>
              <w:top w:val="single" w:sz="4" w:space="0" w:color="auto"/>
              <w:left w:val="nil"/>
              <w:bottom w:val="single" w:sz="4" w:space="0" w:color="auto"/>
              <w:right w:val="single" w:sz="4" w:space="0" w:color="auto"/>
            </w:tcBorders>
            <w:shd w:val="clear" w:color="auto" w:fill="auto"/>
            <w:hideMark/>
          </w:tcPr>
          <w:p w14:paraId="3FC321F1"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rFonts w:cs="Calibri"/>
                <w:b/>
                <w:bCs/>
                <w:color w:val="000000"/>
                <w:sz w:val="16"/>
                <w:szCs w:val="16"/>
                <w:lang w:val="ru-RU" w:eastAsia="en-GB"/>
              </w:rPr>
              <w:t>Рекомендация, представленная Государственной счетной палатой Италии</w:t>
            </w:r>
          </w:p>
        </w:tc>
        <w:tc>
          <w:tcPr>
            <w:tcW w:w="1656" w:type="dxa"/>
            <w:tcBorders>
              <w:top w:val="single" w:sz="4" w:space="0" w:color="auto"/>
              <w:left w:val="nil"/>
              <w:bottom w:val="single" w:sz="4" w:space="0" w:color="auto"/>
              <w:right w:val="nil"/>
            </w:tcBorders>
            <w:shd w:val="clear" w:color="auto" w:fill="auto"/>
            <w:hideMark/>
          </w:tcPr>
          <w:p w14:paraId="3BF9E52E"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rFonts w:cs="Calibri"/>
                <w:b/>
                <w:bCs/>
                <w:color w:val="000000"/>
                <w:sz w:val="16"/>
                <w:szCs w:val="16"/>
                <w:lang w:val="ru-RU" w:eastAsia="en-GB"/>
              </w:rPr>
              <w:t>Комментарии, полученные от Генерального секретаря, на дату аудиторского отчета</w:t>
            </w:r>
          </w:p>
        </w:tc>
        <w:tc>
          <w:tcPr>
            <w:tcW w:w="225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CD9EC40"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b/>
                <w:bCs/>
                <w:color w:val="000000"/>
                <w:sz w:val="16"/>
                <w:szCs w:val="14"/>
                <w:lang w:val="ru-RU"/>
              </w:rPr>
              <w:t>Письмо Внутреннего аудитора руководству</w:t>
            </w:r>
            <w:r w:rsidRPr="002F16BB">
              <w:rPr>
                <w:rFonts w:cs="Calibri"/>
                <w:b/>
                <w:bCs/>
                <w:color w:val="000000"/>
                <w:sz w:val="10"/>
                <w:szCs w:val="10"/>
                <w:lang w:val="ru-RU" w:eastAsia="en-GB"/>
              </w:rPr>
              <w:t xml:space="preserve"> </w:t>
            </w:r>
            <w:r>
              <w:rPr>
                <w:rFonts w:cs="Calibri"/>
                <w:b/>
                <w:bCs/>
                <w:color w:val="000000"/>
                <w:sz w:val="10"/>
                <w:szCs w:val="10"/>
                <w:lang w:val="ru-RU" w:eastAsia="en-GB"/>
              </w:rPr>
              <w:br/>
            </w:r>
            <w:r w:rsidRPr="002F16BB">
              <w:rPr>
                <w:rFonts w:cs="Calibri"/>
                <w:b/>
                <w:bCs/>
                <w:color w:val="000000"/>
                <w:sz w:val="16"/>
                <w:szCs w:val="16"/>
                <w:lang w:val="ru-RU" w:eastAsia="en-GB"/>
              </w:rPr>
              <w:t>SG-SGO/IA/19-09</w:t>
            </w:r>
          </w:p>
        </w:tc>
        <w:tc>
          <w:tcPr>
            <w:tcW w:w="2253" w:type="dxa"/>
            <w:tcBorders>
              <w:top w:val="single" w:sz="8" w:space="0" w:color="auto"/>
              <w:left w:val="nil"/>
              <w:bottom w:val="single" w:sz="8" w:space="0" w:color="auto"/>
              <w:right w:val="single" w:sz="8" w:space="0" w:color="auto"/>
            </w:tcBorders>
            <w:shd w:val="clear" w:color="auto" w:fill="auto"/>
            <w:vAlign w:val="center"/>
            <w:hideMark/>
          </w:tcPr>
          <w:p w14:paraId="4F494B96"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rFonts w:cs="Calibri"/>
                <w:b/>
                <w:bCs/>
                <w:color w:val="000000"/>
                <w:sz w:val="16"/>
                <w:szCs w:val="16"/>
                <w:lang w:val="ru-RU" w:eastAsia="en-GB"/>
              </w:rPr>
              <w:t>Статус выполнения по сообщению руководства МСЭ (по письму Внутреннего аудитора руководству)</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9E5888B"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rFonts w:cs="Calibri"/>
                <w:b/>
                <w:bCs/>
                <w:color w:val="000000"/>
                <w:sz w:val="16"/>
                <w:szCs w:val="16"/>
                <w:lang w:val="ru-RU" w:eastAsia="en-GB"/>
              </w:rPr>
              <w:t>Предыдущие рекомендации Внешнего аудитора в подробном отчете и специальных отчетах</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5B4082D"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rFonts w:cs="Calibri"/>
                <w:b/>
                <w:bCs/>
                <w:color w:val="000000"/>
                <w:sz w:val="16"/>
                <w:szCs w:val="16"/>
                <w:lang w:val="ru-RU" w:eastAsia="en-GB"/>
              </w:rPr>
              <w:t xml:space="preserve">Статус выполнения по сообщению руководства МСЭ </w:t>
            </w:r>
            <w:r>
              <w:rPr>
                <w:rFonts w:cs="Calibri"/>
                <w:b/>
                <w:bCs/>
                <w:color w:val="000000"/>
                <w:sz w:val="16"/>
                <w:szCs w:val="16"/>
                <w:lang w:val="ru-RU" w:eastAsia="en-GB"/>
              </w:rPr>
              <w:br/>
            </w:r>
            <w:r w:rsidRPr="002F16BB">
              <w:rPr>
                <w:rFonts w:cs="Calibri"/>
                <w:b/>
                <w:bCs/>
                <w:color w:val="000000"/>
                <w:sz w:val="16"/>
                <w:szCs w:val="16"/>
                <w:lang w:val="ru-RU" w:eastAsia="en-GB"/>
              </w:rPr>
              <w:t xml:space="preserve">(по рекомендациям </w:t>
            </w:r>
            <w:r>
              <w:rPr>
                <w:rFonts w:cs="Calibri"/>
                <w:b/>
                <w:bCs/>
                <w:color w:val="000000"/>
                <w:sz w:val="16"/>
                <w:szCs w:val="16"/>
                <w:lang w:val="ru-RU" w:eastAsia="en-GB"/>
              </w:rPr>
              <w:br/>
            </w:r>
            <w:r w:rsidRPr="002F16BB">
              <w:rPr>
                <w:rFonts w:cs="Calibri"/>
                <w:b/>
                <w:bCs/>
                <w:color w:val="000000"/>
                <w:sz w:val="16"/>
                <w:szCs w:val="16"/>
                <w:lang w:val="ru-RU" w:eastAsia="en-GB"/>
              </w:rPr>
              <w:t xml:space="preserve">Внешнего аудитора)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AA6B5B" w14:textId="77777777" w:rsidR="00B86204" w:rsidRPr="002F16BB" w:rsidRDefault="00B86204" w:rsidP="00016740">
            <w:pPr>
              <w:adjustRightInd/>
              <w:spacing w:before="40" w:after="40"/>
              <w:ind w:left="-57" w:right="-57"/>
              <w:jc w:val="center"/>
              <w:rPr>
                <w:rFonts w:cs="Calibri"/>
                <w:b/>
                <w:bCs/>
                <w:color w:val="000000"/>
                <w:sz w:val="16"/>
                <w:szCs w:val="16"/>
                <w:lang w:val="ru-RU" w:eastAsia="en-GB"/>
              </w:rPr>
            </w:pPr>
            <w:r w:rsidRPr="002F16BB">
              <w:rPr>
                <w:rFonts w:cs="Calibri"/>
                <w:b/>
                <w:bCs/>
                <w:color w:val="000000"/>
                <w:sz w:val="16"/>
                <w:szCs w:val="16"/>
                <w:lang w:val="ru-RU" w:eastAsia="en-GB"/>
              </w:rPr>
              <w:t>Статус, по оценке Государственной счетной палаты Италии</w:t>
            </w:r>
          </w:p>
        </w:tc>
      </w:tr>
      <w:tr w:rsidR="00B86204" w:rsidRPr="00FE280E" w14:paraId="6B07E1FE" w14:textId="77777777" w:rsidTr="00016740">
        <w:tc>
          <w:tcPr>
            <w:tcW w:w="1009" w:type="dxa"/>
            <w:vMerge w:val="restart"/>
            <w:tcBorders>
              <w:top w:val="nil"/>
              <w:left w:val="single" w:sz="4" w:space="0" w:color="auto"/>
              <w:bottom w:val="single" w:sz="4" w:space="0" w:color="000000"/>
              <w:right w:val="single" w:sz="4" w:space="0" w:color="auto"/>
            </w:tcBorders>
            <w:shd w:val="clear" w:color="auto" w:fill="auto"/>
            <w:hideMark/>
          </w:tcPr>
          <w:p w14:paraId="25AFA4F5" w14:textId="77777777" w:rsidR="00B86204" w:rsidRPr="002F16BB" w:rsidRDefault="00B86204" w:rsidP="00016740">
            <w:pPr>
              <w:adjustRightInd/>
              <w:spacing w:before="40" w:after="40"/>
              <w:jc w:val="center"/>
              <w:rPr>
                <w:rFonts w:cs="Calibri"/>
                <w:b/>
                <w:bCs/>
                <w:color w:val="000000"/>
                <w:sz w:val="16"/>
                <w:szCs w:val="16"/>
                <w:lang w:val="ru-RU" w:eastAsia="en-GB"/>
              </w:rPr>
            </w:pPr>
            <w:bookmarkStart w:id="433" w:name="_Hlk29904293"/>
            <w:r w:rsidRPr="002F16BB">
              <w:rPr>
                <w:rFonts w:cs="Calibri"/>
                <w:b/>
                <w:bCs/>
                <w:color w:val="000000"/>
                <w:sz w:val="16"/>
                <w:szCs w:val="16"/>
                <w:lang w:val="ru-RU" w:eastAsia="en-GB"/>
              </w:rPr>
              <w:t xml:space="preserve">Рек. </w:t>
            </w:r>
            <w:r w:rsidRPr="002F16BB">
              <w:rPr>
                <w:rFonts w:cs="Calibri"/>
                <w:b/>
                <w:bCs/>
                <w:color w:val="000000"/>
                <w:sz w:val="16"/>
                <w:szCs w:val="16"/>
                <w:lang w:val="ru-RU" w:eastAsia="en-GB"/>
              </w:rPr>
              <w:br/>
              <w:t xml:space="preserve">18/2018 </w:t>
            </w:r>
            <w:bookmarkEnd w:id="433"/>
            <w:r w:rsidRPr="002F16BB">
              <w:rPr>
                <w:rFonts w:cs="Calibri"/>
                <w:b/>
                <w:bCs/>
                <w:color w:val="000000"/>
                <w:sz w:val="16"/>
                <w:szCs w:val="16"/>
                <w:lang w:val="ru-RU" w:eastAsia="en-GB"/>
              </w:rPr>
              <w:t>(ссылка на Таблицу 2 отчета C19/40)</w:t>
            </w:r>
          </w:p>
        </w:tc>
        <w:tc>
          <w:tcPr>
            <w:tcW w:w="1614" w:type="dxa"/>
            <w:vMerge w:val="restart"/>
            <w:tcBorders>
              <w:top w:val="nil"/>
              <w:left w:val="single" w:sz="4" w:space="0" w:color="auto"/>
              <w:bottom w:val="single" w:sz="4" w:space="0" w:color="000000"/>
              <w:right w:val="single" w:sz="4" w:space="0" w:color="auto"/>
            </w:tcBorders>
            <w:shd w:val="clear" w:color="auto" w:fill="auto"/>
            <w:hideMark/>
          </w:tcPr>
          <w:p w14:paraId="5E58242B"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pacing w:val="-1"/>
                <w:sz w:val="16"/>
                <w:szCs w:val="16"/>
                <w:lang w:val="ru-RU" w:eastAsia="en-GB"/>
              </w:rPr>
              <w:t xml:space="preserve">Мы рекомендуем руководству принять незамедлительные меры для выполнения открытых рекомендаций Внутреннего аудитора и Внешнего аудитора, касающихся региональной деятельности, уделяя особое внимание закупкам. </w:t>
            </w:r>
          </w:p>
        </w:tc>
        <w:tc>
          <w:tcPr>
            <w:tcW w:w="1656" w:type="dxa"/>
            <w:vMerge w:val="restart"/>
            <w:tcBorders>
              <w:top w:val="nil"/>
              <w:left w:val="single" w:sz="4" w:space="0" w:color="auto"/>
              <w:bottom w:val="single" w:sz="4" w:space="0" w:color="000000"/>
              <w:right w:val="single" w:sz="4" w:space="0" w:color="auto"/>
            </w:tcBorders>
            <w:shd w:val="clear" w:color="auto" w:fill="auto"/>
            <w:hideMark/>
          </w:tcPr>
          <w:p w14:paraId="7670654D"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МСЭ принимает к сведению данную рекомендацию.</w:t>
            </w:r>
          </w:p>
        </w:tc>
        <w:tc>
          <w:tcPr>
            <w:tcW w:w="10742" w:type="dxa"/>
            <w:gridSpan w:val="5"/>
            <w:tcBorders>
              <w:top w:val="nil"/>
              <w:left w:val="single" w:sz="4" w:space="0" w:color="auto"/>
              <w:bottom w:val="single" w:sz="4" w:space="0" w:color="000000"/>
              <w:right w:val="single" w:sz="4" w:space="0" w:color="000000"/>
            </w:tcBorders>
            <w:shd w:val="clear" w:color="000000" w:fill="BFBFBF"/>
            <w:hideMark/>
          </w:tcPr>
          <w:p w14:paraId="50EB3973" w14:textId="77777777" w:rsidR="00B86204" w:rsidRPr="002F16BB" w:rsidRDefault="00B86204" w:rsidP="00016740">
            <w:pPr>
              <w:adjustRightInd/>
              <w:spacing w:before="40" w:after="40"/>
              <w:jc w:val="center"/>
              <w:rPr>
                <w:rFonts w:cs="Calibri"/>
                <w:b/>
                <w:bCs/>
                <w:color w:val="000000"/>
                <w:sz w:val="16"/>
                <w:szCs w:val="16"/>
                <w:lang w:val="ru-RU" w:eastAsia="en-GB"/>
              </w:rPr>
            </w:pPr>
            <w:proofErr w:type="spellStart"/>
            <w:r w:rsidRPr="002F16BB">
              <w:rPr>
                <w:rFonts w:cs="Calibri"/>
                <w:b/>
                <w:bCs/>
                <w:color w:val="000000"/>
                <w:sz w:val="16"/>
                <w:szCs w:val="16"/>
                <w:lang w:val="ru-RU" w:eastAsia="en-GB"/>
              </w:rPr>
              <w:t>Отн</w:t>
            </w:r>
            <w:proofErr w:type="spellEnd"/>
            <w:r w:rsidRPr="002F16BB">
              <w:rPr>
                <w:rFonts w:cs="Calibri"/>
                <w:b/>
                <w:bCs/>
                <w:color w:val="000000"/>
                <w:sz w:val="16"/>
                <w:szCs w:val="16"/>
                <w:lang w:val="ru-RU" w:eastAsia="en-GB"/>
              </w:rPr>
              <w:t>.: Рекомендации по устаревшим процедурам закупок по проектам/целевым фондам</w:t>
            </w:r>
          </w:p>
        </w:tc>
      </w:tr>
      <w:tr w:rsidR="00B86204" w:rsidRPr="00FE280E" w14:paraId="6A813968" w14:textId="77777777" w:rsidTr="00016740">
        <w:tc>
          <w:tcPr>
            <w:tcW w:w="1009" w:type="dxa"/>
            <w:vMerge/>
            <w:tcBorders>
              <w:top w:val="nil"/>
              <w:left w:val="single" w:sz="4" w:space="0" w:color="auto"/>
              <w:bottom w:val="single" w:sz="4" w:space="0" w:color="000000"/>
              <w:right w:val="single" w:sz="4" w:space="0" w:color="auto"/>
            </w:tcBorders>
            <w:hideMark/>
          </w:tcPr>
          <w:p w14:paraId="2875B8B9"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473C56F7"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70E11FB0"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single" w:sz="8" w:space="0" w:color="auto"/>
              <w:left w:val="single" w:sz="8" w:space="0" w:color="auto"/>
              <w:bottom w:val="single" w:sz="4" w:space="0" w:color="auto"/>
              <w:right w:val="single" w:sz="4" w:space="0" w:color="auto"/>
            </w:tcBorders>
            <w:shd w:val="clear" w:color="auto" w:fill="auto"/>
            <w:hideMark/>
          </w:tcPr>
          <w:p w14:paraId="07899A9A"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01/19-09/ML</w:t>
            </w:r>
            <w:r w:rsidRPr="002F16BB">
              <w:rPr>
                <w:rFonts w:cs="Calibri"/>
                <w:color w:val="000000"/>
                <w:sz w:val="16"/>
                <w:szCs w:val="16"/>
                <w:lang w:val="ru-RU" w:eastAsia="en-GB"/>
              </w:rPr>
              <w:t>: Рекомендуется Отделу закупок FRMD, при консультациях с Директором БРЭ, рассмотреть актуальность и действенность, а также ограничение риска в Базовых правилах закупки оборудования для проектов МСЭ в области технического сотрудничества и технической помощи.</w:t>
            </w:r>
          </w:p>
        </w:tc>
        <w:tc>
          <w:tcPr>
            <w:tcW w:w="2253" w:type="dxa"/>
            <w:tcBorders>
              <w:top w:val="single" w:sz="8" w:space="0" w:color="auto"/>
              <w:left w:val="nil"/>
              <w:bottom w:val="single" w:sz="4" w:space="0" w:color="auto"/>
              <w:right w:val="single" w:sz="8" w:space="0" w:color="auto"/>
            </w:tcBorders>
            <w:shd w:val="clear" w:color="auto" w:fill="auto"/>
            <w:hideMark/>
          </w:tcPr>
          <w:p w14:paraId="44FCBC91" w14:textId="77777777" w:rsidR="00B86204" w:rsidRDefault="00B86204" w:rsidP="00016740">
            <w:pPr>
              <w:adjustRightInd/>
              <w:spacing w:before="40" w:after="40"/>
              <w:rPr>
                <w:rFonts w:cs="Calibri"/>
                <w:i/>
                <w:iCs/>
                <w:color w:val="000000"/>
                <w:sz w:val="16"/>
                <w:szCs w:val="16"/>
                <w:lang w:val="ru-RU" w:eastAsia="en-GB"/>
              </w:rPr>
            </w:pPr>
            <w:proofErr w:type="spellStart"/>
            <w:r w:rsidRPr="002F16BB">
              <w:rPr>
                <w:rFonts w:cs="Calibri"/>
                <w:i/>
                <w:iCs/>
                <w:color w:val="000000"/>
                <w:sz w:val="16"/>
                <w:szCs w:val="16"/>
                <w:lang w:val="ru-RU" w:eastAsia="en-GB"/>
              </w:rPr>
              <w:t>Осн</w:t>
            </w:r>
            <w:proofErr w:type="spellEnd"/>
            <w:r w:rsidRPr="002F16BB">
              <w:rPr>
                <w:rFonts w:cs="Calibri"/>
                <w:i/>
                <w:iCs/>
                <w:color w:val="000000"/>
                <w:sz w:val="16"/>
                <w:szCs w:val="16"/>
                <w:lang w:val="ru-RU" w:eastAsia="en-GB"/>
              </w:rPr>
              <w:t>. Документ</w:t>
            </w:r>
            <w:r>
              <w:rPr>
                <w:rFonts w:cs="Calibri"/>
                <w:i/>
                <w:iCs/>
                <w:color w:val="000000"/>
                <w:sz w:val="16"/>
                <w:szCs w:val="16"/>
                <w:lang w:val="ru-RU" w:eastAsia="en-GB"/>
              </w:rPr>
              <w:t> </w:t>
            </w:r>
            <w:r w:rsidRPr="002F16BB">
              <w:rPr>
                <w:rFonts w:cs="Calibri"/>
                <w:i/>
                <w:iCs/>
                <w:color w:val="000000"/>
                <w:sz w:val="16"/>
                <w:szCs w:val="16"/>
                <w:lang w:val="ru-RU" w:eastAsia="en-GB"/>
              </w:rPr>
              <w:t>CWG</w:t>
            </w:r>
            <w:r>
              <w:rPr>
                <w:rFonts w:cs="Calibri"/>
                <w:i/>
                <w:iCs/>
                <w:color w:val="000000"/>
                <w:sz w:val="16"/>
                <w:szCs w:val="16"/>
                <w:lang w:val="ru-RU" w:eastAsia="en-GB"/>
              </w:rPr>
              <w:noBreakHyphen/>
            </w:r>
            <w:r w:rsidRPr="002F16BB">
              <w:rPr>
                <w:rFonts w:cs="Calibri"/>
                <w:i/>
                <w:iCs/>
                <w:color w:val="000000"/>
                <w:sz w:val="16"/>
                <w:szCs w:val="16"/>
                <w:lang w:val="ru-RU" w:eastAsia="en-GB"/>
              </w:rPr>
              <w:t>FHR</w:t>
            </w:r>
            <w:r>
              <w:rPr>
                <w:rFonts w:cs="Calibri"/>
                <w:i/>
                <w:iCs/>
                <w:color w:val="000000"/>
                <w:sz w:val="16"/>
                <w:szCs w:val="16"/>
                <w:lang w:val="ru-RU" w:eastAsia="en-GB"/>
              </w:rPr>
              <w:t> </w:t>
            </w:r>
            <w:r w:rsidRPr="002F16BB">
              <w:rPr>
                <w:rFonts w:cs="Calibri"/>
                <w:i/>
                <w:iCs/>
                <w:color w:val="000000"/>
                <w:sz w:val="16"/>
                <w:szCs w:val="16"/>
                <w:lang w:val="ru-RU" w:eastAsia="en-GB"/>
              </w:rPr>
              <w:t>10/15 (сент. 2019 г.)</w:t>
            </w:r>
            <w:r>
              <w:rPr>
                <w:rFonts w:cs="Calibri"/>
                <w:i/>
                <w:iCs/>
                <w:color w:val="000000"/>
                <w:sz w:val="16"/>
                <w:szCs w:val="16"/>
                <w:lang w:val="ru-RU" w:eastAsia="en-GB"/>
              </w:rPr>
              <w:t>,</w:t>
            </w:r>
            <w:r w:rsidRPr="002F16BB">
              <w:rPr>
                <w:rFonts w:cs="Calibri"/>
                <w:i/>
                <w:iCs/>
                <w:color w:val="000000"/>
                <w:sz w:val="16"/>
                <w:szCs w:val="16"/>
                <w:lang w:val="ru-RU" w:eastAsia="en-GB"/>
              </w:rPr>
              <w:t xml:space="preserve"> пункт 7</w:t>
            </w:r>
          </w:p>
          <w:p w14:paraId="2EDAF07A" w14:textId="77777777" w:rsidR="00B86204" w:rsidRDefault="00B86204" w:rsidP="00016740">
            <w:pPr>
              <w:adjustRightInd/>
              <w:spacing w:before="40" w:after="40"/>
              <w:rPr>
                <w:rFonts w:cs="Calibri"/>
                <w:color w:val="000000"/>
                <w:sz w:val="16"/>
                <w:szCs w:val="16"/>
                <w:lang w:val="ru-RU" w:eastAsia="en-GB"/>
              </w:rPr>
            </w:pPr>
            <w:r w:rsidRPr="002F16BB">
              <w:rPr>
                <w:rFonts w:cs="Calibri"/>
                <w:b/>
                <w:bCs/>
                <w:i/>
                <w:iCs/>
                <w:color w:val="000000"/>
                <w:sz w:val="16"/>
                <w:szCs w:val="16"/>
                <w:lang w:val="ru-RU" w:eastAsia="en-GB"/>
              </w:rPr>
              <w:t>Осуществлено</w:t>
            </w:r>
            <w:r>
              <w:rPr>
                <w:rFonts w:cs="Calibri"/>
                <w:color w:val="000000"/>
                <w:sz w:val="16"/>
                <w:szCs w:val="16"/>
                <w:lang w:val="ru-RU" w:eastAsia="en-GB"/>
              </w:rPr>
              <w:t>.</w:t>
            </w:r>
          </w:p>
          <w:p w14:paraId="20483E15"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Эти Базовые правила были аннулированы Советом 2019 года и заменены новым Руководством по закупкам. </w:t>
            </w:r>
          </w:p>
        </w:tc>
        <w:tc>
          <w:tcPr>
            <w:tcW w:w="2410" w:type="dxa"/>
            <w:tcBorders>
              <w:top w:val="single" w:sz="8" w:space="0" w:color="auto"/>
              <w:left w:val="nil"/>
              <w:bottom w:val="single" w:sz="4" w:space="0" w:color="auto"/>
              <w:right w:val="single" w:sz="4" w:space="0" w:color="auto"/>
            </w:tcBorders>
            <w:shd w:val="clear" w:color="auto" w:fill="auto"/>
            <w:hideMark/>
          </w:tcPr>
          <w:p w14:paraId="0E82633B"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C17/40, Аудит финансовой отчетности за 2016 год,</w:t>
            </w:r>
            <w:r>
              <w:rPr>
                <w:rFonts w:cs="Calibri"/>
                <w:b/>
                <w:bCs/>
                <w:color w:val="000000"/>
                <w:sz w:val="16"/>
                <w:szCs w:val="16"/>
                <w:lang w:val="ru-RU" w:eastAsia="en-GB"/>
              </w:rPr>
              <w:t xml:space="preserve"> </w:t>
            </w:r>
            <w:r w:rsidRPr="002F16BB">
              <w:rPr>
                <w:rFonts w:cs="Calibri"/>
                <w:b/>
                <w:bCs/>
                <w:color w:val="000000"/>
                <w:sz w:val="16"/>
                <w:szCs w:val="16"/>
                <w:lang w:val="ru-RU" w:eastAsia="en-GB"/>
              </w:rPr>
              <w:t>рекомендация 4</w:t>
            </w:r>
          </w:p>
          <w:p w14:paraId="3B25795E"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Мы разделяем позицию Внутреннего аудитора и рекомендуем принять: a) инструкцию по закупкам, которая охватывала бы все этапы процесса закупок в соответствии с передовым опытом ООН в этой области, а также b) меры по реализации с направлениями политики и процедурами, которые должны служить руководством для всех сотрудников, задействованных на различных этапах процесса закупок.</w:t>
            </w:r>
          </w:p>
        </w:tc>
        <w:tc>
          <w:tcPr>
            <w:tcW w:w="2409" w:type="dxa"/>
            <w:tcBorders>
              <w:top w:val="single" w:sz="8" w:space="0" w:color="auto"/>
              <w:left w:val="nil"/>
              <w:bottom w:val="single" w:sz="4" w:space="0" w:color="auto"/>
              <w:right w:val="single" w:sz="8" w:space="0" w:color="auto"/>
            </w:tcBorders>
            <w:shd w:val="clear" w:color="auto" w:fill="auto"/>
            <w:hideMark/>
          </w:tcPr>
          <w:p w14:paraId="27ADE810" w14:textId="77777777" w:rsidR="00B86204" w:rsidRPr="002F16BB" w:rsidRDefault="00B86204" w:rsidP="00016740">
            <w:pPr>
              <w:adjustRightInd/>
              <w:spacing w:before="40" w:after="40"/>
              <w:ind w:right="-57"/>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апрель 2018 г</w:t>
            </w:r>
            <w:r w:rsidRPr="002F16BB">
              <w:rPr>
                <w:rFonts w:cs="Calibri"/>
                <w:i/>
                <w:iCs/>
                <w:color w:val="000000"/>
                <w:sz w:val="16"/>
                <w:szCs w:val="16"/>
                <w:lang w:val="ru-RU" w:eastAsia="en-GB"/>
              </w:rPr>
              <w:t>.:</w:t>
            </w:r>
          </w:p>
          <w:p w14:paraId="55AC6A47" w14:textId="77777777" w:rsidR="00B86204" w:rsidRPr="002F16BB" w:rsidRDefault="00B86204" w:rsidP="00016740">
            <w:pPr>
              <w:adjustRightInd/>
              <w:spacing w:before="40" w:after="40"/>
              <w:ind w:right="-57"/>
              <w:rPr>
                <w:rFonts w:cs="Calibri"/>
                <w:i/>
                <w:iCs/>
                <w:color w:val="000000"/>
                <w:sz w:val="16"/>
                <w:szCs w:val="16"/>
                <w:lang w:val="ru-RU" w:eastAsia="en-GB"/>
              </w:rPr>
            </w:pPr>
            <w:r w:rsidRPr="002F16BB">
              <w:rPr>
                <w:rFonts w:cs="Calibri"/>
                <w:i/>
                <w:iCs/>
                <w:color w:val="000000"/>
                <w:sz w:val="16"/>
                <w:szCs w:val="16"/>
                <w:lang w:val="ru-RU" w:eastAsia="en-GB"/>
              </w:rPr>
              <w:t>В процессе выполнения.</w:t>
            </w:r>
          </w:p>
          <w:p w14:paraId="52761609" w14:textId="77777777" w:rsidR="00B86204" w:rsidRPr="002F16BB" w:rsidRDefault="00B86204" w:rsidP="00016740">
            <w:pPr>
              <w:adjustRightInd/>
              <w:spacing w:before="40" w:after="40"/>
              <w:ind w:right="-57"/>
              <w:rPr>
                <w:rFonts w:cs="Calibri"/>
                <w:i/>
                <w:iCs/>
                <w:color w:val="000000"/>
                <w:sz w:val="16"/>
                <w:szCs w:val="16"/>
                <w:lang w:val="ru-RU" w:eastAsia="en-GB"/>
              </w:rPr>
            </w:pPr>
            <w:r w:rsidRPr="002F16BB">
              <w:rPr>
                <w:rFonts w:cs="Calibri"/>
                <w:i/>
                <w:iCs/>
                <w:color w:val="000000"/>
                <w:sz w:val="16"/>
                <w:szCs w:val="16"/>
                <w:lang w:val="ru-RU" w:eastAsia="en-GB"/>
              </w:rPr>
              <w:t>Руководство по закупкам разрабатывается.</w:t>
            </w:r>
          </w:p>
          <w:p w14:paraId="173834DC" w14:textId="77777777" w:rsidR="00B86204" w:rsidRPr="002F16BB" w:rsidRDefault="00B86204" w:rsidP="00016740">
            <w:pPr>
              <w:adjustRightInd/>
              <w:spacing w:before="40" w:after="40"/>
              <w:ind w:right="-57"/>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2018 г</w:t>
            </w:r>
            <w:r w:rsidRPr="002F16BB">
              <w:rPr>
                <w:rFonts w:cs="Calibri"/>
                <w:i/>
                <w:iCs/>
                <w:color w:val="000000"/>
                <w:sz w:val="16"/>
                <w:szCs w:val="16"/>
                <w:lang w:val="ru-RU" w:eastAsia="en-GB"/>
              </w:rPr>
              <w:t>.:</w:t>
            </w:r>
          </w:p>
          <w:p w14:paraId="62508A60" w14:textId="77777777" w:rsidR="00B86204" w:rsidRPr="002F16BB" w:rsidRDefault="00B86204" w:rsidP="00016740">
            <w:pPr>
              <w:adjustRightInd/>
              <w:spacing w:before="40" w:after="40"/>
              <w:ind w:right="-57"/>
              <w:rPr>
                <w:rFonts w:cs="Calibri"/>
                <w:i/>
                <w:iCs/>
                <w:color w:val="000000"/>
                <w:sz w:val="16"/>
                <w:szCs w:val="16"/>
                <w:lang w:val="ru-RU" w:eastAsia="en-GB"/>
              </w:rPr>
            </w:pPr>
            <w:r w:rsidRPr="002F16BB">
              <w:rPr>
                <w:rFonts w:cs="Calibri"/>
                <w:i/>
                <w:iCs/>
                <w:color w:val="000000"/>
                <w:sz w:val="16"/>
                <w:szCs w:val="16"/>
                <w:lang w:val="ru-RU" w:eastAsia="en-GB"/>
              </w:rPr>
              <w:t>Это включено в Руководство по закупкам, которое разработано и распространение которого предусматривается в начале 2019 года.</w:t>
            </w:r>
          </w:p>
          <w:p w14:paraId="46D97664" w14:textId="77777777" w:rsidR="00B86204" w:rsidRDefault="00B86204" w:rsidP="00016740">
            <w:pPr>
              <w:adjustRightInd/>
              <w:spacing w:before="40" w:after="40"/>
              <w:ind w:right="-57"/>
              <w:rPr>
                <w:rFonts w:cs="Calibri"/>
                <w:i/>
                <w:iCs/>
                <w:color w:val="000000"/>
                <w:sz w:val="16"/>
                <w:szCs w:val="16"/>
                <w:lang w:val="ru-RU" w:eastAsia="en-GB"/>
              </w:rPr>
            </w:pPr>
            <w:r w:rsidRPr="002F16BB">
              <w:rPr>
                <w:rFonts w:cs="Calibri"/>
                <w:b/>
                <w:bCs/>
                <w:i/>
                <w:iCs/>
                <w:color w:val="000000"/>
                <w:sz w:val="16"/>
                <w:szCs w:val="16"/>
                <w:lang w:val="ru-RU" w:eastAsia="en-GB"/>
              </w:rPr>
              <w:t>Обновление, по состоянию на апрель 2019 г</w:t>
            </w:r>
            <w:r w:rsidRPr="002F16BB">
              <w:rPr>
                <w:rFonts w:cs="Calibri"/>
                <w:i/>
                <w:iCs/>
                <w:color w:val="000000"/>
                <w:sz w:val="16"/>
                <w:szCs w:val="16"/>
                <w:lang w:val="ru-RU" w:eastAsia="en-GB"/>
              </w:rPr>
              <w:t xml:space="preserve">.: </w:t>
            </w:r>
          </w:p>
          <w:p w14:paraId="1F9FBB4A" w14:textId="77777777" w:rsidR="00B86204" w:rsidRPr="002F16BB" w:rsidRDefault="00B86204" w:rsidP="00016740">
            <w:pPr>
              <w:adjustRightInd/>
              <w:spacing w:before="40" w:after="40"/>
              <w:ind w:right="-57"/>
              <w:rPr>
                <w:rFonts w:cs="Calibri"/>
                <w:i/>
                <w:iCs/>
                <w:color w:val="000000"/>
                <w:sz w:val="16"/>
                <w:szCs w:val="16"/>
                <w:lang w:val="ru-RU" w:eastAsia="en-GB"/>
              </w:rPr>
            </w:pPr>
            <w:r w:rsidRPr="002F16BB">
              <w:rPr>
                <w:rFonts w:cs="Calibri"/>
                <w:i/>
                <w:iCs/>
                <w:color w:val="000000"/>
                <w:sz w:val="16"/>
                <w:szCs w:val="16"/>
                <w:lang w:val="ru-RU" w:eastAsia="en-GB"/>
              </w:rPr>
              <w:t>Отсутствует</w:t>
            </w:r>
            <w:r>
              <w:rPr>
                <w:rFonts w:cs="Calibri"/>
                <w:i/>
                <w:iCs/>
                <w:color w:val="000000"/>
                <w:sz w:val="16"/>
                <w:szCs w:val="16"/>
                <w:lang w:val="ru-RU" w:eastAsia="en-GB"/>
              </w:rPr>
              <w:t>.</w:t>
            </w:r>
          </w:p>
          <w:p w14:paraId="4DE0BB02" w14:textId="77777777" w:rsidR="00B86204" w:rsidRPr="002F16BB" w:rsidRDefault="00B86204" w:rsidP="00016740">
            <w:pPr>
              <w:adjustRightInd/>
              <w:spacing w:before="40" w:after="40"/>
              <w:ind w:right="-57"/>
              <w:rPr>
                <w:rFonts w:cs="Calibri"/>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 xml:space="preserve">.: </w:t>
            </w:r>
          </w:p>
          <w:p w14:paraId="41730D40" w14:textId="77777777" w:rsidR="00B86204" w:rsidRPr="002F16BB" w:rsidRDefault="00B86204" w:rsidP="00016740">
            <w:pPr>
              <w:adjustRightInd/>
              <w:spacing w:before="40" w:after="40"/>
              <w:ind w:right="-57"/>
              <w:rPr>
                <w:rFonts w:cs="Calibri"/>
                <w:i/>
                <w:iCs/>
                <w:color w:val="000000"/>
                <w:sz w:val="16"/>
                <w:szCs w:val="16"/>
                <w:lang w:val="ru-RU" w:eastAsia="en-GB"/>
              </w:rPr>
            </w:pPr>
            <w:r w:rsidRPr="002F16BB">
              <w:rPr>
                <w:rFonts w:cs="Calibri"/>
                <w:i/>
                <w:iCs/>
                <w:color w:val="000000"/>
                <w:sz w:val="16"/>
                <w:szCs w:val="16"/>
                <w:lang w:val="ru-RU" w:eastAsia="en-GB"/>
              </w:rPr>
              <w:t xml:space="preserve">Осуществлено. Руководство МСЭ по закупкам </w:t>
            </w:r>
            <w:proofErr w:type="spellStart"/>
            <w:proofErr w:type="gramStart"/>
            <w:r w:rsidRPr="002F16BB">
              <w:rPr>
                <w:rFonts w:cs="Calibri"/>
                <w:i/>
                <w:iCs/>
                <w:color w:val="000000"/>
                <w:sz w:val="16"/>
                <w:szCs w:val="16"/>
                <w:lang w:val="ru-RU" w:eastAsia="en-GB"/>
              </w:rPr>
              <w:t>распростра</w:t>
            </w:r>
            <w:r>
              <w:rPr>
                <w:rFonts w:cs="Calibri"/>
                <w:i/>
                <w:iCs/>
                <w:color w:val="000000"/>
                <w:sz w:val="16"/>
                <w:szCs w:val="16"/>
                <w:lang w:val="ru-RU" w:eastAsia="en-GB"/>
              </w:rPr>
              <w:t>-</w:t>
            </w:r>
            <w:r w:rsidRPr="002F16BB">
              <w:rPr>
                <w:rFonts w:cs="Calibri"/>
                <w:i/>
                <w:iCs/>
                <w:color w:val="000000"/>
                <w:sz w:val="16"/>
                <w:szCs w:val="16"/>
                <w:lang w:val="ru-RU" w:eastAsia="en-GB"/>
              </w:rPr>
              <w:t>нено</w:t>
            </w:r>
            <w:proofErr w:type="spellEnd"/>
            <w:proofErr w:type="gramEnd"/>
            <w:r w:rsidRPr="002F16BB">
              <w:rPr>
                <w:rFonts w:cs="Calibri"/>
                <w:i/>
                <w:iCs/>
                <w:color w:val="000000"/>
                <w:sz w:val="16"/>
                <w:szCs w:val="16"/>
                <w:lang w:val="ru-RU" w:eastAsia="en-GB"/>
              </w:rPr>
              <w:t xml:space="preserve"> в июне 2019 года.</w:t>
            </w:r>
          </w:p>
          <w:p w14:paraId="75D01BB3" w14:textId="77777777" w:rsidR="00B86204" w:rsidRPr="002F16BB" w:rsidRDefault="00B86204" w:rsidP="00016740">
            <w:pPr>
              <w:adjustRightInd/>
              <w:spacing w:before="40" w:after="40"/>
              <w:ind w:right="-57"/>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4BC39EDC" w14:textId="77777777" w:rsidR="00B86204" w:rsidRPr="002F16BB" w:rsidRDefault="00B86204" w:rsidP="00016740">
            <w:pPr>
              <w:adjustRightInd/>
              <w:spacing w:before="40" w:after="40"/>
              <w:ind w:right="-57"/>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nil"/>
              <w:bottom w:val="single" w:sz="4" w:space="0" w:color="auto"/>
              <w:right w:val="single" w:sz="4" w:space="0" w:color="auto"/>
            </w:tcBorders>
            <w:shd w:val="clear" w:color="auto" w:fill="auto"/>
            <w:hideMark/>
          </w:tcPr>
          <w:p w14:paraId="2AB22914"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0FDE9EDD"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272E56DB" w14:textId="77777777" w:rsidTr="00016740">
        <w:tc>
          <w:tcPr>
            <w:tcW w:w="1009" w:type="dxa"/>
            <w:vMerge/>
            <w:tcBorders>
              <w:top w:val="nil"/>
              <w:left w:val="single" w:sz="4" w:space="0" w:color="auto"/>
              <w:bottom w:val="single" w:sz="4" w:space="0" w:color="000000"/>
              <w:right w:val="single" w:sz="4" w:space="0" w:color="auto"/>
            </w:tcBorders>
            <w:hideMark/>
          </w:tcPr>
          <w:p w14:paraId="7A8442AA"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3EFE6593"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408B8EF2"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hideMark/>
          </w:tcPr>
          <w:p w14:paraId="44F7ABE3"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02/19-09/ML</w:t>
            </w:r>
            <w:proofErr w:type="gramStart"/>
            <w:r w:rsidRPr="002F16BB">
              <w:rPr>
                <w:rFonts w:cs="Calibri"/>
                <w:color w:val="000000"/>
                <w:sz w:val="16"/>
                <w:szCs w:val="16"/>
                <w:lang w:val="ru-RU" w:eastAsia="en-GB"/>
              </w:rPr>
              <w:t>: Для</w:t>
            </w:r>
            <w:proofErr w:type="gramEnd"/>
            <w:r w:rsidRPr="002F16BB">
              <w:rPr>
                <w:rFonts w:cs="Calibri"/>
                <w:color w:val="000000"/>
                <w:sz w:val="16"/>
                <w:szCs w:val="16"/>
                <w:lang w:val="ru-RU" w:eastAsia="en-GB"/>
              </w:rPr>
              <w:t xml:space="preserve"> обеспечения повышения прозрачности и подотчетности закупок Внутренний аудитор рекомендует использовать единый метод закупок во всем Союзе, для чего руководитель FRMD должен незамедлительно выпустить ожидаемую инструкцию по закупкам МСЭ. </w:t>
            </w:r>
          </w:p>
        </w:tc>
        <w:tc>
          <w:tcPr>
            <w:tcW w:w="2253" w:type="dxa"/>
            <w:tcBorders>
              <w:top w:val="nil"/>
              <w:left w:val="nil"/>
              <w:bottom w:val="single" w:sz="4" w:space="0" w:color="auto"/>
              <w:right w:val="single" w:sz="8" w:space="0" w:color="auto"/>
            </w:tcBorders>
            <w:shd w:val="clear" w:color="auto" w:fill="auto"/>
            <w:hideMark/>
          </w:tcPr>
          <w:p w14:paraId="6C89F25D" w14:textId="77777777" w:rsidR="00B86204" w:rsidRDefault="00B86204" w:rsidP="00016740">
            <w:pPr>
              <w:adjustRightInd/>
              <w:spacing w:before="40" w:after="40"/>
              <w:rPr>
                <w:rFonts w:cs="Calibri"/>
                <w:i/>
                <w:iCs/>
                <w:color w:val="000000"/>
                <w:sz w:val="16"/>
                <w:szCs w:val="16"/>
                <w:lang w:val="ru-RU" w:eastAsia="en-GB"/>
              </w:rPr>
            </w:pPr>
            <w:proofErr w:type="spellStart"/>
            <w:r w:rsidRPr="002F16BB">
              <w:rPr>
                <w:rFonts w:cs="Calibri"/>
                <w:i/>
                <w:iCs/>
                <w:color w:val="000000"/>
                <w:sz w:val="16"/>
                <w:szCs w:val="16"/>
                <w:lang w:val="ru-RU" w:eastAsia="en-GB"/>
              </w:rPr>
              <w:t>Осн</w:t>
            </w:r>
            <w:proofErr w:type="spellEnd"/>
            <w:r w:rsidRPr="002F16BB">
              <w:rPr>
                <w:rFonts w:cs="Calibri"/>
                <w:i/>
                <w:iCs/>
                <w:color w:val="000000"/>
                <w:sz w:val="16"/>
                <w:szCs w:val="16"/>
                <w:lang w:val="ru-RU" w:eastAsia="en-GB"/>
              </w:rPr>
              <w:t>. Документ</w:t>
            </w:r>
            <w:r>
              <w:rPr>
                <w:rFonts w:cs="Calibri"/>
                <w:i/>
                <w:iCs/>
                <w:color w:val="000000"/>
                <w:sz w:val="16"/>
                <w:szCs w:val="16"/>
                <w:lang w:val="ru-RU" w:eastAsia="en-GB"/>
              </w:rPr>
              <w:t> </w:t>
            </w:r>
            <w:r w:rsidRPr="002F16BB">
              <w:rPr>
                <w:rFonts w:cs="Calibri"/>
                <w:i/>
                <w:iCs/>
                <w:color w:val="000000"/>
                <w:sz w:val="16"/>
                <w:szCs w:val="16"/>
                <w:lang w:val="ru-RU" w:eastAsia="en-GB"/>
              </w:rPr>
              <w:t>CWG</w:t>
            </w:r>
            <w:r>
              <w:rPr>
                <w:rFonts w:cs="Calibri"/>
                <w:i/>
                <w:iCs/>
                <w:color w:val="000000"/>
                <w:sz w:val="16"/>
                <w:szCs w:val="16"/>
                <w:lang w:val="ru-RU" w:eastAsia="en-GB"/>
              </w:rPr>
              <w:noBreakHyphen/>
            </w:r>
            <w:r w:rsidRPr="002F16BB">
              <w:rPr>
                <w:rFonts w:cs="Calibri"/>
                <w:i/>
                <w:iCs/>
                <w:color w:val="000000"/>
                <w:sz w:val="16"/>
                <w:szCs w:val="16"/>
                <w:lang w:val="ru-RU" w:eastAsia="en-GB"/>
              </w:rPr>
              <w:t>FHR</w:t>
            </w:r>
            <w:r>
              <w:rPr>
                <w:rFonts w:cs="Calibri"/>
                <w:i/>
                <w:iCs/>
                <w:color w:val="000000"/>
                <w:sz w:val="16"/>
                <w:szCs w:val="16"/>
                <w:lang w:val="ru-RU" w:eastAsia="en-GB"/>
              </w:rPr>
              <w:t> </w:t>
            </w:r>
            <w:r w:rsidRPr="002F16BB">
              <w:rPr>
                <w:rFonts w:cs="Calibri"/>
                <w:i/>
                <w:iCs/>
                <w:color w:val="000000"/>
                <w:sz w:val="16"/>
                <w:szCs w:val="16"/>
                <w:lang w:val="ru-RU" w:eastAsia="en-GB"/>
              </w:rPr>
              <w:t>10/15 (сент. 2019 г.)</w:t>
            </w:r>
            <w:r>
              <w:rPr>
                <w:rFonts w:cs="Calibri"/>
                <w:i/>
                <w:iCs/>
                <w:color w:val="000000"/>
                <w:sz w:val="16"/>
                <w:szCs w:val="16"/>
                <w:lang w:val="ru-RU" w:eastAsia="en-GB"/>
              </w:rPr>
              <w:t>,</w:t>
            </w:r>
            <w:r w:rsidRPr="002F16BB">
              <w:rPr>
                <w:rFonts w:cs="Calibri"/>
                <w:i/>
                <w:iCs/>
                <w:color w:val="000000"/>
                <w:sz w:val="16"/>
                <w:szCs w:val="16"/>
                <w:lang w:val="ru-RU" w:eastAsia="en-GB"/>
              </w:rPr>
              <w:t xml:space="preserve"> пункт 7</w:t>
            </w:r>
          </w:p>
          <w:p w14:paraId="0323BDE5" w14:textId="77777777" w:rsidR="00B86204" w:rsidRDefault="00B86204" w:rsidP="00016740">
            <w:pPr>
              <w:adjustRightInd/>
              <w:spacing w:before="40" w:after="40"/>
              <w:rPr>
                <w:rFonts w:cs="Calibri"/>
                <w:color w:val="000000"/>
                <w:sz w:val="16"/>
                <w:szCs w:val="16"/>
                <w:lang w:val="ru-RU" w:eastAsia="en-GB"/>
              </w:rPr>
            </w:pPr>
            <w:r w:rsidRPr="002F16BB">
              <w:rPr>
                <w:rFonts w:cs="Calibri"/>
                <w:b/>
                <w:bCs/>
                <w:i/>
                <w:iCs/>
                <w:color w:val="000000"/>
                <w:sz w:val="16"/>
                <w:szCs w:val="16"/>
                <w:lang w:val="ru-RU" w:eastAsia="en-GB"/>
              </w:rPr>
              <w:t>Осуществлено</w:t>
            </w:r>
            <w:r w:rsidRPr="006D6F73">
              <w:rPr>
                <w:rFonts w:cs="Calibri"/>
                <w:color w:val="000000"/>
                <w:sz w:val="16"/>
                <w:szCs w:val="16"/>
                <w:lang w:val="ru-RU" w:eastAsia="en-GB"/>
              </w:rPr>
              <w:t>.</w:t>
            </w:r>
          </w:p>
          <w:p w14:paraId="0D38A115"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См. выше</w:t>
            </w:r>
            <w:r>
              <w:rPr>
                <w:rFonts w:cs="Calibri"/>
                <w:i/>
                <w:iCs/>
                <w:color w:val="000000"/>
                <w:sz w:val="16"/>
                <w:szCs w:val="16"/>
                <w:lang w:val="ru-RU" w:eastAsia="en-GB"/>
              </w:rPr>
              <w:t>.</w:t>
            </w:r>
          </w:p>
        </w:tc>
        <w:tc>
          <w:tcPr>
            <w:tcW w:w="2410" w:type="dxa"/>
            <w:tcBorders>
              <w:top w:val="nil"/>
              <w:left w:val="nil"/>
              <w:bottom w:val="single" w:sz="4" w:space="0" w:color="auto"/>
              <w:right w:val="single" w:sz="4" w:space="0" w:color="auto"/>
            </w:tcBorders>
            <w:shd w:val="clear" w:color="auto" w:fill="auto"/>
            <w:hideMark/>
          </w:tcPr>
          <w:p w14:paraId="50886085"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C17/40, Аудит финансовой отчетности за 2016 год,</w:t>
            </w:r>
            <w:r>
              <w:rPr>
                <w:rFonts w:cs="Calibri"/>
                <w:b/>
                <w:bCs/>
                <w:color w:val="000000"/>
                <w:sz w:val="16"/>
                <w:szCs w:val="16"/>
                <w:lang w:val="ru-RU" w:eastAsia="en-GB"/>
              </w:rPr>
              <w:t xml:space="preserve"> </w:t>
            </w:r>
            <w:r w:rsidRPr="002F16BB">
              <w:rPr>
                <w:rFonts w:cs="Calibri"/>
                <w:b/>
                <w:bCs/>
                <w:color w:val="000000"/>
                <w:sz w:val="16"/>
                <w:szCs w:val="16"/>
                <w:lang w:val="ru-RU" w:eastAsia="en-GB"/>
              </w:rPr>
              <w:t>рекомендация 5</w:t>
            </w:r>
            <w:r w:rsidRPr="002F16BB">
              <w:rPr>
                <w:rFonts w:cs="Calibri"/>
                <w:color w:val="000000"/>
                <w:sz w:val="16"/>
                <w:szCs w:val="16"/>
                <w:lang w:val="ru-RU" w:eastAsia="en-GB"/>
              </w:rPr>
              <w:t xml:space="preserve"> </w:t>
            </w:r>
          </w:p>
          <w:p w14:paraId="1AEBC080" w14:textId="77777777" w:rsidR="00B86204" w:rsidRPr="002F16BB" w:rsidRDefault="00B86204" w:rsidP="00016740">
            <w:pPr>
              <w:adjustRightInd/>
              <w:spacing w:before="40" w:after="40" w:line="180" w:lineRule="exact"/>
              <w:rPr>
                <w:rFonts w:cs="Calibri"/>
                <w:color w:val="000000"/>
                <w:sz w:val="16"/>
                <w:szCs w:val="16"/>
                <w:lang w:val="ru-RU" w:eastAsia="en-GB"/>
              </w:rPr>
            </w:pPr>
            <w:r w:rsidRPr="002F16BB">
              <w:rPr>
                <w:rFonts w:cs="Calibri"/>
                <w:color w:val="000000"/>
                <w:sz w:val="16"/>
                <w:szCs w:val="16"/>
                <w:lang w:val="ru-RU" w:eastAsia="en-GB"/>
              </w:rPr>
              <w:t xml:space="preserve">Ввиду этого мы рекомендуем МСЭ ввести письменную процедуру, которой бы следовали сотрудники МСЭ в случаях закупок на сумму менее 20 000 швейцарских франков. </w:t>
            </w:r>
          </w:p>
          <w:p w14:paraId="6144B229" w14:textId="77777777" w:rsidR="00B86204" w:rsidRPr="002F16BB" w:rsidRDefault="00B86204" w:rsidP="00016740">
            <w:pPr>
              <w:adjustRightInd/>
              <w:spacing w:before="40" w:after="40" w:line="180" w:lineRule="exact"/>
              <w:rPr>
                <w:rFonts w:cs="Calibri"/>
                <w:b/>
                <w:bCs/>
                <w:color w:val="000000"/>
                <w:sz w:val="16"/>
                <w:szCs w:val="16"/>
                <w:lang w:val="ru-RU" w:eastAsia="en-GB"/>
              </w:rPr>
            </w:pPr>
            <w:r w:rsidRPr="002F16BB">
              <w:rPr>
                <w:rFonts w:cs="Calibri"/>
                <w:b/>
                <w:bCs/>
                <w:color w:val="000000"/>
                <w:sz w:val="16"/>
                <w:szCs w:val="16"/>
                <w:lang w:val="ru-RU" w:eastAsia="en-GB"/>
              </w:rPr>
              <w:t>Предложение 2</w:t>
            </w:r>
          </w:p>
          <w:p w14:paraId="2373A98F" w14:textId="77777777" w:rsidR="00B86204" w:rsidRPr="002F16BB" w:rsidRDefault="00B86204" w:rsidP="00016740">
            <w:pPr>
              <w:adjustRightInd/>
              <w:spacing w:before="40" w:after="40" w:line="180" w:lineRule="exact"/>
              <w:rPr>
                <w:rFonts w:cs="Calibri"/>
                <w:color w:val="000000"/>
                <w:sz w:val="16"/>
                <w:szCs w:val="16"/>
                <w:lang w:val="ru-RU" w:eastAsia="en-GB"/>
              </w:rPr>
            </w:pPr>
            <w:r w:rsidRPr="002F16BB">
              <w:rPr>
                <w:rFonts w:cs="Calibri"/>
                <w:color w:val="000000"/>
                <w:sz w:val="16"/>
                <w:szCs w:val="16"/>
                <w:lang w:val="ru-RU" w:eastAsia="en-GB"/>
              </w:rPr>
              <w:t>Наряду с этим мы предлагаем, чтобы МСЭ пересмотрел порог получения минимум трех предложений для гарантии разумного финансового управления процессом</w:t>
            </w:r>
          </w:p>
        </w:tc>
        <w:tc>
          <w:tcPr>
            <w:tcW w:w="2409" w:type="dxa"/>
            <w:tcBorders>
              <w:top w:val="nil"/>
              <w:left w:val="nil"/>
              <w:bottom w:val="single" w:sz="4" w:space="0" w:color="auto"/>
              <w:right w:val="single" w:sz="8" w:space="0" w:color="auto"/>
            </w:tcBorders>
            <w:shd w:val="clear" w:color="auto" w:fill="auto"/>
            <w:hideMark/>
          </w:tcPr>
          <w:p w14:paraId="273CA48C"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5C816147"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Осуществлено в соответствии с Руководством МСЭ по закупкам от июня 2019 года.</w:t>
            </w:r>
          </w:p>
          <w:p w14:paraId="6A7DD980"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790DF53D"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nil"/>
              <w:bottom w:val="single" w:sz="4" w:space="0" w:color="auto"/>
              <w:right w:val="single" w:sz="4" w:space="0" w:color="auto"/>
            </w:tcBorders>
            <w:shd w:val="clear" w:color="auto" w:fill="auto"/>
            <w:hideMark/>
          </w:tcPr>
          <w:p w14:paraId="27861B06"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5EC78461"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66E8C26B" w14:textId="77777777" w:rsidTr="00016740">
        <w:tc>
          <w:tcPr>
            <w:tcW w:w="1009" w:type="dxa"/>
            <w:vMerge/>
            <w:tcBorders>
              <w:top w:val="nil"/>
              <w:left w:val="single" w:sz="4" w:space="0" w:color="auto"/>
              <w:bottom w:val="single" w:sz="4" w:space="0" w:color="000000"/>
              <w:right w:val="single" w:sz="4" w:space="0" w:color="auto"/>
            </w:tcBorders>
            <w:hideMark/>
          </w:tcPr>
          <w:p w14:paraId="37C6CC54"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609971E7"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79B39E61"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hideMark/>
          </w:tcPr>
          <w:p w14:paraId="7ACFEBEA"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03/19-09/ML</w:t>
            </w:r>
            <w:r w:rsidRPr="002F16BB">
              <w:rPr>
                <w:rFonts w:cs="Calibri"/>
                <w:color w:val="000000"/>
                <w:sz w:val="16"/>
                <w:szCs w:val="16"/>
                <w:lang w:val="ru-RU" w:eastAsia="en-GB"/>
              </w:rPr>
              <w:t>: Руководителю Отдела закупок FRMD рекомендуется внедрить мониторинг совокупных платежей поставщикам на последовательной временной основе в рамках проверки для обеспечения того, чтобы мелкие суммы не миновали каких-либо установленных пороговых значений для рассмотрения.</w:t>
            </w:r>
          </w:p>
        </w:tc>
        <w:tc>
          <w:tcPr>
            <w:tcW w:w="2253" w:type="dxa"/>
            <w:tcBorders>
              <w:top w:val="nil"/>
              <w:left w:val="nil"/>
              <w:bottom w:val="single" w:sz="4" w:space="0" w:color="auto"/>
              <w:right w:val="single" w:sz="8" w:space="0" w:color="auto"/>
            </w:tcBorders>
            <w:shd w:val="clear" w:color="auto" w:fill="auto"/>
            <w:hideMark/>
          </w:tcPr>
          <w:p w14:paraId="159A79CE" w14:textId="77777777" w:rsidR="00B86204" w:rsidRDefault="00B86204" w:rsidP="00016740">
            <w:pPr>
              <w:adjustRightInd/>
              <w:spacing w:before="40" w:after="40"/>
              <w:rPr>
                <w:rFonts w:cs="Calibri"/>
                <w:i/>
                <w:iCs/>
                <w:color w:val="000000"/>
                <w:sz w:val="16"/>
                <w:szCs w:val="16"/>
                <w:lang w:val="ru-RU" w:eastAsia="en-GB"/>
              </w:rPr>
            </w:pPr>
            <w:proofErr w:type="spellStart"/>
            <w:r w:rsidRPr="002F16BB">
              <w:rPr>
                <w:rFonts w:cs="Calibri"/>
                <w:i/>
                <w:iCs/>
                <w:color w:val="000000"/>
                <w:sz w:val="16"/>
                <w:szCs w:val="16"/>
                <w:lang w:val="ru-RU" w:eastAsia="en-GB"/>
              </w:rPr>
              <w:t>Осн</w:t>
            </w:r>
            <w:proofErr w:type="spellEnd"/>
            <w:r w:rsidRPr="002F16BB">
              <w:rPr>
                <w:rFonts w:cs="Calibri"/>
                <w:i/>
                <w:iCs/>
                <w:color w:val="000000"/>
                <w:sz w:val="16"/>
                <w:szCs w:val="16"/>
                <w:lang w:val="ru-RU" w:eastAsia="en-GB"/>
              </w:rPr>
              <w:t>. Документ</w:t>
            </w:r>
            <w:r>
              <w:rPr>
                <w:rFonts w:cs="Calibri"/>
                <w:i/>
                <w:iCs/>
                <w:color w:val="000000"/>
                <w:sz w:val="16"/>
                <w:szCs w:val="16"/>
                <w:lang w:val="ru-RU" w:eastAsia="en-GB"/>
              </w:rPr>
              <w:t> </w:t>
            </w:r>
            <w:r w:rsidRPr="002F16BB">
              <w:rPr>
                <w:rFonts w:cs="Calibri"/>
                <w:i/>
                <w:iCs/>
                <w:color w:val="000000"/>
                <w:sz w:val="16"/>
                <w:szCs w:val="16"/>
                <w:lang w:val="ru-RU" w:eastAsia="en-GB"/>
              </w:rPr>
              <w:t>CWG</w:t>
            </w:r>
            <w:r>
              <w:rPr>
                <w:rFonts w:cs="Calibri"/>
                <w:i/>
                <w:iCs/>
                <w:color w:val="000000"/>
                <w:sz w:val="16"/>
                <w:szCs w:val="16"/>
                <w:lang w:val="ru-RU" w:eastAsia="en-GB"/>
              </w:rPr>
              <w:noBreakHyphen/>
            </w:r>
            <w:r w:rsidRPr="002F16BB">
              <w:rPr>
                <w:rFonts w:cs="Calibri"/>
                <w:i/>
                <w:iCs/>
                <w:color w:val="000000"/>
                <w:sz w:val="16"/>
                <w:szCs w:val="16"/>
                <w:lang w:val="ru-RU" w:eastAsia="en-GB"/>
              </w:rPr>
              <w:t>FHR</w:t>
            </w:r>
            <w:r>
              <w:rPr>
                <w:rFonts w:cs="Calibri"/>
                <w:i/>
                <w:iCs/>
                <w:color w:val="000000"/>
                <w:sz w:val="16"/>
                <w:szCs w:val="16"/>
                <w:lang w:val="ru-RU" w:eastAsia="en-GB"/>
              </w:rPr>
              <w:t> </w:t>
            </w:r>
            <w:r w:rsidRPr="002F16BB">
              <w:rPr>
                <w:rFonts w:cs="Calibri"/>
                <w:i/>
                <w:iCs/>
                <w:color w:val="000000"/>
                <w:sz w:val="16"/>
                <w:szCs w:val="16"/>
                <w:lang w:val="ru-RU" w:eastAsia="en-GB"/>
              </w:rPr>
              <w:t>10/15 (сент. 2019 г.)</w:t>
            </w:r>
            <w:r>
              <w:rPr>
                <w:rFonts w:cs="Calibri"/>
                <w:i/>
                <w:iCs/>
                <w:color w:val="000000"/>
                <w:sz w:val="16"/>
                <w:szCs w:val="16"/>
                <w:lang w:val="ru-RU" w:eastAsia="en-GB"/>
              </w:rPr>
              <w:t>,</w:t>
            </w:r>
            <w:r w:rsidRPr="002F16BB">
              <w:rPr>
                <w:rFonts w:cs="Calibri"/>
                <w:i/>
                <w:iCs/>
                <w:color w:val="000000"/>
                <w:sz w:val="16"/>
                <w:szCs w:val="16"/>
                <w:lang w:val="ru-RU" w:eastAsia="en-GB"/>
              </w:rPr>
              <w:t xml:space="preserve"> пункт 8</w:t>
            </w:r>
          </w:p>
          <w:p w14:paraId="623F88CF" w14:textId="77777777" w:rsidR="00B86204" w:rsidRPr="006D6F73" w:rsidRDefault="00B86204" w:rsidP="00016740">
            <w:pPr>
              <w:adjustRightInd/>
              <w:spacing w:before="40" w:after="40"/>
              <w:rPr>
                <w:rFonts w:cs="Calibri"/>
                <w:b/>
                <w:bCs/>
                <w:color w:val="000000"/>
                <w:sz w:val="16"/>
                <w:szCs w:val="16"/>
                <w:lang w:val="ru-RU" w:eastAsia="en-GB"/>
              </w:rPr>
            </w:pPr>
            <w:r w:rsidRPr="002F16BB">
              <w:rPr>
                <w:rFonts w:cs="Calibri"/>
                <w:b/>
                <w:bCs/>
                <w:i/>
                <w:iCs/>
                <w:color w:val="000000"/>
                <w:sz w:val="16"/>
                <w:szCs w:val="16"/>
                <w:lang w:val="ru-RU" w:eastAsia="en-GB"/>
              </w:rPr>
              <w:t>Осуществлено</w:t>
            </w:r>
            <w:r w:rsidRPr="006D6F73">
              <w:rPr>
                <w:rFonts w:cs="Calibri"/>
                <w:color w:val="000000"/>
                <w:sz w:val="16"/>
                <w:szCs w:val="16"/>
                <w:lang w:val="ru-RU" w:eastAsia="en-GB"/>
              </w:rPr>
              <w:t>.</w:t>
            </w:r>
          </w:p>
          <w:p w14:paraId="3A705726"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Отдел закупок внедрил новые процедуры по реализации этого на ежемесячной основе</w:t>
            </w:r>
            <w:r>
              <w:rPr>
                <w:rFonts w:cs="Calibri"/>
                <w:i/>
                <w:iCs/>
                <w:color w:val="000000"/>
                <w:sz w:val="16"/>
                <w:szCs w:val="16"/>
                <w:lang w:val="ru-RU" w:eastAsia="en-GB"/>
              </w:rPr>
              <w:t>.</w:t>
            </w:r>
            <w:r w:rsidRPr="002F16BB">
              <w:rPr>
                <w:rFonts w:cs="Calibri"/>
                <w:i/>
                <w:iCs/>
                <w:color w:val="000000"/>
                <w:sz w:val="16"/>
                <w:szCs w:val="16"/>
                <w:lang w:val="ru-RU" w:eastAsia="en-GB"/>
              </w:rPr>
              <w:t xml:space="preserve"> </w:t>
            </w:r>
          </w:p>
        </w:tc>
        <w:tc>
          <w:tcPr>
            <w:tcW w:w="2410" w:type="dxa"/>
            <w:tcBorders>
              <w:top w:val="nil"/>
              <w:left w:val="nil"/>
              <w:bottom w:val="single" w:sz="4" w:space="0" w:color="auto"/>
              <w:right w:val="single" w:sz="4" w:space="0" w:color="auto"/>
            </w:tcBorders>
            <w:shd w:val="clear" w:color="auto" w:fill="auto"/>
            <w:hideMark/>
          </w:tcPr>
          <w:p w14:paraId="02CC2081"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C18/40, Аудит финансовой отчетности за 2017 год,</w:t>
            </w:r>
            <w:r w:rsidRPr="002F16BB">
              <w:rPr>
                <w:rFonts w:cs="Calibri"/>
                <w:b/>
                <w:bCs/>
                <w:color w:val="000000"/>
                <w:sz w:val="16"/>
                <w:szCs w:val="16"/>
                <w:lang w:val="ru-RU" w:eastAsia="en-GB"/>
              </w:rPr>
              <w:br/>
              <w:t>рекомендация 7</w:t>
            </w:r>
          </w:p>
          <w:p w14:paraId="6C07A437"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Мы рекомендуем Отделу закупок подготовить руководящие указания, которые охватывали бы все аспекты закупок на сумму менее 20 тыс. швейцарских франков, и ознакомить с ними соответствующих сотрудников. Так, в руководящих указаниях следует рассмотреть следующее: 1) каковы минимальные элементы заявок; 2) как должны определяться потенциальные поставщики; 3) что требуется проведение конкурса и необходимо минимальное число предложений, если иное должным образом не обосновано клиентом/</w:t>
            </w:r>
            <w:r w:rsidRPr="002F16BB">
              <w:rPr>
                <w:rFonts w:cs="Calibri"/>
                <w:color w:val="000000"/>
                <w:sz w:val="16"/>
                <w:szCs w:val="16"/>
                <w:lang w:val="ru-RU" w:eastAsia="en-GB"/>
              </w:rPr>
              <w:br/>
              <w:t xml:space="preserve">заказчиком и не утверждено предварительно Отделом закупок; 4) как выполняется оценка предложений; 5) как заключается заказ на закупки/контракт. </w:t>
            </w:r>
          </w:p>
        </w:tc>
        <w:tc>
          <w:tcPr>
            <w:tcW w:w="2409" w:type="dxa"/>
            <w:tcBorders>
              <w:top w:val="single" w:sz="4" w:space="0" w:color="auto"/>
              <w:left w:val="nil"/>
              <w:bottom w:val="single" w:sz="4" w:space="0" w:color="auto"/>
              <w:right w:val="single" w:sz="4" w:space="0" w:color="auto"/>
            </w:tcBorders>
            <w:shd w:val="clear" w:color="auto" w:fill="auto"/>
            <w:hideMark/>
          </w:tcPr>
          <w:p w14:paraId="7C33CA64"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69E84B32"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Осуществлено в соответствии с Руководством МСЭ по закупкам от июня 2019 года.</w:t>
            </w:r>
          </w:p>
          <w:p w14:paraId="0F99BA86"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E43BB7">
              <w:rPr>
                <w:rFonts w:cs="Calibri"/>
                <w:color w:val="000000"/>
                <w:sz w:val="16"/>
                <w:szCs w:val="16"/>
                <w:lang w:val="ru-RU" w:eastAsia="en-GB"/>
              </w:rPr>
              <w:t>.:</w:t>
            </w:r>
          </w:p>
          <w:p w14:paraId="179555BD"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single" w:sz="4" w:space="0" w:color="auto"/>
              <w:bottom w:val="single" w:sz="4" w:space="0" w:color="auto"/>
              <w:right w:val="single" w:sz="4" w:space="0" w:color="auto"/>
            </w:tcBorders>
            <w:shd w:val="clear" w:color="auto" w:fill="auto"/>
            <w:hideMark/>
          </w:tcPr>
          <w:p w14:paraId="5706E9D5"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3F4576BB"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34FB480B" w14:textId="77777777" w:rsidTr="00016740">
        <w:tc>
          <w:tcPr>
            <w:tcW w:w="1009" w:type="dxa"/>
            <w:vMerge/>
            <w:tcBorders>
              <w:top w:val="nil"/>
              <w:left w:val="single" w:sz="4" w:space="0" w:color="auto"/>
              <w:bottom w:val="single" w:sz="4" w:space="0" w:color="000000"/>
              <w:right w:val="single" w:sz="4" w:space="0" w:color="auto"/>
            </w:tcBorders>
            <w:hideMark/>
          </w:tcPr>
          <w:p w14:paraId="0A775E96"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2074608F"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2BA90D0A"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tcPr>
          <w:p w14:paraId="0F66103A" w14:textId="77777777" w:rsidR="00B86204" w:rsidRPr="002F16BB" w:rsidRDefault="00B86204" w:rsidP="00016740">
            <w:pPr>
              <w:adjustRightInd/>
              <w:spacing w:before="40" w:after="40"/>
              <w:rPr>
                <w:rFonts w:cs="Calibri"/>
                <w:color w:val="000000"/>
                <w:sz w:val="16"/>
                <w:szCs w:val="16"/>
                <w:lang w:val="ru-RU" w:eastAsia="en-GB"/>
              </w:rPr>
            </w:pPr>
          </w:p>
        </w:tc>
        <w:tc>
          <w:tcPr>
            <w:tcW w:w="2253" w:type="dxa"/>
            <w:tcBorders>
              <w:top w:val="nil"/>
              <w:left w:val="nil"/>
              <w:bottom w:val="single" w:sz="4" w:space="0" w:color="auto"/>
              <w:right w:val="single" w:sz="8" w:space="0" w:color="auto"/>
            </w:tcBorders>
            <w:shd w:val="clear" w:color="auto" w:fill="auto"/>
          </w:tcPr>
          <w:p w14:paraId="59894182" w14:textId="77777777" w:rsidR="00B86204" w:rsidRPr="002F16BB" w:rsidRDefault="00B86204" w:rsidP="00016740">
            <w:pPr>
              <w:adjustRightInd/>
              <w:spacing w:before="40" w:after="40"/>
              <w:rPr>
                <w:rFonts w:cs="Calibri"/>
                <w:color w:val="000000"/>
                <w:sz w:val="16"/>
                <w:szCs w:val="16"/>
                <w:lang w:val="ru-RU" w:eastAsia="en-GB"/>
              </w:rPr>
            </w:pPr>
          </w:p>
        </w:tc>
        <w:tc>
          <w:tcPr>
            <w:tcW w:w="2410" w:type="dxa"/>
            <w:tcBorders>
              <w:top w:val="nil"/>
              <w:left w:val="nil"/>
              <w:bottom w:val="single" w:sz="4" w:space="0" w:color="auto"/>
              <w:right w:val="single" w:sz="4" w:space="0" w:color="auto"/>
            </w:tcBorders>
            <w:shd w:val="clear" w:color="auto" w:fill="auto"/>
            <w:hideMark/>
          </w:tcPr>
          <w:p w14:paraId="01A2FA29"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C18/40, Аудит финансовой отчетности за 2017 год,</w:t>
            </w:r>
            <w:r w:rsidRPr="002F16BB">
              <w:rPr>
                <w:rFonts w:cs="Calibri"/>
                <w:b/>
                <w:bCs/>
                <w:color w:val="000000"/>
                <w:sz w:val="16"/>
                <w:szCs w:val="16"/>
                <w:lang w:val="ru-RU" w:eastAsia="en-GB"/>
              </w:rPr>
              <w:br/>
              <w:t>рекомендация 8</w:t>
            </w:r>
          </w:p>
          <w:p w14:paraId="6463B9E1"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Мы рекомендуем должным образом отражать в документации весь процесс закупок (от досье тендера до заключенного контракта) для обеспечения подотчетности, прозрачности и возможности проведения аудиторской проверки. </w:t>
            </w:r>
          </w:p>
        </w:tc>
        <w:tc>
          <w:tcPr>
            <w:tcW w:w="2409" w:type="dxa"/>
            <w:tcBorders>
              <w:top w:val="single" w:sz="4" w:space="0" w:color="auto"/>
              <w:left w:val="nil"/>
              <w:bottom w:val="single" w:sz="4" w:space="0" w:color="auto"/>
              <w:right w:val="single" w:sz="8" w:space="0" w:color="auto"/>
            </w:tcBorders>
            <w:shd w:val="clear" w:color="auto" w:fill="auto"/>
            <w:hideMark/>
          </w:tcPr>
          <w:p w14:paraId="60DED56A" w14:textId="77777777" w:rsidR="00B86204" w:rsidRPr="002F16BB" w:rsidRDefault="00B86204" w:rsidP="00016740">
            <w:pPr>
              <w:adjustRightInd/>
              <w:spacing w:before="40" w:after="40"/>
              <w:rPr>
                <w:rFonts w:cs="Calibri"/>
                <w:b/>
                <w:bCs/>
                <w:i/>
                <w:iCs/>
                <w:sz w:val="16"/>
                <w:szCs w:val="16"/>
                <w:lang w:val="ru-RU" w:eastAsia="en-GB"/>
              </w:rPr>
            </w:pPr>
            <w:r w:rsidRPr="002F16BB">
              <w:rPr>
                <w:rFonts w:cs="Calibri"/>
                <w:b/>
                <w:bCs/>
                <w:i/>
                <w:iCs/>
                <w:sz w:val="16"/>
                <w:szCs w:val="16"/>
                <w:lang w:val="ru-RU" w:eastAsia="en-GB"/>
              </w:rPr>
              <w:t>Январь 2020 г</w:t>
            </w:r>
            <w:r w:rsidRPr="002F16BB">
              <w:rPr>
                <w:rFonts w:cs="Calibri"/>
                <w:i/>
                <w:iCs/>
                <w:sz w:val="16"/>
                <w:szCs w:val="16"/>
                <w:lang w:val="ru-RU" w:eastAsia="en-GB"/>
              </w:rPr>
              <w:t>.</w:t>
            </w:r>
          </w:p>
          <w:p w14:paraId="5FAE1F4B" w14:textId="77777777" w:rsidR="00B86204" w:rsidRPr="002F16BB" w:rsidRDefault="00B86204" w:rsidP="00016740">
            <w:pPr>
              <w:adjustRightInd/>
              <w:spacing w:before="40" w:after="40"/>
              <w:rPr>
                <w:rFonts w:cs="Calibri"/>
                <w:sz w:val="16"/>
                <w:szCs w:val="16"/>
                <w:lang w:val="ru-RU" w:eastAsia="en-GB"/>
              </w:rPr>
            </w:pPr>
            <w:r w:rsidRPr="002F16BB">
              <w:rPr>
                <w:rFonts w:cs="Calibri"/>
                <w:sz w:val="16"/>
                <w:szCs w:val="16"/>
                <w:lang w:val="ru-RU" w:eastAsia="en-GB"/>
              </w:rPr>
              <w:t>Осуществлено.</w:t>
            </w:r>
          </w:p>
          <w:p w14:paraId="35F36DA4"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56C20DE9"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nil"/>
              <w:bottom w:val="single" w:sz="4" w:space="0" w:color="auto"/>
              <w:right w:val="single" w:sz="4" w:space="0" w:color="auto"/>
            </w:tcBorders>
            <w:shd w:val="clear" w:color="auto" w:fill="auto"/>
            <w:hideMark/>
          </w:tcPr>
          <w:p w14:paraId="6D9C7B9C"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273EF2F4"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44C065C5" w14:textId="77777777" w:rsidTr="00016740">
        <w:tc>
          <w:tcPr>
            <w:tcW w:w="1009" w:type="dxa"/>
            <w:vMerge/>
            <w:tcBorders>
              <w:top w:val="nil"/>
              <w:left w:val="single" w:sz="4" w:space="0" w:color="auto"/>
              <w:bottom w:val="single" w:sz="4" w:space="0" w:color="000000"/>
              <w:right w:val="single" w:sz="4" w:space="0" w:color="auto"/>
            </w:tcBorders>
            <w:hideMark/>
          </w:tcPr>
          <w:p w14:paraId="270799D3"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69A50699"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7AFAF857"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tcPr>
          <w:p w14:paraId="09161CDE" w14:textId="77777777" w:rsidR="00B86204" w:rsidRPr="002F16BB" w:rsidRDefault="00B86204" w:rsidP="00016740">
            <w:pPr>
              <w:adjustRightInd/>
              <w:spacing w:before="40" w:after="40"/>
              <w:rPr>
                <w:rFonts w:cs="Calibri"/>
                <w:color w:val="000000"/>
                <w:sz w:val="16"/>
                <w:szCs w:val="16"/>
                <w:lang w:val="ru-RU" w:eastAsia="en-GB"/>
              </w:rPr>
            </w:pPr>
          </w:p>
        </w:tc>
        <w:tc>
          <w:tcPr>
            <w:tcW w:w="2253" w:type="dxa"/>
            <w:tcBorders>
              <w:top w:val="nil"/>
              <w:left w:val="nil"/>
              <w:bottom w:val="single" w:sz="4" w:space="0" w:color="auto"/>
              <w:right w:val="single" w:sz="4" w:space="0" w:color="auto"/>
            </w:tcBorders>
            <w:shd w:val="clear" w:color="auto" w:fill="auto"/>
          </w:tcPr>
          <w:p w14:paraId="305E1C7C" w14:textId="77777777" w:rsidR="00B86204" w:rsidRPr="002F16BB" w:rsidRDefault="00B86204" w:rsidP="00016740">
            <w:pPr>
              <w:adjustRightInd/>
              <w:spacing w:before="40" w:after="40"/>
              <w:rPr>
                <w:rFonts w:cs="Calibri"/>
                <w:color w:val="000000"/>
                <w:sz w:val="16"/>
                <w:szCs w:val="16"/>
                <w:lang w:val="ru-RU"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5777E7D"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C18/40, Аудит финансовой отчетности за 2017 год,</w:t>
            </w:r>
            <w:r w:rsidRPr="002F16BB">
              <w:rPr>
                <w:rFonts w:cs="Calibri"/>
                <w:b/>
                <w:bCs/>
                <w:color w:val="000000"/>
                <w:sz w:val="16"/>
                <w:szCs w:val="16"/>
                <w:lang w:val="ru-RU" w:eastAsia="en-GB"/>
              </w:rPr>
              <w:br/>
              <w:t>рекомендация 9</w:t>
            </w:r>
          </w:p>
          <w:p w14:paraId="743C5926"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Мы рекомендуем, чтобы сотрудники, участвующие в процессе закупок, подписывали Декларацию об отсутствии конфликта интересов (DACI), заявляя, что у них нет конфликта интересов, который мог бы сказаться на процессе закупок.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A34FB8B"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6DA2DD55" w14:textId="77777777" w:rsidR="00B86204" w:rsidRPr="002F16BB" w:rsidRDefault="00B86204" w:rsidP="00016740">
            <w:pPr>
              <w:adjustRightInd/>
              <w:spacing w:before="40" w:after="40"/>
              <w:rPr>
                <w:rFonts w:cs="Calibri"/>
                <w:i/>
                <w:iCs/>
                <w:sz w:val="16"/>
                <w:szCs w:val="16"/>
                <w:lang w:val="ru-RU" w:eastAsia="it-IT"/>
              </w:rPr>
            </w:pPr>
            <w:r w:rsidRPr="002F16BB">
              <w:rPr>
                <w:rFonts w:cs="Calibri"/>
                <w:i/>
                <w:iCs/>
                <w:color w:val="000000"/>
                <w:sz w:val="16"/>
                <w:szCs w:val="16"/>
                <w:lang w:val="ru-RU" w:eastAsia="en-GB"/>
              </w:rPr>
              <w:t xml:space="preserve">Осуществлено в соответствии с Руководством МСЭ по закупкам от июня 2019 года. </w:t>
            </w:r>
            <w:r w:rsidRPr="002F16BB">
              <w:rPr>
                <w:rFonts w:cs="Calibri"/>
                <w:i/>
                <w:iCs/>
                <w:sz w:val="16"/>
                <w:szCs w:val="16"/>
                <w:lang w:val="ru-RU" w:eastAsia="it-IT"/>
              </w:rPr>
              <w:t>Были определены ключевые сотрудники, которые должны подписывать DACI, и каждый раз, когда предлагается поставщик для осуществления у него закупок на сумму более 5000 швейцарских франков, запрашивающие лица подписывают эту форму.</w:t>
            </w:r>
          </w:p>
          <w:p w14:paraId="1C11FDEB"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7946D38B"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r>
              <w:rPr>
                <w:i/>
                <w:iCs/>
                <w:sz w:val="16"/>
                <w:szCs w:val="16"/>
                <w:lang w:val="ru-RU" w:eastAsia="it-IT"/>
              </w:rPr>
              <w:t>.</w:t>
            </w:r>
          </w:p>
        </w:tc>
        <w:tc>
          <w:tcPr>
            <w:tcW w:w="1418" w:type="dxa"/>
            <w:tcBorders>
              <w:top w:val="nil"/>
              <w:left w:val="single" w:sz="4" w:space="0" w:color="auto"/>
              <w:bottom w:val="single" w:sz="4" w:space="0" w:color="auto"/>
              <w:right w:val="single" w:sz="4" w:space="0" w:color="auto"/>
            </w:tcBorders>
            <w:shd w:val="clear" w:color="auto" w:fill="auto"/>
            <w:hideMark/>
          </w:tcPr>
          <w:p w14:paraId="2D2E7E06"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6BA56FD6"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19021C79" w14:textId="77777777" w:rsidTr="00016740">
        <w:tc>
          <w:tcPr>
            <w:tcW w:w="1009" w:type="dxa"/>
            <w:vMerge/>
            <w:tcBorders>
              <w:top w:val="nil"/>
              <w:left w:val="single" w:sz="4" w:space="0" w:color="auto"/>
              <w:bottom w:val="single" w:sz="4" w:space="0" w:color="000000"/>
              <w:right w:val="single" w:sz="4" w:space="0" w:color="auto"/>
            </w:tcBorders>
            <w:hideMark/>
          </w:tcPr>
          <w:p w14:paraId="240D0851"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2304C56C"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09168A58"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tcPr>
          <w:p w14:paraId="40C5F7BC" w14:textId="77777777" w:rsidR="00B86204" w:rsidRPr="002F16BB" w:rsidRDefault="00B86204" w:rsidP="00016740">
            <w:pPr>
              <w:adjustRightInd/>
              <w:spacing w:before="40" w:after="40"/>
              <w:rPr>
                <w:rFonts w:cs="Calibri"/>
                <w:color w:val="000000"/>
                <w:sz w:val="16"/>
                <w:szCs w:val="16"/>
                <w:lang w:val="ru-RU" w:eastAsia="en-GB"/>
              </w:rPr>
            </w:pPr>
          </w:p>
        </w:tc>
        <w:tc>
          <w:tcPr>
            <w:tcW w:w="2253" w:type="dxa"/>
            <w:tcBorders>
              <w:top w:val="nil"/>
              <w:left w:val="nil"/>
              <w:bottom w:val="single" w:sz="4" w:space="0" w:color="auto"/>
              <w:right w:val="single" w:sz="4" w:space="0" w:color="auto"/>
            </w:tcBorders>
            <w:shd w:val="clear" w:color="auto" w:fill="auto"/>
          </w:tcPr>
          <w:p w14:paraId="05BDAFC2" w14:textId="77777777" w:rsidR="00B86204" w:rsidRPr="002F16BB" w:rsidRDefault="00B86204" w:rsidP="00016740">
            <w:pPr>
              <w:adjustRightInd/>
              <w:spacing w:before="40" w:after="40"/>
              <w:rPr>
                <w:rFonts w:cs="Calibri"/>
                <w:color w:val="000000"/>
                <w:sz w:val="16"/>
                <w:szCs w:val="16"/>
                <w:lang w:val="ru-RU"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90C4B64"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C18/125, Специальный отчет по региональному присутствию, рекомендация 15</w:t>
            </w:r>
          </w:p>
          <w:p w14:paraId="47B511B8"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Поскольку Базовые правила устарели, мы рекомендуем МСЭ принять новую инструкцию по закупкам, охватывающую как средства регулярного бюджета, так и внебюджетные средства.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875AA3F"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2510E3AB"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Осуществлено в соответствии с Руководством МСЭ по закупкам от июня 2019 года.</w:t>
            </w:r>
          </w:p>
          <w:p w14:paraId="13FAD41E"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18A830D5"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single" w:sz="4" w:space="0" w:color="auto"/>
              <w:bottom w:val="single" w:sz="4" w:space="0" w:color="auto"/>
              <w:right w:val="single" w:sz="4" w:space="0" w:color="auto"/>
            </w:tcBorders>
            <w:shd w:val="clear" w:color="auto" w:fill="auto"/>
            <w:hideMark/>
          </w:tcPr>
          <w:p w14:paraId="07661C1F"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73518256"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298220F8" w14:textId="77777777" w:rsidTr="00016740">
        <w:tc>
          <w:tcPr>
            <w:tcW w:w="1009" w:type="dxa"/>
            <w:vMerge/>
            <w:tcBorders>
              <w:top w:val="nil"/>
              <w:left w:val="single" w:sz="4" w:space="0" w:color="auto"/>
              <w:bottom w:val="single" w:sz="4" w:space="0" w:color="000000"/>
              <w:right w:val="single" w:sz="4" w:space="0" w:color="auto"/>
            </w:tcBorders>
            <w:hideMark/>
          </w:tcPr>
          <w:p w14:paraId="010B11EC"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20BB348C"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48DB9FF9"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2C94F2E1" w14:textId="77777777" w:rsidR="00B86204" w:rsidRPr="002F16BB" w:rsidRDefault="00B86204" w:rsidP="00016740">
            <w:pPr>
              <w:adjustRightInd/>
              <w:spacing w:before="40" w:after="40"/>
              <w:rPr>
                <w:rFonts w:cs="Calibri"/>
                <w:color w:val="000000"/>
                <w:sz w:val="16"/>
                <w:szCs w:val="16"/>
                <w:lang w:val="ru-RU" w:eastAsia="en-GB"/>
              </w:rPr>
            </w:pPr>
          </w:p>
        </w:tc>
        <w:tc>
          <w:tcPr>
            <w:tcW w:w="2253" w:type="dxa"/>
            <w:tcBorders>
              <w:top w:val="single" w:sz="4" w:space="0" w:color="auto"/>
              <w:left w:val="nil"/>
              <w:bottom w:val="single" w:sz="4" w:space="0" w:color="auto"/>
              <w:right w:val="single" w:sz="4" w:space="0" w:color="auto"/>
            </w:tcBorders>
            <w:shd w:val="clear" w:color="auto" w:fill="auto"/>
          </w:tcPr>
          <w:p w14:paraId="6936749B" w14:textId="77777777" w:rsidR="00B86204" w:rsidRPr="002F16BB" w:rsidRDefault="00B86204" w:rsidP="00016740">
            <w:pPr>
              <w:adjustRightInd/>
              <w:spacing w:before="40" w:after="40"/>
              <w:rPr>
                <w:rFonts w:cs="Calibri"/>
                <w:color w:val="000000"/>
                <w:sz w:val="16"/>
                <w:szCs w:val="16"/>
                <w:lang w:val="ru-RU"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9245A76" w14:textId="77777777" w:rsidR="00B86204" w:rsidRPr="002F16BB" w:rsidRDefault="00B86204" w:rsidP="00016740">
            <w:pPr>
              <w:adjustRightInd/>
              <w:spacing w:before="40" w:after="40"/>
              <w:rPr>
                <w:rFonts w:cs="Calibri"/>
                <w:b/>
                <w:bCs/>
                <w:color w:val="000000"/>
                <w:sz w:val="16"/>
                <w:szCs w:val="16"/>
                <w:lang w:val="ru-RU" w:eastAsia="en-GB"/>
              </w:rPr>
            </w:pPr>
            <w:r w:rsidRPr="002F16BB">
              <w:rPr>
                <w:rFonts w:cs="Calibri"/>
                <w:b/>
                <w:bCs/>
                <w:color w:val="000000"/>
                <w:sz w:val="16"/>
                <w:szCs w:val="16"/>
                <w:lang w:val="ru-RU" w:eastAsia="en-GB"/>
              </w:rPr>
              <w:t>Отчет C18/125, Специальный отчет по региональному присутствию, рекомендация 17</w:t>
            </w:r>
          </w:p>
          <w:p w14:paraId="32AF603F"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Мы рекомендуем, чтобы группа по оценке создавалась Отделом закупок в соответствии с Руководящими указаниями по управлению проектами, пункт</w:t>
            </w:r>
            <w:r>
              <w:rPr>
                <w:rFonts w:cs="Calibri"/>
                <w:color w:val="000000"/>
                <w:sz w:val="16"/>
                <w:szCs w:val="16"/>
                <w:lang w:val="ru-RU" w:eastAsia="en-GB"/>
              </w:rPr>
              <w:t> </w:t>
            </w:r>
            <w:r w:rsidRPr="002F16BB">
              <w:rPr>
                <w:rFonts w:cs="Calibri"/>
                <w:color w:val="000000"/>
                <w:sz w:val="16"/>
                <w:szCs w:val="16"/>
                <w:lang w:val="ru-RU" w:eastAsia="en-GB"/>
              </w:rPr>
              <w:t>c) главы 4.2.2 которых гласит, что процесс закупок товаров и услуг полностью относится к сфере ответственности Отдела закупок.</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D0C22A3"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25998136"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Этот пункт принят во внимание в новом Руководстве по закупкам. </w:t>
            </w:r>
          </w:p>
          <w:p w14:paraId="0CFEBEBA"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В БРЭ создана новая должность для оценки и отчетности.</w:t>
            </w:r>
          </w:p>
          <w:p w14:paraId="23E78B56"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04D92AB4"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single" w:sz="4" w:space="0" w:color="auto"/>
              <w:bottom w:val="single" w:sz="4" w:space="0" w:color="auto"/>
              <w:right w:val="single" w:sz="4" w:space="0" w:color="auto"/>
            </w:tcBorders>
            <w:shd w:val="clear" w:color="auto" w:fill="auto"/>
            <w:hideMark/>
          </w:tcPr>
          <w:p w14:paraId="1A47E14F"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529B43BA"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0EC2AAA9" w14:textId="77777777" w:rsidTr="00016740">
        <w:tc>
          <w:tcPr>
            <w:tcW w:w="1009" w:type="dxa"/>
            <w:vMerge/>
            <w:tcBorders>
              <w:top w:val="nil"/>
              <w:left w:val="single" w:sz="4" w:space="0" w:color="auto"/>
              <w:bottom w:val="single" w:sz="4" w:space="0" w:color="000000"/>
              <w:right w:val="single" w:sz="4" w:space="0" w:color="auto"/>
            </w:tcBorders>
            <w:hideMark/>
          </w:tcPr>
          <w:p w14:paraId="0037A13D"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71315E26"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0DF5D278"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2A97EE6E" w14:textId="77777777" w:rsidR="00B86204" w:rsidRPr="002F16BB" w:rsidRDefault="00B86204" w:rsidP="00016740">
            <w:pPr>
              <w:adjustRightInd/>
              <w:spacing w:before="40" w:after="40"/>
              <w:rPr>
                <w:rFonts w:cs="Calibri"/>
                <w:color w:val="000000"/>
                <w:sz w:val="16"/>
                <w:szCs w:val="16"/>
                <w:lang w:val="ru-RU" w:eastAsia="en-GB"/>
              </w:rPr>
            </w:pPr>
          </w:p>
        </w:tc>
        <w:tc>
          <w:tcPr>
            <w:tcW w:w="2253" w:type="dxa"/>
            <w:tcBorders>
              <w:top w:val="single" w:sz="4" w:space="0" w:color="auto"/>
              <w:left w:val="nil"/>
              <w:bottom w:val="single" w:sz="4" w:space="0" w:color="auto"/>
              <w:right w:val="single" w:sz="4" w:space="0" w:color="auto"/>
            </w:tcBorders>
            <w:shd w:val="clear" w:color="auto" w:fill="auto"/>
          </w:tcPr>
          <w:p w14:paraId="21A2CB94" w14:textId="77777777" w:rsidR="00B86204" w:rsidRPr="002F16BB" w:rsidRDefault="00B86204" w:rsidP="00016740">
            <w:pPr>
              <w:adjustRightInd/>
              <w:spacing w:before="40" w:after="40"/>
              <w:rPr>
                <w:rFonts w:cs="Calibri"/>
                <w:color w:val="000000"/>
                <w:sz w:val="16"/>
                <w:szCs w:val="16"/>
                <w:lang w:val="ru-RU"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D68A987"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C18/125, Специальный отчет по региональному присутствию, рекомендация 18</w:t>
            </w:r>
          </w:p>
          <w:p w14:paraId="333CAC29"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Чтобы свести к минимуму риски для МСЭ, мы рекомендуем также, чтобы руководитель проекта не назначался в качестве члена группы по оценке и чтобы координатором группы по оценке был Отдел закупок, а не руководитель проекта.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9A56E25"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1A7F65B3"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Этот пункт принят во внимание в новом Руководстве по закупкам.</w:t>
            </w:r>
          </w:p>
          <w:p w14:paraId="246D38DB"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0D2ADF36"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single" w:sz="4" w:space="0" w:color="auto"/>
              <w:bottom w:val="single" w:sz="4" w:space="0" w:color="auto"/>
              <w:right w:val="single" w:sz="4" w:space="0" w:color="auto"/>
            </w:tcBorders>
            <w:shd w:val="clear" w:color="auto" w:fill="auto"/>
            <w:hideMark/>
          </w:tcPr>
          <w:p w14:paraId="40C1D031"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665CBCC4"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35DC31DF" w14:textId="77777777" w:rsidTr="00016740">
        <w:tc>
          <w:tcPr>
            <w:tcW w:w="1009" w:type="dxa"/>
            <w:vMerge/>
            <w:tcBorders>
              <w:top w:val="nil"/>
              <w:left w:val="single" w:sz="4" w:space="0" w:color="auto"/>
              <w:bottom w:val="single" w:sz="4" w:space="0" w:color="000000"/>
              <w:right w:val="single" w:sz="4" w:space="0" w:color="auto"/>
            </w:tcBorders>
            <w:hideMark/>
          </w:tcPr>
          <w:p w14:paraId="5D19C7BF"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4110C6A0"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3BA0B29B"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single" w:sz="4" w:space="0" w:color="auto"/>
              <w:left w:val="single" w:sz="8" w:space="0" w:color="auto"/>
              <w:bottom w:val="single" w:sz="4" w:space="0" w:color="auto"/>
              <w:right w:val="single" w:sz="4" w:space="0" w:color="auto"/>
            </w:tcBorders>
            <w:shd w:val="clear" w:color="auto" w:fill="auto"/>
          </w:tcPr>
          <w:p w14:paraId="1EF0ACEB" w14:textId="77777777" w:rsidR="00B86204" w:rsidRPr="002F16BB" w:rsidRDefault="00B86204" w:rsidP="00016740">
            <w:pPr>
              <w:adjustRightInd/>
              <w:spacing w:before="40" w:after="40"/>
              <w:rPr>
                <w:rFonts w:cs="Calibri"/>
                <w:color w:val="000000"/>
                <w:sz w:val="16"/>
                <w:szCs w:val="16"/>
                <w:lang w:val="ru-RU" w:eastAsia="en-GB"/>
              </w:rPr>
            </w:pPr>
          </w:p>
        </w:tc>
        <w:tc>
          <w:tcPr>
            <w:tcW w:w="2253" w:type="dxa"/>
            <w:tcBorders>
              <w:top w:val="single" w:sz="4" w:space="0" w:color="auto"/>
              <w:left w:val="nil"/>
              <w:bottom w:val="single" w:sz="4" w:space="0" w:color="auto"/>
              <w:right w:val="single" w:sz="8" w:space="0" w:color="auto"/>
            </w:tcBorders>
            <w:shd w:val="clear" w:color="auto" w:fill="auto"/>
          </w:tcPr>
          <w:p w14:paraId="12266739" w14:textId="77777777" w:rsidR="00B86204" w:rsidRPr="002F16BB" w:rsidRDefault="00B86204" w:rsidP="00016740">
            <w:pPr>
              <w:adjustRightInd/>
              <w:spacing w:before="40" w:after="40"/>
              <w:rPr>
                <w:rFonts w:cs="Calibri"/>
                <w:color w:val="000000"/>
                <w:sz w:val="16"/>
                <w:szCs w:val="16"/>
                <w:lang w:val="ru-RU" w:eastAsia="en-GB"/>
              </w:rPr>
            </w:pPr>
          </w:p>
        </w:tc>
        <w:tc>
          <w:tcPr>
            <w:tcW w:w="2410" w:type="dxa"/>
            <w:tcBorders>
              <w:top w:val="single" w:sz="4" w:space="0" w:color="auto"/>
              <w:left w:val="nil"/>
              <w:bottom w:val="single" w:sz="4" w:space="0" w:color="auto"/>
              <w:right w:val="single" w:sz="4" w:space="0" w:color="auto"/>
            </w:tcBorders>
            <w:shd w:val="clear" w:color="auto" w:fill="auto"/>
            <w:hideMark/>
          </w:tcPr>
          <w:p w14:paraId="6652C3DB"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C18/125, Специальный отчет по региональному присутствию, рекомендация 19</w:t>
            </w:r>
          </w:p>
          <w:p w14:paraId="103093B6"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В соответствии с рекомендацией 11, содержащейся в нашем подробном отчете об аудиторской проверке финансовой отчетности МСЭ за 2016 год, мы рекомендуем, чтобы все лица, участвующие в процессе закупок, предоставляли специальную и конкретную надлежащим образом подписанную Декларацию об отсутствии конфликта интересов (DACI).</w:t>
            </w:r>
          </w:p>
        </w:tc>
        <w:tc>
          <w:tcPr>
            <w:tcW w:w="2409" w:type="dxa"/>
            <w:tcBorders>
              <w:top w:val="single" w:sz="4" w:space="0" w:color="auto"/>
              <w:left w:val="nil"/>
              <w:bottom w:val="single" w:sz="4" w:space="0" w:color="auto"/>
              <w:right w:val="single" w:sz="8" w:space="0" w:color="auto"/>
            </w:tcBorders>
            <w:shd w:val="clear" w:color="auto" w:fill="auto"/>
            <w:hideMark/>
          </w:tcPr>
          <w:p w14:paraId="329F56DA"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25D3C9B4"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Этот пункт принят во внимание в новом Руководстве по закупкам.</w:t>
            </w:r>
          </w:p>
          <w:p w14:paraId="48EDD66E"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Рассматривается документ о концепции для совершенствования формы раскрытия финансовой информации, для отдельного упоминания о подотчетности и для распространения обязательства ежегодно подавать сведения на всех сотрудников категории специалистов и избираемых должностных лиц, а потенциально – на всех сотрудников.</w:t>
            </w:r>
          </w:p>
          <w:p w14:paraId="67482435"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55A1F4D2" w14:textId="77777777" w:rsidR="00B86204" w:rsidRPr="002F16BB" w:rsidRDefault="00B86204" w:rsidP="00016740">
            <w:pPr>
              <w:spacing w:before="40" w:after="40"/>
              <w:rPr>
                <w:rFonts w:cs="Calibri"/>
                <w:sz w:val="16"/>
                <w:szCs w:val="16"/>
                <w:lang w:val="ru-RU" w:eastAsia="it-IT"/>
              </w:rPr>
            </w:pPr>
            <w:r w:rsidRPr="002F16BB">
              <w:rPr>
                <w:rFonts w:cs="Calibri"/>
                <w:i/>
                <w:iCs/>
                <w:color w:val="000000"/>
                <w:sz w:val="16"/>
                <w:szCs w:val="16"/>
                <w:lang w:val="ru-RU" w:eastAsia="en-GB"/>
              </w:rPr>
              <w:t>Была принята новая политика раскрытия финансовой информации</w:t>
            </w:r>
            <w:r w:rsidRPr="002F16BB">
              <w:rPr>
                <w:rFonts w:cs="Calibri"/>
                <w:sz w:val="16"/>
                <w:szCs w:val="16"/>
                <w:lang w:val="ru-RU" w:eastAsia="it-IT"/>
              </w:rPr>
              <w:t>.</w:t>
            </w:r>
          </w:p>
        </w:tc>
        <w:tc>
          <w:tcPr>
            <w:tcW w:w="1418" w:type="dxa"/>
            <w:tcBorders>
              <w:top w:val="nil"/>
              <w:left w:val="nil"/>
              <w:bottom w:val="single" w:sz="4" w:space="0" w:color="auto"/>
              <w:right w:val="single" w:sz="4" w:space="0" w:color="auto"/>
            </w:tcBorders>
            <w:shd w:val="clear" w:color="auto" w:fill="auto"/>
            <w:hideMark/>
          </w:tcPr>
          <w:p w14:paraId="413A07E3"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6A4D6302"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2F16BB" w14:paraId="574B41E1" w14:textId="77777777" w:rsidTr="00016740">
        <w:tc>
          <w:tcPr>
            <w:tcW w:w="1009" w:type="dxa"/>
            <w:vMerge/>
            <w:tcBorders>
              <w:top w:val="nil"/>
              <w:left w:val="single" w:sz="4" w:space="0" w:color="auto"/>
              <w:bottom w:val="single" w:sz="4" w:space="0" w:color="000000"/>
              <w:right w:val="single" w:sz="4" w:space="0" w:color="auto"/>
            </w:tcBorders>
            <w:hideMark/>
          </w:tcPr>
          <w:p w14:paraId="5B72124D"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4234E917"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02DEFE63"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single" w:sz="4" w:space="0" w:color="auto"/>
              <w:left w:val="single" w:sz="8" w:space="0" w:color="auto"/>
              <w:bottom w:val="single" w:sz="8" w:space="0" w:color="auto"/>
              <w:right w:val="single" w:sz="4" w:space="0" w:color="auto"/>
            </w:tcBorders>
            <w:shd w:val="clear" w:color="auto" w:fill="auto"/>
          </w:tcPr>
          <w:p w14:paraId="3FD1C613" w14:textId="77777777" w:rsidR="00B86204" w:rsidRPr="002F16BB" w:rsidRDefault="00B86204" w:rsidP="00016740">
            <w:pPr>
              <w:keepNext/>
              <w:adjustRightInd/>
              <w:spacing w:before="40" w:after="40"/>
              <w:rPr>
                <w:rFonts w:cs="Calibri"/>
                <w:color w:val="000000"/>
                <w:sz w:val="16"/>
                <w:szCs w:val="16"/>
                <w:lang w:val="ru-RU" w:eastAsia="en-GB"/>
              </w:rPr>
            </w:pPr>
          </w:p>
        </w:tc>
        <w:tc>
          <w:tcPr>
            <w:tcW w:w="2253" w:type="dxa"/>
            <w:tcBorders>
              <w:top w:val="single" w:sz="4" w:space="0" w:color="auto"/>
              <w:left w:val="nil"/>
              <w:bottom w:val="single" w:sz="8" w:space="0" w:color="auto"/>
              <w:right w:val="single" w:sz="8" w:space="0" w:color="auto"/>
            </w:tcBorders>
            <w:shd w:val="clear" w:color="auto" w:fill="auto"/>
          </w:tcPr>
          <w:p w14:paraId="6DA8A3E3" w14:textId="77777777" w:rsidR="00B86204" w:rsidRPr="002F16BB" w:rsidRDefault="00B86204" w:rsidP="00016740">
            <w:pPr>
              <w:keepNext/>
              <w:adjustRightInd/>
              <w:spacing w:before="40" w:after="40"/>
              <w:rPr>
                <w:rFonts w:cs="Calibri"/>
                <w:color w:val="000000"/>
                <w:sz w:val="16"/>
                <w:szCs w:val="16"/>
                <w:lang w:val="ru-RU" w:eastAsia="en-GB"/>
              </w:rPr>
            </w:pPr>
          </w:p>
        </w:tc>
        <w:tc>
          <w:tcPr>
            <w:tcW w:w="2410" w:type="dxa"/>
            <w:tcBorders>
              <w:top w:val="single" w:sz="4" w:space="0" w:color="auto"/>
              <w:left w:val="nil"/>
              <w:bottom w:val="single" w:sz="8" w:space="0" w:color="auto"/>
              <w:right w:val="single" w:sz="4" w:space="0" w:color="auto"/>
            </w:tcBorders>
            <w:shd w:val="clear" w:color="auto" w:fill="auto"/>
            <w:hideMark/>
          </w:tcPr>
          <w:p w14:paraId="79A43C43" w14:textId="77777777" w:rsidR="00B86204" w:rsidRPr="002F16BB" w:rsidRDefault="00B86204" w:rsidP="00016740">
            <w:pPr>
              <w:keepNext/>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C18/125, Специальный отчет по региональному присутствию, рекомендация 20</w:t>
            </w:r>
          </w:p>
          <w:p w14:paraId="2CA8DFD6" w14:textId="77777777" w:rsidR="00B86204" w:rsidRPr="002F16BB" w:rsidRDefault="00B86204" w:rsidP="00016740">
            <w:pPr>
              <w:keepNext/>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Поскольку мы не считаем, что Руководящие указания по управлению проектами, которые </w:t>
            </w:r>
            <w:r w:rsidRPr="002F16BB">
              <w:rPr>
                <w:rFonts w:cs="Calibri"/>
                <w:color w:val="000000"/>
                <w:sz w:val="16"/>
                <w:szCs w:val="16"/>
                <w:lang w:val="ru-RU" w:eastAsia="en-GB"/>
              </w:rPr>
              <w:lastRenderedPageBreak/>
              <w:t xml:space="preserve">должны быть прямо и четко увязаны с правилами закупок, являются достаточно подробными, мы рекомендуем внести в них поправки, чтобы более четко разъяснить роль Отдела закупок, и сослаться на правила и процедуры, применимые к закупкам. </w:t>
            </w:r>
          </w:p>
        </w:tc>
        <w:tc>
          <w:tcPr>
            <w:tcW w:w="2409" w:type="dxa"/>
            <w:tcBorders>
              <w:top w:val="nil"/>
              <w:left w:val="nil"/>
              <w:bottom w:val="single" w:sz="8" w:space="0" w:color="auto"/>
              <w:right w:val="single" w:sz="8" w:space="0" w:color="auto"/>
            </w:tcBorders>
            <w:shd w:val="clear" w:color="auto" w:fill="auto"/>
            <w:hideMark/>
          </w:tcPr>
          <w:p w14:paraId="659FD434" w14:textId="77777777" w:rsidR="00B86204" w:rsidRPr="002F16BB" w:rsidRDefault="00B86204" w:rsidP="00016740">
            <w:pPr>
              <w:keepNext/>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lastRenderedPageBreak/>
              <w:t>Обновление, по состоянию на декабрь 2019 г</w:t>
            </w:r>
            <w:r w:rsidRPr="002F16BB">
              <w:rPr>
                <w:rFonts w:cs="Calibri"/>
                <w:i/>
                <w:iCs/>
                <w:color w:val="000000"/>
                <w:sz w:val="16"/>
                <w:szCs w:val="16"/>
                <w:lang w:val="ru-RU" w:eastAsia="en-GB"/>
              </w:rPr>
              <w:t>.:</w:t>
            </w:r>
          </w:p>
          <w:p w14:paraId="3F9CC953" w14:textId="77777777" w:rsidR="00B86204" w:rsidRPr="002F16BB" w:rsidRDefault="00B86204" w:rsidP="00016740">
            <w:pPr>
              <w:keepNext/>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Рассмотрение и обновление существующих Руководящих указаний по управлению проектами будет начато в </w:t>
            </w:r>
            <w:r w:rsidRPr="002F16BB">
              <w:rPr>
                <w:rFonts w:cs="Calibri"/>
                <w:i/>
                <w:iCs/>
                <w:color w:val="000000"/>
                <w:sz w:val="16"/>
                <w:szCs w:val="16"/>
                <w:lang w:val="ru-RU" w:eastAsia="en-GB"/>
              </w:rPr>
              <w:lastRenderedPageBreak/>
              <w:t>январе 2020 года силами группы сотрудников МСЭ, которые недавно приняли участие в профессиональной подготовке и сертификации по управлению проектами. Будет принимать участие представитель Отдела по закупкам.</w:t>
            </w:r>
          </w:p>
          <w:p w14:paraId="7CE44758" w14:textId="77777777" w:rsidR="00B86204" w:rsidRPr="002F16BB" w:rsidRDefault="00B86204" w:rsidP="00016740">
            <w:pPr>
              <w:keepNext/>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5C920523" w14:textId="77777777" w:rsidR="00B86204" w:rsidRPr="002F16BB" w:rsidRDefault="00B86204" w:rsidP="00016740">
            <w:pPr>
              <w:keepNext/>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Новое </w:t>
            </w:r>
            <w:r w:rsidRPr="002F16BB">
              <w:rPr>
                <w:i/>
                <w:iCs/>
                <w:color w:val="000000"/>
                <w:sz w:val="16"/>
                <w:szCs w:val="14"/>
                <w:lang w:val="ru-RU"/>
              </w:rPr>
              <w:t>Руководство МСЭ по управлению проектами</w:t>
            </w:r>
            <w:r w:rsidRPr="002F16BB">
              <w:rPr>
                <w:rFonts w:cs="Calibri"/>
                <w:i/>
                <w:iCs/>
                <w:color w:val="000000"/>
                <w:sz w:val="12"/>
                <w:szCs w:val="12"/>
                <w:lang w:val="ru-RU" w:eastAsia="en-GB"/>
              </w:rPr>
              <w:t xml:space="preserve"> </w:t>
            </w:r>
            <w:r w:rsidRPr="002F16BB">
              <w:rPr>
                <w:rFonts w:cs="Calibri"/>
                <w:i/>
                <w:iCs/>
                <w:color w:val="000000"/>
                <w:sz w:val="16"/>
                <w:szCs w:val="16"/>
                <w:lang w:val="ru-RU" w:eastAsia="en-GB"/>
              </w:rPr>
              <w:t>было утверждено и введено в действие в июле 2020 года. В настоящее время отдел по поддержке проектов выполняет план принятия для поддержки процесса для представления новых принципов, установленных в Руководстве.</w:t>
            </w:r>
          </w:p>
        </w:tc>
        <w:tc>
          <w:tcPr>
            <w:tcW w:w="1418" w:type="dxa"/>
            <w:tcBorders>
              <w:top w:val="nil"/>
              <w:left w:val="nil"/>
              <w:bottom w:val="single" w:sz="4" w:space="0" w:color="auto"/>
              <w:right w:val="single" w:sz="4" w:space="0" w:color="auto"/>
            </w:tcBorders>
            <w:shd w:val="clear" w:color="auto" w:fill="auto"/>
            <w:hideMark/>
          </w:tcPr>
          <w:p w14:paraId="68DBE774" w14:textId="77777777" w:rsidR="00B86204" w:rsidRPr="002F16BB" w:rsidRDefault="00B86204" w:rsidP="00016740">
            <w:pPr>
              <w:keepNext/>
              <w:widowControl w:val="0"/>
              <w:kinsoku w:val="0"/>
              <w:adjustRightInd/>
              <w:spacing w:before="40" w:after="40"/>
              <w:rPr>
                <w:rFonts w:cs="Calibri"/>
                <w:sz w:val="16"/>
                <w:szCs w:val="16"/>
                <w:lang w:val="ru-RU" w:eastAsia="it-IT"/>
              </w:rPr>
            </w:pPr>
            <w:r w:rsidRPr="002F16BB">
              <w:rPr>
                <w:sz w:val="16"/>
                <w:szCs w:val="16"/>
                <w:lang w:val="ru-RU"/>
              </w:rPr>
              <w:lastRenderedPageBreak/>
              <w:t>В процессе выполнения.</w:t>
            </w:r>
          </w:p>
        </w:tc>
      </w:tr>
      <w:tr w:rsidR="00B86204" w:rsidRPr="00FE280E" w14:paraId="1F9412A9" w14:textId="77777777" w:rsidTr="00016740">
        <w:tc>
          <w:tcPr>
            <w:tcW w:w="1009" w:type="dxa"/>
            <w:vMerge/>
            <w:tcBorders>
              <w:top w:val="nil"/>
              <w:left w:val="single" w:sz="4" w:space="0" w:color="auto"/>
              <w:bottom w:val="single" w:sz="4" w:space="0" w:color="000000"/>
              <w:right w:val="single" w:sz="4" w:space="0" w:color="auto"/>
            </w:tcBorders>
            <w:hideMark/>
          </w:tcPr>
          <w:p w14:paraId="7D2B2E6D"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7CA0F5B1"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45FE8F4C" w14:textId="77777777" w:rsidR="00B86204" w:rsidRPr="002F16BB" w:rsidRDefault="00B86204" w:rsidP="00016740">
            <w:pPr>
              <w:adjustRightInd/>
              <w:spacing w:before="40" w:after="40"/>
              <w:rPr>
                <w:rFonts w:cs="Calibri"/>
                <w:b/>
                <w:bCs/>
                <w:color w:val="000000"/>
                <w:sz w:val="16"/>
                <w:szCs w:val="16"/>
                <w:lang w:val="ru-RU" w:eastAsia="en-GB"/>
              </w:rPr>
            </w:pPr>
          </w:p>
        </w:tc>
        <w:tc>
          <w:tcPr>
            <w:tcW w:w="10742" w:type="dxa"/>
            <w:gridSpan w:val="5"/>
            <w:tcBorders>
              <w:top w:val="nil"/>
              <w:left w:val="single" w:sz="4" w:space="0" w:color="auto"/>
              <w:bottom w:val="single" w:sz="4" w:space="0" w:color="000000"/>
              <w:right w:val="single" w:sz="4" w:space="0" w:color="000000"/>
            </w:tcBorders>
            <w:shd w:val="clear" w:color="000000" w:fill="BFBFBF"/>
            <w:hideMark/>
          </w:tcPr>
          <w:p w14:paraId="51CC2429" w14:textId="77777777" w:rsidR="00B86204" w:rsidRPr="00FA1640" w:rsidRDefault="00B86204" w:rsidP="00016740">
            <w:pPr>
              <w:keepNext/>
              <w:keepLines/>
              <w:adjustRightInd/>
              <w:spacing w:before="40" w:after="40"/>
              <w:jc w:val="center"/>
              <w:rPr>
                <w:rFonts w:cs="Calibri"/>
                <w:b/>
                <w:bCs/>
                <w:color w:val="000000"/>
                <w:sz w:val="16"/>
                <w:szCs w:val="16"/>
                <w:lang w:val="ru-RU" w:eastAsia="en-GB"/>
              </w:rPr>
            </w:pPr>
            <w:r w:rsidRPr="00FA1640">
              <w:rPr>
                <w:rFonts w:cs="Calibri"/>
                <w:b/>
                <w:bCs/>
                <w:color w:val="000000"/>
                <w:sz w:val="16"/>
                <w:szCs w:val="16"/>
                <w:lang w:val="ru-RU" w:eastAsia="en-GB"/>
              </w:rPr>
              <w:t xml:space="preserve">Рекомендации в отношении </w:t>
            </w:r>
            <w:r w:rsidRPr="00FA1640">
              <w:rPr>
                <w:b/>
                <w:bCs/>
                <w:color w:val="000000"/>
                <w:sz w:val="16"/>
                <w:szCs w:val="16"/>
                <w:lang w:val="ru-RU"/>
              </w:rPr>
              <w:t>недостаточной осведомленности о проблеме мошенничества среди сотрудников</w:t>
            </w:r>
            <w:r w:rsidRPr="00FA1640">
              <w:rPr>
                <w:rFonts w:cs="Calibri"/>
                <w:b/>
                <w:bCs/>
                <w:color w:val="000000"/>
                <w:sz w:val="16"/>
                <w:szCs w:val="16"/>
                <w:lang w:val="ru-RU" w:eastAsia="en-GB"/>
              </w:rPr>
              <w:t xml:space="preserve"> Отдела закупок</w:t>
            </w:r>
          </w:p>
        </w:tc>
      </w:tr>
      <w:tr w:rsidR="00B86204" w:rsidRPr="00FE280E" w14:paraId="00CF46EF" w14:textId="77777777" w:rsidTr="00016740">
        <w:tc>
          <w:tcPr>
            <w:tcW w:w="1009" w:type="dxa"/>
            <w:vMerge/>
            <w:tcBorders>
              <w:top w:val="nil"/>
              <w:left w:val="single" w:sz="4" w:space="0" w:color="auto"/>
              <w:bottom w:val="single" w:sz="4" w:space="0" w:color="000000"/>
              <w:right w:val="single" w:sz="4" w:space="0" w:color="auto"/>
            </w:tcBorders>
            <w:hideMark/>
          </w:tcPr>
          <w:p w14:paraId="0E9CA81A"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2AE9A498"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605C2911"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single" w:sz="8" w:space="0" w:color="auto"/>
              <w:left w:val="single" w:sz="8" w:space="0" w:color="auto"/>
              <w:bottom w:val="single" w:sz="4" w:space="0" w:color="auto"/>
              <w:right w:val="single" w:sz="4" w:space="0" w:color="auto"/>
            </w:tcBorders>
            <w:shd w:val="clear" w:color="auto" w:fill="auto"/>
            <w:hideMark/>
          </w:tcPr>
          <w:p w14:paraId="4AA066D0"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04/19-09/ML</w:t>
            </w:r>
            <w:proofErr w:type="gramStart"/>
            <w:r w:rsidRPr="002F16BB">
              <w:rPr>
                <w:rFonts w:cs="Calibri"/>
                <w:color w:val="000000"/>
                <w:sz w:val="16"/>
                <w:szCs w:val="16"/>
                <w:lang w:val="ru-RU" w:eastAsia="en-GB"/>
              </w:rPr>
              <w:t>: Рекомендуется</w:t>
            </w:r>
            <w:proofErr w:type="gramEnd"/>
            <w:r w:rsidRPr="002F16BB">
              <w:rPr>
                <w:rFonts w:cs="Calibri"/>
                <w:color w:val="000000"/>
                <w:sz w:val="16"/>
                <w:szCs w:val="16"/>
                <w:lang w:val="ru-RU" w:eastAsia="en-GB"/>
              </w:rPr>
              <w:t xml:space="preserve">, чтобы руководитель FRMD организовал для персонала Отдела закупок подготовку по повышению осведомленности об уязвимых местах и рисках, связанных со схемами мошенничества, которые могут применяться против МСЭ. </w:t>
            </w:r>
          </w:p>
        </w:tc>
        <w:tc>
          <w:tcPr>
            <w:tcW w:w="2253" w:type="dxa"/>
            <w:tcBorders>
              <w:top w:val="single" w:sz="8" w:space="0" w:color="auto"/>
              <w:left w:val="nil"/>
              <w:bottom w:val="single" w:sz="4" w:space="0" w:color="auto"/>
              <w:right w:val="single" w:sz="8" w:space="0" w:color="auto"/>
            </w:tcBorders>
            <w:shd w:val="clear" w:color="auto" w:fill="auto"/>
            <w:hideMark/>
          </w:tcPr>
          <w:p w14:paraId="06951A26" w14:textId="77777777" w:rsidR="00B86204" w:rsidRPr="002F16BB" w:rsidRDefault="00B86204" w:rsidP="00016740">
            <w:pPr>
              <w:adjustRightInd/>
              <w:spacing w:before="40" w:after="40"/>
              <w:rPr>
                <w:rFonts w:cs="Calibri"/>
                <w:color w:val="000000"/>
                <w:sz w:val="16"/>
                <w:szCs w:val="16"/>
                <w:lang w:val="ru-RU" w:eastAsia="it-IT"/>
              </w:rPr>
            </w:pPr>
            <w:r w:rsidRPr="002F16BB">
              <w:rPr>
                <w:rFonts w:cs="Calibri"/>
                <w:color w:val="000000"/>
                <w:sz w:val="16"/>
                <w:szCs w:val="16"/>
                <w:lang w:val="ru-RU" w:eastAsia="en-GB"/>
              </w:rPr>
              <w:t>Январь</w:t>
            </w:r>
            <w:r w:rsidRPr="002F16BB">
              <w:rPr>
                <w:rFonts w:cs="Calibri"/>
                <w:color w:val="000000"/>
                <w:sz w:val="16"/>
                <w:szCs w:val="16"/>
                <w:lang w:val="ru-RU" w:eastAsia="it-IT"/>
              </w:rPr>
              <w:t xml:space="preserve"> 2020 г.</w:t>
            </w:r>
          </w:p>
          <w:p w14:paraId="2118DC74" w14:textId="77777777" w:rsidR="00B86204" w:rsidRPr="002F16BB" w:rsidRDefault="00B86204" w:rsidP="00016740">
            <w:pPr>
              <w:adjustRightInd/>
              <w:spacing w:before="40" w:after="40"/>
              <w:rPr>
                <w:rFonts w:cs="Calibri"/>
                <w:color w:val="000000"/>
                <w:sz w:val="16"/>
                <w:szCs w:val="16"/>
                <w:lang w:val="ru-RU" w:eastAsia="it-IT"/>
              </w:rPr>
            </w:pPr>
            <w:r w:rsidRPr="002F16BB">
              <w:rPr>
                <w:rFonts w:cs="Calibri"/>
                <w:sz w:val="16"/>
                <w:szCs w:val="16"/>
                <w:lang w:val="ru-RU"/>
              </w:rPr>
              <w:t>В 2020 году для сотрудников Отдела закупок будет организована профессиональная подготовка по уязвимостям и рискам, связанным со схемами мошенничества, которым может подвергнуться МСЭ</w:t>
            </w:r>
            <w:r w:rsidRPr="002F16BB">
              <w:rPr>
                <w:rFonts w:cs="Calibri"/>
                <w:color w:val="FF0000"/>
                <w:sz w:val="16"/>
                <w:szCs w:val="16"/>
                <w:lang w:val="ru-RU"/>
              </w:rPr>
              <w:t>.</w:t>
            </w:r>
          </w:p>
        </w:tc>
        <w:tc>
          <w:tcPr>
            <w:tcW w:w="2410" w:type="dxa"/>
            <w:tcBorders>
              <w:top w:val="single" w:sz="8" w:space="0" w:color="auto"/>
              <w:left w:val="nil"/>
              <w:bottom w:val="single" w:sz="4" w:space="0" w:color="auto"/>
              <w:right w:val="single" w:sz="4" w:space="0" w:color="auto"/>
            </w:tcBorders>
            <w:shd w:val="clear" w:color="auto" w:fill="auto"/>
            <w:hideMark/>
          </w:tcPr>
          <w:p w14:paraId="51CE0DE7" w14:textId="77777777" w:rsidR="00B86204" w:rsidRPr="002F16BB" w:rsidRDefault="00B86204" w:rsidP="00016740">
            <w:pPr>
              <w:adjustRightInd/>
              <w:spacing w:before="40" w:after="40"/>
              <w:rPr>
                <w:rFonts w:cs="Calibri"/>
                <w:b/>
                <w:bCs/>
                <w:color w:val="000000"/>
                <w:sz w:val="16"/>
                <w:szCs w:val="16"/>
                <w:lang w:val="ru-RU" w:eastAsia="en-GB"/>
              </w:rPr>
            </w:pPr>
            <w:r w:rsidRPr="002F16BB">
              <w:rPr>
                <w:rFonts w:cs="Calibri"/>
                <w:b/>
                <w:bCs/>
                <w:color w:val="000000"/>
                <w:sz w:val="16"/>
                <w:szCs w:val="16"/>
                <w:lang w:val="ru-RU" w:eastAsia="en-GB"/>
              </w:rPr>
              <w:t>Отчет C18/40, Аудит финансовой отчетности за 2017 год, рекомендация 5</w:t>
            </w:r>
          </w:p>
          <w:p w14:paraId="68F846DC"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Мы рекомендуем руководству усилить контроль за многократным заключением заказов на закупки/контрактов с одним и тем же поставщиком для сокращения риска того, что правила и процедуры МСЭ в области закупок избегаются или не применяются должным образом.</w:t>
            </w:r>
          </w:p>
        </w:tc>
        <w:tc>
          <w:tcPr>
            <w:tcW w:w="2409" w:type="dxa"/>
            <w:tcBorders>
              <w:top w:val="single" w:sz="8" w:space="0" w:color="auto"/>
              <w:left w:val="nil"/>
              <w:bottom w:val="single" w:sz="4" w:space="0" w:color="auto"/>
              <w:right w:val="single" w:sz="8" w:space="0" w:color="auto"/>
            </w:tcBorders>
            <w:shd w:val="clear" w:color="auto" w:fill="auto"/>
            <w:hideMark/>
          </w:tcPr>
          <w:p w14:paraId="17C34E00" w14:textId="77777777" w:rsidR="00B86204" w:rsidRPr="002F16BB" w:rsidRDefault="00B86204" w:rsidP="00016740">
            <w:pPr>
              <w:adjustRightInd/>
              <w:spacing w:before="40" w:after="40"/>
              <w:rPr>
                <w:rFonts w:cs="Calibri"/>
                <w:b/>
                <w:b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2018 г</w:t>
            </w:r>
            <w:r w:rsidRPr="002F16BB">
              <w:rPr>
                <w:rFonts w:cs="Calibri"/>
                <w:i/>
                <w:iCs/>
                <w:color w:val="000000"/>
                <w:sz w:val="16"/>
                <w:szCs w:val="16"/>
                <w:lang w:val="ru-RU" w:eastAsia="en-GB"/>
              </w:rPr>
              <w:t>.:</w:t>
            </w:r>
          </w:p>
          <w:p w14:paraId="3A9414F1"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Осуществление планируется на январь 2019 года.</w:t>
            </w:r>
          </w:p>
          <w:p w14:paraId="5DF42B34" w14:textId="77777777" w:rsidR="00B86204" w:rsidRPr="002F16BB" w:rsidRDefault="00B86204" w:rsidP="00016740">
            <w:pPr>
              <w:adjustRightInd/>
              <w:spacing w:before="40" w:after="40"/>
              <w:rPr>
                <w:rFonts w:cs="Calibri"/>
                <w:b/>
                <w:bCs/>
                <w:color w:val="000000"/>
                <w:sz w:val="16"/>
                <w:szCs w:val="16"/>
                <w:lang w:val="ru-RU" w:eastAsia="en-GB"/>
              </w:rPr>
            </w:pPr>
            <w:r w:rsidRPr="002F16BB">
              <w:rPr>
                <w:rFonts w:cs="Calibri"/>
                <w:b/>
                <w:bCs/>
                <w:i/>
                <w:iCs/>
                <w:color w:val="000000"/>
                <w:sz w:val="16"/>
                <w:szCs w:val="16"/>
                <w:lang w:val="ru-RU" w:eastAsia="en-GB"/>
              </w:rPr>
              <w:t>Обновление, по состоянию на апрель 2019 г</w:t>
            </w:r>
            <w:r w:rsidRPr="002F16BB">
              <w:rPr>
                <w:rFonts w:cs="Calibri"/>
                <w:i/>
                <w:iCs/>
                <w:color w:val="000000"/>
                <w:sz w:val="16"/>
                <w:szCs w:val="16"/>
                <w:lang w:val="ru-RU" w:eastAsia="en-GB"/>
              </w:rPr>
              <w:t>.:</w:t>
            </w:r>
          </w:p>
          <w:p w14:paraId="7B2A58EE" w14:textId="77777777" w:rsidR="00B86204" w:rsidRPr="002F16BB" w:rsidRDefault="00B86204" w:rsidP="00016740">
            <w:pPr>
              <w:adjustRightInd/>
              <w:spacing w:before="40" w:after="40"/>
              <w:rPr>
                <w:rFonts w:cs="Calibri"/>
                <w:sz w:val="16"/>
                <w:szCs w:val="16"/>
                <w:lang w:val="ru-RU" w:eastAsia="it-IT"/>
              </w:rPr>
            </w:pPr>
            <w:r w:rsidRPr="002F16BB">
              <w:rPr>
                <w:rFonts w:cs="Calibri"/>
                <w:color w:val="000000"/>
                <w:sz w:val="16"/>
                <w:szCs w:val="16"/>
                <w:lang w:val="ru-RU" w:eastAsia="en-GB"/>
              </w:rPr>
              <w:t>Осуществлено. Новые процедуры, относящиеся к закупкам на сумму меньше 20 000 швейцарских франков, внедрены с 1 апреля 2019 года.</w:t>
            </w:r>
            <w:r w:rsidRPr="002F16BB">
              <w:rPr>
                <w:rFonts w:cs="Calibri"/>
                <w:color w:val="000000"/>
                <w:sz w:val="10"/>
                <w:szCs w:val="10"/>
                <w:lang w:val="ru-RU" w:eastAsia="en-GB"/>
              </w:rPr>
              <w:t xml:space="preserve"> </w:t>
            </w:r>
            <w:r w:rsidRPr="002F16BB">
              <w:rPr>
                <w:color w:val="000000"/>
                <w:sz w:val="16"/>
                <w:szCs w:val="14"/>
                <w:lang w:val="ru-RU"/>
              </w:rPr>
              <w:t>Теперь для применения требования о представления трех предложений по ценам устанавливается пороговый уровень в размере 5000 швейцарских франков.</w:t>
            </w:r>
            <w:r w:rsidRPr="002F16BB">
              <w:rPr>
                <w:color w:val="000000"/>
                <w:lang w:val="ru-RU"/>
              </w:rPr>
              <w:t xml:space="preserve"> </w:t>
            </w:r>
            <w:r w:rsidRPr="002F16BB">
              <w:rPr>
                <w:color w:val="000000"/>
                <w:sz w:val="16"/>
                <w:szCs w:val="14"/>
                <w:lang w:val="ru-RU"/>
              </w:rPr>
              <w:t xml:space="preserve">Предоставление заказа без конкурсного предложения по </w:t>
            </w:r>
            <w:r w:rsidRPr="002F16BB">
              <w:rPr>
                <w:color w:val="000000"/>
                <w:sz w:val="16"/>
                <w:szCs w:val="14"/>
                <w:lang w:val="ru-RU"/>
              </w:rPr>
              <w:lastRenderedPageBreak/>
              <w:t>ценам ограничивается суммой в 5000 швейцарских франков за одну сделку и 20</w:t>
            </w:r>
            <w:r>
              <w:rPr>
                <w:color w:val="000000"/>
                <w:sz w:val="16"/>
                <w:szCs w:val="14"/>
                <w:lang w:val="ru-RU"/>
              </w:rPr>
              <w:t> </w:t>
            </w:r>
            <w:r w:rsidRPr="002F16BB">
              <w:rPr>
                <w:color w:val="000000"/>
                <w:sz w:val="16"/>
                <w:szCs w:val="14"/>
                <w:lang w:val="ru-RU"/>
              </w:rPr>
              <w:t>000</w:t>
            </w:r>
            <w:r>
              <w:rPr>
                <w:color w:val="000000"/>
                <w:sz w:val="16"/>
                <w:szCs w:val="14"/>
                <w:lang w:val="ru-RU"/>
              </w:rPr>
              <w:t> </w:t>
            </w:r>
            <w:r w:rsidRPr="002F16BB">
              <w:rPr>
                <w:color w:val="000000"/>
                <w:sz w:val="16"/>
                <w:szCs w:val="14"/>
                <w:lang w:val="ru-RU"/>
              </w:rPr>
              <w:t>швейцарских франков на одного поставщика в календарный год.</w:t>
            </w:r>
          </w:p>
          <w:p w14:paraId="22A2AA02"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 xml:space="preserve">.: </w:t>
            </w:r>
          </w:p>
          <w:p w14:paraId="5560D8D4" w14:textId="77777777" w:rsidR="00B86204" w:rsidRPr="002F16BB" w:rsidRDefault="00B86204" w:rsidP="00016740">
            <w:pPr>
              <w:adjustRightInd/>
              <w:spacing w:before="40" w:after="40"/>
              <w:rPr>
                <w:rFonts w:cs="Calibri"/>
                <w:sz w:val="16"/>
                <w:szCs w:val="16"/>
                <w:lang w:val="ru-RU" w:eastAsia="it-IT"/>
              </w:rPr>
            </w:pPr>
            <w:r w:rsidRPr="002F16BB">
              <w:rPr>
                <w:rFonts w:cs="Calibri"/>
                <w:sz w:val="16"/>
                <w:szCs w:val="16"/>
                <w:lang w:val="ru-RU" w:eastAsia="it-IT"/>
              </w:rPr>
              <w:t>Осуществлено по состоянию на апрель 2019 года.</w:t>
            </w:r>
          </w:p>
          <w:p w14:paraId="7F6B2F81"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4E0A56AF" w14:textId="77777777" w:rsidR="00B86204" w:rsidRPr="002F16BB" w:rsidRDefault="00B86204" w:rsidP="00016740">
            <w:pPr>
              <w:adjustRightInd/>
              <w:spacing w:before="40" w:after="40"/>
              <w:rPr>
                <w:rFonts w:cs="Calibri"/>
                <w:i/>
                <w:iCs/>
                <w:color w:val="000000"/>
                <w:sz w:val="16"/>
                <w:szCs w:val="16"/>
                <w:lang w:val="ru-RU" w:eastAsia="en-GB"/>
              </w:rPr>
            </w:pPr>
            <w:r w:rsidRPr="002F16BB">
              <w:rPr>
                <w:i/>
                <w:iCs/>
                <w:sz w:val="16"/>
                <w:szCs w:val="16"/>
                <w:lang w:val="ru-RU" w:eastAsia="it-IT"/>
              </w:rPr>
              <w:t>Осуществлено.</w:t>
            </w:r>
          </w:p>
        </w:tc>
        <w:tc>
          <w:tcPr>
            <w:tcW w:w="1418" w:type="dxa"/>
            <w:tcBorders>
              <w:top w:val="nil"/>
              <w:left w:val="nil"/>
              <w:bottom w:val="single" w:sz="4" w:space="0" w:color="auto"/>
              <w:right w:val="single" w:sz="4" w:space="0" w:color="auto"/>
            </w:tcBorders>
            <w:shd w:val="clear" w:color="auto" w:fill="auto"/>
            <w:hideMark/>
          </w:tcPr>
          <w:p w14:paraId="7DAC43EC"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lastRenderedPageBreak/>
              <w:t>В процессе выполнения.</w:t>
            </w:r>
          </w:p>
          <w:p w14:paraId="54B6B875"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1B5CA1B9" w14:textId="77777777" w:rsidTr="00016740">
        <w:tc>
          <w:tcPr>
            <w:tcW w:w="1009" w:type="dxa"/>
            <w:vMerge/>
            <w:tcBorders>
              <w:top w:val="nil"/>
              <w:left w:val="single" w:sz="4" w:space="0" w:color="auto"/>
              <w:bottom w:val="single" w:sz="4" w:space="0" w:color="000000"/>
              <w:right w:val="single" w:sz="4" w:space="0" w:color="auto"/>
            </w:tcBorders>
            <w:hideMark/>
          </w:tcPr>
          <w:p w14:paraId="2AE0FDEA"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1479D19A"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206ACCE3"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hideMark/>
          </w:tcPr>
          <w:p w14:paraId="3C42EAAF"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05/19-09/ML</w:t>
            </w:r>
            <w:r w:rsidRPr="002F16BB">
              <w:rPr>
                <w:rFonts w:cs="Calibri"/>
                <w:color w:val="000000"/>
                <w:sz w:val="16"/>
                <w:szCs w:val="16"/>
                <w:lang w:val="ru-RU" w:eastAsia="en-GB"/>
              </w:rPr>
              <w:t xml:space="preserve">: Руководителю HRMD рекомендуется включить в стандартную программу обязательной подготовки персонала МСЭ модуль по осведомленности о мошенничестве и его схемах. </w:t>
            </w:r>
          </w:p>
        </w:tc>
        <w:tc>
          <w:tcPr>
            <w:tcW w:w="2253" w:type="dxa"/>
            <w:tcBorders>
              <w:top w:val="nil"/>
              <w:left w:val="nil"/>
              <w:bottom w:val="single" w:sz="4" w:space="0" w:color="auto"/>
              <w:right w:val="single" w:sz="8" w:space="0" w:color="auto"/>
            </w:tcBorders>
            <w:shd w:val="clear" w:color="auto" w:fill="auto"/>
            <w:hideMark/>
          </w:tcPr>
          <w:p w14:paraId="6E31FEF8" w14:textId="77777777" w:rsidR="00B86204" w:rsidRPr="002F16BB" w:rsidRDefault="00B86204" w:rsidP="00016740">
            <w:pPr>
              <w:adjustRightInd/>
              <w:spacing w:before="40" w:after="40"/>
              <w:rPr>
                <w:rFonts w:cs="Calibri"/>
                <w:i/>
                <w:iCs/>
                <w:color w:val="000000"/>
                <w:sz w:val="16"/>
                <w:szCs w:val="16"/>
                <w:lang w:val="ru-RU" w:eastAsia="en-GB"/>
              </w:rPr>
            </w:pPr>
          </w:p>
        </w:tc>
        <w:tc>
          <w:tcPr>
            <w:tcW w:w="2410" w:type="dxa"/>
            <w:tcBorders>
              <w:top w:val="nil"/>
              <w:left w:val="nil"/>
              <w:bottom w:val="single" w:sz="4" w:space="0" w:color="auto"/>
              <w:right w:val="single" w:sz="4" w:space="0" w:color="auto"/>
            </w:tcBorders>
            <w:shd w:val="clear" w:color="auto" w:fill="auto"/>
            <w:hideMark/>
          </w:tcPr>
          <w:p w14:paraId="0F0F6BE1"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C18/40, Аудит финансовой отчетности за 2017 год, рекомендация 6</w:t>
            </w:r>
            <w:r w:rsidRPr="002F16BB">
              <w:rPr>
                <w:rFonts w:cs="Calibri"/>
                <w:color w:val="000000"/>
                <w:sz w:val="16"/>
                <w:szCs w:val="16"/>
                <w:lang w:val="ru-RU" w:eastAsia="en-GB"/>
              </w:rPr>
              <w:t xml:space="preserve"> </w:t>
            </w:r>
          </w:p>
          <w:p w14:paraId="5DAA4CE9"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Мы рекомендуем руководству обновить программное обеспечение SRM МСЭ, чтобы обеспечить возможность осуществления контроля заказов на закупки/контрактов, заключаемых в случае отказа от проведения конкурса. </w:t>
            </w:r>
          </w:p>
        </w:tc>
        <w:tc>
          <w:tcPr>
            <w:tcW w:w="2409" w:type="dxa"/>
            <w:tcBorders>
              <w:top w:val="nil"/>
              <w:left w:val="nil"/>
              <w:bottom w:val="single" w:sz="4" w:space="0" w:color="auto"/>
              <w:right w:val="single" w:sz="8" w:space="0" w:color="auto"/>
            </w:tcBorders>
            <w:shd w:val="clear" w:color="auto" w:fill="auto"/>
            <w:hideMark/>
          </w:tcPr>
          <w:p w14:paraId="69556CFF" w14:textId="77777777" w:rsidR="00B86204" w:rsidRPr="002F16BB" w:rsidRDefault="00B86204" w:rsidP="00016740">
            <w:pPr>
              <w:adjustRightInd/>
              <w:spacing w:before="40" w:after="40"/>
              <w:rPr>
                <w:rFonts w:cs="Calibri"/>
                <w:b/>
                <w:b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2018 г</w:t>
            </w:r>
            <w:r w:rsidRPr="002F16BB">
              <w:rPr>
                <w:rFonts w:cs="Calibri"/>
                <w:i/>
                <w:iCs/>
                <w:color w:val="000000"/>
                <w:sz w:val="16"/>
                <w:szCs w:val="16"/>
                <w:lang w:val="ru-RU" w:eastAsia="en-GB"/>
              </w:rPr>
              <w:t>.:</w:t>
            </w:r>
          </w:p>
          <w:p w14:paraId="0D435120"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Это часть проекта управления контрактами, которую предусматривается завершить в 2019 году.</w:t>
            </w:r>
          </w:p>
          <w:p w14:paraId="6A8BEDF9"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b/>
                <w:bCs/>
                <w:i/>
                <w:iCs/>
                <w:color w:val="000000"/>
                <w:sz w:val="16"/>
                <w:szCs w:val="16"/>
                <w:lang w:val="ru-RU" w:eastAsia="en-GB"/>
              </w:rPr>
              <w:t>Обновление, по состоянию на апрель 2019 г</w:t>
            </w:r>
            <w:r w:rsidRPr="002F16BB">
              <w:rPr>
                <w:rFonts w:cs="Calibri"/>
                <w:i/>
                <w:iCs/>
                <w:color w:val="000000"/>
                <w:sz w:val="16"/>
                <w:szCs w:val="16"/>
                <w:lang w:val="ru-RU" w:eastAsia="en-GB"/>
              </w:rPr>
              <w:t>.:</w:t>
            </w:r>
          </w:p>
          <w:p w14:paraId="15354FE3"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Отсутствует</w:t>
            </w:r>
            <w:r>
              <w:rPr>
                <w:rFonts w:cs="Calibri"/>
                <w:color w:val="000000"/>
                <w:sz w:val="16"/>
                <w:szCs w:val="16"/>
                <w:lang w:val="ru-RU" w:eastAsia="en-GB"/>
              </w:rPr>
              <w:t>.</w:t>
            </w:r>
          </w:p>
          <w:p w14:paraId="3946768E"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b/>
                <w:bCs/>
                <w:i/>
                <w:iCs/>
                <w:color w:val="000000"/>
                <w:sz w:val="16"/>
                <w:szCs w:val="16"/>
                <w:lang w:val="ru-RU" w:eastAsia="en-GB"/>
              </w:rPr>
              <w:t>Обновление, по состоянию на декабрь 2019 г</w:t>
            </w:r>
            <w:r w:rsidRPr="002F16BB">
              <w:rPr>
                <w:rFonts w:cs="Calibri"/>
                <w:i/>
                <w:iCs/>
                <w:color w:val="000000"/>
                <w:sz w:val="16"/>
                <w:szCs w:val="16"/>
                <w:lang w:val="ru-RU" w:eastAsia="en-GB"/>
              </w:rPr>
              <w:t>.:</w:t>
            </w:r>
          </w:p>
          <w:p w14:paraId="5F3EFD2D"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Осуществлено по состоянию на июнь 2019 года.</w:t>
            </w:r>
          </w:p>
          <w:p w14:paraId="0E838E27"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67F129BC"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Осуществлено. Были введены обязательные занятия по профессиональной подготовке.</w:t>
            </w:r>
          </w:p>
        </w:tc>
        <w:tc>
          <w:tcPr>
            <w:tcW w:w="1418" w:type="dxa"/>
            <w:tcBorders>
              <w:top w:val="nil"/>
              <w:left w:val="nil"/>
              <w:bottom w:val="single" w:sz="4" w:space="0" w:color="auto"/>
              <w:right w:val="single" w:sz="4" w:space="0" w:color="auto"/>
            </w:tcBorders>
            <w:shd w:val="clear" w:color="auto" w:fill="auto"/>
            <w:hideMark/>
          </w:tcPr>
          <w:p w14:paraId="29DAFAA6"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50CE749E"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4CDFC997" w14:textId="77777777" w:rsidTr="00016740">
        <w:tc>
          <w:tcPr>
            <w:tcW w:w="1009" w:type="dxa"/>
            <w:vMerge/>
            <w:tcBorders>
              <w:top w:val="nil"/>
              <w:left w:val="single" w:sz="4" w:space="0" w:color="auto"/>
              <w:bottom w:val="single" w:sz="4" w:space="0" w:color="000000"/>
              <w:right w:val="single" w:sz="4" w:space="0" w:color="auto"/>
            </w:tcBorders>
            <w:hideMark/>
          </w:tcPr>
          <w:p w14:paraId="4BB50542"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7A9780A7"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212F720B"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8" w:space="0" w:color="auto"/>
              <w:right w:val="single" w:sz="4" w:space="0" w:color="auto"/>
            </w:tcBorders>
            <w:shd w:val="clear" w:color="auto" w:fill="auto"/>
            <w:hideMark/>
          </w:tcPr>
          <w:p w14:paraId="3436CEB6" w14:textId="77777777" w:rsidR="00B86204" w:rsidRPr="002F16BB" w:rsidRDefault="00B86204" w:rsidP="00016740">
            <w:pPr>
              <w:adjustRightInd/>
              <w:spacing w:before="40" w:after="40"/>
              <w:rPr>
                <w:rFonts w:cs="Calibri"/>
                <w:color w:val="000000"/>
                <w:sz w:val="16"/>
                <w:szCs w:val="16"/>
                <w:lang w:val="ru-RU" w:eastAsia="en-GB"/>
              </w:rPr>
            </w:pPr>
          </w:p>
        </w:tc>
        <w:tc>
          <w:tcPr>
            <w:tcW w:w="2253" w:type="dxa"/>
            <w:tcBorders>
              <w:top w:val="nil"/>
              <w:left w:val="nil"/>
              <w:bottom w:val="single" w:sz="8" w:space="0" w:color="auto"/>
              <w:right w:val="single" w:sz="8" w:space="0" w:color="auto"/>
            </w:tcBorders>
            <w:shd w:val="clear" w:color="auto" w:fill="auto"/>
            <w:hideMark/>
          </w:tcPr>
          <w:p w14:paraId="35A4F73B" w14:textId="77777777" w:rsidR="00B86204" w:rsidRPr="002F16BB" w:rsidRDefault="00B86204" w:rsidP="00016740">
            <w:pPr>
              <w:adjustRightInd/>
              <w:spacing w:before="40" w:after="40"/>
              <w:rPr>
                <w:rFonts w:cs="Calibri"/>
                <w:color w:val="000000"/>
                <w:sz w:val="16"/>
                <w:szCs w:val="16"/>
                <w:lang w:val="ru-RU" w:eastAsia="en-GB"/>
              </w:rPr>
            </w:pPr>
          </w:p>
        </w:tc>
        <w:tc>
          <w:tcPr>
            <w:tcW w:w="2410" w:type="dxa"/>
            <w:tcBorders>
              <w:top w:val="nil"/>
              <w:left w:val="nil"/>
              <w:bottom w:val="single" w:sz="8" w:space="0" w:color="auto"/>
              <w:right w:val="single" w:sz="4" w:space="0" w:color="auto"/>
            </w:tcBorders>
            <w:shd w:val="clear" w:color="auto" w:fill="auto"/>
            <w:hideMark/>
          </w:tcPr>
          <w:p w14:paraId="14AD677B"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C18/125, Специальный отчет по региональному присутствию</w:t>
            </w:r>
          </w:p>
          <w:p w14:paraId="5B679361"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Мы рекомендуем организовать регулярное обучение всего персонала, участвующего в процессе закупок в </w:t>
            </w:r>
            <w:r w:rsidRPr="002F16BB">
              <w:rPr>
                <w:rFonts w:cs="Calibri"/>
                <w:color w:val="000000"/>
                <w:sz w:val="16"/>
                <w:szCs w:val="16"/>
                <w:lang w:val="ru-RU" w:eastAsia="en-GB"/>
              </w:rPr>
              <w:lastRenderedPageBreak/>
              <w:t xml:space="preserve">региональных и зональных отделениях. </w:t>
            </w:r>
          </w:p>
        </w:tc>
        <w:tc>
          <w:tcPr>
            <w:tcW w:w="2409" w:type="dxa"/>
            <w:tcBorders>
              <w:top w:val="nil"/>
              <w:left w:val="nil"/>
              <w:bottom w:val="single" w:sz="8" w:space="0" w:color="auto"/>
              <w:right w:val="single" w:sz="8" w:space="0" w:color="auto"/>
            </w:tcBorders>
            <w:shd w:val="clear" w:color="auto" w:fill="auto"/>
            <w:hideMark/>
          </w:tcPr>
          <w:p w14:paraId="2F8DC4D5"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lastRenderedPageBreak/>
              <w:t>Обновление, по состоянию на декабрь 2019 г</w:t>
            </w:r>
            <w:r w:rsidRPr="002F16BB">
              <w:rPr>
                <w:rFonts w:cs="Calibri"/>
                <w:i/>
                <w:iCs/>
                <w:color w:val="000000"/>
                <w:sz w:val="16"/>
                <w:szCs w:val="16"/>
                <w:lang w:val="ru-RU" w:eastAsia="en-GB"/>
              </w:rPr>
              <w:t>.:</w:t>
            </w:r>
          </w:p>
          <w:p w14:paraId="6CC4FBFD"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МСЭ провел первое занятие по</w:t>
            </w:r>
            <w:r>
              <w:rPr>
                <w:rFonts w:cs="Calibri"/>
                <w:i/>
                <w:iCs/>
                <w:color w:val="000000"/>
                <w:sz w:val="16"/>
                <w:szCs w:val="16"/>
                <w:lang w:val="ru-RU" w:eastAsia="en-GB"/>
              </w:rPr>
              <w:t xml:space="preserve"> </w:t>
            </w:r>
            <w:r w:rsidRPr="002F16BB">
              <w:rPr>
                <w:rFonts w:cs="Calibri"/>
                <w:i/>
                <w:iCs/>
                <w:color w:val="000000"/>
                <w:sz w:val="16"/>
                <w:szCs w:val="16"/>
                <w:lang w:val="ru-RU" w:eastAsia="en-GB"/>
              </w:rPr>
              <w:t>профессиональной подготовке и сертификации по управлению проектами в ноябре 2019 года для персонала МСЭ (БРЭ – штаб-квартира и региональные</w:t>
            </w:r>
            <w:r w:rsidRPr="00FA1640">
              <w:rPr>
                <w:rFonts w:cs="Calibri"/>
                <w:color w:val="000000"/>
                <w:sz w:val="16"/>
                <w:szCs w:val="16"/>
                <w:lang w:val="ru-RU" w:eastAsia="en-GB"/>
              </w:rPr>
              <w:t>/</w:t>
            </w:r>
            <w:r w:rsidRPr="002F16BB">
              <w:rPr>
                <w:rFonts w:cs="Calibri"/>
                <w:i/>
                <w:iCs/>
                <w:color w:val="000000"/>
                <w:sz w:val="16"/>
                <w:szCs w:val="16"/>
                <w:lang w:val="ru-RU" w:eastAsia="en-GB"/>
              </w:rPr>
              <w:t xml:space="preserve">зональные </w:t>
            </w:r>
            <w:r w:rsidRPr="002F16BB">
              <w:rPr>
                <w:rFonts w:cs="Calibri"/>
                <w:i/>
                <w:iCs/>
                <w:color w:val="000000"/>
                <w:sz w:val="16"/>
                <w:szCs w:val="16"/>
                <w:lang w:val="ru-RU" w:eastAsia="en-GB"/>
              </w:rPr>
              <w:lastRenderedPageBreak/>
              <w:t>отделения, Секретариат, БР, БСЭ), участвующего в разработке, планировании, осуществлении и поддержке проектов МСЭ. В связи с успехом этого первого занятия второе групповое занятие по профессиональной подготовке планируется на 2020 год.</w:t>
            </w:r>
          </w:p>
          <w:p w14:paraId="5C04063B"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216FDFE0" w14:textId="77777777" w:rsidR="00B86204" w:rsidRPr="002F16BB" w:rsidRDefault="00B86204" w:rsidP="00016740">
            <w:pPr>
              <w:spacing w:before="40" w:after="40"/>
              <w:rPr>
                <w:rFonts w:cs="Calibri"/>
                <w:i/>
                <w:iCs/>
                <w:color w:val="000000"/>
                <w:sz w:val="16"/>
                <w:szCs w:val="16"/>
                <w:lang w:val="ru-RU" w:eastAsia="en-GB"/>
              </w:rPr>
            </w:pPr>
            <w:r w:rsidRPr="002F16BB">
              <w:rPr>
                <w:rFonts w:cs="Calibri"/>
                <w:i/>
                <w:iCs/>
                <w:color w:val="000000"/>
                <w:sz w:val="16"/>
                <w:szCs w:val="16"/>
                <w:lang w:val="ru-RU" w:eastAsia="en-GB"/>
              </w:rPr>
              <w:t>Профессиональная подготовка для персонала региональных отделений началась и будет проведена для всех региональных отделений до конца года.</w:t>
            </w:r>
          </w:p>
        </w:tc>
        <w:tc>
          <w:tcPr>
            <w:tcW w:w="1418" w:type="dxa"/>
            <w:tcBorders>
              <w:top w:val="nil"/>
              <w:left w:val="nil"/>
              <w:bottom w:val="single" w:sz="4" w:space="0" w:color="auto"/>
              <w:right w:val="single" w:sz="4" w:space="0" w:color="auto"/>
            </w:tcBorders>
            <w:shd w:val="clear" w:color="auto" w:fill="auto"/>
            <w:hideMark/>
          </w:tcPr>
          <w:p w14:paraId="5BEC5111"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lastRenderedPageBreak/>
              <w:t>В процессе выполнения.</w:t>
            </w:r>
          </w:p>
          <w:p w14:paraId="13EED7F7"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 xml:space="preserve">Мы будем контролировать осуществление в контексте наших следующих </w:t>
            </w:r>
            <w:r w:rsidRPr="002F16BB">
              <w:rPr>
                <w:rFonts w:cs="Calibri"/>
                <w:sz w:val="16"/>
                <w:szCs w:val="16"/>
                <w:lang w:val="ru-RU" w:eastAsia="it-IT"/>
              </w:rPr>
              <w:lastRenderedPageBreak/>
              <w:t>аудиторских проверок.</w:t>
            </w:r>
          </w:p>
        </w:tc>
      </w:tr>
      <w:tr w:rsidR="00B86204" w:rsidRPr="00FE280E" w14:paraId="36066DD5" w14:textId="77777777" w:rsidTr="00016740">
        <w:tc>
          <w:tcPr>
            <w:tcW w:w="1009" w:type="dxa"/>
            <w:vMerge/>
            <w:tcBorders>
              <w:top w:val="nil"/>
              <w:left w:val="single" w:sz="4" w:space="0" w:color="auto"/>
              <w:bottom w:val="single" w:sz="4" w:space="0" w:color="000000"/>
              <w:right w:val="single" w:sz="4" w:space="0" w:color="auto"/>
            </w:tcBorders>
            <w:hideMark/>
          </w:tcPr>
          <w:p w14:paraId="40457BCC"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44AB2810"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752CB750" w14:textId="77777777" w:rsidR="00B86204" w:rsidRPr="002F16BB" w:rsidRDefault="00B86204" w:rsidP="00016740">
            <w:pPr>
              <w:adjustRightInd/>
              <w:spacing w:before="40" w:after="40"/>
              <w:rPr>
                <w:rFonts w:cs="Calibri"/>
                <w:b/>
                <w:bCs/>
                <w:color w:val="000000"/>
                <w:sz w:val="16"/>
                <w:szCs w:val="16"/>
                <w:lang w:val="ru-RU" w:eastAsia="en-GB"/>
              </w:rPr>
            </w:pPr>
          </w:p>
        </w:tc>
        <w:tc>
          <w:tcPr>
            <w:tcW w:w="10742" w:type="dxa"/>
            <w:gridSpan w:val="5"/>
            <w:tcBorders>
              <w:top w:val="nil"/>
              <w:left w:val="single" w:sz="4" w:space="0" w:color="auto"/>
              <w:bottom w:val="single" w:sz="4" w:space="0" w:color="000000"/>
              <w:right w:val="single" w:sz="4" w:space="0" w:color="000000"/>
            </w:tcBorders>
            <w:shd w:val="clear" w:color="000000" w:fill="BFBFBF"/>
            <w:hideMark/>
          </w:tcPr>
          <w:p w14:paraId="4F817F88" w14:textId="77777777" w:rsidR="00B86204" w:rsidRPr="00FA1640" w:rsidRDefault="00B86204" w:rsidP="00016740">
            <w:pPr>
              <w:adjustRightInd/>
              <w:spacing w:before="40" w:after="40"/>
              <w:jc w:val="center"/>
              <w:rPr>
                <w:rFonts w:cs="Calibri"/>
                <w:b/>
                <w:bCs/>
                <w:color w:val="000000"/>
                <w:sz w:val="16"/>
                <w:szCs w:val="16"/>
                <w:lang w:val="ru-RU" w:eastAsia="en-GB"/>
              </w:rPr>
            </w:pPr>
            <w:r w:rsidRPr="00FA1640">
              <w:rPr>
                <w:b/>
                <w:bCs/>
                <w:color w:val="000000"/>
                <w:sz w:val="16"/>
                <w:szCs w:val="16"/>
                <w:lang w:val="ru-RU"/>
              </w:rPr>
              <w:t>Рекомендация по отсутствию эффективности надзора на уровне региональных отделений</w:t>
            </w:r>
          </w:p>
        </w:tc>
      </w:tr>
      <w:tr w:rsidR="00B86204" w:rsidRPr="00FE280E" w14:paraId="1C8F8096" w14:textId="77777777" w:rsidTr="00016740">
        <w:tc>
          <w:tcPr>
            <w:tcW w:w="1009" w:type="dxa"/>
            <w:vMerge/>
            <w:tcBorders>
              <w:top w:val="nil"/>
              <w:left w:val="single" w:sz="4" w:space="0" w:color="auto"/>
              <w:bottom w:val="single" w:sz="4" w:space="0" w:color="000000"/>
              <w:right w:val="single" w:sz="4" w:space="0" w:color="auto"/>
            </w:tcBorders>
            <w:hideMark/>
          </w:tcPr>
          <w:p w14:paraId="2FB04DA9"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19A01899"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2DDC7502"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single" w:sz="8" w:space="0" w:color="auto"/>
              <w:left w:val="single" w:sz="8" w:space="0" w:color="auto"/>
              <w:bottom w:val="single" w:sz="4" w:space="0" w:color="auto"/>
              <w:right w:val="single" w:sz="4" w:space="0" w:color="auto"/>
            </w:tcBorders>
            <w:shd w:val="clear" w:color="auto" w:fill="auto"/>
            <w:hideMark/>
          </w:tcPr>
          <w:p w14:paraId="7D8195E1"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06/19-09/ML</w:t>
            </w:r>
            <w:r w:rsidRPr="002F16BB">
              <w:rPr>
                <w:rFonts w:cs="Calibri"/>
                <w:color w:val="000000"/>
                <w:sz w:val="16"/>
                <w:szCs w:val="16"/>
                <w:lang w:val="ru-RU" w:eastAsia="en-GB"/>
              </w:rPr>
              <w:t xml:space="preserve">: Рекомендуется Директору БРЭ усилить надзор на уровне региональных отделений, обеспечив более подробные сведения о функциях, обязанностях и подотчетности директоров региональных отделений, и возлагать на них ответственность за выполнение обязанностей по надзору (соблюдая должное равновесие между доверием и подотчетностью). </w:t>
            </w:r>
          </w:p>
        </w:tc>
        <w:tc>
          <w:tcPr>
            <w:tcW w:w="2253" w:type="dxa"/>
            <w:tcBorders>
              <w:top w:val="single" w:sz="8" w:space="0" w:color="auto"/>
              <w:left w:val="nil"/>
              <w:bottom w:val="single" w:sz="4" w:space="0" w:color="auto"/>
              <w:right w:val="single" w:sz="8" w:space="0" w:color="auto"/>
            </w:tcBorders>
            <w:shd w:val="clear" w:color="auto" w:fill="auto"/>
            <w:hideMark/>
          </w:tcPr>
          <w:p w14:paraId="6F5FD5DE" w14:textId="77777777" w:rsidR="00B86204" w:rsidRDefault="00B86204" w:rsidP="00016740">
            <w:pPr>
              <w:adjustRightInd/>
              <w:spacing w:before="40" w:after="40"/>
              <w:rPr>
                <w:rFonts w:cs="Calibri"/>
                <w:i/>
                <w:iCs/>
                <w:color w:val="000000"/>
                <w:sz w:val="16"/>
                <w:szCs w:val="16"/>
                <w:lang w:val="ru-RU" w:eastAsia="en-GB"/>
              </w:rPr>
            </w:pPr>
            <w:proofErr w:type="spellStart"/>
            <w:r w:rsidRPr="002F16BB">
              <w:rPr>
                <w:rFonts w:cs="Calibri"/>
                <w:i/>
                <w:iCs/>
                <w:color w:val="000000"/>
                <w:sz w:val="16"/>
                <w:szCs w:val="16"/>
                <w:lang w:val="ru-RU" w:eastAsia="en-GB"/>
              </w:rPr>
              <w:t>Осн</w:t>
            </w:r>
            <w:proofErr w:type="spellEnd"/>
            <w:r w:rsidRPr="002F16BB">
              <w:rPr>
                <w:rFonts w:cs="Calibri"/>
                <w:i/>
                <w:iCs/>
                <w:color w:val="000000"/>
                <w:sz w:val="16"/>
                <w:szCs w:val="16"/>
                <w:lang w:val="ru-RU" w:eastAsia="en-GB"/>
              </w:rPr>
              <w:t>. Документ</w:t>
            </w:r>
            <w:r>
              <w:rPr>
                <w:rFonts w:cs="Calibri"/>
                <w:i/>
                <w:iCs/>
                <w:color w:val="000000"/>
                <w:sz w:val="16"/>
                <w:szCs w:val="16"/>
                <w:lang w:val="ru-RU" w:eastAsia="en-GB"/>
              </w:rPr>
              <w:t> </w:t>
            </w:r>
            <w:r w:rsidRPr="002F16BB">
              <w:rPr>
                <w:rFonts w:cs="Calibri"/>
                <w:i/>
                <w:iCs/>
                <w:color w:val="000000"/>
                <w:sz w:val="16"/>
                <w:szCs w:val="16"/>
                <w:lang w:val="ru-RU" w:eastAsia="en-GB"/>
              </w:rPr>
              <w:t>CWG</w:t>
            </w:r>
            <w:r>
              <w:rPr>
                <w:rFonts w:cs="Calibri"/>
                <w:i/>
                <w:iCs/>
                <w:color w:val="000000"/>
                <w:sz w:val="16"/>
                <w:szCs w:val="16"/>
                <w:lang w:val="ru-RU" w:eastAsia="en-GB"/>
              </w:rPr>
              <w:noBreakHyphen/>
            </w:r>
            <w:r w:rsidRPr="002F16BB">
              <w:rPr>
                <w:rFonts w:cs="Calibri"/>
                <w:i/>
                <w:iCs/>
                <w:color w:val="000000"/>
                <w:sz w:val="16"/>
                <w:szCs w:val="16"/>
                <w:lang w:val="ru-RU" w:eastAsia="en-GB"/>
              </w:rPr>
              <w:t>FHR</w:t>
            </w:r>
            <w:r>
              <w:rPr>
                <w:rFonts w:cs="Calibri"/>
                <w:i/>
                <w:iCs/>
                <w:color w:val="000000"/>
                <w:sz w:val="16"/>
                <w:szCs w:val="16"/>
                <w:lang w:val="ru-RU" w:eastAsia="en-GB"/>
              </w:rPr>
              <w:t> </w:t>
            </w:r>
            <w:r w:rsidRPr="002F16BB">
              <w:rPr>
                <w:rFonts w:cs="Calibri"/>
                <w:i/>
                <w:iCs/>
                <w:color w:val="000000"/>
                <w:sz w:val="16"/>
                <w:szCs w:val="16"/>
                <w:lang w:val="ru-RU" w:eastAsia="en-GB"/>
              </w:rPr>
              <w:t>10/15 (сент. 2019 г.)</w:t>
            </w:r>
            <w:r>
              <w:rPr>
                <w:rFonts w:cs="Calibri"/>
                <w:i/>
                <w:iCs/>
                <w:color w:val="000000"/>
                <w:sz w:val="16"/>
                <w:szCs w:val="16"/>
                <w:lang w:val="ru-RU" w:eastAsia="en-GB"/>
              </w:rPr>
              <w:t>,</w:t>
            </w:r>
            <w:r w:rsidRPr="002F16BB">
              <w:rPr>
                <w:rFonts w:cs="Calibri"/>
                <w:i/>
                <w:iCs/>
                <w:color w:val="000000"/>
                <w:sz w:val="16"/>
                <w:szCs w:val="16"/>
                <w:lang w:val="ru-RU" w:eastAsia="en-GB"/>
              </w:rPr>
              <w:t xml:space="preserve"> пункт 6 </w:t>
            </w:r>
          </w:p>
          <w:p w14:paraId="4A9C8CAD" w14:textId="77777777" w:rsidR="00B86204" w:rsidRPr="00160356" w:rsidRDefault="00B86204" w:rsidP="00016740">
            <w:pPr>
              <w:adjustRightInd/>
              <w:spacing w:before="40" w:after="40"/>
              <w:rPr>
                <w:rFonts w:cs="Calibri"/>
                <w:color w:val="000000"/>
                <w:sz w:val="16"/>
                <w:szCs w:val="16"/>
                <w:lang w:val="ru-RU" w:eastAsia="en-GB"/>
              </w:rPr>
            </w:pPr>
            <w:r w:rsidRPr="002F16BB">
              <w:rPr>
                <w:rFonts w:cs="Calibri"/>
                <w:b/>
                <w:bCs/>
                <w:i/>
                <w:iCs/>
                <w:color w:val="000000"/>
                <w:sz w:val="16"/>
                <w:szCs w:val="16"/>
                <w:lang w:val="ru-RU" w:eastAsia="en-GB"/>
              </w:rPr>
              <w:t>Осуществлено</w:t>
            </w:r>
            <w:r>
              <w:rPr>
                <w:rFonts w:cs="Calibri"/>
                <w:color w:val="000000"/>
                <w:sz w:val="16"/>
                <w:szCs w:val="16"/>
                <w:lang w:val="ru-RU" w:eastAsia="en-GB"/>
              </w:rPr>
              <w:t>.</w:t>
            </w:r>
          </w:p>
          <w:p w14:paraId="72CD9965"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sz w:val="16"/>
                <w:szCs w:val="16"/>
                <w:lang w:val="ru-RU" w:eastAsia="it-IT"/>
              </w:rPr>
              <w:t xml:space="preserve">Директор БРЭ 23 августа 2019 года направила всем сотрудникам БРЭ категории специалистов и выше внутренний меморандум "Укрепление внутреннего контроля". Этот меморандум, в том числе, охватывает такие темы, как банковские счета, мелкие суммы расходов и представительские расходы. Кроме того, FRMD пересмотрел </w:t>
            </w:r>
            <w:r w:rsidRPr="002F16BB">
              <w:rPr>
                <w:i/>
                <w:iCs/>
                <w:color w:val="000000"/>
                <w:sz w:val="16"/>
                <w:szCs w:val="16"/>
                <w:lang w:val="ru-RU"/>
              </w:rPr>
              <w:t>Руководство по управлению денежными средствами и финансовым вопросам для региональных/зональных отделен</w:t>
            </w:r>
            <w:r w:rsidRPr="002F16BB">
              <w:rPr>
                <w:rFonts w:cs="Calibri"/>
                <w:i/>
                <w:iCs/>
                <w:sz w:val="16"/>
                <w:szCs w:val="16"/>
                <w:lang w:val="ru-RU" w:eastAsia="it-IT"/>
              </w:rPr>
              <w:t>ий.</w:t>
            </w:r>
            <w:r w:rsidRPr="002F16BB">
              <w:rPr>
                <w:rFonts w:cs="Calibri"/>
                <w:i/>
                <w:iCs/>
                <w:color w:val="000000"/>
                <w:sz w:val="16"/>
                <w:szCs w:val="16"/>
                <w:lang w:val="ru-RU" w:eastAsia="en-GB"/>
              </w:rPr>
              <w:br/>
            </w:r>
            <w:r w:rsidRPr="002F16BB">
              <w:rPr>
                <w:rFonts w:cs="Calibri"/>
                <w:i/>
                <w:iCs/>
                <w:color w:val="000000"/>
                <w:sz w:val="16"/>
                <w:szCs w:val="16"/>
                <w:lang w:val="ru-RU" w:eastAsia="en-GB"/>
              </w:rPr>
              <w:lastRenderedPageBreak/>
              <w:t>Почтовое сообщение от Р. Барра, 18/10/2019: копия записки, упоминаемой ниже</w:t>
            </w:r>
            <w:r>
              <w:rPr>
                <w:rFonts w:cs="Calibri"/>
                <w:i/>
                <w:iCs/>
                <w:color w:val="000000"/>
                <w:sz w:val="16"/>
                <w:szCs w:val="16"/>
                <w:lang w:val="ru-RU" w:eastAsia="en-GB"/>
              </w:rPr>
              <w:t>.</w:t>
            </w:r>
          </w:p>
        </w:tc>
        <w:tc>
          <w:tcPr>
            <w:tcW w:w="2410" w:type="dxa"/>
            <w:tcBorders>
              <w:top w:val="single" w:sz="8" w:space="0" w:color="auto"/>
              <w:left w:val="nil"/>
              <w:bottom w:val="single" w:sz="4" w:space="0" w:color="auto"/>
              <w:right w:val="single" w:sz="4" w:space="0" w:color="auto"/>
            </w:tcBorders>
            <w:shd w:val="clear" w:color="auto" w:fill="auto"/>
            <w:hideMark/>
          </w:tcPr>
          <w:p w14:paraId="54829BA5"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lastRenderedPageBreak/>
              <w:t>Отчет C18/125, Специальный отчет по региональному присутствию, рекомендация 13</w:t>
            </w:r>
            <w:r w:rsidRPr="002F16BB">
              <w:rPr>
                <w:rFonts w:cs="Calibri"/>
                <w:color w:val="000000"/>
                <w:sz w:val="16"/>
                <w:szCs w:val="16"/>
                <w:lang w:val="ru-RU" w:eastAsia="en-GB"/>
              </w:rPr>
              <w:t xml:space="preserve"> </w:t>
            </w:r>
          </w:p>
          <w:p w14:paraId="3199EEC5"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 xml:space="preserve">В отношении банковских операций мы рекомендуем ввести строгую процедуру для всех региональных отделений, в соответствии с которой директор регионального отделения должен обеспечить наличие третьей подписи при совершении банковских операций даже в тех случаях, когда соответствующая операция осуществляется на уровне зонального отделения. Таким образом, на директора регионального отделения может быть возложена ответственность за совершение всех банковских операций. По нашему мнению, необходим также пересмотр процедуры работы с ПРООН, чтобы избежать использования </w:t>
            </w:r>
            <w:r w:rsidRPr="002F16BB">
              <w:rPr>
                <w:rFonts w:cs="Calibri"/>
                <w:color w:val="000000"/>
                <w:sz w:val="16"/>
                <w:szCs w:val="16"/>
                <w:lang w:val="ru-RU" w:eastAsia="en-GB"/>
              </w:rPr>
              <w:lastRenderedPageBreak/>
              <w:t xml:space="preserve">личных счетов сотрудников при совершении каких-либо операций МСЭ. </w:t>
            </w:r>
          </w:p>
        </w:tc>
        <w:tc>
          <w:tcPr>
            <w:tcW w:w="2409" w:type="dxa"/>
            <w:tcBorders>
              <w:top w:val="single" w:sz="8" w:space="0" w:color="auto"/>
              <w:left w:val="nil"/>
              <w:bottom w:val="single" w:sz="4" w:space="0" w:color="auto"/>
              <w:right w:val="single" w:sz="8" w:space="0" w:color="auto"/>
            </w:tcBorders>
            <w:shd w:val="clear" w:color="auto" w:fill="auto"/>
            <w:hideMark/>
          </w:tcPr>
          <w:p w14:paraId="7969CFA2"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lastRenderedPageBreak/>
              <w:t>МСЭ принял рекомендацию 13 к сведению. В то же время МСЭ хотел бы указать на сложности, связанные с выполнением этой рекомендации ввиду ограниченности численности персонала и доступности директоров региональных отделений. Требование наличия третьей подписи для всех банковских операций, несомненно, замедлит процесс и окажет отрицательное воздействие на эффективность отделений на местах.</w:t>
            </w:r>
          </w:p>
          <w:p w14:paraId="6B4F7269"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61E50A06"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Были сообщены коллегам в региональных и зональных отделениях пересмотренные руководящие указания по </w:t>
            </w:r>
            <w:r w:rsidRPr="002F16BB">
              <w:rPr>
                <w:rFonts w:cs="Calibri"/>
                <w:i/>
                <w:iCs/>
                <w:color w:val="000000"/>
                <w:sz w:val="16"/>
                <w:szCs w:val="16"/>
                <w:lang w:val="ru-RU" w:eastAsia="en-GB"/>
              </w:rPr>
              <w:lastRenderedPageBreak/>
              <w:t>мелким суммам наличных денег. Были проведены информационные собрания с участим Департамента финансов и всех отделений на местах для объяснения процессов.</w:t>
            </w:r>
          </w:p>
        </w:tc>
        <w:tc>
          <w:tcPr>
            <w:tcW w:w="1418" w:type="dxa"/>
            <w:tcBorders>
              <w:top w:val="nil"/>
              <w:left w:val="nil"/>
              <w:bottom w:val="single" w:sz="4" w:space="0" w:color="auto"/>
              <w:right w:val="single" w:sz="4" w:space="0" w:color="auto"/>
            </w:tcBorders>
            <w:shd w:val="clear" w:color="auto" w:fill="auto"/>
            <w:hideMark/>
          </w:tcPr>
          <w:p w14:paraId="2ABE66F7"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lastRenderedPageBreak/>
              <w:t>В процессе выполнения.</w:t>
            </w:r>
          </w:p>
          <w:p w14:paraId="6580E2F3"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FE280E" w14:paraId="7937D887" w14:textId="77777777" w:rsidTr="00016740">
        <w:tc>
          <w:tcPr>
            <w:tcW w:w="1009" w:type="dxa"/>
            <w:vMerge/>
            <w:tcBorders>
              <w:top w:val="nil"/>
              <w:left w:val="single" w:sz="4" w:space="0" w:color="auto"/>
              <w:bottom w:val="single" w:sz="4" w:space="0" w:color="000000"/>
              <w:right w:val="single" w:sz="4" w:space="0" w:color="auto"/>
            </w:tcBorders>
            <w:hideMark/>
          </w:tcPr>
          <w:p w14:paraId="4844BB15"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0FC9DE23"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4E5B9F75"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hideMark/>
          </w:tcPr>
          <w:p w14:paraId="2C0134EE"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07/19-09/ML</w:t>
            </w:r>
            <w:r w:rsidRPr="002F16BB">
              <w:rPr>
                <w:rFonts w:cs="Calibri"/>
                <w:color w:val="000000"/>
                <w:sz w:val="16"/>
                <w:szCs w:val="16"/>
                <w:lang w:val="ru-RU" w:eastAsia="en-GB"/>
              </w:rPr>
              <w:t xml:space="preserve">: Директору БРЭ рекомендуется укрепить надзор на уровнях проектов, точнее определяя роли, обязанности и подотчетность персонала в цикле управления проектом до его реализации, в ходе реализации и по ее завершении. </w:t>
            </w:r>
          </w:p>
        </w:tc>
        <w:tc>
          <w:tcPr>
            <w:tcW w:w="2253" w:type="dxa"/>
            <w:tcBorders>
              <w:top w:val="nil"/>
              <w:left w:val="nil"/>
              <w:bottom w:val="single" w:sz="4" w:space="0" w:color="auto"/>
              <w:right w:val="single" w:sz="8" w:space="0" w:color="auto"/>
            </w:tcBorders>
            <w:shd w:val="clear" w:color="auto" w:fill="auto"/>
            <w:hideMark/>
          </w:tcPr>
          <w:p w14:paraId="455857BE" w14:textId="77777777" w:rsidR="00B86204" w:rsidRDefault="00B86204" w:rsidP="00016740">
            <w:pPr>
              <w:spacing w:before="40" w:after="40"/>
              <w:rPr>
                <w:rFonts w:cs="Calibri"/>
                <w:i/>
                <w:iCs/>
                <w:color w:val="000000"/>
                <w:sz w:val="16"/>
                <w:szCs w:val="16"/>
                <w:lang w:val="ru-RU" w:eastAsia="en-GB"/>
              </w:rPr>
            </w:pPr>
            <w:proofErr w:type="spellStart"/>
            <w:r w:rsidRPr="002F16BB">
              <w:rPr>
                <w:rFonts w:cs="Calibri"/>
                <w:i/>
                <w:iCs/>
                <w:color w:val="000000"/>
                <w:sz w:val="16"/>
                <w:szCs w:val="16"/>
                <w:lang w:val="ru-RU" w:eastAsia="en-GB"/>
              </w:rPr>
              <w:t>Осн</w:t>
            </w:r>
            <w:proofErr w:type="spellEnd"/>
            <w:r w:rsidRPr="002F16BB">
              <w:rPr>
                <w:rFonts w:cs="Calibri"/>
                <w:i/>
                <w:iCs/>
                <w:color w:val="000000"/>
                <w:sz w:val="16"/>
                <w:szCs w:val="16"/>
                <w:lang w:val="ru-RU" w:eastAsia="en-GB"/>
              </w:rPr>
              <w:t>. Документ</w:t>
            </w:r>
            <w:r>
              <w:rPr>
                <w:rFonts w:cs="Calibri"/>
                <w:i/>
                <w:iCs/>
                <w:color w:val="000000"/>
                <w:sz w:val="16"/>
                <w:szCs w:val="16"/>
                <w:lang w:val="ru-RU" w:eastAsia="en-GB"/>
              </w:rPr>
              <w:t> </w:t>
            </w:r>
            <w:r w:rsidRPr="002F16BB">
              <w:rPr>
                <w:rFonts w:cs="Calibri"/>
                <w:i/>
                <w:iCs/>
                <w:color w:val="000000"/>
                <w:sz w:val="16"/>
                <w:szCs w:val="16"/>
                <w:lang w:val="ru-RU" w:eastAsia="en-GB"/>
              </w:rPr>
              <w:t>CWG</w:t>
            </w:r>
            <w:r>
              <w:rPr>
                <w:rFonts w:cs="Calibri"/>
                <w:i/>
                <w:iCs/>
                <w:color w:val="000000"/>
                <w:sz w:val="16"/>
                <w:szCs w:val="16"/>
                <w:lang w:val="ru-RU" w:eastAsia="en-GB"/>
              </w:rPr>
              <w:noBreakHyphen/>
            </w:r>
            <w:r w:rsidRPr="002F16BB">
              <w:rPr>
                <w:rFonts w:cs="Calibri"/>
                <w:i/>
                <w:iCs/>
                <w:color w:val="000000"/>
                <w:sz w:val="16"/>
                <w:szCs w:val="16"/>
                <w:lang w:val="ru-RU" w:eastAsia="en-GB"/>
              </w:rPr>
              <w:t>FHR</w:t>
            </w:r>
            <w:r>
              <w:rPr>
                <w:rFonts w:cs="Calibri"/>
                <w:i/>
                <w:iCs/>
                <w:color w:val="000000"/>
                <w:sz w:val="16"/>
                <w:szCs w:val="16"/>
                <w:lang w:val="ru-RU" w:eastAsia="en-GB"/>
              </w:rPr>
              <w:t> </w:t>
            </w:r>
            <w:r w:rsidRPr="002F16BB">
              <w:rPr>
                <w:rFonts w:cs="Calibri"/>
                <w:i/>
                <w:iCs/>
                <w:color w:val="000000"/>
                <w:sz w:val="16"/>
                <w:szCs w:val="16"/>
                <w:lang w:val="ru-RU" w:eastAsia="en-GB"/>
              </w:rPr>
              <w:t>10/15 (сент. 2019 г.)</w:t>
            </w:r>
            <w:r>
              <w:rPr>
                <w:rFonts w:cs="Calibri"/>
                <w:i/>
                <w:iCs/>
                <w:color w:val="000000"/>
                <w:sz w:val="16"/>
                <w:szCs w:val="16"/>
                <w:lang w:val="ru-RU" w:eastAsia="en-GB"/>
              </w:rPr>
              <w:t>,</w:t>
            </w:r>
            <w:r w:rsidRPr="002F16BB">
              <w:rPr>
                <w:rFonts w:cs="Calibri"/>
                <w:i/>
                <w:iCs/>
                <w:color w:val="000000"/>
                <w:sz w:val="16"/>
                <w:szCs w:val="16"/>
                <w:lang w:val="ru-RU" w:eastAsia="en-GB"/>
              </w:rPr>
              <w:t xml:space="preserve"> пункт 9 </w:t>
            </w:r>
          </w:p>
          <w:p w14:paraId="692AE039" w14:textId="77777777" w:rsidR="00B86204" w:rsidRDefault="00B86204" w:rsidP="00016740">
            <w:pPr>
              <w:spacing w:before="40" w:after="40"/>
              <w:rPr>
                <w:rFonts w:cs="Calibri"/>
                <w:color w:val="000000"/>
                <w:sz w:val="16"/>
                <w:szCs w:val="16"/>
                <w:lang w:val="ru-RU" w:eastAsia="en-GB"/>
              </w:rPr>
            </w:pPr>
            <w:r>
              <w:rPr>
                <w:rFonts w:cs="Calibri"/>
                <w:b/>
                <w:bCs/>
                <w:i/>
                <w:iCs/>
                <w:color w:val="000000"/>
                <w:sz w:val="16"/>
                <w:szCs w:val="16"/>
                <w:lang w:val="ru-RU" w:eastAsia="en-GB"/>
              </w:rPr>
              <w:t>В п</w:t>
            </w:r>
            <w:r w:rsidRPr="002F16BB">
              <w:rPr>
                <w:rFonts w:cs="Calibri"/>
                <w:b/>
                <w:bCs/>
                <w:i/>
                <w:iCs/>
                <w:color w:val="000000"/>
                <w:sz w:val="16"/>
                <w:szCs w:val="16"/>
                <w:lang w:val="ru-RU" w:eastAsia="en-GB"/>
              </w:rPr>
              <w:t>роцессе выполнения</w:t>
            </w:r>
            <w:r>
              <w:rPr>
                <w:rFonts w:cs="Calibri"/>
                <w:color w:val="000000"/>
                <w:sz w:val="16"/>
                <w:szCs w:val="16"/>
                <w:lang w:val="ru-RU" w:eastAsia="en-GB"/>
              </w:rPr>
              <w:t>.</w:t>
            </w:r>
          </w:p>
          <w:p w14:paraId="2CE8E07F" w14:textId="77777777" w:rsidR="00B86204" w:rsidRPr="002F16BB" w:rsidRDefault="00B86204" w:rsidP="00016740">
            <w:pPr>
              <w:spacing w:before="40" w:after="40"/>
              <w:rPr>
                <w:rFonts w:cs="Calibri"/>
                <w:i/>
                <w:iCs/>
                <w:color w:val="000000"/>
                <w:sz w:val="16"/>
                <w:szCs w:val="16"/>
                <w:lang w:val="ru-RU" w:eastAsia="en-GB"/>
              </w:rPr>
            </w:pPr>
            <w:r w:rsidRPr="002F16BB">
              <w:rPr>
                <w:rFonts w:cs="Calibri"/>
                <w:i/>
                <w:iCs/>
                <w:color w:val="000000"/>
                <w:sz w:val="16"/>
                <w:szCs w:val="16"/>
                <w:lang w:val="ru-RU" w:eastAsia="en-GB"/>
              </w:rPr>
              <w:t>Завершены доработка процесса поставок для выбора компании, которая занималась бы профессиональной подготовкой и сертификацией по управлению проектами, а также анализ и обновление нового руководства по управлению проектами.</w:t>
            </w:r>
          </w:p>
          <w:p w14:paraId="7CF9304A"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w:t>
            </w:r>
            <w:r w:rsidRPr="002F16BB">
              <w:rPr>
                <w:rFonts w:cs="Calibri"/>
                <w:i/>
                <w:iCs/>
                <w:color w:val="000000"/>
                <w:sz w:val="16"/>
                <w:szCs w:val="16"/>
                <w:lang w:val="ru-RU" w:eastAsia="en-GB"/>
              </w:rPr>
              <w:t>:</w:t>
            </w:r>
          </w:p>
          <w:p w14:paraId="7EBE8402" w14:textId="77777777" w:rsidR="00B86204" w:rsidRPr="002F16BB" w:rsidRDefault="00B86204" w:rsidP="00016740">
            <w:pPr>
              <w:spacing w:before="40" w:after="40"/>
              <w:rPr>
                <w:rFonts w:cs="Calibri"/>
                <w:i/>
                <w:iCs/>
                <w:color w:val="000000"/>
                <w:sz w:val="16"/>
                <w:szCs w:val="16"/>
                <w:lang w:val="ru-RU" w:eastAsia="en-GB"/>
              </w:rPr>
            </w:pPr>
            <w:r w:rsidRPr="002F16BB">
              <w:rPr>
                <w:rFonts w:cs="Calibri"/>
                <w:i/>
                <w:iCs/>
                <w:color w:val="000000"/>
                <w:sz w:val="16"/>
                <w:szCs w:val="16"/>
                <w:lang w:val="ru-RU" w:eastAsia="en-GB"/>
              </w:rPr>
              <w:t>Новое Руководство МСЭ по управлению проектами было утверждено и введено в действие в июле 2020 года. В настоящее время Отдел поддержки проектов выполняет план принятия для поддержки процесса внедрения новых принципов, установленных в Руководства. В Руководстве рассматриваются функции, обязанности и подотчетность всех участников проектов.</w:t>
            </w:r>
          </w:p>
        </w:tc>
        <w:tc>
          <w:tcPr>
            <w:tcW w:w="2410" w:type="dxa"/>
            <w:tcBorders>
              <w:top w:val="nil"/>
              <w:left w:val="nil"/>
              <w:bottom w:val="single" w:sz="4" w:space="0" w:color="auto"/>
              <w:right w:val="single" w:sz="4" w:space="0" w:color="auto"/>
            </w:tcBorders>
            <w:shd w:val="clear" w:color="auto" w:fill="auto"/>
            <w:hideMark/>
          </w:tcPr>
          <w:p w14:paraId="6DDB4E1D"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Отчет C18/125, Специальный отчет по региональному присутствию, рекомендация 11</w:t>
            </w:r>
            <w:r w:rsidRPr="002F16BB">
              <w:rPr>
                <w:rFonts w:cs="Calibri"/>
                <w:color w:val="000000"/>
                <w:sz w:val="16"/>
                <w:szCs w:val="16"/>
                <w:lang w:val="ru-RU" w:eastAsia="en-GB"/>
              </w:rPr>
              <w:t xml:space="preserve"> </w:t>
            </w:r>
          </w:p>
          <w:p w14:paraId="1150A573"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Для целей подотчетности мы рекомендуем подготовить документ с кратким описанием всех делегирований полномочий, как внутренних (кто и какие документы должен подписывать), так и внешних (право подписи, например, для осуществления движения средств по счетам в банке и совершения банковских операций по интернету с соответствующими сферами ответственности).</w:t>
            </w:r>
          </w:p>
        </w:tc>
        <w:tc>
          <w:tcPr>
            <w:tcW w:w="2409" w:type="dxa"/>
            <w:tcBorders>
              <w:top w:val="nil"/>
              <w:left w:val="nil"/>
              <w:bottom w:val="single" w:sz="4" w:space="0" w:color="auto"/>
              <w:right w:val="single" w:sz="8" w:space="0" w:color="auto"/>
            </w:tcBorders>
            <w:shd w:val="clear" w:color="auto" w:fill="auto"/>
            <w:hideMark/>
          </w:tcPr>
          <w:p w14:paraId="5DE7EA71" w14:textId="77777777" w:rsidR="00B86204" w:rsidRPr="002F16BB" w:rsidRDefault="00B86204" w:rsidP="00016740">
            <w:pPr>
              <w:spacing w:before="40" w:after="40"/>
              <w:rPr>
                <w:rFonts w:cs="Calibri"/>
                <w:iCs/>
                <w:sz w:val="16"/>
                <w:szCs w:val="16"/>
                <w:lang w:val="ru-RU" w:eastAsia="it-IT"/>
              </w:rPr>
            </w:pPr>
            <w:r w:rsidRPr="002F16BB">
              <w:rPr>
                <w:rFonts w:cs="Calibri"/>
                <w:color w:val="000000"/>
                <w:sz w:val="16"/>
                <w:szCs w:val="16"/>
                <w:lang w:val="ru-RU" w:eastAsia="en-GB"/>
              </w:rPr>
              <w:t xml:space="preserve">МСЭ принял рекомендацию 11 к сведению. </w:t>
            </w:r>
            <w:r w:rsidRPr="002F16BB">
              <w:rPr>
                <w:color w:val="000000"/>
                <w:sz w:val="16"/>
                <w:szCs w:val="14"/>
                <w:lang w:val="ru-RU"/>
              </w:rPr>
              <w:t>Что касается осуществления движения средств по счетам в банке, то такой документ уже существует и обновляется всякий раз, когда происходит перемещение персонала</w:t>
            </w:r>
            <w:r w:rsidRPr="002F16BB">
              <w:rPr>
                <w:rFonts w:cs="Calibri"/>
                <w:color w:val="000000"/>
                <w:sz w:val="16"/>
                <w:szCs w:val="16"/>
                <w:lang w:val="ru-RU" w:eastAsia="en-GB"/>
              </w:rPr>
              <w:t>. Также осуществляется координация с банками для обеспечения выполнения ими указаний штаб</w:t>
            </w:r>
            <w:r>
              <w:rPr>
                <w:rFonts w:cs="Calibri"/>
                <w:color w:val="000000"/>
                <w:sz w:val="16"/>
                <w:szCs w:val="16"/>
                <w:lang w:val="ru-RU" w:eastAsia="en-GB"/>
              </w:rPr>
              <w:noBreakHyphen/>
            </w:r>
            <w:r w:rsidRPr="002F16BB">
              <w:rPr>
                <w:rFonts w:cs="Calibri"/>
                <w:color w:val="000000"/>
                <w:sz w:val="16"/>
                <w:szCs w:val="16"/>
                <w:lang w:val="ru-RU" w:eastAsia="en-GB"/>
              </w:rPr>
              <w:t>квартиры. Будет осуществлена внутренняя координация для разработки краткого документа по делегированию полномочий</w:t>
            </w:r>
            <w:r w:rsidRPr="002F16BB">
              <w:rPr>
                <w:rFonts w:cs="Calibri"/>
                <w:iCs/>
                <w:sz w:val="16"/>
                <w:szCs w:val="16"/>
                <w:lang w:val="ru-RU" w:eastAsia="it-IT"/>
              </w:rPr>
              <w:t>.</w:t>
            </w:r>
          </w:p>
          <w:p w14:paraId="2519DDB3"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6C5ADE09"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color w:val="000000"/>
                <w:sz w:val="16"/>
                <w:szCs w:val="16"/>
                <w:lang w:val="ru-RU" w:eastAsia="en-GB"/>
              </w:rPr>
              <w:t>В июле 2020 года в рамках процесса УОР БРЭ выпустило документ о делегировании полномочий, в котором содержатся пороговые значения для утверждения, применимые к директорам региональных отделений, чем устанавливается предел в 15 000 долл. США на уровне директоров региональных отделений с четкими положениями, касающимися подотчетности.</w:t>
            </w:r>
          </w:p>
        </w:tc>
        <w:tc>
          <w:tcPr>
            <w:tcW w:w="1418" w:type="dxa"/>
            <w:tcBorders>
              <w:top w:val="nil"/>
              <w:left w:val="nil"/>
              <w:bottom w:val="single" w:sz="4" w:space="0" w:color="auto"/>
              <w:right w:val="single" w:sz="4" w:space="0" w:color="auto"/>
            </w:tcBorders>
            <w:shd w:val="clear" w:color="auto" w:fill="auto"/>
            <w:hideMark/>
          </w:tcPr>
          <w:p w14:paraId="75050071"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p w14:paraId="5BEEF4F2"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sz w:val="16"/>
                <w:szCs w:val="16"/>
                <w:lang w:val="ru-RU" w:eastAsia="it-IT"/>
              </w:rPr>
              <w:t>Мы будем контролировать осуществление в контексте наших следующих аудиторских проверок.</w:t>
            </w:r>
          </w:p>
        </w:tc>
      </w:tr>
      <w:tr w:rsidR="00B86204" w:rsidRPr="002F16BB" w14:paraId="4EBA9931" w14:textId="77777777" w:rsidTr="00016740">
        <w:tc>
          <w:tcPr>
            <w:tcW w:w="1009" w:type="dxa"/>
            <w:vMerge/>
            <w:tcBorders>
              <w:top w:val="nil"/>
              <w:left w:val="single" w:sz="4" w:space="0" w:color="auto"/>
              <w:bottom w:val="single" w:sz="4" w:space="0" w:color="000000"/>
              <w:right w:val="single" w:sz="4" w:space="0" w:color="auto"/>
            </w:tcBorders>
            <w:hideMark/>
          </w:tcPr>
          <w:p w14:paraId="6E7AB378"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7443E951"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6C5AC9D3"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hideMark/>
          </w:tcPr>
          <w:p w14:paraId="71FD982A"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08/19-09/ML</w:t>
            </w:r>
            <w:r w:rsidRPr="002F16BB">
              <w:rPr>
                <w:rFonts w:cs="Calibri"/>
                <w:color w:val="000000"/>
                <w:sz w:val="16"/>
                <w:szCs w:val="16"/>
                <w:lang w:val="ru-RU" w:eastAsia="en-GB"/>
              </w:rPr>
              <w:t>: Также рекомендуется руководителю HRMD, в сотрудничестве с Директором БРЭ, оперативно выполнить рекомендации, данные в инспекционном отчете Внутреннего аудитора за 2016 год, в том числе вводя конкурсные процедуры отбора консультантов.</w:t>
            </w:r>
          </w:p>
        </w:tc>
        <w:tc>
          <w:tcPr>
            <w:tcW w:w="2253" w:type="dxa"/>
            <w:tcBorders>
              <w:top w:val="nil"/>
              <w:left w:val="nil"/>
              <w:bottom w:val="single" w:sz="4" w:space="0" w:color="auto"/>
              <w:right w:val="single" w:sz="8" w:space="0" w:color="auto"/>
            </w:tcBorders>
            <w:shd w:val="clear" w:color="auto" w:fill="auto"/>
            <w:hideMark/>
          </w:tcPr>
          <w:p w14:paraId="28C36E7B" w14:textId="77777777" w:rsidR="00B86204" w:rsidRDefault="00B86204" w:rsidP="00016740">
            <w:pPr>
              <w:adjustRightInd/>
              <w:spacing w:before="40" w:after="40"/>
              <w:rPr>
                <w:rFonts w:cs="Calibri"/>
                <w:i/>
                <w:iCs/>
                <w:color w:val="000000"/>
                <w:sz w:val="16"/>
                <w:szCs w:val="16"/>
                <w:lang w:val="ru-RU" w:eastAsia="en-GB"/>
              </w:rPr>
            </w:pPr>
            <w:proofErr w:type="spellStart"/>
            <w:r w:rsidRPr="002F16BB">
              <w:rPr>
                <w:rFonts w:cs="Calibri"/>
                <w:i/>
                <w:iCs/>
                <w:color w:val="000000"/>
                <w:sz w:val="16"/>
                <w:szCs w:val="16"/>
                <w:lang w:val="ru-RU" w:eastAsia="en-GB"/>
              </w:rPr>
              <w:t>Осн</w:t>
            </w:r>
            <w:proofErr w:type="spellEnd"/>
            <w:r w:rsidRPr="002F16BB">
              <w:rPr>
                <w:rFonts w:cs="Calibri"/>
                <w:i/>
                <w:iCs/>
                <w:color w:val="000000"/>
                <w:sz w:val="16"/>
                <w:szCs w:val="16"/>
                <w:lang w:val="ru-RU" w:eastAsia="en-GB"/>
              </w:rPr>
              <w:t>. Документ</w:t>
            </w:r>
            <w:r>
              <w:rPr>
                <w:rFonts w:cs="Calibri"/>
                <w:i/>
                <w:iCs/>
                <w:color w:val="000000"/>
                <w:sz w:val="16"/>
                <w:szCs w:val="16"/>
                <w:lang w:val="ru-RU" w:eastAsia="en-GB"/>
              </w:rPr>
              <w:t> </w:t>
            </w:r>
            <w:r w:rsidRPr="002F16BB">
              <w:rPr>
                <w:rFonts w:cs="Calibri"/>
                <w:i/>
                <w:iCs/>
                <w:color w:val="000000"/>
                <w:sz w:val="16"/>
                <w:szCs w:val="16"/>
                <w:lang w:val="ru-RU" w:eastAsia="en-GB"/>
              </w:rPr>
              <w:t>CWG</w:t>
            </w:r>
            <w:r>
              <w:rPr>
                <w:rFonts w:cs="Calibri"/>
                <w:i/>
                <w:iCs/>
                <w:color w:val="000000"/>
                <w:sz w:val="16"/>
                <w:szCs w:val="16"/>
                <w:lang w:val="ru-RU" w:eastAsia="en-GB"/>
              </w:rPr>
              <w:noBreakHyphen/>
            </w:r>
            <w:r w:rsidRPr="002F16BB">
              <w:rPr>
                <w:rFonts w:cs="Calibri"/>
                <w:i/>
                <w:iCs/>
                <w:color w:val="000000"/>
                <w:sz w:val="16"/>
                <w:szCs w:val="16"/>
                <w:lang w:val="ru-RU" w:eastAsia="en-GB"/>
              </w:rPr>
              <w:t>FHR</w:t>
            </w:r>
            <w:r>
              <w:rPr>
                <w:rFonts w:cs="Calibri"/>
                <w:i/>
                <w:iCs/>
                <w:color w:val="000000"/>
                <w:sz w:val="16"/>
                <w:szCs w:val="16"/>
                <w:lang w:val="ru-RU" w:eastAsia="en-GB"/>
              </w:rPr>
              <w:t> </w:t>
            </w:r>
            <w:r w:rsidRPr="002F16BB">
              <w:rPr>
                <w:rFonts w:cs="Calibri"/>
                <w:i/>
                <w:iCs/>
                <w:color w:val="000000"/>
                <w:sz w:val="16"/>
                <w:szCs w:val="16"/>
                <w:lang w:val="ru-RU" w:eastAsia="en-GB"/>
              </w:rPr>
              <w:t>10/15 (сент. 2019 г.)</w:t>
            </w:r>
            <w:r>
              <w:rPr>
                <w:rFonts w:cs="Calibri"/>
                <w:i/>
                <w:iCs/>
                <w:color w:val="000000"/>
                <w:sz w:val="16"/>
                <w:szCs w:val="16"/>
                <w:lang w:val="ru-RU" w:eastAsia="en-GB"/>
              </w:rPr>
              <w:t>,</w:t>
            </w:r>
            <w:r w:rsidRPr="002F16BB">
              <w:rPr>
                <w:rFonts w:cs="Calibri"/>
                <w:i/>
                <w:iCs/>
                <w:color w:val="000000"/>
                <w:sz w:val="16"/>
                <w:szCs w:val="16"/>
                <w:lang w:val="ru-RU" w:eastAsia="en-GB"/>
              </w:rPr>
              <w:t xml:space="preserve"> пункт 16</w:t>
            </w:r>
          </w:p>
          <w:p w14:paraId="6C723BD3" w14:textId="77777777" w:rsidR="00B86204" w:rsidRDefault="00B86204" w:rsidP="00016740">
            <w:pPr>
              <w:adjustRightInd/>
              <w:spacing w:before="40" w:after="40"/>
              <w:rPr>
                <w:rFonts w:cs="Calibri"/>
                <w:color w:val="000000"/>
                <w:sz w:val="16"/>
                <w:szCs w:val="16"/>
                <w:lang w:val="ru-RU" w:eastAsia="en-GB"/>
              </w:rPr>
            </w:pPr>
            <w:r w:rsidRPr="002F16BB">
              <w:rPr>
                <w:rFonts w:cs="Calibri"/>
                <w:b/>
                <w:bCs/>
                <w:i/>
                <w:iCs/>
                <w:color w:val="000000"/>
                <w:sz w:val="16"/>
                <w:szCs w:val="16"/>
                <w:lang w:val="ru-RU" w:eastAsia="en-GB"/>
              </w:rPr>
              <w:t>В процессе выполнения</w:t>
            </w:r>
            <w:r>
              <w:rPr>
                <w:rFonts w:cs="Calibri"/>
                <w:color w:val="000000"/>
                <w:sz w:val="16"/>
                <w:szCs w:val="16"/>
                <w:lang w:val="ru-RU" w:eastAsia="en-GB"/>
              </w:rPr>
              <w:t>.</w:t>
            </w:r>
          </w:p>
          <w:p w14:paraId="756DF101"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Члены Координационного комитета МСЭ согласовали принцип.</w:t>
            </w:r>
          </w:p>
          <w:p w14:paraId="15C3AE2C"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0EFD9CBD"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В процессе осуществления </w:t>
            </w:r>
          </w:p>
          <w:p w14:paraId="3272AE77"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i/>
                <w:iCs/>
                <w:color w:val="000000"/>
                <w:sz w:val="16"/>
                <w:szCs w:val="16"/>
                <w:lang w:val="ru-RU" w:eastAsia="en-GB"/>
              </w:rPr>
              <w:t>Производится приобретение новой системы электронного найма на работу.</w:t>
            </w:r>
          </w:p>
        </w:tc>
        <w:tc>
          <w:tcPr>
            <w:tcW w:w="2410" w:type="dxa"/>
            <w:tcBorders>
              <w:top w:val="nil"/>
              <w:left w:val="nil"/>
              <w:bottom w:val="single" w:sz="4" w:space="0" w:color="auto"/>
              <w:right w:val="single" w:sz="4" w:space="0" w:color="auto"/>
            </w:tcBorders>
            <w:shd w:val="clear" w:color="auto" w:fill="auto"/>
            <w:hideMark/>
          </w:tcPr>
          <w:p w14:paraId="749BE0B9" w14:textId="77777777" w:rsidR="00B86204" w:rsidRPr="002F16BB" w:rsidRDefault="00B86204" w:rsidP="00016740">
            <w:pPr>
              <w:adjustRightInd/>
              <w:spacing w:before="40" w:after="40"/>
              <w:rPr>
                <w:rFonts w:cs="Calibri"/>
                <w:color w:val="000000"/>
                <w:sz w:val="16"/>
                <w:szCs w:val="16"/>
                <w:lang w:val="ru-RU" w:eastAsia="en-GB"/>
              </w:rPr>
            </w:pPr>
          </w:p>
        </w:tc>
        <w:tc>
          <w:tcPr>
            <w:tcW w:w="2409" w:type="dxa"/>
            <w:tcBorders>
              <w:top w:val="nil"/>
              <w:left w:val="nil"/>
              <w:bottom w:val="single" w:sz="4" w:space="0" w:color="auto"/>
              <w:right w:val="single" w:sz="8" w:space="0" w:color="auto"/>
            </w:tcBorders>
            <w:shd w:val="clear" w:color="auto" w:fill="auto"/>
            <w:hideMark/>
          </w:tcPr>
          <w:p w14:paraId="1B08FCB7" w14:textId="77777777" w:rsidR="00B86204" w:rsidRPr="002F16BB" w:rsidRDefault="00B86204" w:rsidP="00016740">
            <w:pPr>
              <w:adjustRightInd/>
              <w:spacing w:before="40" w:after="40"/>
              <w:rPr>
                <w:rFonts w:cs="Calibri"/>
                <w:color w:val="000000"/>
                <w:sz w:val="16"/>
                <w:szCs w:val="16"/>
                <w:lang w:val="ru-RU" w:eastAsia="en-GB"/>
              </w:rPr>
            </w:pPr>
          </w:p>
        </w:tc>
        <w:tc>
          <w:tcPr>
            <w:tcW w:w="1418" w:type="dxa"/>
            <w:tcBorders>
              <w:top w:val="nil"/>
              <w:left w:val="nil"/>
              <w:bottom w:val="single" w:sz="4" w:space="0" w:color="auto"/>
              <w:right w:val="single" w:sz="4" w:space="0" w:color="auto"/>
            </w:tcBorders>
            <w:shd w:val="clear" w:color="auto" w:fill="auto"/>
            <w:hideMark/>
          </w:tcPr>
          <w:p w14:paraId="42D3B459"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tc>
      </w:tr>
      <w:tr w:rsidR="00B86204" w:rsidRPr="002F16BB" w14:paraId="19747485" w14:textId="77777777" w:rsidTr="00016740">
        <w:tc>
          <w:tcPr>
            <w:tcW w:w="1009" w:type="dxa"/>
            <w:vMerge/>
            <w:tcBorders>
              <w:top w:val="nil"/>
              <w:left w:val="single" w:sz="4" w:space="0" w:color="auto"/>
              <w:bottom w:val="single" w:sz="4" w:space="0" w:color="000000"/>
              <w:right w:val="single" w:sz="4" w:space="0" w:color="auto"/>
            </w:tcBorders>
            <w:hideMark/>
          </w:tcPr>
          <w:p w14:paraId="6793C4FD"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2AF91619"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30D17E0C"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hideMark/>
          </w:tcPr>
          <w:p w14:paraId="6FDD5857"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09/19-09/ML</w:t>
            </w:r>
            <w:proofErr w:type="gramStart"/>
            <w:r w:rsidRPr="002F16BB">
              <w:rPr>
                <w:rFonts w:cs="Calibri"/>
                <w:color w:val="000000"/>
                <w:sz w:val="16"/>
                <w:szCs w:val="16"/>
                <w:lang w:val="ru-RU" w:eastAsia="en-GB"/>
              </w:rPr>
              <w:t>: Рекомендуется</w:t>
            </w:r>
            <w:proofErr w:type="gramEnd"/>
            <w:r w:rsidRPr="002F16BB">
              <w:rPr>
                <w:rFonts w:cs="Calibri"/>
                <w:color w:val="000000"/>
                <w:sz w:val="16"/>
                <w:szCs w:val="16"/>
                <w:lang w:val="ru-RU" w:eastAsia="en-GB"/>
              </w:rPr>
              <w:t xml:space="preserve"> руководителю HRMD, в сотрудничестве с Директором БРЭ, вновь ввести систему/процесс оценки, применимый по окончании каждого мандата консультанта SSA. Здесь следует предусмотреть по меньшей мере двухуровневое утверждение (</w:t>
            </w:r>
            <w:proofErr w:type="spellStart"/>
            <w:proofErr w:type="gramStart"/>
            <w:r w:rsidRPr="002F16BB">
              <w:rPr>
                <w:rFonts w:cs="Calibri"/>
                <w:color w:val="000000"/>
                <w:sz w:val="16"/>
                <w:szCs w:val="16"/>
                <w:lang w:val="ru-RU" w:eastAsia="en-GB"/>
              </w:rPr>
              <w:t>непосред</w:t>
            </w:r>
            <w:r>
              <w:rPr>
                <w:rFonts w:cs="Calibri"/>
                <w:color w:val="000000"/>
                <w:sz w:val="16"/>
                <w:szCs w:val="16"/>
                <w:lang w:val="ru-RU" w:eastAsia="en-GB"/>
              </w:rPr>
              <w:t>-</w:t>
            </w:r>
            <w:r w:rsidRPr="002F16BB">
              <w:rPr>
                <w:rFonts w:cs="Calibri"/>
                <w:color w:val="000000"/>
                <w:sz w:val="16"/>
                <w:szCs w:val="16"/>
                <w:lang w:val="ru-RU" w:eastAsia="en-GB"/>
              </w:rPr>
              <w:t>ственным</w:t>
            </w:r>
            <w:proofErr w:type="spellEnd"/>
            <w:proofErr w:type="gramEnd"/>
            <w:r w:rsidRPr="002F16BB">
              <w:rPr>
                <w:rFonts w:cs="Calibri"/>
                <w:color w:val="000000"/>
                <w:sz w:val="16"/>
                <w:szCs w:val="16"/>
                <w:lang w:val="ru-RU" w:eastAsia="en-GB"/>
              </w:rPr>
              <w:t xml:space="preserve"> руководителем/</w:t>
            </w:r>
            <w:r>
              <w:rPr>
                <w:rFonts w:cs="Calibri"/>
                <w:color w:val="000000"/>
                <w:sz w:val="16"/>
                <w:szCs w:val="16"/>
                <w:lang w:val="ru-RU" w:eastAsia="en-GB"/>
              </w:rPr>
              <w:br/>
            </w:r>
            <w:r w:rsidRPr="002F16BB">
              <w:rPr>
                <w:rFonts w:cs="Calibri"/>
                <w:color w:val="000000"/>
                <w:sz w:val="16"/>
                <w:szCs w:val="16"/>
                <w:lang w:val="ru-RU" w:eastAsia="en-GB"/>
              </w:rPr>
              <w:t>получателем услуг SSA и вышестоящим руководителем этого руководителя), а также документально оформленный "черный список" тех работавших на SSA лиц, чьи показатели были неудовлетворительны.</w:t>
            </w:r>
          </w:p>
        </w:tc>
        <w:tc>
          <w:tcPr>
            <w:tcW w:w="2253" w:type="dxa"/>
            <w:tcBorders>
              <w:top w:val="nil"/>
              <w:left w:val="nil"/>
              <w:bottom w:val="single" w:sz="4" w:space="0" w:color="auto"/>
              <w:right w:val="single" w:sz="8" w:space="0" w:color="auto"/>
            </w:tcBorders>
            <w:shd w:val="clear" w:color="auto" w:fill="auto"/>
            <w:hideMark/>
          </w:tcPr>
          <w:p w14:paraId="1992F479" w14:textId="77777777" w:rsidR="00B86204" w:rsidRDefault="00B86204" w:rsidP="00016740">
            <w:pPr>
              <w:adjustRightInd/>
              <w:spacing w:before="40" w:after="40"/>
              <w:rPr>
                <w:rFonts w:cs="Calibri"/>
                <w:b/>
                <w:bCs/>
                <w:i/>
                <w:iCs/>
                <w:color w:val="000000"/>
                <w:sz w:val="16"/>
                <w:szCs w:val="16"/>
                <w:lang w:val="ru-RU" w:eastAsia="en-GB"/>
              </w:rPr>
            </w:pPr>
            <w:proofErr w:type="spellStart"/>
            <w:r w:rsidRPr="002F16BB">
              <w:rPr>
                <w:rFonts w:cs="Calibri"/>
                <w:i/>
                <w:iCs/>
                <w:color w:val="000000"/>
                <w:sz w:val="16"/>
                <w:szCs w:val="16"/>
                <w:lang w:val="ru-RU" w:eastAsia="en-GB"/>
              </w:rPr>
              <w:t>Осн</w:t>
            </w:r>
            <w:proofErr w:type="spellEnd"/>
            <w:r w:rsidRPr="002F16BB">
              <w:rPr>
                <w:rFonts w:cs="Calibri"/>
                <w:i/>
                <w:iCs/>
                <w:color w:val="000000"/>
                <w:sz w:val="16"/>
                <w:szCs w:val="16"/>
                <w:lang w:val="ru-RU" w:eastAsia="en-GB"/>
              </w:rPr>
              <w:t>. Документ</w:t>
            </w:r>
            <w:r>
              <w:rPr>
                <w:rFonts w:cs="Calibri"/>
                <w:i/>
                <w:iCs/>
                <w:color w:val="000000"/>
                <w:sz w:val="16"/>
                <w:szCs w:val="16"/>
                <w:lang w:val="ru-RU" w:eastAsia="en-GB"/>
              </w:rPr>
              <w:t> </w:t>
            </w:r>
            <w:r w:rsidRPr="002F16BB">
              <w:rPr>
                <w:rFonts w:cs="Calibri"/>
                <w:i/>
                <w:iCs/>
                <w:color w:val="000000"/>
                <w:sz w:val="16"/>
                <w:szCs w:val="16"/>
                <w:lang w:val="ru-RU" w:eastAsia="en-GB"/>
              </w:rPr>
              <w:t>CWG</w:t>
            </w:r>
            <w:r>
              <w:rPr>
                <w:rFonts w:cs="Calibri"/>
                <w:i/>
                <w:iCs/>
                <w:color w:val="000000"/>
                <w:sz w:val="16"/>
                <w:szCs w:val="16"/>
                <w:lang w:val="ru-RU" w:eastAsia="en-GB"/>
              </w:rPr>
              <w:noBreakHyphen/>
            </w:r>
            <w:r w:rsidRPr="002F16BB">
              <w:rPr>
                <w:rFonts w:cs="Calibri"/>
                <w:i/>
                <w:iCs/>
                <w:color w:val="000000"/>
                <w:sz w:val="16"/>
                <w:szCs w:val="16"/>
                <w:lang w:val="ru-RU" w:eastAsia="en-GB"/>
              </w:rPr>
              <w:t>FHR</w:t>
            </w:r>
            <w:r>
              <w:rPr>
                <w:rFonts w:cs="Calibri"/>
                <w:i/>
                <w:iCs/>
                <w:color w:val="000000"/>
                <w:sz w:val="16"/>
                <w:szCs w:val="16"/>
                <w:lang w:val="ru-RU" w:eastAsia="en-GB"/>
              </w:rPr>
              <w:t> </w:t>
            </w:r>
            <w:r w:rsidRPr="002F16BB">
              <w:rPr>
                <w:rFonts w:cs="Calibri"/>
                <w:i/>
                <w:iCs/>
                <w:color w:val="000000"/>
                <w:sz w:val="16"/>
                <w:szCs w:val="16"/>
                <w:lang w:val="ru-RU" w:eastAsia="en-GB"/>
              </w:rPr>
              <w:t>10/15 (сент. 2019 г.)</w:t>
            </w:r>
            <w:r>
              <w:rPr>
                <w:rFonts w:cs="Calibri"/>
                <w:i/>
                <w:iCs/>
                <w:color w:val="000000"/>
                <w:sz w:val="16"/>
                <w:szCs w:val="16"/>
                <w:lang w:val="ru-RU" w:eastAsia="en-GB"/>
              </w:rPr>
              <w:t>,</w:t>
            </w:r>
            <w:r w:rsidRPr="002F16BB">
              <w:rPr>
                <w:rFonts w:cs="Calibri"/>
                <w:i/>
                <w:iCs/>
                <w:color w:val="000000"/>
                <w:sz w:val="16"/>
                <w:szCs w:val="16"/>
                <w:lang w:val="ru-RU" w:eastAsia="en-GB"/>
              </w:rPr>
              <w:t xml:space="preserve"> пункт 17</w:t>
            </w:r>
          </w:p>
          <w:p w14:paraId="35B98AF8" w14:textId="77777777" w:rsidR="00B86204" w:rsidRPr="003E3DDE" w:rsidRDefault="00B86204" w:rsidP="00016740">
            <w:pPr>
              <w:adjustRightInd/>
              <w:spacing w:before="40" w:after="40"/>
              <w:rPr>
                <w:rFonts w:cs="Calibri"/>
                <w:color w:val="000000"/>
                <w:sz w:val="16"/>
                <w:szCs w:val="16"/>
                <w:lang w:val="ru-RU" w:eastAsia="en-GB"/>
              </w:rPr>
            </w:pPr>
            <w:r>
              <w:rPr>
                <w:rFonts w:cs="Calibri"/>
                <w:b/>
                <w:bCs/>
                <w:i/>
                <w:iCs/>
                <w:color w:val="000000"/>
                <w:sz w:val="16"/>
                <w:szCs w:val="16"/>
                <w:lang w:val="ru-RU" w:eastAsia="en-GB"/>
              </w:rPr>
              <w:t xml:space="preserve">В </w:t>
            </w:r>
            <w:r w:rsidRPr="002F16BB">
              <w:rPr>
                <w:rFonts w:cs="Calibri"/>
                <w:b/>
                <w:bCs/>
                <w:i/>
                <w:iCs/>
                <w:color w:val="000000"/>
                <w:sz w:val="16"/>
                <w:szCs w:val="16"/>
                <w:lang w:val="ru-RU" w:eastAsia="en-GB"/>
              </w:rPr>
              <w:t>процессе выполнения</w:t>
            </w:r>
            <w:r>
              <w:rPr>
                <w:rFonts w:cs="Calibri"/>
                <w:color w:val="000000"/>
                <w:sz w:val="16"/>
                <w:szCs w:val="16"/>
                <w:lang w:val="ru-RU" w:eastAsia="en-GB"/>
              </w:rPr>
              <w:t>.</w:t>
            </w:r>
          </w:p>
          <w:p w14:paraId="2A150ABC"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 2020 г</w:t>
            </w:r>
            <w:r w:rsidRPr="002F16BB">
              <w:rPr>
                <w:rFonts w:cs="Calibri"/>
                <w:i/>
                <w:iCs/>
                <w:color w:val="000000"/>
                <w:sz w:val="16"/>
                <w:szCs w:val="16"/>
                <w:lang w:val="ru-RU" w:eastAsia="en-GB"/>
              </w:rPr>
              <w:t>.:</w:t>
            </w:r>
          </w:p>
          <w:p w14:paraId="0449A272"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В процессе выполнения </w:t>
            </w:r>
          </w:p>
          <w:p w14:paraId="17E9A238"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 xml:space="preserve">Результаты работы по SSA теперь закачиваются на портал БРЭ до произведения выплат. </w:t>
            </w:r>
          </w:p>
        </w:tc>
        <w:tc>
          <w:tcPr>
            <w:tcW w:w="2410" w:type="dxa"/>
            <w:tcBorders>
              <w:top w:val="nil"/>
              <w:left w:val="nil"/>
              <w:bottom w:val="single" w:sz="4" w:space="0" w:color="auto"/>
              <w:right w:val="single" w:sz="4" w:space="0" w:color="auto"/>
            </w:tcBorders>
            <w:shd w:val="clear" w:color="auto" w:fill="auto"/>
          </w:tcPr>
          <w:p w14:paraId="7900F7A9" w14:textId="77777777" w:rsidR="00B86204" w:rsidRPr="002F16BB" w:rsidRDefault="00B86204" w:rsidP="00016740">
            <w:pPr>
              <w:adjustRightInd/>
              <w:spacing w:before="40" w:after="40"/>
              <w:rPr>
                <w:rFonts w:cs="Calibri"/>
                <w:color w:val="000000"/>
                <w:sz w:val="16"/>
                <w:szCs w:val="16"/>
                <w:lang w:val="ru-RU" w:eastAsia="en-GB"/>
              </w:rPr>
            </w:pPr>
          </w:p>
        </w:tc>
        <w:tc>
          <w:tcPr>
            <w:tcW w:w="2409" w:type="dxa"/>
            <w:tcBorders>
              <w:top w:val="nil"/>
              <w:left w:val="nil"/>
              <w:bottom w:val="single" w:sz="4" w:space="0" w:color="auto"/>
              <w:right w:val="single" w:sz="8" w:space="0" w:color="auto"/>
            </w:tcBorders>
            <w:shd w:val="clear" w:color="auto" w:fill="auto"/>
          </w:tcPr>
          <w:p w14:paraId="352A0CE0" w14:textId="77777777" w:rsidR="00B86204" w:rsidRPr="002F16BB" w:rsidRDefault="00B86204" w:rsidP="00016740">
            <w:pPr>
              <w:adjustRightInd/>
              <w:spacing w:before="40" w:after="40"/>
              <w:rPr>
                <w:rFonts w:cs="Calibri"/>
                <w:color w:val="000000"/>
                <w:sz w:val="16"/>
                <w:szCs w:val="16"/>
                <w:lang w:val="ru-RU" w:eastAsia="en-GB"/>
              </w:rPr>
            </w:pPr>
          </w:p>
        </w:tc>
        <w:tc>
          <w:tcPr>
            <w:tcW w:w="1418" w:type="dxa"/>
            <w:tcBorders>
              <w:top w:val="nil"/>
              <w:left w:val="nil"/>
              <w:bottom w:val="single" w:sz="4" w:space="0" w:color="auto"/>
              <w:right w:val="single" w:sz="4" w:space="0" w:color="auto"/>
            </w:tcBorders>
            <w:shd w:val="clear" w:color="auto" w:fill="auto"/>
            <w:hideMark/>
          </w:tcPr>
          <w:p w14:paraId="293CB83B"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tc>
      </w:tr>
      <w:tr w:rsidR="00B86204" w:rsidRPr="002F16BB" w14:paraId="4897C97F" w14:textId="77777777" w:rsidTr="00016740">
        <w:tc>
          <w:tcPr>
            <w:tcW w:w="1009" w:type="dxa"/>
            <w:vMerge/>
            <w:tcBorders>
              <w:top w:val="nil"/>
              <w:left w:val="single" w:sz="4" w:space="0" w:color="auto"/>
              <w:bottom w:val="single" w:sz="4" w:space="0" w:color="000000"/>
              <w:right w:val="single" w:sz="4" w:space="0" w:color="auto"/>
            </w:tcBorders>
            <w:hideMark/>
          </w:tcPr>
          <w:p w14:paraId="23A6D7ED"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52B66F1F"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3BD1D1CD"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4" w:space="0" w:color="auto"/>
              <w:right w:val="single" w:sz="4" w:space="0" w:color="auto"/>
            </w:tcBorders>
            <w:shd w:val="clear" w:color="auto" w:fill="auto"/>
            <w:hideMark/>
          </w:tcPr>
          <w:p w14:paraId="7B6A81A2"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10/19-09/ML</w:t>
            </w:r>
            <w:r w:rsidRPr="002F16BB">
              <w:rPr>
                <w:rFonts w:cs="Calibri"/>
                <w:color w:val="000000"/>
                <w:sz w:val="16"/>
                <w:szCs w:val="16"/>
                <w:lang w:val="ru-RU" w:eastAsia="en-GB"/>
              </w:rPr>
              <w:t xml:space="preserve">: Также рекомендуется Директору БРЭ, в сотрудничестве с руководителем HRMD, ввести принцип составления списка предварительно проверенных кадров, составляя и поддерживая изменяющийся </w:t>
            </w:r>
            <w:r w:rsidRPr="002F16BB">
              <w:rPr>
                <w:rFonts w:cs="Calibri"/>
                <w:color w:val="000000"/>
                <w:sz w:val="16"/>
                <w:szCs w:val="16"/>
                <w:lang w:val="ru-RU" w:eastAsia="en-GB"/>
              </w:rPr>
              <w:lastRenderedPageBreak/>
              <w:t>активный и актуальный список действующих кандидатов на SSA с предварительно проверенными краткими биографиями, подтверждающими соответствующий опыт/</w:t>
            </w:r>
            <w:r w:rsidRPr="002F16BB">
              <w:rPr>
                <w:rFonts w:cs="Calibri"/>
                <w:color w:val="000000"/>
                <w:sz w:val="16"/>
                <w:szCs w:val="16"/>
                <w:lang w:val="ru-RU" w:eastAsia="en-GB"/>
              </w:rPr>
              <w:br/>
              <w:t xml:space="preserve">научную квалификацию. </w:t>
            </w:r>
          </w:p>
        </w:tc>
        <w:tc>
          <w:tcPr>
            <w:tcW w:w="2253" w:type="dxa"/>
            <w:tcBorders>
              <w:top w:val="nil"/>
              <w:left w:val="nil"/>
              <w:bottom w:val="single" w:sz="4" w:space="0" w:color="auto"/>
              <w:right w:val="single" w:sz="8" w:space="0" w:color="auto"/>
            </w:tcBorders>
            <w:shd w:val="clear" w:color="auto" w:fill="auto"/>
            <w:hideMark/>
          </w:tcPr>
          <w:p w14:paraId="3FFC0DBA" w14:textId="77777777" w:rsidR="00B86204" w:rsidRDefault="00B86204" w:rsidP="00016740">
            <w:pPr>
              <w:adjustRightInd/>
              <w:spacing w:before="40" w:after="40"/>
              <w:rPr>
                <w:rFonts w:cs="Calibri"/>
                <w:b/>
                <w:bCs/>
                <w:i/>
                <w:iCs/>
                <w:color w:val="000000"/>
                <w:sz w:val="16"/>
                <w:szCs w:val="16"/>
                <w:lang w:val="ru-RU" w:eastAsia="en-GB"/>
              </w:rPr>
            </w:pPr>
            <w:r w:rsidRPr="002F16BB">
              <w:rPr>
                <w:rFonts w:cs="Calibri"/>
                <w:i/>
                <w:iCs/>
                <w:color w:val="000000"/>
                <w:sz w:val="16"/>
                <w:szCs w:val="16"/>
                <w:lang w:val="ru-RU" w:eastAsia="en-GB"/>
              </w:rPr>
              <w:lastRenderedPageBreak/>
              <w:t>См. сообщение от Р. Барра от</w:t>
            </w:r>
            <w:r>
              <w:rPr>
                <w:rFonts w:cs="Calibri"/>
                <w:i/>
                <w:iCs/>
                <w:color w:val="000000"/>
                <w:sz w:val="16"/>
                <w:szCs w:val="16"/>
                <w:lang w:val="ru-RU" w:eastAsia="en-GB"/>
              </w:rPr>
              <w:t> 0</w:t>
            </w:r>
            <w:r w:rsidRPr="002F16BB">
              <w:rPr>
                <w:rFonts w:cs="Calibri"/>
                <w:i/>
                <w:iCs/>
                <w:color w:val="000000"/>
                <w:sz w:val="16"/>
                <w:szCs w:val="16"/>
                <w:lang w:val="ru-RU" w:eastAsia="en-GB"/>
              </w:rPr>
              <w:t>9</w:t>
            </w:r>
            <w:r>
              <w:rPr>
                <w:rFonts w:cs="Calibri"/>
                <w:i/>
                <w:iCs/>
                <w:color w:val="000000"/>
                <w:sz w:val="16"/>
                <w:szCs w:val="16"/>
                <w:lang w:val="ru-RU" w:eastAsia="en-GB"/>
              </w:rPr>
              <w:t>.</w:t>
            </w:r>
            <w:r w:rsidRPr="002F16BB">
              <w:rPr>
                <w:rFonts w:cs="Calibri"/>
                <w:i/>
                <w:iCs/>
                <w:color w:val="000000"/>
                <w:sz w:val="16"/>
                <w:szCs w:val="16"/>
                <w:lang w:val="ru-RU" w:eastAsia="en-GB"/>
              </w:rPr>
              <w:t>10</w:t>
            </w:r>
            <w:r>
              <w:rPr>
                <w:rFonts w:cs="Calibri"/>
                <w:i/>
                <w:iCs/>
                <w:color w:val="000000"/>
                <w:sz w:val="16"/>
                <w:szCs w:val="16"/>
                <w:lang w:val="ru-RU" w:eastAsia="en-GB"/>
              </w:rPr>
              <w:t>.</w:t>
            </w:r>
            <w:r w:rsidRPr="002F16BB">
              <w:rPr>
                <w:rFonts w:cs="Calibri"/>
                <w:i/>
                <w:iCs/>
                <w:color w:val="000000"/>
                <w:sz w:val="16"/>
                <w:szCs w:val="16"/>
                <w:lang w:val="ru-RU" w:eastAsia="en-GB"/>
              </w:rPr>
              <w:t>2019</w:t>
            </w:r>
            <w:r>
              <w:rPr>
                <w:rFonts w:cs="Calibri"/>
                <w:i/>
                <w:iCs/>
                <w:color w:val="000000"/>
                <w:sz w:val="16"/>
                <w:szCs w:val="16"/>
                <w:lang w:val="ru-RU" w:eastAsia="en-GB"/>
              </w:rPr>
              <w:t xml:space="preserve"> г.</w:t>
            </w:r>
            <w:r w:rsidRPr="002F16BB">
              <w:rPr>
                <w:rFonts w:cs="Calibri"/>
                <w:b/>
                <w:bCs/>
                <w:i/>
                <w:iCs/>
                <w:color w:val="000000"/>
                <w:sz w:val="16"/>
                <w:szCs w:val="16"/>
                <w:lang w:val="ru-RU" w:eastAsia="en-GB"/>
              </w:rPr>
              <w:t xml:space="preserve"> </w:t>
            </w:r>
          </w:p>
          <w:p w14:paraId="43A7655F" w14:textId="77777777" w:rsidR="00B86204" w:rsidRPr="008A2C3B" w:rsidRDefault="00B86204" w:rsidP="00016740">
            <w:pPr>
              <w:adjustRightInd/>
              <w:spacing w:before="40" w:after="40"/>
              <w:rPr>
                <w:rFonts w:cs="Calibri"/>
                <w:color w:val="000000"/>
                <w:sz w:val="16"/>
                <w:szCs w:val="16"/>
                <w:lang w:val="ru-RU" w:eastAsia="en-GB"/>
              </w:rPr>
            </w:pPr>
            <w:r w:rsidRPr="002F16BB">
              <w:rPr>
                <w:rFonts w:cs="Calibri"/>
                <w:b/>
                <w:bCs/>
                <w:i/>
                <w:iCs/>
                <w:color w:val="000000"/>
                <w:sz w:val="16"/>
                <w:szCs w:val="16"/>
                <w:lang w:val="ru-RU" w:eastAsia="en-GB"/>
              </w:rPr>
              <w:t>В процессе выполнения</w:t>
            </w:r>
            <w:r>
              <w:rPr>
                <w:rFonts w:cs="Calibri"/>
                <w:color w:val="000000"/>
                <w:sz w:val="16"/>
                <w:szCs w:val="16"/>
                <w:lang w:val="ru-RU" w:eastAsia="en-GB"/>
              </w:rPr>
              <w:t>.</w:t>
            </w:r>
          </w:p>
          <w:p w14:paraId="07E8CE53"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w:t>
            </w:r>
            <w:r w:rsidRPr="002F16BB">
              <w:rPr>
                <w:rFonts w:cs="Calibri"/>
                <w:i/>
                <w:iCs/>
                <w:color w:val="000000"/>
                <w:sz w:val="16"/>
                <w:szCs w:val="16"/>
                <w:lang w:val="ru-RU" w:eastAsia="en-GB"/>
              </w:rPr>
              <w:t>:</w:t>
            </w:r>
          </w:p>
          <w:p w14:paraId="093FED58" w14:textId="77777777" w:rsidR="00B86204" w:rsidRPr="002F16BB" w:rsidRDefault="00B86204" w:rsidP="00016740">
            <w:pPr>
              <w:adjustRightInd/>
              <w:spacing w:before="40" w:after="40"/>
              <w:rPr>
                <w:rFonts w:cs="Calibri"/>
                <w:i/>
                <w:iCs/>
                <w:color w:val="000000"/>
                <w:sz w:val="16"/>
                <w:szCs w:val="16"/>
                <w:lang w:val="ru-RU" w:eastAsia="en-GB"/>
              </w:rPr>
            </w:pPr>
            <w:r w:rsidRPr="008A2C3B">
              <w:rPr>
                <w:rFonts w:cs="Calibri"/>
                <w:i/>
                <w:iCs/>
                <w:color w:val="000000"/>
                <w:sz w:val="16"/>
                <w:szCs w:val="16"/>
                <w:lang w:val="ru-RU" w:eastAsia="en-GB"/>
              </w:rPr>
              <w:t>В процессе выполнения</w:t>
            </w:r>
            <w:r>
              <w:rPr>
                <w:rFonts w:cs="Calibri"/>
                <w:color w:val="000000"/>
                <w:sz w:val="16"/>
                <w:szCs w:val="16"/>
                <w:lang w:val="ru-RU" w:eastAsia="en-GB"/>
              </w:rPr>
              <w:t>.</w:t>
            </w:r>
          </w:p>
        </w:tc>
        <w:tc>
          <w:tcPr>
            <w:tcW w:w="2410" w:type="dxa"/>
            <w:tcBorders>
              <w:top w:val="nil"/>
              <w:left w:val="nil"/>
              <w:bottom w:val="single" w:sz="4" w:space="0" w:color="auto"/>
              <w:right w:val="single" w:sz="4" w:space="0" w:color="auto"/>
            </w:tcBorders>
            <w:shd w:val="clear" w:color="auto" w:fill="auto"/>
          </w:tcPr>
          <w:p w14:paraId="7480FC5E" w14:textId="77777777" w:rsidR="00B86204" w:rsidRPr="002F16BB" w:rsidRDefault="00B86204" w:rsidP="00016740">
            <w:pPr>
              <w:adjustRightInd/>
              <w:spacing w:before="40" w:after="40"/>
              <w:rPr>
                <w:rFonts w:cs="Calibri"/>
                <w:color w:val="000000"/>
                <w:sz w:val="16"/>
                <w:szCs w:val="16"/>
                <w:lang w:val="ru-RU" w:eastAsia="en-GB"/>
              </w:rPr>
            </w:pPr>
          </w:p>
        </w:tc>
        <w:tc>
          <w:tcPr>
            <w:tcW w:w="2409" w:type="dxa"/>
            <w:tcBorders>
              <w:top w:val="nil"/>
              <w:left w:val="nil"/>
              <w:bottom w:val="single" w:sz="4" w:space="0" w:color="auto"/>
              <w:right w:val="single" w:sz="8" w:space="0" w:color="auto"/>
            </w:tcBorders>
            <w:shd w:val="clear" w:color="auto" w:fill="auto"/>
          </w:tcPr>
          <w:p w14:paraId="135E9338" w14:textId="77777777" w:rsidR="00B86204" w:rsidRPr="002F16BB" w:rsidRDefault="00B86204" w:rsidP="00016740">
            <w:pPr>
              <w:adjustRightInd/>
              <w:spacing w:before="40" w:after="40"/>
              <w:rPr>
                <w:rFonts w:cs="Calibri"/>
                <w:color w:val="000000"/>
                <w:sz w:val="16"/>
                <w:szCs w:val="16"/>
                <w:lang w:val="ru-RU" w:eastAsia="en-GB"/>
              </w:rPr>
            </w:pPr>
          </w:p>
        </w:tc>
        <w:tc>
          <w:tcPr>
            <w:tcW w:w="1418" w:type="dxa"/>
            <w:tcBorders>
              <w:top w:val="nil"/>
              <w:left w:val="nil"/>
              <w:bottom w:val="single" w:sz="4" w:space="0" w:color="auto"/>
              <w:right w:val="single" w:sz="4" w:space="0" w:color="auto"/>
            </w:tcBorders>
            <w:shd w:val="clear" w:color="auto" w:fill="auto"/>
            <w:hideMark/>
          </w:tcPr>
          <w:p w14:paraId="2E428291"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tc>
      </w:tr>
      <w:tr w:rsidR="00B86204" w:rsidRPr="002F16BB" w14:paraId="310F66EF" w14:textId="77777777" w:rsidTr="00016740">
        <w:tc>
          <w:tcPr>
            <w:tcW w:w="1009" w:type="dxa"/>
            <w:vMerge/>
            <w:tcBorders>
              <w:top w:val="nil"/>
              <w:left w:val="single" w:sz="4" w:space="0" w:color="auto"/>
              <w:bottom w:val="single" w:sz="4" w:space="0" w:color="000000"/>
              <w:right w:val="single" w:sz="4" w:space="0" w:color="auto"/>
            </w:tcBorders>
            <w:hideMark/>
          </w:tcPr>
          <w:p w14:paraId="0219D84B" w14:textId="77777777" w:rsidR="00B86204" w:rsidRPr="002F16BB" w:rsidRDefault="00B86204" w:rsidP="00016740">
            <w:pPr>
              <w:adjustRightInd/>
              <w:spacing w:before="40" w:after="40"/>
              <w:rPr>
                <w:rFonts w:cs="Calibri"/>
                <w:b/>
                <w:bCs/>
                <w:color w:val="000000"/>
                <w:sz w:val="16"/>
                <w:szCs w:val="16"/>
                <w:lang w:val="ru-RU" w:eastAsia="en-GB"/>
              </w:rPr>
            </w:pPr>
          </w:p>
        </w:tc>
        <w:tc>
          <w:tcPr>
            <w:tcW w:w="1614" w:type="dxa"/>
            <w:vMerge/>
            <w:tcBorders>
              <w:top w:val="nil"/>
              <w:left w:val="single" w:sz="4" w:space="0" w:color="auto"/>
              <w:bottom w:val="single" w:sz="4" w:space="0" w:color="000000"/>
              <w:right w:val="single" w:sz="4" w:space="0" w:color="auto"/>
            </w:tcBorders>
            <w:hideMark/>
          </w:tcPr>
          <w:p w14:paraId="348B6FD7" w14:textId="77777777" w:rsidR="00B86204" w:rsidRPr="002F16BB" w:rsidRDefault="00B86204" w:rsidP="00016740">
            <w:pPr>
              <w:adjustRightInd/>
              <w:spacing w:before="40" w:after="40"/>
              <w:rPr>
                <w:rFonts w:cs="Calibri"/>
                <w:b/>
                <w:bCs/>
                <w:color w:val="000000"/>
                <w:sz w:val="16"/>
                <w:szCs w:val="16"/>
                <w:lang w:val="ru-RU" w:eastAsia="en-GB"/>
              </w:rPr>
            </w:pPr>
          </w:p>
        </w:tc>
        <w:tc>
          <w:tcPr>
            <w:tcW w:w="1656" w:type="dxa"/>
            <w:vMerge/>
            <w:tcBorders>
              <w:top w:val="nil"/>
              <w:left w:val="single" w:sz="4" w:space="0" w:color="auto"/>
              <w:bottom w:val="single" w:sz="4" w:space="0" w:color="000000"/>
              <w:right w:val="single" w:sz="4" w:space="0" w:color="auto"/>
            </w:tcBorders>
            <w:hideMark/>
          </w:tcPr>
          <w:p w14:paraId="644E6698" w14:textId="77777777" w:rsidR="00B86204" w:rsidRPr="002F16BB" w:rsidRDefault="00B86204" w:rsidP="00016740">
            <w:pPr>
              <w:adjustRightInd/>
              <w:spacing w:before="40" w:after="40"/>
              <w:rPr>
                <w:rFonts w:cs="Calibri"/>
                <w:b/>
                <w:bCs/>
                <w:color w:val="000000"/>
                <w:sz w:val="16"/>
                <w:szCs w:val="16"/>
                <w:lang w:val="ru-RU" w:eastAsia="en-GB"/>
              </w:rPr>
            </w:pPr>
          </w:p>
        </w:tc>
        <w:tc>
          <w:tcPr>
            <w:tcW w:w="2252" w:type="dxa"/>
            <w:tcBorders>
              <w:top w:val="nil"/>
              <w:left w:val="single" w:sz="8" w:space="0" w:color="auto"/>
              <w:bottom w:val="single" w:sz="8" w:space="0" w:color="auto"/>
              <w:right w:val="nil"/>
            </w:tcBorders>
            <w:shd w:val="clear" w:color="auto" w:fill="auto"/>
            <w:hideMark/>
          </w:tcPr>
          <w:p w14:paraId="2EC2BDBF" w14:textId="77777777" w:rsidR="00B86204" w:rsidRPr="002F16BB" w:rsidRDefault="00B86204" w:rsidP="00016740">
            <w:pPr>
              <w:adjustRightInd/>
              <w:spacing w:before="40" w:after="40"/>
              <w:rPr>
                <w:rFonts w:cs="Calibri"/>
                <w:color w:val="000000"/>
                <w:sz w:val="16"/>
                <w:szCs w:val="16"/>
                <w:lang w:val="ru-RU" w:eastAsia="en-GB"/>
              </w:rPr>
            </w:pPr>
            <w:r w:rsidRPr="002F16BB">
              <w:rPr>
                <w:rFonts w:cs="Calibri"/>
                <w:b/>
                <w:bCs/>
                <w:color w:val="000000"/>
                <w:sz w:val="16"/>
                <w:szCs w:val="16"/>
                <w:lang w:val="ru-RU" w:eastAsia="en-GB"/>
              </w:rPr>
              <w:t>11/19-09/ML</w:t>
            </w:r>
            <w:r w:rsidRPr="002F16BB">
              <w:rPr>
                <w:rFonts w:cs="Calibri"/>
                <w:color w:val="000000"/>
                <w:sz w:val="16"/>
                <w:szCs w:val="16"/>
                <w:lang w:val="ru-RU" w:eastAsia="en-GB"/>
              </w:rPr>
              <w:t xml:space="preserve">: Также рекомендуется Директору БРЭ обеспечить, чтобы работа экспертов проверялась соответствующим руководителем департамента или директором регионального отделения, а данные о ней хранились в базе данных, где к ней можно получить доступ, с целью обеспечения подотчетности нанимающего руководителя и его вышестоящего руководителя и подтверждения надлежащего качества отчета. </w:t>
            </w:r>
          </w:p>
        </w:tc>
        <w:tc>
          <w:tcPr>
            <w:tcW w:w="2253" w:type="dxa"/>
            <w:tcBorders>
              <w:top w:val="nil"/>
              <w:left w:val="single" w:sz="4" w:space="0" w:color="auto"/>
              <w:bottom w:val="single" w:sz="8" w:space="0" w:color="auto"/>
              <w:right w:val="single" w:sz="8" w:space="0" w:color="auto"/>
            </w:tcBorders>
            <w:shd w:val="clear" w:color="auto" w:fill="auto"/>
            <w:hideMark/>
          </w:tcPr>
          <w:p w14:paraId="7FF60AC5" w14:textId="77777777" w:rsidR="00B86204" w:rsidRPr="002F16BB" w:rsidRDefault="00B86204" w:rsidP="00016740">
            <w:pPr>
              <w:adjustRightInd/>
              <w:spacing w:before="40" w:after="40"/>
              <w:rPr>
                <w:rFonts w:cs="Calibri"/>
                <w:b/>
                <w:bCs/>
                <w:i/>
                <w:iCs/>
                <w:color w:val="000000"/>
                <w:sz w:val="16"/>
                <w:szCs w:val="16"/>
                <w:lang w:val="ru-RU" w:eastAsia="en-GB"/>
              </w:rPr>
            </w:pPr>
            <w:r w:rsidRPr="002F16BB">
              <w:rPr>
                <w:rFonts w:cs="Calibri"/>
                <w:b/>
                <w:bCs/>
                <w:i/>
                <w:iCs/>
                <w:color w:val="000000"/>
                <w:sz w:val="16"/>
                <w:szCs w:val="16"/>
                <w:lang w:val="ru-RU" w:eastAsia="en-GB"/>
              </w:rPr>
              <w:t>Обновление, по состоянию на сентябрь</w:t>
            </w:r>
            <w:r w:rsidRPr="002F16BB">
              <w:rPr>
                <w:rFonts w:cs="Calibri"/>
                <w:i/>
                <w:iCs/>
                <w:color w:val="000000"/>
                <w:sz w:val="16"/>
                <w:szCs w:val="16"/>
                <w:lang w:val="ru-RU" w:eastAsia="en-GB"/>
              </w:rPr>
              <w:t>:</w:t>
            </w:r>
          </w:p>
          <w:p w14:paraId="1D082539" w14:textId="77777777" w:rsidR="00B86204" w:rsidRPr="008A2C3B" w:rsidRDefault="00B86204" w:rsidP="00016740">
            <w:pPr>
              <w:adjustRightInd/>
              <w:spacing w:before="40" w:after="40"/>
              <w:rPr>
                <w:rFonts w:cs="Calibri"/>
                <w:i/>
                <w:iCs/>
                <w:color w:val="000000"/>
                <w:sz w:val="16"/>
                <w:szCs w:val="16"/>
                <w:lang w:val="ru-RU" w:eastAsia="en-GB"/>
              </w:rPr>
            </w:pPr>
            <w:r w:rsidRPr="008A2C3B">
              <w:rPr>
                <w:rFonts w:cs="Calibri"/>
                <w:i/>
                <w:iCs/>
                <w:color w:val="000000"/>
                <w:sz w:val="16"/>
                <w:szCs w:val="16"/>
                <w:lang w:val="ru-RU" w:eastAsia="en-GB"/>
              </w:rPr>
              <w:t>В процессе выполнения.</w:t>
            </w:r>
          </w:p>
          <w:p w14:paraId="5C88C6B5" w14:textId="77777777" w:rsidR="00B86204" w:rsidRPr="002F16BB" w:rsidRDefault="00B86204" w:rsidP="00016740">
            <w:pPr>
              <w:adjustRightInd/>
              <w:spacing w:before="40" w:after="40"/>
              <w:rPr>
                <w:rFonts w:cs="Calibri"/>
                <w:i/>
                <w:iCs/>
                <w:color w:val="000000"/>
                <w:sz w:val="16"/>
                <w:szCs w:val="16"/>
                <w:lang w:val="ru-RU" w:eastAsia="en-GB"/>
              </w:rPr>
            </w:pPr>
            <w:r w:rsidRPr="002F16BB">
              <w:rPr>
                <w:rFonts w:cs="Calibri"/>
                <w:i/>
                <w:iCs/>
                <w:color w:val="000000"/>
                <w:sz w:val="16"/>
                <w:szCs w:val="16"/>
                <w:lang w:val="ru-RU" w:eastAsia="en-GB"/>
              </w:rPr>
              <w:t>Результаты работы по SSA будут закачиваться на портал БРЭ до произведения выплат.</w:t>
            </w:r>
          </w:p>
        </w:tc>
        <w:tc>
          <w:tcPr>
            <w:tcW w:w="2410" w:type="dxa"/>
            <w:tcBorders>
              <w:top w:val="nil"/>
              <w:left w:val="nil"/>
              <w:bottom w:val="single" w:sz="8" w:space="0" w:color="auto"/>
              <w:right w:val="single" w:sz="4" w:space="0" w:color="auto"/>
            </w:tcBorders>
            <w:shd w:val="clear" w:color="auto" w:fill="auto"/>
          </w:tcPr>
          <w:p w14:paraId="063C0724" w14:textId="77777777" w:rsidR="00B86204" w:rsidRPr="002F16BB" w:rsidRDefault="00B86204" w:rsidP="00016740">
            <w:pPr>
              <w:adjustRightInd/>
              <w:spacing w:before="40" w:after="40"/>
              <w:rPr>
                <w:rFonts w:cs="Calibri"/>
                <w:color w:val="000000"/>
                <w:sz w:val="16"/>
                <w:szCs w:val="16"/>
                <w:lang w:val="ru-RU" w:eastAsia="en-GB"/>
              </w:rPr>
            </w:pPr>
          </w:p>
        </w:tc>
        <w:tc>
          <w:tcPr>
            <w:tcW w:w="2409" w:type="dxa"/>
            <w:tcBorders>
              <w:top w:val="nil"/>
              <w:left w:val="nil"/>
              <w:bottom w:val="single" w:sz="8" w:space="0" w:color="auto"/>
              <w:right w:val="single" w:sz="8" w:space="0" w:color="auto"/>
            </w:tcBorders>
            <w:shd w:val="clear" w:color="auto" w:fill="auto"/>
          </w:tcPr>
          <w:p w14:paraId="47EAAD72" w14:textId="77777777" w:rsidR="00B86204" w:rsidRPr="002F16BB" w:rsidRDefault="00B86204" w:rsidP="00016740">
            <w:pPr>
              <w:adjustRightInd/>
              <w:spacing w:before="40" w:after="40"/>
              <w:rPr>
                <w:rFonts w:cs="Calibri"/>
                <w:color w:val="000000"/>
                <w:sz w:val="16"/>
                <w:szCs w:val="16"/>
                <w:lang w:val="ru-RU" w:eastAsia="en-GB"/>
              </w:rPr>
            </w:pPr>
          </w:p>
        </w:tc>
        <w:tc>
          <w:tcPr>
            <w:tcW w:w="1418" w:type="dxa"/>
            <w:tcBorders>
              <w:top w:val="nil"/>
              <w:left w:val="nil"/>
              <w:bottom w:val="single" w:sz="4" w:space="0" w:color="auto"/>
              <w:right w:val="single" w:sz="4" w:space="0" w:color="auto"/>
            </w:tcBorders>
            <w:shd w:val="clear" w:color="auto" w:fill="auto"/>
            <w:hideMark/>
          </w:tcPr>
          <w:p w14:paraId="110CBF31" w14:textId="77777777" w:rsidR="00B86204" w:rsidRPr="002F16BB" w:rsidRDefault="00B86204" w:rsidP="00016740">
            <w:pPr>
              <w:widowControl w:val="0"/>
              <w:kinsoku w:val="0"/>
              <w:adjustRightInd/>
              <w:spacing w:before="40" w:after="40"/>
              <w:rPr>
                <w:rFonts w:cs="Calibri"/>
                <w:sz w:val="16"/>
                <w:szCs w:val="16"/>
                <w:lang w:val="ru-RU" w:eastAsia="it-IT"/>
              </w:rPr>
            </w:pPr>
            <w:r w:rsidRPr="002F16BB">
              <w:rPr>
                <w:sz w:val="16"/>
                <w:szCs w:val="16"/>
                <w:lang w:val="ru-RU"/>
              </w:rPr>
              <w:t>В процессе выполнения.</w:t>
            </w:r>
          </w:p>
        </w:tc>
      </w:tr>
    </w:tbl>
    <w:p w14:paraId="36ECB824" w14:textId="77777777" w:rsidR="00B86204" w:rsidRPr="002F16BB" w:rsidRDefault="00B86204" w:rsidP="00016740">
      <w:pPr>
        <w:tabs>
          <w:tab w:val="clear" w:pos="794"/>
          <w:tab w:val="clear" w:pos="1191"/>
          <w:tab w:val="clear" w:pos="1588"/>
          <w:tab w:val="clear" w:pos="1985"/>
        </w:tabs>
        <w:overflowPunct/>
        <w:autoSpaceDE/>
        <w:autoSpaceDN/>
        <w:adjustRightInd/>
        <w:spacing w:before="0"/>
        <w:textAlignment w:val="auto"/>
        <w:rPr>
          <w:lang w:val="ru-RU"/>
        </w:rPr>
      </w:pPr>
      <w:r w:rsidRPr="002F16BB">
        <w:rPr>
          <w:lang w:val="ru-RU"/>
        </w:rPr>
        <w:br w:type="page"/>
      </w:r>
    </w:p>
    <w:tbl>
      <w:tblPr>
        <w:tblW w:w="5004" w:type="pct"/>
        <w:tblLayout w:type="fixed"/>
        <w:tblCellMar>
          <w:left w:w="85" w:type="dxa"/>
          <w:right w:w="85" w:type="dxa"/>
        </w:tblCellMar>
        <w:tblLook w:val="0000" w:firstRow="0" w:lastRow="0" w:firstColumn="0" w:lastColumn="0" w:noHBand="0" w:noVBand="0"/>
      </w:tblPr>
      <w:tblGrid>
        <w:gridCol w:w="949"/>
        <w:gridCol w:w="3405"/>
        <w:gridCol w:w="3813"/>
        <w:gridCol w:w="3816"/>
        <w:gridCol w:w="2016"/>
      </w:tblGrid>
      <w:tr w:rsidR="00B86204" w:rsidRPr="00FE280E" w14:paraId="69BBEFC4" w14:textId="77777777" w:rsidTr="00016740">
        <w:trPr>
          <w:tblHeader/>
        </w:trPr>
        <w:tc>
          <w:tcPr>
            <w:tcW w:w="339" w:type="pct"/>
            <w:tcBorders>
              <w:top w:val="single" w:sz="4" w:space="0" w:color="auto"/>
              <w:left w:val="single" w:sz="4" w:space="0" w:color="auto"/>
              <w:bottom w:val="single" w:sz="4" w:space="0" w:color="auto"/>
              <w:right w:val="single" w:sz="4" w:space="0" w:color="auto"/>
            </w:tcBorders>
            <w:vAlign w:val="center"/>
          </w:tcPr>
          <w:p w14:paraId="32610456" w14:textId="77777777" w:rsidR="00B86204" w:rsidRPr="002F16BB" w:rsidRDefault="00B86204" w:rsidP="00016740">
            <w:pPr>
              <w:pStyle w:val="Tablehead"/>
              <w:keepLines/>
              <w:spacing w:before="20" w:after="20"/>
              <w:ind w:left="-57" w:right="-57"/>
              <w:rPr>
                <w:sz w:val="18"/>
                <w:szCs w:val="18"/>
                <w:lang w:val="ru-RU" w:eastAsia="it-IT"/>
              </w:rPr>
            </w:pPr>
            <w:r w:rsidRPr="002F16BB">
              <w:rPr>
                <w:sz w:val="18"/>
                <w:szCs w:val="18"/>
                <w:lang w:val="ru-RU" w:eastAsia="it-IT"/>
              </w:rPr>
              <w:lastRenderedPageBreak/>
              <w:t>№</w:t>
            </w:r>
          </w:p>
        </w:tc>
        <w:tc>
          <w:tcPr>
            <w:tcW w:w="1216" w:type="pct"/>
            <w:tcBorders>
              <w:top w:val="single" w:sz="4" w:space="0" w:color="auto"/>
              <w:left w:val="single" w:sz="4" w:space="0" w:color="auto"/>
              <w:bottom w:val="single" w:sz="4" w:space="0" w:color="auto"/>
              <w:right w:val="single" w:sz="4" w:space="0" w:color="auto"/>
            </w:tcBorders>
            <w:vAlign w:val="center"/>
          </w:tcPr>
          <w:p w14:paraId="4EF0271D"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Рекомендация, представленная Государственной счетной палатой Италии</w:t>
            </w:r>
          </w:p>
        </w:tc>
        <w:tc>
          <w:tcPr>
            <w:tcW w:w="1362" w:type="pct"/>
            <w:tcBorders>
              <w:top w:val="single" w:sz="4" w:space="0" w:color="auto"/>
              <w:left w:val="single" w:sz="4" w:space="0" w:color="auto"/>
              <w:bottom w:val="single" w:sz="4" w:space="0" w:color="auto"/>
              <w:right w:val="single" w:sz="4" w:space="0" w:color="auto"/>
            </w:tcBorders>
            <w:vAlign w:val="center"/>
          </w:tcPr>
          <w:p w14:paraId="6E197580"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Комментарии, полученные от Генерального секретаря, на дату опубликования</w:t>
            </w:r>
            <w:r>
              <w:rPr>
                <w:sz w:val="18"/>
                <w:szCs w:val="18"/>
                <w:lang w:val="ru-RU"/>
              </w:rPr>
              <w:br/>
            </w:r>
            <w:r w:rsidRPr="002F16BB">
              <w:rPr>
                <w:sz w:val="18"/>
                <w:szCs w:val="18"/>
                <w:lang w:val="ru-RU"/>
              </w:rPr>
              <w:t>аудиторского отчета</w:t>
            </w:r>
          </w:p>
        </w:tc>
        <w:tc>
          <w:tcPr>
            <w:tcW w:w="1363" w:type="pct"/>
            <w:tcBorders>
              <w:top w:val="single" w:sz="4" w:space="0" w:color="auto"/>
              <w:left w:val="single" w:sz="4" w:space="0" w:color="auto"/>
              <w:bottom w:val="single" w:sz="4" w:space="0" w:color="auto"/>
              <w:right w:val="single" w:sz="4" w:space="0" w:color="auto"/>
            </w:tcBorders>
            <w:vAlign w:val="center"/>
          </w:tcPr>
          <w:p w14:paraId="61BD93E7"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Статус выполнения по сообщению руководства МСЭ</w:t>
            </w:r>
          </w:p>
        </w:tc>
        <w:tc>
          <w:tcPr>
            <w:tcW w:w="720" w:type="pct"/>
            <w:tcBorders>
              <w:top w:val="single" w:sz="4" w:space="0" w:color="auto"/>
              <w:left w:val="single" w:sz="4" w:space="0" w:color="auto"/>
              <w:bottom w:val="single" w:sz="4" w:space="0" w:color="auto"/>
              <w:right w:val="single" w:sz="4" w:space="0" w:color="auto"/>
            </w:tcBorders>
            <w:vAlign w:val="center"/>
          </w:tcPr>
          <w:p w14:paraId="40DFEE0B" w14:textId="77777777" w:rsidR="00B86204" w:rsidRPr="002F16BB" w:rsidRDefault="00B86204" w:rsidP="00016740">
            <w:pPr>
              <w:pStyle w:val="Tablehead"/>
              <w:keepLines/>
              <w:spacing w:before="20" w:after="20"/>
              <w:ind w:left="-57" w:right="-57"/>
              <w:rPr>
                <w:sz w:val="18"/>
                <w:szCs w:val="18"/>
                <w:lang w:val="ru-RU"/>
              </w:rPr>
            </w:pPr>
            <w:r w:rsidRPr="002F16BB">
              <w:rPr>
                <w:sz w:val="18"/>
                <w:szCs w:val="18"/>
                <w:lang w:val="ru-RU"/>
              </w:rPr>
              <w:t>Статус, по оценке Государственной счетной палаты Италии</w:t>
            </w:r>
          </w:p>
        </w:tc>
      </w:tr>
      <w:tr w:rsidR="00B86204" w:rsidRPr="002F16BB" w14:paraId="694BC033" w14:textId="77777777" w:rsidTr="00016740">
        <w:tc>
          <w:tcPr>
            <w:tcW w:w="339" w:type="pct"/>
            <w:tcBorders>
              <w:top w:val="single" w:sz="4" w:space="0" w:color="auto"/>
              <w:left w:val="single" w:sz="4" w:space="0" w:color="auto"/>
              <w:bottom w:val="single" w:sz="4" w:space="0" w:color="auto"/>
              <w:right w:val="single" w:sz="4" w:space="0" w:color="auto"/>
            </w:tcBorders>
          </w:tcPr>
          <w:p w14:paraId="69EA0EE3" w14:textId="77777777" w:rsidR="00B86204" w:rsidRPr="002F16BB" w:rsidRDefault="00B86204" w:rsidP="00016740">
            <w:pPr>
              <w:pStyle w:val="Tabletext"/>
              <w:spacing w:before="20" w:after="20"/>
              <w:jc w:val="center"/>
              <w:rPr>
                <w:sz w:val="18"/>
                <w:szCs w:val="18"/>
                <w:lang w:val="ru-RU" w:eastAsia="it-IT"/>
              </w:rPr>
            </w:pPr>
            <w:r w:rsidRPr="002F16BB">
              <w:rPr>
                <w:b/>
                <w:sz w:val="18"/>
                <w:szCs w:val="18"/>
                <w:lang w:val="ru-RU" w:eastAsia="it-IT"/>
              </w:rPr>
              <w:t>Рек. 19/2018</w:t>
            </w:r>
          </w:p>
        </w:tc>
        <w:tc>
          <w:tcPr>
            <w:tcW w:w="1216" w:type="pct"/>
            <w:tcBorders>
              <w:top w:val="single" w:sz="4" w:space="0" w:color="auto"/>
              <w:left w:val="single" w:sz="4" w:space="0" w:color="auto"/>
              <w:bottom w:val="single" w:sz="4" w:space="0" w:color="auto"/>
              <w:right w:val="single" w:sz="4" w:space="0" w:color="auto"/>
            </w:tcBorders>
          </w:tcPr>
          <w:p w14:paraId="534A0EC1" w14:textId="77777777" w:rsidR="00B86204" w:rsidRPr="002F16BB" w:rsidRDefault="00B86204" w:rsidP="00016740">
            <w:pPr>
              <w:pStyle w:val="Tabletext"/>
              <w:spacing w:before="20" w:after="20"/>
              <w:rPr>
                <w:sz w:val="18"/>
                <w:szCs w:val="18"/>
                <w:lang w:val="ru-RU"/>
              </w:rPr>
            </w:pPr>
            <w:r w:rsidRPr="002F16BB">
              <w:rPr>
                <w:sz w:val="18"/>
                <w:szCs w:val="18"/>
                <w:lang w:val="ru-RU"/>
              </w:rPr>
              <w:t>С целью оперативного решения проблем, обнаруженных давно, мы повторяем наши рекомендации, согласно которым, для предотвращения риска неточностей и задержек при обработке данных, руководству следует:</w:t>
            </w:r>
          </w:p>
          <w:p w14:paraId="5B24D85B" w14:textId="77777777" w:rsidR="00B86204" w:rsidRPr="002F16BB" w:rsidRDefault="00B86204" w:rsidP="00016740">
            <w:pPr>
              <w:pStyle w:val="Tabletext"/>
              <w:spacing w:before="20" w:after="20"/>
              <w:ind w:left="284" w:hanging="284"/>
              <w:rPr>
                <w:sz w:val="18"/>
                <w:szCs w:val="18"/>
                <w:lang w:val="ru-RU"/>
              </w:rPr>
            </w:pPr>
            <w:r w:rsidRPr="002F16BB">
              <w:rPr>
                <w:sz w:val="18"/>
                <w:szCs w:val="18"/>
                <w:lang w:val="ru-RU"/>
              </w:rPr>
              <w:t>1)</w:t>
            </w:r>
            <w:r w:rsidRPr="002F16BB">
              <w:rPr>
                <w:sz w:val="18"/>
                <w:szCs w:val="18"/>
                <w:lang w:val="ru-RU"/>
              </w:rPr>
              <w:tab/>
              <w:t xml:space="preserve">принять чрезвычайные меры для ликвидации накопившегося объема невыполненной работы по личным делам и обновить их в кратчайшие сроки, придавая этой задаче высокий приоритет; </w:t>
            </w:r>
          </w:p>
          <w:p w14:paraId="2F8CF785" w14:textId="77777777" w:rsidR="00B86204" w:rsidRPr="002F16BB" w:rsidRDefault="00B86204" w:rsidP="00016740">
            <w:pPr>
              <w:pStyle w:val="Tabletext"/>
              <w:spacing w:before="20" w:after="20"/>
              <w:ind w:left="284" w:hanging="284"/>
              <w:rPr>
                <w:sz w:val="18"/>
                <w:szCs w:val="18"/>
                <w:lang w:val="ru-RU"/>
              </w:rPr>
            </w:pPr>
            <w:r w:rsidRPr="002F16BB">
              <w:rPr>
                <w:sz w:val="18"/>
                <w:szCs w:val="18"/>
                <w:lang w:val="ru-RU"/>
              </w:rPr>
              <w:t>2)</w:t>
            </w:r>
            <w:r w:rsidRPr="002F16BB">
              <w:rPr>
                <w:sz w:val="18"/>
                <w:szCs w:val="18"/>
                <w:lang w:val="ru-RU"/>
              </w:rPr>
              <w:tab/>
              <w:t>принять срочные меры, в том числе путем инвестирования средств во внешние службы, для совершенствования системы HR ERP и решения проблем/устранения дефектов, выявленных в плане реализации, в установленные сроки.</w:t>
            </w:r>
          </w:p>
        </w:tc>
        <w:tc>
          <w:tcPr>
            <w:tcW w:w="1362" w:type="pct"/>
            <w:tcBorders>
              <w:top w:val="single" w:sz="4" w:space="0" w:color="auto"/>
              <w:left w:val="single" w:sz="4" w:space="0" w:color="auto"/>
              <w:bottom w:val="single" w:sz="4" w:space="0" w:color="auto"/>
              <w:right w:val="single" w:sz="4" w:space="0" w:color="auto"/>
            </w:tcBorders>
          </w:tcPr>
          <w:p w14:paraId="4E0088B3" w14:textId="77777777" w:rsidR="00B86204" w:rsidRPr="002F16BB" w:rsidRDefault="00B86204" w:rsidP="00016740">
            <w:pPr>
              <w:pStyle w:val="Tabletext"/>
              <w:spacing w:before="20" w:after="20"/>
              <w:rPr>
                <w:sz w:val="18"/>
                <w:szCs w:val="18"/>
                <w:lang w:val="ru-RU"/>
              </w:rPr>
            </w:pPr>
            <w:r w:rsidRPr="002F16BB">
              <w:rPr>
                <w:sz w:val="18"/>
                <w:szCs w:val="18"/>
                <w:lang w:val="ru-RU"/>
              </w:rPr>
              <w:t xml:space="preserve">Данная рекомендация поддерживается. </w:t>
            </w:r>
          </w:p>
          <w:p w14:paraId="05891DA3" w14:textId="77777777" w:rsidR="00B86204" w:rsidRPr="002F16BB" w:rsidRDefault="00B86204" w:rsidP="00016740">
            <w:pPr>
              <w:pStyle w:val="Tabletext"/>
              <w:spacing w:before="20" w:after="20"/>
              <w:rPr>
                <w:sz w:val="18"/>
                <w:szCs w:val="18"/>
                <w:lang w:val="ru-RU"/>
              </w:rPr>
            </w:pPr>
            <w:r w:rsidRPr="002F16BB">
              <w:rPr>
                <w:sz w:val="18"/>
                <w:szCs w:val="18"/>
                <w:lang w:val="ru-RU"/>
              </w:rPr>
              <w:t>В Департаменте HRM были приняты организационные меры для уточнения обязанностей в сфере определения предоставляемых прав и их обработки, а также укрепления кадрового потенциала. Также проводится анализ связанных с этим бизнес-процессов для их упорядочения и укрепления контроля качества путем совершенствования распределения обязанностей в Департаменте HRM.</w:t>
            </w:r>
          </w:p>
          <w:p w14:paraId="7842AB30" w14:textId="77777777" w:rsidR="00B86204" w:rsidRPr="002F16BB" w:rsidRDefault="00B86204" w:rsidP="00016740">
            <w:pPr>
              <w:pStyle w:val="Tabletext"/>
              <w:spacing w:before="20" w:after="20"/>
              <w:rPr>
                <w:sz w:val="18"/>
                <w:szCs w:val="18"/>
                <w:lang w:val="ru-RU"/>
              </w:rPr>
            </w:pPr>
            <w:r w:rsidRPr="002F16BB">
              <w:rPr>
                <w:sz w:val="18"/>
                <w:szCs w:val="18"/>
                <w:lang w:val="ru-RU"/>
              </w:rPr>
              <w:t>Кроме того, с системной точки зрения, HRMD и Департамент IS в начале 2019 года приступили к реализации двухгодичного проекта совершенствования ЛР, в рамках которого будут ликвидироваться некоторые из вышеуказанных дефектов в системе ERP.</w:t>
            </w:r>
          </w:p>
          <w:p w14:paraId="30AE3A63" w14:textId="77777777" w:rsidR="00B86204" w:rsidRPr="002F16BB" w:rsidRDefault="00B86204" w:rsidP="00016740">
            <w:pPr>
              <w:pStyle w:val="Tabletext"/>
              <w:spacing w:before="20" w:after="20"/>
              <w:rPr>
                <w:sz w:val="18"/>
                <w:szCs w:val="18"/>
                <w:lang w:val="ru-RU"/>
              </w:rPr>
            </w:pPr>
            <w:r w:rsidRPr="002F16BB">
              <w:rPr>
                <w:sz w:val="18"/>
                <w:szCs w:val="18"/>
                <w:lang w:val="ru-RU"/>
              </w:rPr>
              <w:t>Во-вторых, заместитель Генерального секретаря создал целевую группу для автоматизации (самообслуживания) и цифровизации заполняемых вручную форм, которые сотрудники используют при взаимодействии с HRMD в отношении льгот, причитающихся выплат, пенсии, страхования и т. п.</w:t>
            </w:r>
          </w:p>
        </w:tc>
        <w:tc>
          <w:tcPr>
            <w:tcW w:w="1363" w:type="pct"/>
            <w:tcBorders>
              <w:top w:val="single" w:sz="4" w:space="0" w:color="auto"/>
              <w:left w:val="single" w:sz="4" w:space="0" w:color="auto"/>
              <w:bottom w:val="single" w:sz="4" w:space="0" w:color="auto"/>
              <w:right w:val="single" w:sz="4" w:space="0" w:color="auto"/>
            </w:tcBorders>
          </w:tcPr>
          <w:p w14:paraId="2702BBD0" w14:textId="7040D0CC" w:rsidR="00B86204" w:rsidRPr="002F16BB" w:rsidRDefault="00B86204" w:rsidP="00016740">
            <w:pPr>
              <w:pStyle w:val="Tabletext"/>
              <w:spacing w:before="20" w:after="20"/>
              <w:rPr>
                <w:sz w:val="18"/>
                <w:szCs w:val="18"/>
                <w:lang w:val="ru-RU"/>
              </w:rPr>
            </w:pPr>
            <w:r w:rsidRPr="002F16BB">
              <w:rPr>
                <w:b/>
                <w:bCs/>
                <w:sz w:val="18"/>
                <w:szCs w:val="18"/>
                <w:lang w:val="ru-RU"/>
              </w:rPr>
              <w:t>Обновление, по состоянию на сентябрь 2020</w:t>
            </w:r>
            <w:r w:rsidR="00016740">
              <w:rPr>
                <w:b/>
                <w:bCs/>
                <w:sz w:val="18"/>
                <w:szCs w:val="18"/>
              </w:rPr>
              <w:t> </w:t>
            </w:r>
            <w:r w:rsidRPr="002F16BB">
              <w:rPr>
                <w:b/>
                <w:bCs/>
                <w:sz w:val="18"/>
                <w:szCs w:val="18"/>
                <w:lang w:val="ru-RU"/>
              </w:rPr>
              <w:t>г</w:t>
            </w:r>
            <w:r w:rsidRPr="002F16BB">
              <w:rPr>
                <w:sz w:val="18"/>
                <w:szCs w:val="18"/>
                <w:lang w:val="ru-RU"/>
              </w:rPr>
              <w:t>.:</w:t>
            </w:r>
          </w:p>
          <w:p w14:paraId="2EEBD7DB" w14:textId="77777777" w:rsidR="00B86204" w:rsidRPr="002F16BB" w:rsidRDefault="00B86204" w:rsidP="00016740">
            <w:pPr>
              <w:pStyle w:val="Tabletext"/>
              <w:spacing w:before="20" w:after="20"/>
              <w:rPr>
                <w:sz w:val="18"/>
                <w:szCs w:val="18"/>
                <w:lang w:val="ru-RU"/>
              </w:rPr>
            </w:pPr>
            <w:r w:rsidRPr="002F16BB">
              <w:rPr>
                <w:color w:val="000000"/>
                <w:sz w:val="18"/>
                <w:szCs w:val="18"/>
                <w:lang w:val="ru-RU"/>
              </w:rPr>
              <w:t xml:space="preserve">Объем невыполненных работ ликвидирован </w:t>
            </w:r>
            <w:r w:rsidRPr="002F16BB">
              <w:rPr>
                <w:sz w:val="18"/>
                <w:szCs w:val="18"/>
                <w:lang w:val="ru-RU"/>
              </w:rPr>
              <w:t xml:space="preserve">с привлечением дополнительных </w:t>
            </w:r>
            <w:r w:rsidRPr="002F16BB">
              <w:rPr>
                <w:color w:val="000000"/>
                <w:sz w:val="18"/>
                <w:szCs w:val="18"/>
                <w:lang w:val="ru-RU"/>
              </w:rPr>
              <w:t>людских ресурсов на краткосрочных контрактах</w:t>
            </w:r>
            <w:r w:rsidRPr="002F16BB">
              <w:rPr>
                <w:sz w:val="18"/>
                <w:szCs w:val="18"/>
                <w:lang w:val="ru-RU"/>
              </w:rPr>
              <w:t>.</w:t>
            </w:r>
          </w:p>
          <w:p w14:paraId="28C4B65D" w14:textId="77777777" w:rsidR="00B86204" w:rsidRPr="002F16BB" w:rsidRDefault="00B86204" w:rsidP="00016740">
            <w:pPr>
              <w:pStyle w:val="Tabletext"/>
              <w:spacing w:before="20" w:after="20"/>
              <w:rPr>
                <w:sz w:val="18"/>
                <w:szCs w:val="18"/>
                <w:lang w:val="ru-RU"/>
              </w:rPr>
            </w:pPr>
            <w:r w:rsidRPr="002F16BB">
              <w:rPr>
                <w:sz w:val="18"/>
                <w:szCs w:val="18"/>
                <w:lang w:val="ru-RU"/>
              </w:rPr>
              <w:t xml:space="preserve">В качестве приоритетной задачи установлено ускорение интеграции существующих бизнес-процессов в систему ERP для сокращения ручной обработки информации и более широкого внедрения автоматизации с целью упрощения, сокращения времени обработки информации и уменьшения рисков. HRMD работает с Департаментом IS над проектом по </w:t>
            </w:r>
            <w:r w:rsidRPr="002F16BB">
              <w:rPr>
                <w:color w:val="000000"/>
                <w:sz w:val="18"/>
                <w:szCs w:val="18"/>
                <w:lang w:val="ru-RU"/>
              </w:rPr>
              <w:t xml:space="preserve">усовершенствованию системы SAP </w:t>
            </w:r>
            <w:r w:rsidRPr="002F16BB">
              <w:rPr>
                <w:sz w:val="18"/>
                <w:szCs w:val="18"/>
                <w:lang w:val="ru-RU"/>
              </w:rPr>
              <w:t>HR с уделением первоочередного внимания перечню из 73 позиций, от устранения неполадок до разработки новых функций.</w:t>
            </w:r>
          </w:p>
          <w:p w14:paraId="1D94E468" w14:textId="77777777" w:rsidR="00B86204" w:rsidRPr="002F16BB" w:rsidRDefault="00B86204" w:rsidP="00016740">
            <w:pPr>
              <w:pStyle w:val="Tabletext"/>
              <w:spacing w:before="20" w:after="20"/>
              <w:rPr>
                <w:sz w:val="18"/>
                <w:szCs w:val="18"/>
                <w:lang w:val="ru-RU"/>
              </w:rPr>
            </w:pPr>
            <w:r w:rsidRPr="002F16BB">
              <w:rPr>
                <w:sz w:val="18"/>
                <w:szCs w:val="18"/>
                <w:lang w:val="ru-RU"/>
              </w:rPr>
              <w:t xml:space="preserve">Цифровизация </w:t>
            </w:r>
            <w:r w:rsidRPr="002F16BB">
              <w:rPr>
                <w:color w:val="000000"/>
                <w:sz w:val="18"/>
                <w:szCs w:val="18"/>
                <w:lang w:val="ru-RU"/>
              </w:rPr>
              <w:t>административных форм завершена</w:t>
            </w:r>
            <w:r w:rsidRPr="002F16BB">
              <w:rPr>
                <w:sz w:val="18"/>
                <w:szCs w:val="18"/>
                <w:lang w:val="ru-RU"/>
              </w:rPr>
              <w:t>. Ведутся дополнительные разработки с Департаментом IS с целью их интеграции в среду самообслуживания сотрудников, а также в систему ERP HR.</w:t>
            </w:r>
          </w:p>
        </w:tc>
        <w:tc>
          <w:tcPr>
            <w:tcW w:w="720" w:type="pct"/>
            <w:tcBorders>
              <w:top w:val="single" w:sz="4" w:space="0" w:color="auto"/>
              <w:left w:val="single" w:sz="4" w:space="0" w:color="auto"/>
              <w:bottom w:val="single" w:sz="4" w:space="0" w:color="auto"/>
              <w:right w:val="single" w:sz="4" w:space="0" w:color="auto"/>
            </w:tcBorders>
          </w:tcPr>
          <w:p w14:paraId="740B1C5B" w14:textId="77777777" w:rsidR="00B86204" w:rsidRPr="002F16BB" w:rsidRDefault="00B86204" w:rsidP="00016740">
            <w:pPr>
              <w:pStyle w:val="Tabletext"/>
              <w:spacing w:before="20" w:after="20"/>
              <w:rPr>
                <w:sz w:val="18"/>
                <w:szCs w:val="18"/>
                <w:lang w:val="ru-RU"/>
              </w:rPr>
            </w:pPr>
            <w:r w:rsidRPr="002F16BB">
              <w:rPr>
                <w:sz w:val="18"/>
                <w:szCs w:val="18"/>
                <w:lang w:val="ru-RU"/>
              </w:rPr>
              <w:t>В процессе выполнения.</w:t>
            </w:r>
          </w:p>
        </w:tc>
      </w:tr>
      <w:tr w:rsidR="00B86204" w:rsidRPr="00582F21" w14:paraId="1AFB21C8" w14:textId="77777777" w:rsidTr="00016740">
        <w:tc>
          <w:tcPr>
            <w:tcW w:w="339" w:type="pct"/>
            <w:tcBorders>
              <w:top w:val="single" w:sz="4" w:space="0" w:color="auto"/>
              <w:left w:val="single" w:sz="4" w:space="0" w:color="auto"/>
              <w:bottom w:val="single" w:sz="4" w:space="0" w:color="auto"/>
              <w:right w:val="single" w:sz="4" w:space="0" w:color="auto"/>
            </w:tcBorders>
          </w:tcPr>
          <w:p w14:paraId="1A194929"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20/2018</w:t>
            </w:r>
          </w:p>
        </w:tc>
        <w:tc>
          <w:tcPr>
            <w:tcW w:w="1216" w:type="pct"/>
            <w:tcBorders>
              <w:top w:val="single" w:sz="4" w:space="0" w:color="auto"/>
              <w:left w:val="single" w:sz="4" w:space="0" w:color="auto"/>
              <w:bottom w:val="single" w:sz="4" w:space="0" w:color="auto"/>
              <w:right w:val="single" w:sz="4" w:space="0" w:color="auto"/>
            </w:tcBorders>
          </w:tcPr>
          <w:p w14:paraId="57185B32" w14:textId="77777777" w:rsidR="00B86204" w:rsidRPr="002F16BB" w:rsidRDefault="00B86204" w:rsidP="00016740">
            <w:pPr>
              <w:pStyle w:val="Tabletext"/>
              <w:spacing w:before="20" w:after="20"/>
              <w:rPr>
                <w:sz w:val="18"/>
                <w:szCs w:val="18"/>
                <w:lang w:val="ru-RU"/>
              </w:rPr>
            </w:pPr>
            <w:r w:rsidRPr="002F16BB">
              <w:rPr>
                <w:sz w:val="18"/>
                <w:szCs w:val="18"/>
                <w:lang w:val="ru-RU"/>
              </w:rPr>
              <w:t xml:space="preserve">Чтобы обеспечить успешное внедрение новой стратегической системы, мы рекомендуем руководству срочно: </w:t>
            </w:r>
          </w:p>
          <w:p w14:paraId="5C6F7AEF" w14:textId="77777777" w:rsidR="00B86204" w:rsidRPr="002F16BB" w:rsidRDefault="00B86204" w:rsidP="00016740">
            <w:pPr>
              <w:pStyle w:val="Tabletext"/>
              <w:spacing w:before="20" w:after="20"/>
              <w:ind w:left="284" w:hanging="284"/>
              <w:rPr>
                <w:sz w:val="18"/>
                <w:szCs w:val="18"/>
                <w:lang w:val="ru-RU"/>
              </w:rPr>
            </w:pPr>
            <w:r w:rsidRPr="002F16BB">
              <w:rPr>
                <w:sz w:val="18"/>
                <w:szCs w:val="18"/>
                <w:lang w:val="ru-RU"/>
              </w:rPr>
              <w:t>1)</w:t>
            </w:r>
            <w:r w:rsidRPr="002F16BB">
              <w:rPr>
                <w:sz w:val="18"/>
                <w:szCs w:val="18"/>
                <w:lang w:val="ru-RU"/>
              </w:rPr>
              <w:tab/>
              <w:t xml:space="preserve">изучить способы упорядочения существующих рабочих процессов и процедур, влияющих на функции управления ЛР, и принять решения о желательной степени автономии для повышения эффективности и ужесточения подотчетности (начиная с процедур, по которым были выявлены основные слабые места, таких как привлечение консультантов); </w:t>
            </w:r>
          </w:p>
          <w:p w14:paraId="3BCC00A3" w14:textId="77777777" w:rsidR="00B86204" w:rsidRPr="002F16BB" w:rsidRDefault="00B86204" w:rsidP="00016740">
            <w:pPr>
              <w:pStyle w:val="Tabletext"/>
              <w:spacing w:before="20" w:after="20"/>
              <w:ind w:left="284" w:hanging="284"/>
              <w:rPr>
                <w:sz w:val="18"/>
                <w:szCs w:val="18"/>
                <w:lang w:val="ru-RU"/>
              </w:rPr>
            </w:pPr>
            <w:r w:rsidRPr="002F16BB">
              <w:rPr>
                <w:sz w:val="18"/>
                <w:szCs w:val="18"/>
                <w:lang w:val="ru-RU"/>
              </w:rPr>
              <w:lastRenderedPageBreak/>
              <w:t>2)</w:t>
            </w:r>
            <w:r w:rsidRPr="002F16BB">
              <w:rPr>
                <w:sz w:val="18"/>
                <w:szCs w:val="18"/>
                <w:lang w:val="ru-RU"/>
              </w:rPr>
              <w:tab/>
              <w:t>завершить составление каталога компетенций, в том числе технического характера; это может быть единственной основой для определения внутреннего потенциала существующих ЛР и потребности в дополнительных оперативных навыках, необходимых для соблюдения высоких стандартов службы, желательных для МСЭ.</w:t>
            </w:r>
          </w:p>
        </w:tc>
        <w:tc>
          <w:tcPr>
            <w:tcW w:w="1362" w:type="pct"/>
            <w:tcBorders>
              <w:top w:val="single" w:sz="4" w:space="0" w:color="auto"/>
              <w:left w:val="single" w:sz="4" w:space="0" w:color="auto"/>
              <w:bottom w:val="single" w:sz="4" w:space="0" w:color="auto"/>
              <w:right w:val="single" w:sz="4" w:space="0" w:color="auto"/>
            </w:tcBorders>
          </w:tcPr>
          <w:p w14:paraId="1C413094" w14:textId="77777777" w:rsidR="00B86204" w:rsidRPr="002F16BB" w:rsidRDefault="00B86204" w:rsidP="00016740">
            <w:pPr>
              <w:pStyle w:val="Tabletext"/>
              <w:spacing w:before="20" w:after="20"/>
              <w:rPr>
                <w:sz w:val="18"/>
                <w:szCs w:val="18"/>
                <w:lang w:val="ru-RU"/>
              </w:rPr>
            </w:pPr>
            <w:r w:rsidRPr="002F16BB">
              <w:rPr>
                <w:sz w:val="18"/>
                <w:szCs w:val="18"/>
                <w:lang w:val="ru-RU"/>
              </w:rPr>
              <w:lastRenderedPageBreak/>
              <w:t>Данные рекомендации поддерживаются. Как сказано в связи с рекомендацией 19, проводится анализ существующих процессов и рабочих потоков с целью упорядочения, упрощения и автоматизации этих процессов, а также совершенствования интеграции в среду ERP.</w:t>
            </w:r>
          </w:p>
          <w:p w14:paraId="0BF15C8F" w14:textId="77777777" w:rsidR="00B86204" w:rsidRPr="002F16BB" w:rsidRDefault="00B86204" w:rsidP="00016740">
            <w:pPr>
              <w:pStyle w:val="Tabletext"/>
              <w:spacing w:before="20" w:after="20"/>
              <w:rPr>
                <w:sz w:val="18"/>
                <w:szCs w:val="18"/>
                <w:lang w:val="ru-RU"/>
              </w:rPr>
            </w:pPr>
            <w:r w:rsidRPr="002F16BB">
              <w:rPr>
                <w:sz w:val="18"/>
                <w:szCs w:val="18"/>
                <w:lang w:val="ru-RU"/>
              </w:rPr>
              <w:t xml:space="preserve">Что касается каталога технических компетенций, который является третьим базовым элементом недавно созданной Системы компетенций, завершение его составления представляет собой часть реализации нового Стратегического плана в области ЛР, разработанного для </w:t>
            </w:r>
            <w:r w:rsidRPr="002F16BB">
              <w:rPr>
                <w:sz w:val="18"/>
                <w:szCs w:val="18"/>
                <w:lang w:val="ru-RU"/>
              </w:rPr>
              <w:lastRenderedPageBreak/>
              <w:t>представления на утверждение сессии Совета 2019 года, и частью деятельности по планированию преемственности.</w:t>
            </w:r>
          </w:p>
        </w:tc>
        <w:tc>
          <w:tcPr>
            <w:tcW w:w="1363" w:type="pct"/>
            <w:tcBorders>
              <w:top w:val="single" w:sz="4" w:space="0" w:color="auto"/>
              <w:left w:val="single" w:sz="4" w:space="0" w:color="auto"/>
              <w:bottom w:val="single" w:sz="4" w:space="0" w:color="auto"/>
              <w:right w:val="single" w:sz="4" w:space="0" w:color="auto"/>
            </w:tcBorders>
          </w:tcPr>
          <w:p w14:paraId="457895AB" w14:textId="1A5D533B" w:rsidR="00B86204" w:rsidRPr="002F16BB" w:rsidRDefault="00B86204" w:rsidP="00016740">
            <w:pPr>
              <w:pStyle w:val="Tabletext"/>
              <w:spacing w:before="20" w:after="20"/>
              <w:rPr>
                <w:sz w:val="18"/>
                <w:szCs w:val="18"/>
                <w:lang w:val="ru-RU"/>
              </w:rPr>
            </w:pPr>
            <w:r w:rsidRPr="002F16BB">
              <w:rPr>
                <w:b/>
                <w:bCs/>
                <w:sz w:val="18"/>
                <w:szCs w:val="18"/>
                <w:lang w:val="ru-RU"/>
              </w:rPr>
              <w:lastRenderedPageBreak/>
              <w:t>Обновление, по состоянию на сентябрь 2020</w:t>
            </w:r>
            <w:r w:rsidR="00016740">
              <w:rPr>
                <w:b/>
                <w:bCs/>
                <w:sz w:val="18"/>
                <w:szCs w:val="18"/>
              </w:rPr>
              <w:t> </w:t>
            </w:r>
            <w:r w:rsidRPr="002F16BB">
              <w:rPr>
                <w:b/>
                <w:bCs/>
                <w:sz w:val="18"/>
                <w:szCs w:val="18"/>
                <w:lang w:val="ru-RU"/>
              </w:rPr>
              <w:t>г</w:t>
            </w:r>
            <w:r w:rsidRPr="002F16BB">
              <w:rPr>
                <w:sz w:val="18"/>
                <w:szCs w:val="18"/>
                <w:lang w:val="ru-RU"/>
              </w:rPr>
              <w:t>.:</w:t>
            </w:r>
          </w:p>
          <w:p w14:paraId="3E12920B" w14:textId="77777777" w:rsidR="00B86204" w:rsidRPr="002F16BB" w:rsidRDefault="00B86204" w:rsidP="00016740">
            <w:pPr>
              <w:pStyle w:val="Tabletext"/>
              <w:spacing w:before="20" w:after="20"/>
              <w:ind w:left="284" w:hanging="284"/>
              <w:rPr>
                <w:sz w:val="18"/>
                <w:szCs w:val="18"/>
                <w:lang w:val="ru-RU"/>
              </w:rPr>
            </w:pPr>
            <w:r w:rsidRPr="002F16BB">
              <w:rPr>
                <w:sz w:val="18"/>
                <w:szCs w:val="18"/>
                <w:lang w:val="ru-RU"/>
              </w:rPr>
              <w:t>1)</w:t>
            </w:r>
            <w:r w:rsidRPr="002F16BB">
              <w:rPr>
                <w:sz w:val="18"/>
                <w:szCs w:val="18"/>
                <w:lang w:val="ru-RU"/>
              </w:rPr>
              <w:tab/>
              <w:t>Эта цель полностью включена в проект, упомянутый в отношении рек. 19/2018</w:t>
            </w:r>
            <w:r>
              <w:rPr>
                <w:sz w:val="18"/>
                <w:szCs w:val="18"/>
                <w:lang w:val="ru-RU"/>
              </w:rPr>
              <w:t>.</w:t>
            </w:r>
          </w:p>
          <w:p w14:paraId="6979906D" w14:textId="77777777" w:rsidR="00B86204" w:rsidRPr="002F16BB" w:rsidRDefault="00B86204" w:rsidP="00016740">
            <w:pPr>
              <w:pStyle w:val="Tabletext"/>
              <w:spacing w:before="20" w:after="20"/>
              <w:ind w:left="284" w:hanging="284"/>
              <w:rPr>
                <w:sz w:val="18"/>
                <w:szCs w:val="18"/>
                <w:lang w:val="ru-RU"/>
              </w:rPr>
            </w:pPr>
            <w:r w:rsidRPr="002F16BB">
              <w:rPr>
                <w:sz w:val="18"/>
                <w:szCs w:val="18"/>
                <w:lang w:val="ru-RU"/>
              </w:rPr>
              <w:t>2)</w:t>
            </w:r>
            <w:r w:rsidRPr="002F16BB">
              <w:rPr>
                <w:sz w:val="18"/>
                <w:szCs w:val="18"/>
                <w:lang w:val="ru-RU"/>
              </w:rPr>
              <w:tab/>
            </w:r>
            <w:r w:rsidRPr="002F16BB">
              <w:rPr>
                <w:color w:val="000000"/>
                <w:sz w:val="18"/>
                <w:szCs w:val="18"/>
                <w:lang w:val="ru-RU"/>
              </w:rPr>
              <w:t>Разработка и базового компонента 3 системы компетенций МСЭ завершена</w:t>
            </w:r>
            <w:r w:rsidRPr="002F16BB">
              <w:rPr>
                <w:sz w:val="18"/>
                <w:szCs w:val="18"/>
                <w:lang w:val="ru-RU"/>
              </w:rPr>
              <w:t xml:space="preserve">. Технические компетенции определены </w:t>
            </w:r>
            <w:r w:rsidRPr="002F16BB">
              <w:rPr>
                <w:color w:val="000000"/>
                <w:sz w:val="18"/>
                <w:szCs w:val="18"/>
                <w:lang w:val="ru-RU"/>
              </w:rPr>
              <w:t>и каталогизированы, исходя из основных областей экспертных знаний нашей организации</w:t>
            </w:r>
            <w:r w:rsidRPr="002F16BB">
              <w:rPr>
                <w:sz w:val="18"/>
                <w:szCs w:val="18"/>
                <w:lang w:val="ru-RU"/>
              </w:rPr>
              <w:t xml:space="preserve">. </w:t>
            </w:r>
            <w:r w:rsidRPr="002F16BB">
              <w:rPr>
                <w:color w:val="000000"/>
                <w:sz w:val="18"/>
                <w:szCs w:val="18"/>
                <w:lang w:val="ru-RU"/>
              </w:rPr>
              <w:t>Далее каждая из областей была подразделена по названию должности с приложенным соответствующим перечнем компетенций</w:t>
            </w:r>
            <w:r w:rsidRPr="002F16BB">
              <w:rPr>
                <w:sz w:val="18"/>
                <w:szCs w:val="18"/>
                <w:lang w:val="ru-RU"/>
              </w:rPr>
              <w:t xml:space="preserve">. </w:t>
            </w:r>
            <w:r w:rsidRPr="002F16BB">
              <w:rPr>
                <w:color w:val="000000"/>
                <w:sz w:val="18"/>
                <w:szCs w:val="18"/>
                <w:lang w:val="ru-RU"/>
              </w:rPr>
              <w:t xml:space="preserve">Каталог технических компетенций МСЭ </w:t>
            </w:r>
            <w:r w:rsidRPr="002F16BB">
              <w:rPr>
                <w:color w:val="000000"/>
                <w:sz w:val="18"/>
                <w:szCs w:val="18"/>
                <w:lang w:val="ru-RU"/>
              </w:rPr>
              <w:lastRenderedPageBreak/>
              <w:t>интегрируется в Систему компетенций МСЭ (служебный приказ 18/03) и e-PMDS</w:t>
            </w:r>
            <w:r w:rsidRPr="002F16BB">
              <w:rPr>
                <w:sz w:val="18"/>
                <w:szCs w:val="18"/>
                <w:lang w:val="ru-RU"/>
              </w:rPr>
              <w:t xml:space="preserve">. </w:t>
            </w:r>
            <w:r w:rsidRPr="002F16BB">
              <w:rPr>
                <w:color w:val="000000"/>
                <w:sz w:val="18"/>
                <w:szCs w:val="18"/>
                <w:lang w:val="ru-RU"/>
              </w:rPr>
              <w:t>Все сотрудники, проходящие e</w:t>
            </w:r>
            <w:r>
              <w:rPr>
                <w:color w:val="000000"/>
                <w:sz w:val="18"/>
                <w:szCs w:val="18"/>
                <w:lang w:val="ru-RU"/>
              </w:rPr>
              <w:noBreakHyphen/>
            </w:r>
            <w:r w:rsidRPr="002F16BB">
              <w:rPr>
                <w:color w:val="000000"/>
                <w:sz w:val="18"/>
                <w:szCs w:val="18"/>
                <w:lang w:val="ru-RU"/>
              </w:rPr>
              <w:t>PMDS в 2020 году, будут оцениваться на соответствие этим техническим компетенциям.</w:t>
            </w:r>
          </w:p>
        </w:tc>
        <w:tc>
          <w:tcPr>
            <w:tcW w:w="720" w:type="pct"/>
            <w:tcBorders>
              <w:top w:val="single" w:sz="4" w:space="0" w:color="auto"/>
              <w:left w:val="single" w:sz="4" w:space="0" w:color="auto"/>
              <w:bottom w:val="single" w:sz="4" w:space="0" w:color="auto"/>
              <w:right w:val="single" w:sz="4" w:space="0" w:color="auto"/>
            </w:tcBorders>
          </w:tcPr>
          <w:p w14:paraId="77A69D08" w14:textId="77777777" w:rsidR="00B86204" w:rsidRDefault="00B86204" w:rsidP="00016740">
            <w:pPr>
              <w:pStyle w:val="Tabletext"/>
              <w:spacing w:before="20" w:after="20"/>
              <w:rPr>
                <w:sz w:val="18"/>
                <w:szCs w:val="18"/>
                <w:lang w:val="ru-RU"/>
              </w:rPr>
            </w:pPr>
            <w:r w:rsidRPr="002F16BB">
              <w:rPr>
                <w:sz w:val="18"/>
                <w:szCs w:val="18"/>
                <w:lang w:val="ru-RU"/>
              </w:rPr>
              <w:lastRenderedPageBreak/>
              <w:t xml:space="preserve">Подпункт 1) </w:t>
            </w:r>
          </w:p>
          <w:p w14:paraId="4DE32A46" w14:textId="77777777" w:rsidR="00B86204" w:rsidRPr="002F16BB" w:rsidRDefault="00B86204" w:rsidP="00016740">
            <w:pPr>
              <w:pStyle w:val="Tabletext"/>
              <w:spacing w:before="20" w:after="20"/>
              <w:rPr>
                <w:sz w:val="18"/>
                <w:szCs w:val="18"/>
                <w:lang w:val="ru-RU"/>
              </w:rPr>
            </w:pPr>
            <w:r w:rsidRPr="002F16BB">
              <w:rPr>
                <w:sz w:val="18"/>
                <w:szCs w:val="18"/>
                <w:lang w:val="ru-RU"/>
              </w:rPr>
              <w:t>В процессе выполнения.</w:t>
            </w:r>
          </w:p>
          <w:p w14:paraId="1ED9AEB3" w14:textId="77777777" w:rsidR="00B86204" w:rsidRDefault="00B86204" w:rsidP="00016740">
            <w:pPr>
              <w:pStyle w:val="Tabletext"/>
              <w:spacing w:before="20" w:after="20"/>
              <w:rPr>
                <w:sz w:val="18"/>
                <w:szCs w:val="18"/>
                <w:lang w:val="ru-RU"/>
              </w:rPr>
            </w:pPr>
            <w:r w:rsidRPr="002F16BB">
              <w:rPr>
                <w:sz w:val="18"/>
                <w:szCs w:val="18"/>
                <w:lang w:val="ru-RU"/>
              </w:rPr>
              <w:t xml:space="preserve">Подпункт 2) </w:t>
            </w:r>
          </w:p>
          <w:p w14:paraId="200FD8C1" w14:textId="77777777" w:rsidR="00B86204" w:rsidRPr="002F16BB" w:rsidRDefault="00B86204" w:rsidP="00016740">
            <w:pPr>
              <w:pStyle w:val="Tabletext"/>
              <w:spacing w:before="20" w:after="20"/>
              <w:rPr>
                <w:sz w:val="18"/>
                <w:szCs w:val="18"/>
                <w:lang w:val="ru-RU"/>
              </w:rPr>
            </w:pPr>
            <w:r w:rsidRPr="002F16BB">
              <w:rPr>
                <w:sz w:val="18"/>
                <w:szCs w:val="18"/>
                <w:lang w:val="ru-RU" w:eastAsia="it-IT"/>
              </w:rPr>
              <w:t>Выполнено</w:t>
            </w:r>
            <w:r>
              <w:rPr>
                <w:sz w:val="18"/>
                <w:szCs w:val="18"/>
                <w:lang w:val="ru-RU" w:eastAsia="it-IT"/>
              </w:rPr>
              <w:t>.</w:t>
            </w:r>
          </w:p>
        </w:tc>
      </w:tr>
      <w:tr w:rsidR="00B86204" w:rsidRPr="00FE280E" w14:paraId="513C2210" w14:textId="77777777" w:rsidTr="00016740">
        <w:tc>
          <w:tcPr>
            <w:tcW w:w="339" w:type="pct"/>
            <w:tcBorders>
              <w:top w:val="single" w:sz="4" w:space="0" w:color="auto"/>
              <w:left w:val="single" w:sz="4" w:space="0" w:color="auto"/>
              <w:bottom w:val="single" w:sz="4" w:space="0" w:color="auto"/>
              <w:right w:val="single" w:sz="4" w:space="0" w:color="auto"/>
            </w:tcBorders>
          </w:tcPr>
          <w:p w14:paraId="2F4BBBF1" w14:textId="77777777" w:rsidR="00B86204" w:rsidRPr="002F16BB" w:rsidRDefault="00B86204" w:rsidP="00016740">
            <w:pPr>
              <w:pStyle w:val="Tabletext"/>
              <w:spacing w:before="20" w:after="20"/>
              <w:jc w:val="center"/>
              <w:rPr>
                <w:sz w:val="18"/>
                <w:szCs w:val="18"/>
                <w:lang w:val="ru-RU"/>
              </w:rPr>
            </w:pPr>
            <w:r w:rsidRPr="002F16BB">
              <w:rPr>
                <w:b/>
                <w:sz w:val="18"/>
                <w:szCs w:val="18"/>
                <w:lang w:val="ru-RU" w:eastAsia="it-IT"/>
              </w:rPr>
              <w:t>Рек. 21/2018</w:t>
            </w:r>
          </w:p>
        </w:tc>
        <w:tc>
          <w:tcPr>
            <w:tcW w:w="1216" w:type="pct"/>
            <w:tcBorders>
              <w:top w:val="single" w:sz="4" w:space="0" w:color="auto"/>
              <w:left w:val="single" w:sz="4" w:space="0" w:color="auto"/>
              <w:bottom w:val="single" w:sz="4" w:space="0" w:color="auto"/>
              <w:right w:val="single" w:sz="4" w:space="0" w:color="auto"/>
            </w:tcBorders>
          </w:tcPr>
          <w:p w14:paraId="0775CE91" w14:textId="77777777" w:rsidR="00B86204" w:rsidRPr="002F16BB" w:rsidRDefault="00B86204" w:rsidP="00016740">
            <w:pPr>
              <w:pStyle w:val="Tabletext"/>
              <w:spacing w:before="20" w:after="20"/>
              <w:rPr>
                <w:sz w:val="18"/>
                <w:szCs w:val="18"/>
                <w:lang w:val="ru-RU"/>
              </w:rPr>
            </w:pPr>
            <w:r w:rsidRPr="002F16BB">
              <w:rPr>
                <w:sz w:val="18"/>
                <w:szCs w:val="18"/>
                <w:lang w:val="ru-RU"/>
              </w:rPr>
              <w:t>Ввиду этого мы рекомендуем сотруднику по вопросам этики обеспечить надлежащую степень конфиденциальности посредством укрепления защиты личности сотрудника, сообщающего о нарушении.</w:t>
            </w:r>
          </w:p>
        </w:tc>
        <w:tc>
          <w:tcPr>
            <w:tcW w:w="1362" w:type="pct"/>
            <w:tcBorders>
              <w:top w:val="single" w:sz="4" w:space="0" w:color="auto"/>
              <w:left w:val="single" w:sz="4" w:space="0" w:color="auto"/>
              <w:bottom w:val="single" w:sz="4" w:space="0" w:color="auto"/>
              <w:right w:val="single" w:sz="4" w:space="0" w:color="auto"/>
            </w:tcBorders>
          </w:tcPr>
          <w:p w14:paraId="4D824520" w14:textId="77777777" w:rsidR="00B86204" w:rsidRPr="002F16BB" w:rsidRDefault="00B86204" w:rsidP="00016740">
            <w:pPr>
              <w:pStyle w:val="Tabletext"/>
              <w:spacing w:before="20" w:after="20"/>
              <w:rPr>
                <w:sz w:val="18"/>
                <w:szCs w:val="18"/>
                <w:lang w:val="ru-RU"/>
              </w:rPr>
            </w:pPr>
            <w:r w:rsidRPr="002F16BB">
              <w:rPr>
                <w:sz w:val="18"/>
                <w:szCs w:val="18"/>
                <w:lang w:val="ru-RU"/>
              </w:rPr>
              <w:t>Степень конфиденциальности, которую организация может гарантировать в связи с личностью сотрудника, сообщающего о нарушении, установлена в соответствующих юридических текстах МСЭ и должна оцениваться, принимая во внимание также другие обязательства, налагаемые на организацию, в ходе процесса расследования и дисциплинарных мер, в частности в отношении надлежащей процедуры и соблюдения права на защиту всех сторон, участвующих в том или ином конкретном случае (подозреваемых в правонарушениях, правонарушителей, свидетелей…).</w:t>
            </w:r>
          </w:p>
          <w:p w14:paraId="19A2BC29" w14:textId="77777777" w:rsidR="00B86204" w:rsidRPr="002F16BB" w:rsidRDefault="00B86204" w:rsidP="00016740">
            <w:pPr>
              <w:pStyle w:val="Tabletext"/>
              <w:spacing w:before="20" w:after="20"/>
              <w:rPr>
                <w:sz w:val="18"/>
                <w:szCs w:val="18"/>
                <w:lang w:val="ru-RU"/>
              </w:rPr>
            </w:pPr>
            <w:r w:rsidRPr="002F16BB">
              <w:rPr>
                <w:sz w:val="18"/>
                <w:szCs w:val="18"/>
                <w:lang w:val="ru-RU"/>
              </w:rPr>
              <w:t xml:space="preserve">В Служебном приказе 11/04 о политике МСЭ по защите персонала от мести за сообщения о неправомерном поведении устанавливается, что защита личности сотрудника, сообщающего о неправомерном поведении или сотрудничающего с должным образом уполномоченным должностным лицом при аудиторском расследовании, будет осуществляться в возможной степени в рамках законных потребностей Регламента и правил МСЭ, требований, связанных с расследованием, а также обязанностью организации соблюдать принцип надлежащей процедуры. Если такой сотрудник сам раскроет свою личность, МСЭ не будет обязан сохранять конфиденциальность. Наряду с этим </w:t>
            </w:r>
            <w:r w:rsidRPr="002F16BB">
              <w:rPr>
                <w:sz w:val="18"/>
                <w:szCs w:val="18"/>
                <w:lang w:val="ru-RU"/>
              </w:rPr>
              <w:lastRenderedPageBreak/>
              <w:t xml:space="preserve">в Служебном приказе 19/10 в руководящих указаниях по проведению расследования также устанавливаются принципы конфиденциальности, в </w:t>
            </w:r>
            <w:proofErr w:type="spellStart"/>
            <w:r w:rsidRPr="002F16BB">
              <w:rPr>
                <w:sz w:val="18"/>
                <w:szCs w:val="18"/>
                <w:lang w:val="ru-RU"/>
              </w:rPr>
              <w:t>пп</w:t>
            </w:r>
            <w:proofErr w:type="spellEnd"/>
            <w:r w:rsidRPr="002F16BB">
              <w:rPr>
                <w:sz w:val="18"/>
                <w:szCs w:val="18"/>
                <w:lang w:val="ru-RU"/>
              </w:rPr>
              <w:t>. 8–11. В частности, устанавливается, что несанкционированное раскрытие личности подавшего жалобу, лица, в отношении которого проводится расследование, или свидетеля, любой другой относящейся к расследованию информации или любой другой информации, которую действующий или бывший персонал МСЭ мог получить в связи с процессом расследования, является нарушением конфиденциальности и может повлечь за собой административные меры, в том числе дисциплинарные меры в соответствии с надлежащими положениями Положений о персонале и Правил о персонале МСЭ.</w:t>
            </w:r>
          </w:p>
        </w:tc>
        <w:tc>
          <w:tcPr>
            <w:tcW w:w="1363" w:type="pct"/>
            <w:tcBorders>
              <w:top w:val="single" w:sz="4" w:space="0" w:color="auto"/>
              <w:left w:val="single" w:sz="4" w:space="0" w:color="auto"/>
              <w:bottom w:val="single" w:sz="4" w:space="0" w:color="auto"/>
              <w:right w:val="single" w:sz="4" w:space="0" w:color="auto"/>
            </w:tcBorders>
          </w:tcPr>
          <w:p w14:paraId="13193B14" w14:textId="2D5F1A0D" w:rsidR="00B86204" w:rsidRPr="002F16BB" w:rsidRDefault="00B86204" w:rsidP="00016740">
            <w:pPr>
              <w:pStyle w:val="Tabletext"/>
              <w:spacing w:before="20" w:after="20"/>
              <w:rPr>
                <w:sz w:val="18"/>
                <w:szCs w:val="18"/>
                <w:lang w:val="ru-RU"/>
              </w:rPr>
            </w:pPr>
            <w:r w:rsidRPr="002F16BB">
              <w:rPr>
                <w:b/>
                <w:bCs/>
                <w:sz w:val="18"/>
                <w:szCs w:val="18"/>
                <w:lang w:val="ru-RU"/>
              </w:rPr>
              <w:lastRenderedPageBreak/>
              <w:t>Обновление, по состоянию на сентябрь 2020</w:t>
            </w:r>
            <w:r w:rsidR="00016740">
              <w:rPr>
                <w:b/>
                <w:bCs/>
                <w:sz w:val="18"/>
                <w:szCs w:val="18"/>
              </w:rPr>
              <w:t> </w:t>
            </w:r>
            <w:r w:rsidRPr="002F16BB">
              <w:rPr>
                <w:b/>
                <w:bCs/>
                <w:sz w:val="18"/>
                <w:szCs w:val="18"/>
                <w:lang w:val="ru-RU"/>
              </w:rPr>
              <w:t>г</w:t>
            </w:r>
            <w:r w:rsidRPr="002F16BB">
              <w:rPr>
                <w:sz w:val="18"/>
                <w:szCs w:val="18"/>
                <w:lang w:val="ru-RU"/>
              </w:rPr>
              <w:t>.:</w:t>
            </w:r>
          </w:p>
          <w:p w14:paraId="49FC1AFF" w14:textId="77777777" w:rsidR="00B86204" w:rsidRPr="002F16BB" w:rsidRDefault="00B86204" w:rsidP="00016740">
            <w:pPr>
              <w:pStyle w:val="Tabletext"/>
              <w:spacing w:before="20" w:after="20"/>
              <w:rPr>
                <w:sz w:val="18"/>
                <w:szCs w:val="18"/>
                <w:lang w:val="ru-RU"/>
              </w:rPr>
            </w:pPr>
            <w:r w:rsidRPr="002F16BB">
              <w:rPr>
                <w:sz w:val="18"/>
                <w:szCs w:val="18"/>
                <w:lang w:val="ru-RU"/>
              </w:rPr>
              <w:t>Новый служебный приказ 20/06 "Политика и защита в отношении уведомлений о случаях неправомерных действий (Информирование о</w:t>
            </w:r>
            <w:r>
              <w:rPr>
                <w:sz w:val="18"/>
                <w:szCs w:val="18"/>
                <w:lang w:val="ru-RU"/>
              </w:rPr>
              <w:t> </w:t>
            </w:r>
            <w:r w:rsidRPr="002F16BB">
              <w:rPr>
                <w:sz w:val="18"/>
                <w:szCs w:val="18"/>
                <w:lang w:val="ru-RU"/>
              </w:rPr>
              <w:t xml:space="preserve">нарушениях)", был обнародован в сентябре 2020 года. В служебном приказе 20/06 содержатся более жесткие </w:t>
            </w:r>
            <w:proofErr w:type="spellStart"/>
            <w:r w:rsidRPr="002F16BB">
              <w:rPr>
                <w:sz w:val="18"/>
                <w:szCs w:val="18"/>
                <w:lang w:val="ru-RU"/>
              </w:rPr>
              <w:t>регламентарные</w:t>
            </w:r>
            <w:proofErr w:type="spellEnd"/>
            <w:r w:rsidRPr="002F16BB">
              <w:rPr>
                <w:sz w:val="18"/>
                <w:szCs w:val="18"/>
                <w:lang w:val="ru-RU"/>
              </w:rPr>
              <w:t xml:space="preserve"> положения с описанием конфиденциальности, обеспечиваемой </w:t>
            </w:r>
            <w:r w:rsidRPr="002F16BB">
              <w:rPr>
                <w:color w:val="000000"/>
                <w:sz w:val="18"/>
                <w:szCs w:val="18"/>
                <w:lang w:val="ru-RU"/>
              </w:rPr>
              <w:t>сотрудникам, сообщающим о</w:t>
            </w:r>
            <w:r>
              <w:rPr>
                <w:color w:val="000000"/>
                <w:sz w:val="18"/>
                <w:szCs w:val="18"/>
                <w:lang w:val="ru-RU"/>
              </w:rPr>
              <w:t> </w:t>
            </w:r>
            <w:r w:rsidRPr="002F16BB">
              <w:rPr>
                <w:color w:val="000000"/>
                <w:sz w:val="18"/>
                <w:szCs w:val="18"/>
                <w:lang w:val="ru-RU"/>
              </w:rPr>
              <w:t>нарушениях, в целях обеспечения</w:t>
            </w:r>
            <w:r w:rsidRPr="002F16BB">
              <w:rPr>
                <w:sz w:val="18"/>
                <w:szCs w:val="18"/>
                <w:lang w:val="ru-RU"/>
              </w:rPr>
              <w:t xml:space="preserve"> им </w:t>
            </w:r>
            <w:r w:rsidRPr="002F16BB">
              <w:rPr>
                <w:color w:val="000000"/>
                <w:sz w:val="18"/>
                <w:szCs w:val="18"/>
                <w:lang w:val="ru-RU"/>
              </w:rPr>
              <w:t>надлежащей степени конфиденциальности, необходимой для усиления защиты личности сотрудника, сообщающего о нарушении, и обеспечения</w:t>
            </w:r>
            <w:r w:rsidRPr="002F16BB">
              <w:rPr>
                <w:sz w:val="18"/>
                <w:szCs w:val="18"/>
                <w:lang w:val="ru-RU"/>
              </w:rPr>
              <w:t xml:space="preserve"> </w:t>
            </w:r>
            <w:r w:rsidRPr="002F16BB">
              <w:rPr>
                <w:color w:val="000000"/>
                <w:sz w:val="18"/>
                <w:szCs w:val="18"/>
                <w:lang w:val="ru-RU"/>
              </w:rPr>
              <w:t>надлежащей степени конфиденциальности на случай</w:t>
            </w:r>
            <w:r w:rsidRPr="002F16BB">
              <w:rPr>
                <w:sz w:val="18"/>
                <w:szCs w:val="18"/>
                <w:lang w:val="ru-RU"/>
              </w:rPr>
              <w:t xml:space="preserve"> возможного поступления запросов со стороны судебных органов.</w:t>
            </w:r>
          </w:p>
        </w:tc>
        <w:tc>
          <w:tcPr>
            <w:tcW w:w="720" w:type="pct"/>
            <w:tcBorders>
              <w:top w:val="single" w:sz="4" w:space="0" w:color="auto"/>
              <w:left w:val="single" w:sz="4" w:space="0" w:color="auto"/>
              <w:bottom w:val="single" w:sz="4" w:space="0" w:color="auto"/>
              <w:right w:val="single" w:sz="4" w:space="0" w:color="auto"/>
            </w:tcBorders>
          </w:tcPr>
          <w:p w14:paraId="67A49355" w14:textId="77777777" w:rsidR="00B86204" w:rsidRPr="002F16BB" w:rsidRDefault="00B86204" w:rsidP="00016740">
            <w:pPr>
              <w:pStyle w:val="Tabletext"/>
              <w:spacing w:before="20" w:after="20"/>
              <w:rPr>
                <w:sz w:val="18"/>
                <w:szCs w:val="18"/>
                <w:lang w:val="ru-RU"/>
              </w:rPr>
            </w:pPr>
            <w:r w:rsidRPr="002F16BB">
              <w:rPr>
                <w:sz w:val="18"/>
                <w:szCs w:val="18"/>
                <w:lang w:val="ru-RU"/>
              </w:rPr>
              <w:t>В процессе выполнения.</w:t>
            </w:r>
          </w:p>
          <w:p w14:paraId="2FB516E5" w14:textId="58AD1557" w:rsidR="00B86204" w:rsidRPr="002F16BB" w:rsidRDefault="00B86204" w:rsidP="00016740">
            <w:pPr>
              <w:pStyle w:val="Tabletext"/>
              <w:spacing w:before="20" w:after="20"/>
              <w:rPr>
                <w:sz w:val="18"/>
                <w:szCs w:val="18"/>
                <w:lang w:val="ru-RU"/>
              </w:rPr>
            </w:pPr>
            <w:r w:rsidRPr="002F16BB">
              <w:rPr>
                <w:sz w:val="18"/>
                <w:szCs w:val="18"/>
                <w:lang w:val="ru-RU"/>
              </w:rPr>
              <w:t>(заменена рекомендацией</w:t>
            </w:r>
            <w:r w:rsidR="00016740">
              <w:rPr>
                <w:sz w:val="18"/>
                <w:szCs w:val="18"/>
              </w:rPr>
              <w:t> </w:t>
            </w:r>
            <w:r w:rsidRPr="002F16BB">
              <w:rPr>
                <w:sz w:val="18"/>
                <w:szCs w:val="18"/>
                <w:lang w:val="ru-RU"/>
              </w:rPr>
              <w:t>7/2019)</w:t>
            </w:r>
          </w:p>
        </w:tc>
      </w:tr>
      <w:tr w:rsidR="00B86204" w:rsidRPr="002F16BB" w14:paraId="302077BD" w14:textId="77777777" w:rsidTr="00016740">
        <w:tc>
          <w:tcPr>
            <w:tcW w:w="339" w:type="pct"/>
            <w:tcBorders>
              <w:top w:val="single" w:sz="4" w:space="0" w:color="auto"/>
              <w:left w:val="single" w:sz="4" w:space="0" w:color="auto"/>
              <w:bottom w:val="single" w:sz="4" w:space="0" w:color="auto"/>
              <w:right w:val="single" w:sz="4" w:space="0" w:color="auto"/>
            </w:tcBorders>
          </w:tcPr>
          <w:p w14:paraId="0AF3959C" w14:textId="77777777" w:rsidR="00B86204" w:rsidRPr="002F16BB" w:rsidRDefault="00B86204" w:rsidP="00016740">
            <w:pPr>
              <w:pStyle w:val="Tabletext"/>
              <w:spacing w:before="20" w:after="20"/>
              <w:jc w:val="center"/>
              <w:rPr>
                <w:rFonts w:cs="Calibri"/>
                <w:b/>
                <w:sz w:val="18"/>
                <w:szCs w:val="18"/>
                <w:lang w:val="ru-RU" w:eastAsia="it-IT"/>
              </w:rPr>
            </w:pPr>
            <w:r w:rsidRPr="002F16BB">
              <w:rPr>
                <w:rFonts w:cs="Calibri"/>
                <w:b/>
                <w:sz w:val="18"/>
                <w:szCs w:val="18"/>
                <w:lang w:val="ru-RU" w:eastAsia="it-IT"/>
              </w:rPr>
              <w:t>Рек. 22/2018</w:t>
            </w:r>
          </w:p>
        </w:tc>
        <w:tc>
          <w:tcPr>
            <w:tcW w:w="1216" w:type="pct"/>
            <w:tcBorders>
              <w:top w:val="single" w:sz="4" w:space="0" w:color="auto"/>
              <w:left w:val="single" w:sz="4" w:space="0" w:color="auto"/>
              <w:bottom w:val="single" w:sz="4" w:space="0" w:color="auto"/>
              <w:right w:val="single" w:sz="4" w:space="0" w:color="auto"/>
            </w:tcBorders>
          </w:tcPr>
          <w:p w14:paraId="3DBF3453"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rPr>
              <w:t>Мы также рекомендуем в срочном порядке подготовить видимую часть общедоступного веб-сайта МСЭ, которая была бы выделена для связи сотрудников, сообщающих о нарушениях, со специально отобранным персоналом, например с сотрудником по вопросам этики, и содействовала бы такой связи.</w:t>
            </w:r>
          </w:p>
        </w:tc>
        <w:tc>
          <w:tcPr>
            <w:tcW w:w="1362" w:type="pct"/>
            <w:tcBorders>
              <w:top w:val="single" w:sz="4" w:space="0" w:color="auto"/>
              <w:left w:val="single" w:sz="4" w:space="0" w:color="auto"/>
              <w:bottom w:val="single" w:sz="4" w:space="0" w:color="auto"/>
              <w:right w:val="single" w:sz="4" w:space="0" w:color="auto"/>
            </w:tcBorders>
          </w:tcPr>
          <w:p w14:paraId="6B4725E6" w14:textId="77777777" w:rsidR="00B86204" w:rsidRPr="002F16BB" w:rsidRDefault="00B86204" w:rsidP="00016740">
            <w:pPr>
              <w:pStyle w:val="Tabletext"/>
              <w:spacing w:before="20" w:after="20"/>
              <w:rPr>
                <w:rFonts w:cs="Calibri"/>
                <w:sz w:val="18"/>
                <w:szCs w:val="18"/>
                <w:lang w:val="ru-RU" w:eastAsia="it-IT"/>
              </w:rPr>
            </w:pPr>
            <w:r w:rsidRPr="002F16BB">
              <w:rPr>
                <w:rFonts w:cs="Calibri"/>
                <w:sz w:val="18"/>
                <w:szCs w:val="18"/>
                <w:lang w:val="ru-RU" w:eastAsia="it-IT"/>
              </w:rPr>
              <w:t>Информация по управлению по вопросам этики и касающейся этики политике МСЭ размещена на внешнем веб-сайте МСЭ (</w:t>
            </w:r>
            <w:r w:rsidR="00FE280E">
              <w:fldChar w:fldCharType="begin"/>
            </w:r>
            <w:r w:rsidR="00FE280E" w:rsidRPr="00FE280E">
              <w:rPr>
                <w:lang w:val="ru-RU"/>
              </w:rPr>
              <w:instrText xml:space="preserve"> </w:instrText>
            </w:r>
            <w:r w:rsidR="00FE280E">
              <w:instrText>HYPERLINK</w:instrText>
            </w:r>
            <w:r w:rsidR="00FE280E" w:rsidRPr="00FE280E">
              <w:rPr>
                <w:lang w:val="ru-RU"/>
              </w:rPr>
              <w:instrText xml:space="preserve"> "</w:instrText>
            </w:r>
            <w:r w:rsidR="00FE280E">
              <w:instrText>https</w:instrText>
            </w:r>
            <w:r w:rsidR="00FE280E" w:rsidRPr="00FE280E">
              <w:rPr>
                <w:lang w:val="ru-RU"/>
              </w:rPr>
              <w:instrText>://</w:instrText>
            </w:r>
            <w:r w:rsidR="00FE280E">
              <w:instrText>www</w:instrText>
            </w:r>
            <w:r w:rsidR="00FE280E" w:rsidRPr="00FE280E">
              <w:rPr>
                <w:lang w:val="ru-RU"/>
              </w:rPr>
              <w:instrText>.</w:instrText>
            </w:r>
            <w:r w:rsidR="00FE280E">
              <w:instrText>itu</w:instrText>
            </w:r>
            <w:r w:rsidR="00FE280E" w:rsidRPr="00FE280E">
              <w:rPr>
                <w:lang w:val="ru-RU"/>
              </w:rPr>
              <w:instrText>.</w:instrText>
            </w:r>
            <w:r w:rsidR="00FE280E">
              <w:instrText>int</w:instrText>
            </w:r>
            <w:r w:rsidR="00FE280E" w:rsidRPr="00FE280E">
              <w:rPr>
                <w:lang w:val="ru-RU"/>
              </w:rPr>
              <w:instrText>/</w:instrText>
            </w:r>
            <w:r w:rsidR="00FE280E">
              <w:instrText>en</w:instrText>
            </w:r>
            <w:r w:rsidR="00FE280E" w:rsidRPr="00FE280E">
              <w:rPr>
                <w:lang w:val="ru-RU"/>
              </w:rPr>
              <w:instrText>/</w:instrText>
            </w:r>
            <w:r w:rsidR="00FE280E">
              <w:instrText>general</w:instrText>
            </w:r>
            <w:r w:rsidR="00FE280E" w:rsidRPr="00FE280E">
              <w:rPr>
                <w:lang w:val="ru-RU"/>
              </w:rPr>
              <w:instrText>-</w:instrText>
            </w:r>
            <w:r w:rsidR="00FE280E">
              <w:instrText>secretariat</w:instrText>
            </w:r>
            <w:r w:rsidR="00FE280E" w:rsidRPr="00FE280E">
              <w:rPr>
                <w:lang w:val="ru-RU"/>
              </w:rPr>
              <w:instrText>/</w:instrText>
            </w:r>
            <w:r w:rsidR="00FE280E">
              <w:instrText>Pages</w:instrText>
            </w:r>
            <w:r w:rsidR="00FE280E" w:rsidRPr="00FE280E">
              <w:rPr>
                <w:lang w:val="ru-RU"/>
              </w:rPr>
              <w:instrText>/</w:instrText>
            </w:r>
            <w:r w:rsidR="00FE280E">
              <w:instrText>ethics</w:instrText>
            </w:r>
            <w:r w:rsidR="00FE280E" w:rsidRPr="00FE280E">
              <w:rPr>
                <w:lang w:val="ru-RU"/>
              </w:rPr>
              <w:instrText>.</w:instrText>
            </w:r>
            <w:r w:rsidR="00FE280E">
              <w:instrText>aspx</w:instrText>
            </w:r>
            <w:r w:rsidR="00FE280E" w:rsidRPr="00FE280E">
              <w:rPr>
                <w:lang w:val="ru-RU"/>
              </w:rPr>
              <w:instrText xml:space="preserve">" </w:instrText>
            </w:r>
            <w:r w:rsidR="00FE280E">
              <w:fldChar w:fldCharType="separate"/>
            </w:r>
            <w:r w:rsidRPr="002F16BB">
              <w:rPr>
                <w:rStyle w:val="Hyperlink"/>
                <w:rFonts w:cs="Calibri"/>
                <w:sz w:val="18"/>
                <w:szCs w:val="18"/>
                <w:lang w:val="ru-RU" w:eastAsia="it-IT"/>
              </w:rPr>
              <w:t>https://www.itu.int/en/general-secretariat/Pages/ethics.aspx</w:t>
            </w:r>
            <w:r w:rsidR="00FE280E">
              <w:rPr>
                <w:rStyle w:val="Hyperlink"/>
                <w:rFonts w:cs="Calibri"/>
                <w:sz w:val="18"/>
                <w:szCs w:val="18"/>
                <w:lang w:val="ru-RU" w:eastAsia="it-IT"/>
              </w:rPr>
              <w:fldChar w:fldCharType="end"/>
            </w:r>
            <w:r w:rsidRPr="002F16BB">
              <w:rPr>
                <w:rFonts w:cs="Calibri"/>
                <w:sz w:val="18"/>
                <w:szCs w:val="18"/>
                <w:lang w:val="ru-RU" w:eastAsia="it-IT"/>
              </w:rPr>
              <w:t>).</w:t>
            </w:r>
          </w:p>
          <w:p w14:paraId="2385C8EA"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eastAsia="it-IT"/>
              </w:rPr>
              <w:t>Вместе с тем вопрос о большей открытости для посетителей извне будет рассмотрен.</w:t>
            </w:r>
          </w:p>
        </w:tc>
        <w:tc>
          <w:tcPr>
            <w:tcW w:w="1363" w:type="pct"/>
            <w:tcBorders>
              <w:top w:val="single" w:sz="4" w:space="0" w:color="auto"/>
              <w:left w:val="single" w:sz="4" w:space="0" w:color="auto"/>
              <w:bottom w:val="single" w:sz="4" w:space="0" w:color="auto"/>
              <w:right w:val="single" w:sz="4" w:space="0" w:color="auto"/>
            </w:tcBorders>
          </w:tcPr>
          <w:p w14:paraId="5E798343" w14:textId="5F5D0272" w:rsidR="00B86204" w:rsidRPr="002F16BB" w:rsidRDefault="00B86204" w:rsidP="00016740">
            <w:pPr>
              <w:pStyle w:val="Tabletext"/>
              <w:spacing w:before="20" w:after="20"/>
              <w:rPr>
                <w:rFonts w:cs="Calibri"/>
                <w:sz w:val="18"/>
                <w:szCs w:val="18"/>
                <w:lang w:val="ru-RU"/>
              </w:rPr>
            </w:pPr>
            <w:r w:rsidRPr="002F16BB">
              <w:rPr>
                <w:b/>
                <w:bCs/>
                <w:sz w:val="18"/>
                <w:szCs w:val="18"/>
                <w:lang w:val="ru-RU"/>
              </w:rPr>
              <w:t>Обновление, по состоянию на сентябрь 2020</w:t>
            </w:r>
            <w:r w:rsidR="00016740">
              <w:rPr>
                <w:b/>
                <w:bCs/>
                <w:sz w:val="18"/>
                <w:szCs w:val="18"/>
              </w:rPr>
              <w:t> </w:t>
            </w:r>
            <w:r w:rsidRPr="002F16BB">
              <w:rPr>
                <w:b/>
                <w:bCs/>
                <w:sz w:val="18"/>
                <w:szCs w:val="18"/>
                <w:lang w:val="ru-RU"/>
              </w:rPr>
              <w:t>г</w:t>
            </w:r>
            <w:r w:rsidRPr="002F16BB">
              <w:rPr>
                <w:sz w:val="18"/>
                <w:szCs w:val="18"/>
                <w:lang w:val="ru-RU"/>
              </w:rPr>
              <w:t>.:</w:t>
            </w:r>
          </w:p>
          <w:p w14:paraId="76AD7B67"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rPr>
              <w:t xml:space="preserve">Помимо внешней </w:t>
            </w:r>
            <w:r w:rsidRPr="002F16BB">
              <w:rPr>
                <w:color w:val="000000"/>
                <w:sz w:val="18"/>
                <w:szCs w:val="18"/>
                <w:lang w:val="ru-RU"/>
              </w:rPr>
              <w:t>веб-страницы по этике,</w:t>
            </w:r>
            <w:r w:rsidRPr="002F16BB">
              <w:rPr>
                <w:rFonts w:cs="Calibri"/>
                <w:sz w:val="18"/>
                <w:szCs w:val="18"/>
                <w:lang w:val="ru-RU"/>
              </w:rPr>
              <w:t xml:space="preserve"> на которой содержится и</w:t>
            </w:r>
            <w:r w:rsidRPr="002F16BB">
              <w:rPr>
                <w:color w:val="000000"/>
                <w:sz w:val="18"/>
                <w:szCs w:val="18"/>
                <w:lang w:val="ru-RU"/>
              </w:rPr>
              <w:t>нформация о политике МСЭ в отношении этики, а также контактная информация, относящаяся к Управлению по вопросам этики</w:t>
            </w:r>
            <w:r w:rsidRPr="002F16BB">
              <w:rPr>
                <w:rFonts w:cs="Calibri"/>
                <w:sz w:val="18"/>
                <w:szCs w:val="18"/>
                <w:lang w:val="ru-RU"/>
              </w:rPr>
              <w:t xml:space="preserve">, в МСЭ теперь существует горячая линия для связи отдельных лиц с </w:t>
            </w:r>
            <w:r w:rsidRPr="002F16BB">
              <w:rPr>
                <w:color w:val="000000"/>
                <w:sz w:val="18"/>
                <w:szCs w:val="18"/>
                <w:lang w:val="ru-RU"/>
              </w:rPr>
              <w:t>Управлением по вопросам этики</w:t>
            </w:r>
            <w:r w:rsidRPr="002F16BB">
              <w:rPr>
                <w:rFonts w:cs="Calibri"/>
                <w:sz w:val="18"/>
                <w:szCs w:val="18"/>
                <w:lang w:val="ru-RU"/>
              </w:rPr>
              <w:t xml:space="preserve"> с использованием частной, зашифрованной </w:t>
            </w:r>
            <w:r w:rsidRPr="002F16BB">
              <w:rPr>
                <w:color w:val="000000"/>
                <w:sz w:val="18"/>
                <w:szCs w:val="18"/>
                <w:lang w:val="ru-RU"/>
              </w:rPr>
              <w:t>учетной записи электронной почты</w:t>
            </w:r>
            <w:r w:rsidRPr="002F16BB">
              <w:rPr>
                <w:rFonts w:cs="Calibri"/>
                <w:sz w:val="18"/>
                <w:szCs w:val="18"/>
                <w:lang w:val="ru-RU"/>
              </w:rPr>
              <w:t xml:space="preserve">, </w:t>
            </w:r>
            <w:r w:rsidRPr="002F16BB">
              <w:rPr>
                <w:sz w:val="18"/>
                <w:szCs w:val="18"/>
                <w:lang w:val="ru-RU"/>
              </w:rPr>
              <w:t>размещенной на независимом</w:t>
            </w:r>
            <w:r w:rsidRPr="002F16BB">
              <w:rPr>
                <w:rFonts w:cs="Calibri"/>
                <w:sz w:val="18"/>
                <w:szCs w:val="18"/>
                <w:lang w:val="ru-RU"/>
              </w:rPr>
              <w:t xml:space="preserve"> (</w:t>
            </w:r>
            <w:r w:rsidRPr="002F16BB">
              <w:rPr>
                <w:sz w:val="18"/>
                <w:szCs w:val="18"/>
                <w:lang w:val="ru-RU"/>
              </w:rPr>
              <w:t>не относящемся к МСЭ</w:t>
            </w:r>
            <w:r w:rsidRPr="002F16BB">
              <w:rPr>
                <w:rFonts w:cs="Calibri"/>
                <w:sz w:val="18"/>
                <w:szCs w:val="18"/>
                <w:lang w:val="ru-RU"/>
              </w:rPr>
              <w:t>) сервере. На каждой веб-странице МСЭ имеется также с</w:t>
            </w:r>
            <w:r w:rsidRPr="002F16BB">
              <w:rPr>
                <w:sz w:val="18"/>
                <w:szCs w:val="18"/>
                <w:lang w:val="ru-RU"/>
              </w:rPr>
              <w:t>сылка "</w:t>
            </w:r>
            <w:r w:rsidRPr="002F16BB">
              <w:rPr>
                <w:color w:val="000000"/>
                <w:sz w:val="18"/>
                <w:szCs w:val="18"/>
                <w:lang w:val="ru-RU"/>
              </w:rPr>
              <w:t>сообщения о</w:t>
            </w:r>
            <w:r>
              <w:rPr>
                <w:color w:val="000000"/>
                <w:sz w:val="18"/>
                <w:szCs w:val="18"/>
                <w:lang w:val="ru-RU"/>
              </w:rPr>
              <w:t> </w:t>
            </w:r>
            <w:r w:rsidRPr="002F16BB">
              <w:rPr>
                <w:color w:val="000000"/>
                <w:sz w:val="18"/>
                <w:szCs w:val="18"/>
                <w:lang w:val="ru-RU"/>
              </w:rPr>
              <w:t>неправомерном поведении", которая отправляет пользователей к контактным данным горячей линии</w:t>
            </w:r>
            <w:r w:rsidRPr="002F16BB">
              <w:rPr>
                <w:rFonts w:cs="Calibri"/>
                <w:sz w:val="18"/>
                <w:szCs w:val="18"/>
                <w:lang w:val="ru-RU"/>
              </w:rPr>
              <w:t>.</w:t>
            </w:r>
          </w:p>
        </w:tc>
        <w:tc>
          <w:tcPr>
            <w:tcW w:w="720" w:type="pct"/>
            <w:tcBorders>
              <w:top w:val="single" w:sz="4" w:space="0" w:color="auto"/>
              <w:left w:val="single" w:sz="4" w:space="0" w:color="auto"/>
              <w:bottom w:val="single" w:sz="4" w:space="0" w:color="auto"/>
              <w:right w:val="single" w:sz="4" w:space="0" w:color="auto"/>
            </w:tcBorders>
          </w:tcPr>
          <w:p w14:paraId="786404FE" w14:textId="77777777" w:rsidR="00B86204" w:rsidRPr="002F16BB" w:rsidRDefault="00B86204" w:rsidP="00016740">
            <w:pPr>
              <w:pStyle w:val="Tabletext"/>
              <w:spacing w:before="20" w:after="20"/>
              <w:rPr>
                <w:rFonts w:cs="Calibri"/>
                <w:sz w:val="18"/>
                <w:szCs w:val="18"/>
                <w:lang w:val="ru-RU"/>
              </w:rPr>
            </w:pPr>
            <w:r w:rsidRPr="002F16BB">
              <w:rPr>
                <w:rFonts w:cs="Calibri"/>
                <w:sz w:val="18"/>
                <w:szCs w:val="18"/>
                <w:lang w:val="ru-RU" w:eastAsia="it-IT"/>
              </w:rPr>
              <w:t>Выполнено</w:t>
            </w:r>
            <w:r>
              <w:rPr>
                <w:rFonts w:cs="Calibri"/>
                <w:sz w:val="18"/>
                <w:szCs w:val="18"/>
                <w:lang w:val="ru-RU" w:eastAsia="it-IT"/>
              </w:rPr>
              <w:t>.</w:t>
            </w:r>
          </w:p>
        </w:tc>
      </w:tr>
      <w:tr w:rsidR="00B86204" w:rsidRPr="002F16BB" w14:paraId="492E26A6" w14:textId="77777777" w:rsidTr="00016740">
        <w:tc>
          <w:tcPr>
            <w:tcW w:w="339" w:type="pct"/>
            <w:tcBorders>
              <w:top w:val="single" w:sz="4" w:space="0" w:color="auto"/>
              <w:left w:val="single" w:sz="4" w:space="0" w:color="auto"/>
              <w:bottom w:val="single" w:sz="4" w:space="0" w:color="auto"/>
              <w:right w:val="single" w:sz="4" w:space="0" w:color="auto"/>
            </w:tcBorders>
          </w:tcPr>
          <w:p w14:paraId="689E640D" w14:textId="77777777" w:rsidR="00B86204" w:rsidRPr="002F16BB" w:rsidRDefault="00B86204" w:rsidP="00016740">
            <w:pPr>
              <w:pStyle w:val="Tabletext"/>
              <w:keepLines/>
              <w:spacing w:before="20" w:after="20"/>
              <w:jc w:val="center"/>
              <w:rPr>
                <w:b/>
                <w:sz w:val="18"/>
                <w:szCs w:val="18"/>
                <w:lang w:val="ru-RU" w:eastAsia="it-IT"/>
              </w:rPr>
            </w:pPr>
            <w:bookmarkStart w:id="434" w:name="_Hlk6234770"/>
            <w:r w:rsidRPr="002F16BB">
              <w:rPr>
                <w:b/>
                <w:sz w:val="18"/>
                <w:szCs w:val="18"/>
                <w:lang w:val="ru-RU" w:eastAsia="it-IT"/>
              </w:rPr>
              <w:lastRenderedPageBreak/>
              <w:t>Рек. 1/2017</w:t>
            </w:r>
          </w:p>
        </w:tc>
        <w:tc>
          <w:tcPr>
            <w:tcW w:w="1216" w:type="pct"/>
            <w:tcBorders>
              <w:top w:val="single" w:sz="4" w:space="0" w:color="auto"/>
              <w:left w:val="single" w:sz="4" w:space="0" w:color="auto"/>
              <w:bottom w:val="single" w:sz="4" w:space="0" w:color="auto"/>
              <w:right w:val="single" w:sz="4" w:space="0" w:color="auto"/>
            </w:tcBorders>
          </w:tcPr>
          <w:p w14:paraId="1F713120" w14:textId="77777777" w:rsidR="00B86204" w:rsidRPr="002F16BB" w:rsidRDefault="00B86204" w:rsidP="00016740">
            <w:pPr>
              <w:pStyle w:val="Tabletext"/>
              <w:keepLines/>
              <w:spacing w:before="20" w:after="20"/>
              <w:rPr>
                <w:sz w:val="18"/>
                <w:szCs w:val="18"/>
                <w:lang w:val="ru-RU" w:eastAsia="it-IT"/>
              </w:rPr>
            </w:pPr>
            <w:r w:rsidRPr="002F16BB">
              <w:rPr>
                <w:sz w:val="18"/>
                <w:szCs w:val="18"/>
                <w:u w:val="single"/>
                <w:lang w:val="ru-RU"/>
              </w:rPr>
              <w:t>Мы рекомендуем</w:t>
            </w:r>
            <w:r w:rsidRPr="002F16BB">
              <w:rPr>
                <w:sz w:val="18"/>
                <w:szCs w:val="18"/>
                <w:lang w:val="ru-RU"/>
              </w:rPr>
              <w:t xml:space="preserve"> руководству, в процессе оценки проектов и исследований для строительства новых помещений штаб</w:t>
            </w:r>
            <w:r w:rsidRPr="002F16BB">
              <w:rPr>
                <w:sz w:val="18"/>
                <w:szCs w:val="18"/>
                <w:lang w:val="ru-RU"/>
              </w:rPr>
              <w:noBreakHyphen/>
              <w:t>квартиры, принимать во внимание потребности Союза в долгосрочной перспективе, а также учитывать Стратегический план МСЭ по людским ресурсам</w:t>
            </w:r>
            <w:r w:rsidRPr="002F16BB">
              <w:rPr>
                <w:sz w:val="18"/>
                <w:szCs w:val="18"/>
                <w:lang w:val="ru-RU" w:eastAsia="it-IT"/>
              </w:rPr>
              <w:t>.</w:t>
            </w:r>
          </w:p>
        </w:tc>
        <w:tc>
          <w:tcPr>
            <w:tcW w:w="1362" w:type="pct"/>
            <w:tcBorders>
              <w:top w:val="single" w:sz="4" w:space="0" w:color="auto"/>
              <w:left w:val="single" w:sz="4" w:space="0" w:color="auto"/>
              <w:bottom w:val="single" w:sz="4" w:space="0" w:color="auto"/>
              <w:right w:val="single" w:sz="4" w:space="0" w:color="auto"/>
            </w:tcBorders>
          </w:tcPr>
          <w:p w14:paraId="54764967" w14:textId="77777777" w:rsidR="00B86204" w:rsidRPr="002F16BB" w:rsidRDefault="00B86204" w:rsidP="00016740">
            <w:pPr>
              <w:pStyle w:val="Tabletext"/>
              <w:keepLines/>
              <w:spacing w:before="20" w:after="20"/>
              <w:rPr>
                <w:sz w:val="18"/>
                <w:szCs w:val="18"/>
                <w:lang w:val="ru-RU" w:eastAsia="it-IT"/>
              </w:rPr>
            </w:pPr>
            <w:r w:rsidRPr="002F16BB">
              <w:rPr>
                <w:sz w:val="18"/>
                <w:szCs w:val="18"/>
                <w:lang w:val="ru-RU"/>
              </w:rPr>
              <w:t>Правление проекта строительства приняло данную рекомендацию к сведению. Ведущиеся обсуждения и исследования, имеющие целью поддержку процесса принятия решений по определенному числу вариантов, касающихся проектирования, определения параметров и т. п. нового здания, и которые основываются на прогнозировании численности персонала (регулярного и внештатного), который может иметься на дату ввода в действие нового здания.</w:t>
            </w:r>
          </w:p>
        </w:tc>
        <w:tc>
          <w:tcPr>
            <w:tcW w:w="1363" w:type="pct"/>
            <w:tcBorders>
              <w:top w:val="single" w:sz="4" w:space="0" w:color="auto"/>
              <w:left w:val="single" w:sz="4" w:space="0" w:color="auto"/>
              <w:bottom w:val="single" w:sz="4" w:space="0" w:color="auto"/>
              <w:right w:val="single" w:sz="4" w:space="0" w:color="auto"/>
            </w:tcBorders>
          </w:tcPr>
          <w:p w14:paraId="58EAD7C6" w14:textId="7346995E"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44649B39"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Варианты, касающиеся проектирования, определения параметров и </w:t>
            </w:r>
            <w:proofErr w:type="gramStart"/>
            <w:r w:rsidRPr="002F16BB">
              <w:rPr>
                <w:sz w:val="18"/>
                <w:szCs w:val="18"/>
                <w:lang w:val="ru-RU" w:eastAsia="it-IT"/>
              </w:rPr>
              <w:t>т.п.</w:t>
            </w:r>
            <w:proofErr w:type="gramEnd"/>
            <w:r w:rsidRPr="002F16BB">
              <w:rPr>
                <w:sz w:val="18"/>
                <w:szCs w:val="18"/>
                <w:lang w:val="ru-RU" w:eastAsia="it-IT"/>
              </w:rPr>
              <w:t xml:space="preserve"> нового здания, которые действительно основываются на прогнозировании численности персонала (постоянного и внештатного), который может состоять на службе на дату сдачи нового здания в эксплуатацию. </w:t>
            </w:r>
          </w:p>
          <w:p w14:paraId="62A3C0CE"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3F289CA4"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Правление проекта строительства рассчитало параметры нового здания исходя из предполагаемых потребностей всех структурных подразделений пользователя здания на момент открытия: ожидается также, что этого будет достаточно для того, чтобы удовлетворить потребности на долгосрочную перспективу. </w:t>
            </w:r>
          </w:p>
          <w:p w14:paraId="140E1872" w14:textId="3D7F3CB9"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7BCC9139"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 xml:space="preserve">Схема проекта, </w:t>
            </w:r>
            <w:r w:rsidRPr="002F16BB">
              <w:rPr>
                <w:sz w:val="18"/>
                <w:szCs w:val="18"/>
                <w:lang w:val="ru-RU" w:eastAsia="it-IT"/>
              </w:rPr>
              <w:t>бюджет проекта и количество рабочих мест были утверждены на</w:t>
            </w:r>
            <w:r w:rsidRPr="002F16BB">
              <w:rPr>
                <w:color w:val="000000"/>
                <w:sz w:val="18"/>
                <w:szCs w:val="18"/>
                <w:lang w:val="ru-RU"/>
              </w:rPr>
              <w:t xml:space="preserve"> дополнительной сессии Совета </w:t>
            </w:r>
            <w:r w:rsidRPr="002F16BB">
              <w:rPr>
                <w:sz w:val="18"/>
                <w:szCs w:val="18"/>
                <w:lang w:val="ru-RU" w:eastAsia="it-IT"/>
              </w:rPr>
              <w:t xml:space="preserve">в сентябре 2019 года. Эти параметры были оценены </w:t>
            </w:r>
            <w:r w:rsidRPr="002F16BB">
              <w:rPr>
                <w:color w:val="000000"/>
                <w:sz w:val="18"/>
                <w:szCs w:val="18"/>
                <w:lang w:val="ru-RU"/>
              </w:rPr>
              <w:t xml:space="preserve">исходя из прогнозов численности персонала (постоянного и внештатного), полученных от </w:t>
            </w:r>
            <w:r w:rsidRPr="002F16BB">
              <w:rPr>
                <w:sz w:val="18"/>
                <w:szCs w:val="18"/>
                <w:lang w:val="ru-RU" w:eastAsia="it-IT"/>
              </w:rPr>
              <w:t>HRMD, и</w:t>
            </w:r>
            <w:r w:rsidRPr="002F16BB">
              <w:rPr>
                <w:color w:val="000000"/>
                <w:sz w:val="18"/>
                <w:szCs w:val="18"/>
                <w:lang w:val="ru-RU"/>
              </w:rPr>
              <w:t>, как ожидается, будут достаточными для удовлетворения долгосрочных потребностей организации</w:t>
            </w:r>
            <w:r w:rsidRPr="002F16BB">
              <w:rPr>
                <w:sz w:val="18"/>
                <w:szCs w:val="18"/>
                <w:lang w:val="ru-RU" w:eastAsia="it-IT"/>
              </w:rPr>
              <w:t>.</w:t>
            </w:r>
          </w:p>
          <w:p w14:paraId="71EC204E"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 г</w:t>
            </w:r>
            <w:r w:rsidRPr="002F16BB">
              <w:rPr>
                <w:sz w:val="18"/>
                <w:szCs w:val="18"/>
                <w:lang w:val="ru-RU" w:eastAsia="it-IT"/>
              </w:rPr>
              <w:t>.:</w:t>
            </w:r>
          </w:p>
          <w:p w14:paraId="0AA0400F" w14:textId="77777777" w:rsidR="00B86204" w:rsidRDefault="00B86204" w:rsidP="00016740">
            <w:pPr>
              <w:pStyle w:val="Tabletext"/>
              <w:spacing w:before="20" w:after="20"/>
              <w:rPr>
                <w:sz w:val="18"/>
                <w:szCs w:val="18"/>
                <w:lang w:val="ru-RU" w:eastAsia="it-IT"/>
              </w:rPr>
            </w:pPr>
            <w:r w:rsidRPr="002F16BB">
              <w:rPr>
                <w:sz w:val="18"/>
                <w:szCs w:val="18"/>
                <w:lang w:val="ru-RU" w:eastAsia="it-IT"/>
              </w:rPr>
              <w:t>В условиях вируса COVID‐19 рабочее место будет постоянно меняться. Оно будет меняться в стратегическом смысле, включая в себя новые практики, новые протоколы и новые технологии.</w:t>
            </w:r>
          </w:p>
          <w:p w14:paraId="40C62C55"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Эти изменения будут включать уроки, извлеченные из опыта работы дома на протяжении продолжительного периода </w:t>
            </w:r>
            <w:r w:rsidRPr="002F16BB">
              <w:rPr>
                <w:sz w:val="18"/>
                <w:szCs w:val="18"/>
                <w:lang w:val="ru-RU" w:eastAsia="it-IT"/>
              </w:rPr>
              <w:lastRenderedPageBreak/>
              <w:t xml:space="preserve">времени. В условиях пандемии МСЭ доказал, что может работать </w:t>
            </w:r>
            <w:r w:rsidRPr="002F16BB">
              <w:rPr>
                <w:color w:val="000000"/>
                <w:sz w:val="18"/>
                <w:szCs w:val="18"/>
                <w:lang w:val="ru-RU"/>
              </w:rPr>
              <w:t>эффективно в режиме телеработы и с помощью электронных средств, в той мере, насколько это возможно</w:t>
            </w:r>
            <w:r w:rsidRPr="002F16BB">
              <w:rPr>
                <w:sz w:val="18"/>
                <w:szCs w:val="18"/>
                <w:lang w:val="ru-RU" w:eastAsia="it-IT"/>
              </w:rPr>
              <w:t>.</w:t>
            </w:r>
          </w:p>
          <w:p w14:paraId="0D9F8B27"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Согласно рекомендации Секретариата, для решения последнего из аспектов, которые необходимо рассмотреть, возможно, потребуется привлечь консультантов</w:t>
            </w:r>
            <w:r w:rsidRPr="002F16BB">
              <w:rPr>
                <w:sz w:val="18"/>
                <w:szCs w:val="18"/>
                <w:lang w:val="ru-RU" w:eastAsia="it-IT"/>
              </w:rPr>
              <w:t xml:space="preserve">. </w:t>
            </w:r>
          </w:p>
          <w:p w14:paraId="3CAA1B94" w14:textId="77777777" w:rsidR="00B86204" w:rsidRPr="002F16BB" w:rsidRDefault="00B86204" w:rsidP="00016740">
            <w:pPr>
              <w:pStyle w:val="Tabletext"/>
              <w:spacing w:before="20" w:after="20"/>
              <w:rPr>
                <w:color w:val="000000"/>
                <w:sz w:val="18"/>
                <w:szCs w:val="18"/>
                <w:lang w:val="ru-RU"/>
              </w:rPr>
            </w:pPr>
            <w:r w:rsidRPr="002F16BB">
              <w:rPr>
                <w:color w:val="000000"/>
                <w:sz w:val="18"/>
                <w:szCs w:val="18"/>
                <w:lang w:val="ru-RU"/>
              </w:rPr>
              <w:t>Соответственно, в начале сентября был объявлен тендер на назначение специализированной фирмы для разработки Плана реализации стратегии по условиям работы персонала.</w:t>
            </w:r>
          </w:p>
          <w:p w14:paraId="64F0D062"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С учетом недавно возникшего влияния COVID-19 на методы работы, в связи с чем появилась необходимость в удаленной и надомной работе, первый конкретный результат будет включать первоначальные результаты и выводы о должностных обязанностях, методах работы и рекомендациях МСЭ, которые необходимо учитывать для включения в предложение о перемещении персонала и о распределении и/или проектировании офисных площадей в новом здании</w:t>
            </w:r>
            <w:r w:rsidRPr="002F16BB">
              <w:rPr>
                <w:color w:val="000000"/>
                <w:lang w:val="ru-RU"/>
              </w:rPr>
              <w:t>.</w:t>
            </w:r>
            <w:r w:rsidRPr="002F16BB">
              <w:rPr>
                <w:sz w:val="18"/>
                <w:szCs w:val="18"/>
                <w:lang w:val="ru-RU" w:eastAsia="it-IT"/>
              </w:rPr>
              <w:t xml:space="preserve"> </w:t>
            </w:r>
          </w:p>
        </w:tc>
        <w:tc>
          <w:tcPr>
            <w:tcW w:w="720" w:type="pct"/>
            <w:tcBorders>
              <w:top w:val="single" w:sz="4" w:space="0" w:color="auto"/>
              <w:left w:val="single" w:sz="4" w:space="0" w:color="auto"/>
              <w:bottom w:val="single" w:sz="4" w:space="0" w:color="auto"/>
              <w:right w:val="single" w:sz="4" w:space="0" w:color="auto"/>
            </w:tcBorders>
          </w:tcPr>
          <w:p w14:paraId="057734B8" w14:textId="77777777" w:rsidR="00B86204" w:rsidRPr="002F16BB" w:rsidRDefault="00B86204" w:rsidP="00016740">
            <w:pPr>
              <w:pStyle w:val="Tabletext"/>
              <w:keepLines/>
              <w:spacing w:before="20" w:after="20"/>
              <w:rPr>
                <w:sz w:val="18"/>
                <w:szCs w:val="18"/>
                <w:lang w:val="ru-RU" w:eastAsia="it-IT"/>
              </w:rPr>
            </w:pPr>
            <w:r w:rsidRPr="002F16BB">
              <w:rPr>
                <w:sz w:val="18"/>
                <w:szCs w:val="18"/>
                <w:lang w:val="ru-RU"/>
              </w:rPr>
              <w:lastRenderedPageBreak/>
              <w:t>В процессе выполнения.</w:t>
            </w:r>
          </w:p>
        </w:tc>
      </w:tr>
      <w:tr w:rsidR="00B86204" w:rsidRPr="002F16BB" w14:paraId="05455E67" w14:textId="77777777" w:rsidTr="00016740">
        <w:tc>
          <w:tcPr>
            <w:tcW w:w="339" w:type="pct"/>
            <w:tcBorders>
              <w:top w:val="single" w:sz="4" w:space="0" w:color="auto"/>
              <w:left w:val="single" w:sz="4" w:space="0" w:color="auto"/>
              <w:bottom w:val="single" w:sz="4" w:space="0" w:color="auto"/>
              <w:right w:val="single" w:sz="4" w:space="0" w:color="auto"/>
            </w:tcBorders>
          </w:tcPr>
          <w:p w14:paraId="0A8D83CD"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2/2017</w:t>
            </w:r>
          </w:p>
        </w:tc>
        <w:tc>
          <w:tcPr>
            <w:tcW w:w="1216" w:type="pct"/>
            <w:tcBorders>
              <w:top w:val="single" w:sz="4" w:space="0" w:color="auto"/>
              <w:left w:val="single" w:sz="4" w:space="0" w:color="auto"/>
              <w:bottom w:val="single" w:sz="4" w:space="0" w:color="auto"/>
              <w:right w:val="single" w:sz="4" w:space="0" w:color="auto"/>
            </w:tcBorders>
          </w:tcPr>
          <w:p w14:paraId="72060C9D" w14:textId="77777777" w:rsidR="00B86204" w:rsidRPr="002F16BB" w:rsidRDefault="00B86204" w:rsidP="00016740">
            <w:pPr>
              <w:tabs>
                <w:tab w:val="clear" w:pos="794"/>
                <w:tab w:val="clear" w:pos="1191"/>
                <w:tab w:val="clear" w:pos="1588"/>
                <w:tab w:val="clear" w:pos="1985"/>
                <w:tab w:val="left" w:pos="284"/>
              </w:tabs>
              <w:spacing w:before="20" w:after="20"/>
              <w:rPr>
                <w:sz w:val="18"/>
                <w:szCs w:val="18"/>
                <w:lang w:val="ru-RU"/>
              </w:rPr>
            </w:pPr>
            <w:r w:rsidRPr="002F16BB">
              <w:rPr>
                <w:sz w:val="18"/>
                <w:szCs w:val="18"/>
                <w:u w:val="single"/>
                <w:lang w:val="ru-RU"/>
              </w:rPr>
              <w:t>Мы рекомендуем</w:t>
            </w:r>
            <w:r w:rsidRPr="002F16BB">
              <w:rPr>
                <w:sz w:val="18"/>
                <w:szCs w:val="18"/>
                <w:lang w:val="ru-RU"/>
              </w:rPr>
              <w:t>, чтобы руководство для уменьшения риска неточностей:</w:t>
            </w:r>
          </w:p>
          <w:p w14:paraId="6D1EC544" w14:textId="77777777" w:rsidR="00B86204" w:rsidRPr="002F16BB" w:rsidRDefault="00B86204" w:rsidP="00016740">
            <w:pPr>
              <w:pStyle w:val="enumlev1"/>
              <w:tabs>
                <w:tab w:val="clear" w:pos="794"/>
                <w:tab w:val="clear" w:pos="1191"/>
                <w:tab w:val="clear" w:pos="1588"/>
                <w:tab w:val="clear" w:pos="1985"/>
                <w:tab w:val="clear" w:pos="2608"/>
                <w:tab w:val="clear" w:pos="3345"/>
                <w:tab w:val="left" w:pos="284"/>
              </w:tabs>
              <w:spacing w:before="20" w:after="20"/>
              <w:ind w:left="284" w:hanging="284"/>
              <w:rPr>
                <w:sz w:val="18"/>
                <w:szCs w:val="18"/>
                <w:lang w:val="ru-RU"/>
              </w:rPr>
            </w:pPr>
            <w:r w:rsidRPr="002F16BB">
              <w:rPr>
                <w:sz w:val="18"/>
                <w:szCs w:val="18"/>
                <w:lang w:val="ru-RU"/>
              </w:rPr>
              <w:t>1)</w:t>
            </w:r>
            <w:r w:rsidRPr="002F16BB">
              <w:rPr>
                <w:sz w:val="18"/>
                <w:szCs w:val="18"/>
                <w:lang w:val="ru-RU"/>
              </w:rPr>
              <w:tab/>
              <w:t>приняло чрезвычайные меры (например, создало специальную целевую группу) для ликвидации накопившегося объема невыполненной работы по личным делам в кратчайшие сроки;</w:t>
            </w:r>
          </w:p>
          <w:p w14:paraId="5082A0A3" w14:textId="77777777" w:rsidR="00B86204" w:rsidRPr="002F16BB" w:rsidRDefault="00B86204" w:rsidP="00016740">
            <w:pPr>
              <w:pStyle w:val="enumlev1"/>
              <w:tabs>
                <w:tab w:val="clear" w:pos="794"/>
                <w:tab w:val="clear" w:pos="1191"/>
                <w:tab w:val="clear" w:pos="1588"/>
                <w:tab w:val="clear" w:pos="1985"/>
                <w:tab w:val="clear" w:pos="2608"/>
                <w:tab w:val="clear" w:pos="3345"/>
                <w:tab w:val="left" w:pos="284"/>
              </w:tabs>
              <w:spacing w:before="20" w:after="20"/>
              <w:ind w:left="284" w:hanging="284"/>
              <w:rPr>
                <w:sz w:val="18"/>
                <w:szCs w:val="18"/>
                <w:lang w:val="ru-RU"/>
              </w:rPr>
            </w:pPr>
            <w:r w:rsidRPr="002F16BB">
              <w:rPr>
                <w:sz w:val="18"/>
                <w:szCs w:val="18"/>
                <w:lang w:val="ru-RU"/>
              </w:rPr>
              <w:t>2)</w:t>
            </w:r>
            <w:r w:rsidRPr="002F16BB">
              <w:rPr>
                <w:sz w:val="18"/>
                <w:szCs w:val="18"/>
                <w:lang w:val="ru-RU"/>
              </w:rPr>
              <w:tab/>
              <w:t xml:space="preserve">рационализировало потоки хранения данных и управления ими, тем самым корректируя существующую фрагментацию; </w:t>
            </w:r>
          </w:p>
          <w:p w14:paraId="3E596C73" w14:textId="77777777" w:rsidR="00B86204" w:rsidRPr="002F16BB" w:rsidRDefault="00B86204" w:rsidP="00016740">
            <w:pPr>
              <w:pStyle w:val="enumlev1"/>
              <w:tabs>
                <w:tab w:val="clear" w:pos="794"/>
                <w:tab w:val="clear" w:pos="1191"/>
                <w:tab w:val="clear" w:pos="1588"/>
                <w:tab w:val="clear" w:pos="1985"/>
                <w:tab w:val="clear" w:pos="2608"/>
                <w:tab w:val="clear" w:pos="3345"/>
                <w:tab w:val="left" w:pos="284"/>
              </w:tabs>
              <w:spacing w:before="20" w:after="20"/>
              <w:ind w:left="284" w:hanging="284"/>
              <w:rPr>
                <w:sz w:val="18"/>
                <w:szCs w:val="18"/>
                <w:lang w:val="ru-RU"/>
              </w:rPr>
            </w:pPr>
            <w:r w:rsidRPr="002F16BB">
              <w:rPr>
                <w:sz w:val="18"/>
                <w:szCs w:val="18"/>
                <w:lang w:val="ru-RU"/>
              </w:rPr>
              <w:t>3)</w:t>
            </w:r>
            <w:r w:rsidRPr="002F16BB">
              <w:rPr>
                <w:sz w:val="18"/>
                <w:szCs w:val="18"/>
                <w:lang w:val="ru-RU"/>
              </w:rPr>
              <w:tab/>
              <w:t xml:space="preserve">вложило средства в ресурсы ИТ, чтобы ликвидировать ввод данных вручную в связи с новым пакетом </w:t>
            </w:r>
            <w:r w:rsidRPr="002F16BB">
              <w:rPr>
                <w:sz w:val="18"/>
                <w:szCs w:val="18"/>
                <w:lang w:val="ru-RU"/>
              </w:rPr>
              <w:lastRenderedPageBreak/>
              <w:t>вознаграждения, следуя списку заранее определенных неотложных работ; и</w:t>
            </w:r>
          </w:p>
          <w:p w14:paraId="07A24C73" w14:textId="77777777" w:rsidR="00B86204" w:rsidRPr="002F16BB" w:rsidRDefault="00B86204" w:rsidP="00016740">
            <w:pPr>
              <w:pStyle w:val="enumlev1"/>
              <w:tabs>
                <w:tab w:val="clear" w:pos="794"/>
                <w:tab w:val="clear" w:pos="1191"/>
                <w:tab w:val="clear" w:pos="1588"/>
                <w:tab w:val="clear" w:pos="1985"/>
                <w:tab w:val="clear" w:pos="2608"/>
                <w:tab w:val="clear" w:pos="3345"/>
                <w:tab w:val="left" w:pos="284"/>
              </w:tabs>
              <w:spacing w:before="20" w:after="20"/>
              <w:ind w:left="284" w:hanging="284"/>
              <w:rPr>
                <w:sz w:val="18"/>
                <w:szCs w:val="18"/>
                <w:lang w:val="ru-RU" w:eastAsia="it-IT"/>
              </w:rPr>
            </w:pPr>
            <w:r w:rsidRPr="002F16BB">
              <w:rPr>
                <w:sz w:val="18"/>
                <w:szCs w:val="18"/>
                <w:lang w:val="ru-RU"/>
              </w:rPr>
              <w:t>4)</w:t>
            </w:r>
            <w:r w:rsidRPr="002F16BB">
              <w:rPr>
                <w:sz w:val="18"/>
                <w:szCs w:val="18"/>
                <w:lang w:val="ru-RU"/>
              </w:rPr>
              <w:tab/>
              <w:t>усовершенствовало функцию выплаты заработной платы, введя дополнительные проверки начисления заработной платы.</w:t>
            </w:r>
          </w:p>
        </w:tc>
        <w:tc>
          <w:tcPr>
            <w:tcW w:w="1362" w:type="pct"/>
            <w:tcBorders>
              <w:top w:val="single" w:sz="4" w:space="0" w:color="auto"/>
              <w:left w:val="single" w:sz="4" w:space="0" w:color="auto"/>
              <w:bottom w:val="single" w:sz="4" w:space="0" w:color="auto"/>
              <w:right w:val="single" w:sz="4" w:space="0" w:color="auto"/>
            </w:tcBorders>
          </w:tcPr>
          <w:p w14:paraId="785B94FE" w14:textId="77777777" w:rsidR="00B86204" w:rsidRPr="002F16BB" w:rsidRDefault="00B86204" w:rsidP="00016740">
            <w:pPr>
              <w:spacing w:before="20" w:after="20"/>
              <w:rPr>
                <w:sz w:val="18"/>
                <w:szCs w:val="18"/>
                <w:lang w:val="ru-RU"/>
              </w:rPr>
            </w:pPr>
            <w:r w:rsidRPr="002F16BB">
              <w:rPr>
                <w:sz w:val="18"/>
                <w:szCs w:val="18"/>
                <w:lang w:val="ru-RU"/>
              </w:rPr>
              <w:lastRenderedPageBreak/>
              <w:t>Полностью поддерживаем эти рекомендации. Департамент HRM разрабатывает ряд мер (краткосрочных, среднесрочных и долгосрочных), рассчитанных на решение различных проблем, упомянутых Внешними аудиторами, включая:</w:t>
            </w:r>
          </w:p>
          <w:p w14:paraId="6C6FBD78"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rPr>
            </w:pPr>
            <w:r w:rsidRPr="002F16BB">
              <w:rPr>
                <w:sz w:val="18"/>
                <w:szCs w:val="18"/>
                <w:lang w:val="ru-RU"/>
              </w:rPr>
              <w:t>−</w:t>
            </w:r>
            <w:r w:rsidRPr="002F16BB">
              <w:rPr>
                <w:sz w:val="18"/>
                <w:szCs w:val="18"/>
                <w:lang w:val="ru-RU"/>
              </w:rPr>
              <w:tab/>
              <w:t>реорганизацию Департамента HRM, завершена в 2017 году;</w:t>
            </w:r>
          </w:p>
          <w:p w14:paraId="15C4A5B3"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rPr>
            </w:pPr>
            <w:r w:rsidRPr="002F16BB">
              <w:rPr>
                <w:sz w:val="18"/>
                <w:szCs w:val="18"/>
                <w:lang w:val="ru-RU"/>
              </w:rPr>
              <w:t>−</w:t>
            </w:r>
            <w:r w:rsidRPr="002F16BB">
              <w:rPr>
                <w:sz w:val="18"/>
                <w:szCs w:val="18"/>
                <w:lang w:val="ru-RU"/>
              </w:rPr>
              <w:tab/>
              <w:t>анализ бизнес-процессов для оценки существующих процессов и процедур, с целью упорядочения имеющихся и введения требуемых новых, например, для поддержки внедрения нового пакета вознаграждения (конкретнее новой программы грантов на образование);</w:t>
            </w:r>
          </w:p>
          <w:p w14:paraId="3415764E"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rPr>
            </w:pPr>
            <w:r w:rsidRPr="002F16BB">
              <w:rPr>
                <w:sz w:val="18"/>
                <w:szCs w:val="18"/>
                <w:lang w:val="ru-RU"/>
              </w:rPr>
              <w:lastRenderedPageBreak/>
              <w:t>−</w:t>
            </w:r>
            <w:r w:rsidRPr="002F16BB">
              <w:rPr>
                <w:sz w:val="18"/>
                <w:szCs w:val="18"/>
                <w:lang w:val="ru-RU"/>
              </w:rPr>
              <w:tab/>
              <w:t>завершение составления полного перечня требований по ИТ, для обсуждения с Департаментом IS, для разработки плана действий, охватывающего существующие в системах недостатки, разработку новых функций, автоматизацию существующих ручных процессов, разработку дополнительных функций ESS (самообслуживания сотрудников) и т. п.;</w:t>
            </w:r>
          </w:p>
          <w:p w14:paraId="3668639B"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rPr>
              <w:t>−</w:t>
            </w:r>
            <w:r w:rsidRPr="002F16BB">
              <w:rPr>
                <w:sz w:val="18"/>
                <w:szCs w:val="18"/>
                <w:lang w:val="ru-RU"/>
              </w:rPr>
              <w:tab/>
              <w:t>рассмотрение и, при необходимости, повторную разработку проекта электронных личных дел, реализация которого началась в 2010 году, для перевода в виртуальную форму информации, которой управляет Департамент HRM, при введении этой информации в более защищенную и комплексную систему управления информацией.</w:t>
            </w:r>
          </w:p>
        </w:tc>
        <w:tc>
          <w:tcPr>
            <w:tcW w:w="1363" w:type="pct"/>
            <w:tcBorders>
              <w:top w:val="single" w:sz="4" w:space="0" w:color="auto"/>
              <w:left w:val="single" w:sz="4" w:space="0" w:color="auto"/>
              <w:bottom w:val="single" w:sz="4" w:space="0" w:color="auto"/>
              <w:right w:val="single" w:sz="4" w:space="0" w:color="auto"/>
            </w:tcBorders>
          </w:tcPr>
          <w:p w14:paraId="5DC1FFE8" w14:textId="784C3DFF"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lastRenderedPageBreak/>
              <w:t>Обновление, по состоянию на декабрь 2018</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768355DF"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В Департамент IS представлен исчерпывающий перечень требований по ИТ, связанных с ЛР; начата реализация проекта под названием "Повышение эффективности HRMD в 2019−2020 годах". </w:t>
            </w:r>
          </w:p>
          <w:p w14:paraId="2782501D"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Основная задача проекта состоит в создании новых функциональных возможностей, активизации текущей деятельности и "устранении неполадок" в нынешних модулях SAP HRMD, включая управление персоналом (страница администратора ЛР, пособия и льготы и т. д.), начисление заработной платы, системы самообслуживания </w:t>
            </w:r>
            <w:r w:rsidRPr="002F16BB">
              <w:rPr>
                <w:sz w:val="18"/>
                <w:szCs w:val="18"/>
                <w:lang w:val="ru-RU" w:eastAsia="it-IT"/>
              </w:rPr>
              <w:lastRenderedPageBreak/>
              <w:t xml:space="preserve">сотрудников/руководителей, интерфейс для работы с внешними системами, такими как ОПФПООН и Cigna. </w:t>
            </w:r>
          </w:p>
          <w:p w14:paraId="4D482500"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Проект охватывает следующие ключевые виды деятельности: </w:t>
            </w:r>
          </w:p>
          <w:p w14:paraId="63C0613E"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1)</w:t>
            </w:r>
            <w:r w:rsidRPr="002F16BB">
              <w:rPr>
                <w:sz w:val="18"/>
                <w:szCs w:val="18"/>
                <w:lang w:val="ru-RU" w:eastAsia="it-IT"/>
              </w:rPr>
              <w:tab/>
              <w:t xml:space="preserve">рассмотрение перечня требований (см. электронную таблицу </w:t>
            </w:r>
            <w:proofErr w:type="spellStart"/>
            <w:r w:rsidRPr="002F16BB">
              <w:rPr>
                <w:sz w:val="18"/>
                <w:szCs w:val="18"/>
                <w:lang w:val="ru-RU" w:eastAsia="it-IT"/>
              </w:rPr>
              <w:t>xyz</w:t>
            </w:r>
            <w:proofErr w:type="spellEnd"/>
            <w:r w:rsidRPr="002F16BB">
              <w:rPr>
                <w:sz w:val="18"/>
                <w:szCs w:val="18"/>
                <w:lang w:val="ru-RU" w:eastAsia="it-IT"/>
              </w:rPr>
              <w:t>), представленного HRMD;</w:t>
            </w:r>
          </w:p>
          <w:p w14:paraId="665F651B"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2)</w:t>
            </w:r>
            <w:r w:rsidRPr="002F16BB">
              <w:rPr>
                <w:sz w:val="18"/>
                <w:szCs w:val="18"/>
                <w:lang w:val="ru-RU" w:eastAsia="it-IT"/>
              </w:rPr>
              <w:tab/>
              <w:t>разработка плана осуществления;</w:t>
            </w:r>
          </w:p>
          <w:p w14:paraId="74B6B7FD"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3)</w:t>
            </w:r>
            <w:r w:rsidRPr="002F16BB">
              <w:rPr>
                <w:sz w:val="18"/>
                <w:szCs w:val="18"/>
                <w:lang w:val="ru-RU" w:eastAsia="it-IT"/>
              </w:rPr>
              <w:tab/>
            </w:r>
            <w:proofErr w:type="gramStart"/>
            <w:r w:rsidRPr="002F16BB">
              <w:rPr>
                <w:sz w:val="18"/>
                <w:szCs w:val="18"/>
                <w:lang w:val="ru-RU" w:eastAsia="it-IT"/>
              </w:rPr>
              <w:t>при необходимости,</w:t>
            </w:r>
            <w:proofErr w:type="gramEnd"/>
            <w:r w:rsidRPr="002F16BB">
              <w:rPr>
                <w:sz w:val="18"/>
                <w:szCs w:val="18"/>
                <w:lang w:val="ru-RU" w:eastAsia="it-IT"/>
              </w:rPr>
              <w:t xml:space="preserve"> привлечение услуг со стороны;</w:t>
            </w:r>
          </w:p>
          <w:p w14:paraId="20BD566E"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4)</w:t>
            </w:r>
            <w:r w:rsidRPr="002F16BB">
              <w:rPr>
                <w:sz w:val="18"/>
                <w:szCs w:val="18"/>
                <w:lang w:val="ru-RU" w:eastAsia="it-IT"/>
              </w:rPr>
              <w:tab/>
              <w:t>определение и разработка решений в соответствии с требованиями, содержащимися в перечне требований;</w:t>
            </w:r>
          </w:p>
          <w:p w14:paraId="1AA974A2"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5)</w:t>
            </w:r>
            <w:r w:rsidRPr="002F16BB">
              <w:rPr>
                <w:sz w:val="18"/>
                <w:szCs w:val="18"/>
                <w:lang w:val="ru-RU" w:eastAsia="it-IT"/>
              </w:rPr>
              <w:tab/>
              <w:t xml:space="preserve">оказание содействия HRMD на этапах запуска и последующего осуществления проекта. </w:t>
            </w:r>
          </w:p>
          <w:p w14:paraId="71EC26F1"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Параллельно с данным проектом ведется работа над проектом "электронных личных дел", запуск которого запланирован на 2019 год. </w:t>
            </w:r>
          </w:p>
          <w:p w14:paraId="0B9EDF52"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68E9F253"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Самые недавние меры, касающиеся реорганизации HMD, были приняты в апреле-мае 2019 года. К ним относится укрепление потенциала секции заработной платы. Помимо объявления вакансии Р2, был назначен сотрудник на имевшуюся вакантную должность</w:t>
            </w:r>
            <w:r>
              <w:rPr>
                <w:sz w:val="18"/>
                <w:szCs w:val="18"/>
                <w:lang w:val="ru-RU" w:eastAsia="it-IT"/>
              </w:rPr>
              <w:t> </w:t>
            </w:r>
            <w:r w:rsidRPr="002F16BB">
              <w:rPr>
                <w:sz w:val="18"/>
                <w:szCs w:val="18"/>
                <w:lang w:val="ru-RU" w:eastAsia="it-IT"/>
              </w:rPr>
              <w:t>G5. Мандат укрепляемого подразделения предусматривает усовершенствование механизма контроля, а также более оптимальное разделение функций, касающихся установления льгот, и функций, связанных с начислением этих льгот.</w:t>
            </w:r>
          </w:p>
          <w:p w14:paraId="72025A6D"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Начальник отдела заработной платы наделен полномочиями руководителя проекта электронных личных дел в целях проведения реорганизации существующей системы и подключения к ней всего HRMD. </w:t>
            </w:r>
          </w:p>
          <w:p w14:paraId="5F540699"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lastRenderedPageBreak/>
              <w:t xml:space="preserve">Перечень требований по ИТ, упомянутый в прошлом отчете, получил практическое продолжение в виде проекта по повышению эффективности HRMD/ISD SAP-HR. </w:t>
            </w:r>
          </w:p>
          <w:p w14:paraId="358E174A" w14:textId="56FB497D"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27204774" w14:textId="48334186"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Проекты, упомянутые выше, пришлось отложить, поскольку </w:t>
            </w:r>
            <w:r w:rsidRPr="002F16BB">
              <w:rPr>
                <w:color w:val="000000"/>
                <w:sz w:val="18"/>
                <w:szCs w:val="18"/>
                <w:lang w:val="ru-RU"/>
              </w:rPr>
              <w:t>отдел заработной платы и служба в Департаменте информационных служб</w:t>
            </w:r>
            <w:r w:rsidRPr="002F16BB">
              <w:rPr>
                <w:sz w:val="18"/>
                <w:szCs w:val="18"/>
                <w:lang w:val="ru-RU" w:eastAsia="it-IT"/>
              </w:rPr>
              <w:t xml:space="preserve">, отвечающая за </w:t>
            </w:r>
            <w:r w:rsidRPr="002F16BB">
              <w:rPr>
                <w:color w:val="000000"/>
                <w:sz w:val="18"/>
                <w:szCs w:val="18"/>
                <w:lang w:val="ru-RU"/>
              </w:rPr>
              <w:t>системы ERP, связанные с HR,</w:t>
            </w:r>
            <w:r w:rsidRPr="002F16BB">
              <w:rPr>
                <w:sz w:val="18"/>
                <w:szCs w:val="18"/>
                <w:lang w:val="ru-RU" w:eastAsia="it-IT"/>
              </w:rPr>
              <w:t xml:space="preserve"> были вынуждены сосредоточить основное внимание на выполнении </w:t>
            </w:r>
            <w:r w:rsidRPr="002F16BB">
              <w:rPr>
                <w:color w:val="000000"/>
                <w:sz w:val="18"/>
                <w:szCs w:val="18"/>
                <w:lang w:val="ru-RU"/>
              </w:rPr>
              <w:t>решения Административного трибунала МОТ</w:t>
            </w:r>
            <w:r w:rsidRPr="002F16BB">
              <w:rPr>
                <w:sz w:val="18"/>
                <w:szCs w:val="18"/>
                <w:lang w:val="ru-RU" w:eastAsia="it-IT"/>
              </w:rPr>
              <w:t xml:space="preserve"> по </w:t>
            </w:r>
            <w:r w:rsidRPr="002F16BB">
              <w:rPr>
                <w:color w:val="000000"/>
                <w:sz w:val="18"/>
                <w:szCs w:val="18"/>
                <w:lang w:val="ru-RU"/>
              </w:rPr>
              <w:t>вопросу о коррективах по месту службы</w:t>
            </w:r>
            <w:r w:rsidRPr="002F16BB">
              <w:rPr>
                <w:sz w:val="18"/>
                <w:szCs w:val="18"/>
                <w:lang w:val="ru-RU" w:eastAsia="it-IT"/>
              </w:rPr>
              <w:t xml:space="preserve"> </w:t>
            </w:r>
            <w:r w:rsidRPr="002F16BB">
              <w:rPr>
                <w:color w:val="000000"/>
                <w:sz w:val="18"/>
                <w:szCs w:val="18"/>
                <w:lang w:val="ru-RU"/>
              </w:rPr>
              <w:t>для Женевы</w:t>
            </w:r>
            <w:r w:rsidRPr="002F16BB">
              <w:rPr>
                <w:sz w:val="18"/>
                <w:szCs w:val="18"/>
                <w:lang w:val="ru-RU" w:eastAsia="it-IT"/>
              </w:rPr>
              <w:t>, а также на переходе от нынешней системы медицинского страхования (ПКМС</w:t>
            </w:r>
            <w:r w:rsidR="00016740">
              <w:rPr>
                <w:sz w:val="18"/>
                <w:szCs w:val="18"/>
                <w:lang w:val="ru-RU" w:eastAsia="it-IT"/>
              </w:rPr>
              <w:noBreakHyphen/>
            </w:r>
            <w:r w:rsidRPr="002F16BB">
              <w:rPr>
                <w:sz w:val="18"/>
                <w:szCs w:val="18"/>
                <w:lang w:val="ru-RU" w:eastAsia="it-IT"/>
              </w:rPr>
              <w:t xml:space="preserve">CIGNA) в систему медицинского страхования ЮНСМИС с 1 января 2020 года. Деятельность, связанная с реализацией проектов по </w:t>
            </w:r>
            <w:r w:rsidRPr="002F16BB">
              <w:rPr>
                <w:color w:val="000000"/>
                <w:sz w:val="18"/>
                <w:szCs w:val="18"/>
                <w:lang w:val="ru-RU"/>
              </w:rPr>
              <w:t>совершенствованию</w:t>
            </w:r>
            <w:r w:rsidRPr="002F16BB">
              <w:rPr>
                <w:sz w:val="18"/>
                <w:szCs w:val="18"/>
                <w:lang w:val="ru-RU" w:eastAsia="it-IT"/>
              </w:rPr>
              <w:t xml:space="preserve"> HRMD в 2019-2020 годах, будет возобновлена в 2020</w:t>
            </w:r>
            <w:r w:rsidR="00016740">
              <w:rPr>
                <w:sz w:val="18"/>
                <w:szCs w:val="18"/>
                <w:lang w:eastAsia="it-IT"/>
              </w:rPr>
              <w:t> </w:t>
            </w:r>
            <w:r w:rsidRPr="002F16BB">
              <w:rPr>
                <w:sz w:val="18"/>
                <w:szCs w:val="18"/>
                <w:lang w:val="ru-RU" w:eastAsia="it-IT"/>
              </w:rPr>
              <w:t>году.</w:t>
            </w:r>
          </w:p>
          <w:p w14:paraId="1C61F141"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Между тем, все вакантные должности в службе заработной платы были заполнены. Повторное распределение обязанностей между службой </w:t>
            </w:r>
            <w:r w:rsidRPr="002F16BB">
              <w:rPr>
                <w:color w:val="000000"/>
                <w:sz w:val="18"/>
                <w:szCs w:val="18"/>
                <w:lang w:val="ru-RU"/>
              </w:rPr>
              <w:t xml:space="preserve">управления персоналом и службой </w:t>
            </w:r>
            <w:r w:rsidRPr="002F16BB">
              <w:rPr>
                <w:sz w:val="18"/>
                <w:szCs w:val="18"/>
                <w:lang w:val="ru-RU" w:eastAsia="it-IT"/>
              </w:rPr>
              <w:t>заработной платы также были практически заполнены.</w:t>
            </w:r>
          </w:p>
          <w:p w14:paraId="7471025B" w14:textId="5F02665C"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2E7462A8"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Хотя ситуация с COVID-19 продолжает оказывать влияние на различные проекты, анализ функций МСЭ, связанных с HR, продолжается, и некоторые из выявленных первоочередных задач, такие как интеграция </w:t>
            </w:r>
            <w:r w:rsidRPr="002F16BB">
              <w:rPr>
                <w:color w:val="000000"/>
                <w:sz w:val="18"/>
                <w:szCs w:val="18"/>
                <w:lang w:val="ru-RU"/>
              </w:rPr>
              <w:t>системы субсидий на образование</w:t>
            </w:r>
            <w:r w:rsidRPr="002F16BB">
              <w:rPr>
                <w:sz w:val="18"/>
                <w:szCs w:val="18"/>
                <w:lang w:val="ru-RU" w:eastAsia="it-IT"/>
              </w:rPr>
              <w:t xml:space="preserve"> в модуль SAP-HRM, скоро будут выполнены.</w:t>
            </w:r>
          </w:p>
          <w:p w14:paraId="41F99BC6"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 xml:space="preserve">Проект, связанный с электронным представлением заявок, проходит переоценку, </w:t>
            </w:r>
            <w:r w:rsidRPr="002F16BB">
              <w:rPr>
                <w:color w:val="000000"/>
                <w:sz w:val="18"/>
                <w:szCs w:val="18"/>
                <w:lang w:val="ru-RU"/>
              </w:rPr>
              <w:lastRenderedPageBreak/>
              <w:t>поскольку подавляющим большинством видов деятельности</w:t>
            </w:r>
            <w:r w:rsidRPr="002F16BB">
              <w:rPr>
                <w:sz w:val="18"/>
                <w:szCs w:val="18"/>
                <w:lang w:val="ru-RU" w:eastAsia="it-IT"/>
              </w:rPr>
              <w:t xml:space="preserve"> в области HR приходилось управлять дистанционно и в электронном формате. Уровень дематериализации документов значительно вырос в условиях дистанционной работы, обусловленной </w:t>
            </w:r>
            <w:r w:rsidRPr="002F16BB">
              <w:rPr>
                <w:color w:val="000000"/>
                <w:sz w:val="18"/>
                <w:szCs w:val="18"/>
                <w:lang w:val="ru-RU"/>
              </w:rPr>
              <w:t xml:space="preserve">самоизоляцией из-за </w:t>
            </w:r>
            <w:r w:rsidRPr="002F16BB">
              <w:rPr>
                <w:sz w:val="18"/>
                <w:szCs w:val="18"/>
                <w:lang w:val="ru-RU" w:eastAsia="it-IT"/>
              </w:rPr>
              <w:t xml:space="preserve">COVID-19. Это делает более острой необходимость построения устойчивых </w:t>
            </w:r>
            <w:r w:rsidRPr="002F16BB">
              <w:rPr>
                <w:color w:val="000000"/>
                <w:sz w:val="18"/>
                <w:szCs w:val="18"/>
                <w:lang w:val="ru-RU"/>
              </w:rPr>
              <w:t>архитектуры управления информацией, направлений политики и инструментов</w:t>
            </w:r>
            <w:r w:rsidRPr="002F16BB">
              <w:rPr>
                <w:sz w:val="18"/>
                <w:szCs w:val="18"/>
                <w:lang w:val="ru-RU" w:eastAsia="it-IT"/>
              </w:rPr>
              <w:t>.</w:t>
            </w:r>
          </w:p>
        </w:tc>
        <w:tc>
          <w:tcPr>
            <w:tcW w:w="720" w:type="pct"/>
            <w:tcBorders>
              <w:top w:val="single" w:sz="4" w:space="0" w:color="auto"/>
              <w:left w:val="single" w:sz="4" w:space="0" w:color="auto"/>
              <w:bottom w:val="single" w:sz="4" w:space="0" w:color="auto"/>
              <w:right w:val="single" w:sz="4" w:space="0" w:color="auto"/>
            </w:tcBorders>
          </w:tcPr>
          <w:p w14:paraId="1FD9E57B"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 процессе выполнения.</w:t>
            </w:r>
          </w:p>
        </w:tc>
      </w:tr>
      <w:tr w:rsidR="00B86204" w:rsidRPr="002F16BB" w14:paraId="47502300" w14:textId="77777777" w:rsidTr="00016740">
        <w:tc>
          <w:tcPr>
            <w:tcW w:w="339" w:type="pct"/>
            <w:tcBorders>
              <w:top w:val="single" w:sz="4" w:space="0" w:color="auto"/>
              <w:left w:val="single" w:sz="4" w:space="0" w:color="auto"/>
              <w:bottom w:val="single" w:sz="4" w:space="0" w:color="auto"/>
              <w:right w:val="single" w:sz="4" w:space="0" w:color="auto"/>
            </w:tcBorders>
          </w:tcPr>
          <w:p w14:paraId="51434A2B"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lastRenderedPageBreak/>
              <w:t>Рек. 3/2017</w:t>
            </w:r>
          </w:p>
        </w:tc>
        <w:tc>
          <w:tcPr>
            <w:tcW w:w="1216" w:type="pct"/>
            <w:tcBorders>
              <w:top w:val="single" w:sz="4" w:space="0" w:color="auto"/>
              <w:left w:val="single" w:sz="4" w:space="0" w:color="auto"/>
              <w:bottom w:val="single" w:sz="4" w:space="0" w:color="auto"/>
              <w:right w:val="single" w:sz="4" w:space="0" w:color="auto"/>
            </w:tcBorders>
          </w:tcPr>
          <w:p w14:paraId="1D8128AB" w14:textId="77777777" w:rsidR="00B86204" w:rsidRPr="002F16BB" w:rsidRDefault="00B86204" w:rsidP="00016740">
            <w:pPr>
              <w:pStyle w:val="Tabletext"/>
              <w:spacing w:before="20" w:after="20"/>
              <w:rPr>
                <w:sz w:val="18"/>
                <w:szCs w:val="18"/>
                <w:lang w:val="ru-RU" w:eastAsia="it-IT"/>
              </w:rPr>
            </w:pPr>
            <w:r w:rsidRPr="002F16BB">
              <w:rPr>
                <w:sz w:val="18"/>
                <w:szCs w:val="18"/>
                <w:u w:val="single"/>
                <w:lang w:val="ru-RU"/>
              </w:rPr>
              <w:t>Мы рекомендуем</w:t>
            </w:r>
            <w:r w:rsidRPr="002F16BB">
              <w:rPr>
                <w:sz w:val="18"/>
                <w:szCs w:val="18"/>
                <w:lang w:val="ru-RU"/>
              </w:rPr>
              <w:t xml:space="preserve"> провести активную подготовительную работу в отношении Стратегического плана в области людских ресурсов, с тем чтобы не задерживать его применение после принятия весной 2019 года. Эта работа должна включать: i) тщательный анализ пробелов в квалификации, в отношении внутреннего потенциала имеющихся ресурсов, включая технические навыки, на основании применения нового инструмента оценки и системы компетенций; </w:t>
            </w:r>
            <w:proofErr w:type="spellStart"/>
            <w:r w:rsidRPr="002F16BB">
              <w:rPr>
                <w:sz w:val="18"/>
                <w:szCs w:val="18"/>
                <w:lang w:val="ru-RU"/>
              </w:rPr>
              <w:t>ii</w:t>
            </w:r>
            <w:proofErr w:type="spellEnd"/>
            <w:r w:rsidRPr="002F16BB">
              <w:rPr>
                <w:sz w:val="18"/>
                <w:szCs w:val="18"/>
                <w:lang w:val="ru-RU"/>
              </w:rPr>
              <w:t xml:space="preserve">) определение стратегически важных должностей и подготовка плана преемственности на краткосрочную и долгосрочную перспективу; </w:t>
            </w:r>
            <w:proofErr w:type="spellStart"/>
            <w:r w:rsidRPr="002F16BB">
              <w:rPr>
                <w:sz w:val="18"/>
                <w:szCs w:val="18"/>
                <w:lang w:val="ru-RU"/>
              </w:rPr>
              <w:t>iii</w:t>
            </w:r>
            <w:proofErr w:type="spellEnd"/>
            <w:r w:rsidRPr="002F16BB">
              <w:rPr>
                <w:sz w:val="18"/>
                <w:szCs w:val="18"/>
                <w:lang w:val="ru-RU"/>
              </w:rPr>
              <w:t xml:space="preserve">) упорядочение услуг и процессов перед определением минимального числа сотрудников, которым поручается выполнять институциональные функции; и </w:t>
            </w:r>
            <w:proofErr w:type="spellStart"/>
            <w:r w:rsidRPr="002F16BB">
              <w:rPr>
                <w:sz w:val="18"/>
                <w:szCs w:val="18"/>
                <w:lang w:val="ru-RU"/>
              </w:rPr>
              <w:t>iv</w:t>
            </w:r>
            <w:proofErr w:type="spellEnd"/>
            <w:r w:rsidRPr="002F16BB">
              <w:rPr>
                <w:sz w:val="18"/>
                <w:szCs w:val="18"/>
                <w:lang w:val="ru-RU"/>
              </w:rPr>
              <w:t>) критерии внутреннего подбора персонала по сравнению с внешним, а также использование внештатных сотрудников и сотрудников, работающих по краткосрочным контрактам.</w:t>
            </w:r>
          </w:p>
        </w:tc>
        <w:tc>
          <w:tcPr>
            <w:tcW w:w="1362" w:type="pct"/>
            <w:tcBorders>
              <w:top w:val="single" w:sz="4" w:space="0" w:color="auto"/>
              <w:left w:val="single" w:sz="4" w:space="0" w:color="auto"/>
              <w:bottom w:val="single" w:sz="4" w:space="0" w:color="auto"/>
              <w:right w:val="single" w:sz="4" w:space="0" w:color="auto"/>
            </w:tcBorders>
          </w:tcPr>
          <w:p w14:paraId="7F01E1D0"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Мы поддерживаем эту рекомендацию. Элементы, перечисленные в подпунктах i)−</w:t>
            </w:r>
            <w:proofErr w:type="spellStart"/>
            <w:r w:rsidRPr="002F16BB">
              <w:rPr>
                <w:sz w:val="18"/>
                <w:szCs w:val="18"/>
                <w:lang w:val="ru-RU"/>
              </w:rPr>
              <w:t>iv</w:t>
            </w:r>
            <w:proofErr w:type="spellEnd"/>
            <w:r w:rsidRPr="002F16BB">
              <w:rPr>
                <w:sz w:val="18"/>
                <w:szCs w:val="18"/>
                <w:lang w:val="ru-RU"/>
              </w:rPr>
              <w:t>), являются неотъемлемой частью разработки Стратегического плана в области людских ресурсов, который будет представлен на утверждение сессии Совета 2019 года, на основании Стратегического плана и Финансового плана МСЭ, которые подлежат утверждению Полномочной конференцией 2018 года в Дубае.</w:t>
            </w:r>
          </w:p>
        </w:tc>
        <w:tc>
          <w:tcPr>
            <w:tcW w:w="1363" w:type="pct"/>
            <w:tcBorders>
              <w:top w:val="single" w:sz="4" w:space="0" w:color="auto"/>
              <w:left w:val="single" w:sz="4" w:space="0" w:color="auto"/>
              <w:bottom w:val="single" w:sz="4" w:space="0" w:color="auto"/>
              <w:right w:val="single" w:sz="4" w:space="0" w:color="auto"/>
            </w:tcBorders>
          </w:tcPr>
          <w:p w14:paraId="0640E386" w14:textId="60CCE182"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02654202" w14:textId="68C135AB" w:rsidR="00B86204" w:rsidRPr="002F16BB" w:rsidRDefault="00B86204" w:rsidP="00016740">
            <w:pPr>
              <w:pStyle w:val="Tabletext"/>
              <w:spacing w:before="20" w:after="20"/>
              <w:rPr>
                <w:sz w:val="18"/>
                <w:szCs w:val="18"/>
                <w:lang w:val="ru-RU" w:eastAsia="it-IT"/>
              </w:rPr>
            </w:pPr>
            <w:r w:rsidRPr="002F16BB">
              <w:rPr>
                <w:sz w:val="18"/>
                <w:szCs w:val="18"/>
                <w:lang w:val="ru-RU" w:eastAsia="it-IT"/>
              </w:rPr>
              <w:t>ПК-18 одобрила разработку СП ЛР путем его включения в Резолюцию 48 об управлении ЛР и их развитии. В настоящее время Департамент управления ЛР в консультации со всеми внутренними партнерами (бюро и департаментами, Координационным комитетом и Объединенным консультативным комитетом) разрабатывает документ с целью его представления на сессии Совета в 2019</w:t>
            </w:r>
            <w:r w:rsidR="00016740">
              <w:rPr>
                <w:sz w:val="18"/>
                <w:szCs w:val="18"/>
                <w:lang w:eastAsia="it-IT"/>
              </w:rPr>
              <w:t> </w:t>
            </w:r>
            <w:r w:rsidRPr="002F16BB">
              <w:rPr>
                <w:sz w:val="18"/>
                <w:szCs w:val="18"/>
                <w:lang w:val="ru-RU" w:eastAsia="it-IT"/>
              </w:rPr>
              <w:t>году для утверждения. В документ войдут все пункты, упомянутые в рекомендации.</w:t>
            </w:r>
          </w:p>
          <w:p w14:paraId="01A1EE4B" w14:textId="77777777" w:rsidR="00B86204" w:rsidRPr="002F16BB" w:rsidRDefault="00B86204" w:rsidP="00016740">
            <w:pPr>
              <w:pStyle w:val="Tabletext"/>
              <w:spacing w:before="20" w:after="20"/>
              <w:rPr>
                <w:b/>
                <w:bCs/>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3C3F6321" w14:textId="1EBB6C9C" w:rsidR="00B86204" w:rsidRPr="002F16BB" w:rsidRDefault="00B86204" w:rsidP="00016740">
            <w:pPr>
              <w:pStyle w:val="Tabletext"/>
              <w:spacing w:before="20" w:after="20"/>
              <w:rPr>
                <w:sz w:val="18"/>
                <w:szCs w:val="18"/>
                <w:lang w:val="ru-RU" w:eastAsia="it-IT"/>
              </w:rPr>
            </w:pPr>
            <w:r w:rsidRPr="002F16BB">
              <w:rPr>
                <w:sz w:val="18"/>
                <w:szCs w:val="18"/>
                <w:lang w:val="ru-RU" w:eastAsia="it-IT"/>
              </w:rPr>
              <w:t>Кадровая стратегия МСЭ и Стратегический план в области ЛР (на 2020−2023 гг.) были разработаны HRMD на основе процесса консультаций, которые проводились с 15</w:t>
            </w:r>
            <w:r w:rsidR="00016740">
              <w:rPr>
                <w:sz w:val="18"/>
                <w:szCs w:val="18"/>
                <w:lang w:eastAsia="it-IT"/>
              </w:rPr>
              <w:t> </w:t>
            </w:r>
            <w:r w:rsidRPr="002F16BB">
              <w:rPr>
                <w:sz w:val="18"/>
                <w:szCs w:val="18"/>
                <w:lang w:val="ru-RU" w:eastAsia="it-IT"/>
              </w:rPr>
              <w:t xml:space="preserve">января по 15 марта 2019 года с Бюро и Генеральным секретариатом (ГС), а также c Советом персонала. </w:t>
            </w:r>
          </w:p>
          <w:p w14:paraId="66CAB615"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Этот процесс консультаций представлял собой активное взаимодействие при помощи направления записок и организации презентаций по новой Кадровой стратегии МСЭ, а также по вопросу о потенциальной структуре и содержании СП ЛР. </w:t>
            </w:r>
          </w:p>
          <w:p w14:paraId="09B82D35"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lastRenderedPageBreak/>
              <w:t xml:space="preserve">После этих презентаций всем Бюро/департаментам ГС и Совету персонала было предложено к 15 марта 2019 года представить вклады как для описательных разделов Кадровой стратегии МСЭ, так и в отношении конкретных потребностей, которые необходимо отразить в СП ЛР. Вклады и замечания, полученные по всем секторам, отражены в настоящем окончательном документе. </w:t>
            </w:r>
          </w:p>
          <w:p w14:paraId="79AAFB1B"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Данный процесс имел ключевое значение для воплощения приоритетов и целей Кадровой стратегии МСЭ (базовых компонентов 1, 2, 3 и 4, описанных в разделе 5 Кадровой стратегии МСЭ на 2020−2023 годы, представленной в приложении) в СП ЛР, с учетом конкретных потребностей Бюро/департаментов ГС и в соответствии с общими приоритетами и целями МСЭ. </w:t>
            </w:r>
          </w:p>
          <w:p w14:paraId="2F702522"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Хотя задача процесса консультаций с Бюро и департаментами ГС заключалась в определении конкретных потребностей для обеспечения более адресного подхода, СП ЛР направлен на поддержку − через функции управления ЛР − Организации как "Единого МСЭ". Это настоятельно рекомендовали внутренне заинтересованные стороны, результатом чего стал "Единый СП ЛР".</w:t>
            </w:r>
          </w:p>
          <w:p w14:paraId="7C4D5999"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Все элементы, упомянутые в рекомендации, вошли в окончательный документ, который уже готов для представления на сессии Совета 2019 года. </w:t>
            </w:r>
          </w:p>
          <w:p w14:paraId="3E733107" w14:textId="66209271"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642CA97D"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 xml:space="preserve">Стратегический план в области людских ресурсов на 2020–2023 годы, вытекающий из процесса, описанного выше, был утвержден на сессии Совета 2019 года. Он находится в </w:t>
            </w:r>
            <w:r w:rsidRPr="002F16BB">
              <w:rPr>
                <w:color w:val="000000"/>
                <w:sz w:val="18"/>
                <w:szCs w:val="18"/>
                <w:lang w:val="ru-RU"/>
              </w:rPr>
              <w:lastRenderedPageBreak/>
              <w:t>стадии реализации и отчет о его выполнении будет представлен сессии Совета 2020 года</w:t>
            </w:r>
            <w:r w:rsidRPr="002F16BB">
              <w:rPr>
                <w:sz w:val="18"/>
                <w:szCs w:val="18"/>
                <w:lang w:val="ru-RU" w:eastAsia="it-IT"/>
              </w:rPr>
              <w:t>.</w:t>
            </w:r>
          </w:p>
          <w:p w14:paraId="206F1959" w14:textId="0ACAFDF8"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612C2540"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Комментарии, сделанные сентябре 2019 года, </w:t>
            </w:r>
            <w:r w:rsidRPr="002F16BB">
              <w:rPr>
                <w:color w:val="000000"/>
                <w:sz w:val="18"/>
                <w:szCs w:val="18"/>
                <w:lang w:val="ru-RU"/>
              </w:rPr>
              <w:t>сохраняют свою силу</w:t>
            </w:r>
            <w:r w:rsidRPr="002F16BB">
              <w:rPr>
                <w:sz w:val="18"/>
                <w:szCs w:val="18"/>
                <w:lang w:val="ru-RU" w:eastAsia="it-IT"/>
              </w:rPr>
              <w:t>. Б</w:t>
            </w:r>
            <w:r w:rsidRPr="002F16BB">
              <w:rPr>
                <w:color w:val="000000"/>
                <w:sz w:val="18"/>
                <w:szCs w:val="18"/>
                <w:lang w:val="ru-RU"/>
              </w:rPr>
              <w:t xml:space="preserve">ыл подготовлен отчет для представления сессии Совета </w:t>
            </w:r>
            <w:r w:rsidRPr="002F16BB">
              <w:rPr>
                <w:sz w:val="18"/>
                <w:szCs w:val="18"/>
                <w:lang w:val="ru-RU" w:eastAsia="it-IT"/>
              </w:rPr>
              <w:t xml:space="preserve">2020 года, однако во время </w:t>
            </w:r>
            <w:r w:rsidRPr="002F16BB">
              <w:rPr>
                <w:color w:val="000000"/>
                <w:sz w:val="18"/>
                <w:szCs w:val="18"/>
                <w:lang w:val="ru-RU"/>
              </w:rPr>
              <w:t>виртуальных консультаций Совета в июне 2020 года он не рассматривался</w:t>
            </w:r>
            <w:r w:rsidRPr="002F16BB">
              <w:rPr>
                <w:sz w:val="18"/>
                <w:szCs w:val="18"/>
                <w:lang w:val="ru-RU" w:eastAsia="it-IT"/>
              </w:rPr>
              <w:t>. Его рассмотрение было отложено до следующей сессии Совета.</w:t>
            </w:r>
          </w:p>
        </w:tc>
        <w:tc>
          <w:tcPr>
            <w:tcW w:w="720" w:type="pct"/>
            <w:tcBorders>
              <w:top w:val="single" w:sz="4" w:space="0" w:color="auto"/>
              <w:left w:val="single" w:sz="4" w:space="0" w:color="auto"/>
              <w:bottom w:val="single" w:sz="4" w:space="0" w:color="auto"/>
              <w:right w:val="single" w:sz="4" w:space="0" w:color="auto"/>
            </w:tcBorders>
          </w:tcPr>
          <w:p w14:paraId="759DF1BF"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 процессе выполнения.</w:t>
            </w:r>
          </w:p>
        </w:tc>
      </w:tr>
      <w:bookmarkEnd w:id="434"/>
      <w:tr w:rsidR="00B86204" w:rsidRPr="002F16BB" w14:paraId="630FFF12" w14:textId="77777777" w:rsidTr="00016740">
        <w:tc>
          <w:tcPr>
            <w:tcW w:w="339" w:type="pct"/>
            <w:tcBorders>
              <w:top w:val="single" w:sz="4" w:space="0" w:color="auto"/>
              <w:left w:val="single" w:sz="4" w:space="0" w:color="auto"/>
              <w:bottom w:val="single" w:sz="4" w:space="0" w:color="auto"/>
              <w:right w:val="single" w:sz="4" w:space="0" w:color="auto"/>
            </w:tcBorders>
          </w:tcPr>
          <w:p w14:paraId="685B7F27"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lastRenderedPageBreak/>
              <w:t>Рек. 4/2017</w:t>
            </w:r>
          </w:p>
        </w:tc>
        <w:tc>
          <w:tcPr>
            <w:tcW w:w="1216" w:type="pct"/>
            <w:tcBorders>
              <w:top w:val="single" w:sz="4" w:space="0" w:color="auto"/>
              <w:left w:val="single" w:sz="4" w:space="0" w:color="auto"/>
              <w:bottom w:val="single" w:sz="4" w:space="0" w:color="auto"/>
              <w:right w:val="single" w:sz="4" w:space="0" w:color="auto"/>
            </w:tcBorders>
          </w:tcPr>
          <w:p w14:paraId="1929F84D" w14:textId="77777777" w:rsidR="00B86204" w:rsidRPr="002F16BB" w:rsidRDefault="00B86204" w:rsidP="00016740">
            <w:pPr>
              <w:pStyle w:val="Tabletext"/>
              <w:spacing w:before="20" w:after="20"/>
              <w:rPr>
                <w:sz w:val="18"/>
                <w:szCs w:val="18"/>
                <w:lang w:val="ru-RU" w:eastAsia="it-IT"/>
              </w:rPr>
            </w:pPr>
            <w:r w:rsidRPr="002F16BB">
              <w:rPr>
                <w:sz w:val="18"/>
                <w:szCs w:val="18"/>
                <w:u w:val="single"/>
                <w:lang w:val="ru-RU"/>
              </w:rPr>
              <w:t>Мы рекомендуем</w:t>
            </w:r>
            <w:r w:rsidRPr="002F16BB">
              <w:rPr>
                <w:sz w:val="18"/>
                <w:szCs w:val="18"/>
                <w:lang w:val="ru-RU"/>
              </w:rPr>
              <w:t xml:space="preserve"> ввести политику/руководящие указания, благодаря которым 1) избегалось бы автоматическое продление действующих контрактов; 2) считалось бы необходимым проведение оценки поставщиков/рынка до принятия руководством решения о продлении контракта.</w:t>
            </w:r>
          </w:p>
        </w:tc>
        <w:tc>
          <w:tcPr>
            <w:tcW w:w="1362" w:type="pct"/>
            <w:tcBorders>
              <w:top w:val="single" w:sz="4" w:space="0" w:color="auto"/>
              <w:left w:val="single" w:sz="4" w:space="0" w:color="auto"/>
              <w:bottom w:val="single" w:sz="4" w:space="0" w:color="auto"/>
              <w:right w:val="single" w:sz="4" w:space="0" w:color="auto"/>
            </w:tcBorders>
          </w:tcPr>
          <w:p w14:paraId="7A27627C"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МСЭ согласен с тем, что следует ввести политику, которая не предусматривала бы автоматическое продление контрактов. МСЭ также согласен, что следует проводить оценку показателей работы поставщиков до продления контракта. Если контрактом предусмотрены опции продления, проведение рыночной оценки не должно быть обязательным. В то же время, если контракт продляется на срок, больший, чем опции продления, рыночная оценка может проводиться как часть обоснования такого продления.</w:t>
            </w:r>
          </w:p>
        </w:tc>
        <w:tc>
          <w:tcPr>
            <w:tcW w:w="1363" w:type="pct"/>
            <w:tcBorders>
              <w:top w:val="single" w:sz="4" w:space="0" w:color="auto"/>
              <w:left w:val="single" w:sz="4" w:space="0" w:color="auto"/>
              <w:bottom w:val="single" w:sz="4" w:space="0" w:color="auto"/>
              <w:right w:val="single" w:sz="4" w:space="0" w:color="auto"/>
            </w:tcBorders>
          </w:tcPr>
          <w:p w14:paraId="53FA17F2" w14:textId="7BA2276F"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3C758425"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Это включено в инструкцию по закупкам, которая была составлена и планируется к распространению в начале 2019 года. </w:t>
            </w:r>
          </w:p>
          <w:p w14:paraId="035B4222"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5F04B8CA"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Отсутствует.</w:t>
            </w:r>
          </w:p>
          <w:p w14:paraId="5331FE30" w14:textId="3A99E1FC"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3FF16B5A"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Инструкция МСЭ по закупкам в пункте 12.2.1 прямо предусматривает, что </w:t>
            </w:r>
            <w:r w:rsidRPr="002F16BB">
              <w:rPr>
                <w:color w:val="000000"/>
                <w:sz w:val="18"/>
                <w:szCs w:val="18"/>
                <w:lang w:val="ru-RU"/>
              </w:rPr>
              <w:t>контракты</w:t>
            </w:r>
            <w:r w:rsidRPr="002F16BB">
              <w:rPr>
                <w:sz w:val="18"/>
                <w:szCs w:val="18"/>
                <w:lang w:val="ru-RU" w:eastAsia="it-IT"/>
              </w:rPr>
              <w:t xml:space="preserve"> </w:t>
            </w:r>
            <w:r w:rsidRPr="002F16BB">
              <w:rPr>
                <w:color w:val="000000"/>
                <w:sz w:val="18"/>
                <w:szCs w:val="18"/>
                <w:lang w:val="ru-RU"/>
              </w:rPr>
              <w:t>не продлеваются автоматически</w:t>
            </w:r>
            <w:r w:rsidRPr="002F16BB">
              <w:rPr>
                <w:sz w:val="18"/>
                <w:szCs w:val="18"/>
                <w:lang w:val="ru-RU" w:eastAsia="it-IT"/>
              </w:rPr>
              <w:t xml:space="preserve"> и что такое продление может быть сделано </w:t>
            </w:r>
            <w:r w:rsidRPr="002F16BB">
              <w:rPr>
                <w:color w:val="000000"/>
                <w:sz w:val="18"/>
                <w:szCs w:val="18"/>
                <w:lang w:val="ru-RU"/>
              </w:rPr>
              <w:t>после удовлетворительной оценки показателей работы поставщиков</w:t>
            </w:r>
            <w:r w:rsidRPr="002F16BB">
              <w:rPr>
                <w:sz w:val="18"/>
                <w:szCs w:val="18"/>
                <w:lang w:val="ru-RU" w:eastAsia="it-IT"/>
              </w:rPr>
              <w:t xml:space="preserve">. Срок действия контрактов для удовлетворения </w:t>
            </w:r>
            <w:r w:rsidRPr="002F16BB">
              <w:rPr>
                <w:color w:val="000000"/>
                <w:sz w:val="18"/>
                <w:szCs w:val="18"/>
                <w:lang w:val="ru-RU"/>
              </w:rPr>
              <w:t>постоянной потребности составляет обычно не более 5 лет, после чего</w:t>
            </w:r>
            <w:r w:rsidRPr="002F16BB">
              <w:rPr>
                <w:sz w:val="18"/>
                <w:szCs w:val="18"/>
                <w:lang w:val="ru-RU" w:eastAsia="it-IT"/>
              </w:rPr>
              <w:t xml:space="preserve"> рыночные цены должны быть пересмотрены.</w:t>
            </w:r>
          </w:p>
          <w:p w14:paraId="2BB03576" w14:textId="7A5CD4EC"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21FFBA93"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6AA5508C"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Выполнено.</w:t>
            </w:r>
          </w:p>
        </w:tc>
      </w:tr>
      <w:tr w:rsidR="00B86204" w:rsidRPr="002F16BB" w14:paraId="29807985" w14:textId="77777777" w:rsidTr="00016740">
        <w:tc>
          <w:tcPr>
            <w:tcW w:w="339" w:type="pct"/>
            <w:tcBorders>
              <w:top w:val="single" w:sz="4" w:space="0" w:color="auto"/>
              <w:left w:val="single" w:sz="4" w:space="0" w:color="auto"/>
              <w:bottom w:val="single" w:sz="4" w:space="0" w:color="auto"/>
              <w:right w:val="single" w:sz="4" w:space="0" w:color="auto"/>
            </w:tcBorders>
          </w:tcPr>
          <w:p w14:paraId="77B94B2C"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5/2017</w:t>
            </w:r>
          </w:p>
        </w:tc>
        <w:tc>
          <w:tcPr>
            <w:tcW w:w="1216" w:type="pct"/>
            <w:tcBorders>
              <w:top w:val="single" w:sz="4" w:space="0" w:color="auto"/>
              <w:left w:val="single" w:sz="4" w:space="0" w:color="auto"/>
              <w:bottom w:val="single" w:sz="4" w:space="0" w:color="auto"/>
              <w:right w:val="single" w:sz="4" w:space="0" w:color="auto"/>
            </w:tcBorders>
          </w:tcPr>
          <w:p w14:paraId="1A85DDEF" w14:textId="77777777" w:rsidR="00B86204" w:rsidRPr="002F16BB" w:rsidRDefault="00B86204" w:rsidP="00016740">
            <w:pPr>
              <w:pStyle w:val="Tabletext"/>
              <w:spacing w:before="20" w:after="20"/>
              <w:rPr>
                <w:sz w:val="18"/>
                <w:szCs w:val="18"/>
                <w:lang w:val="ru-RU" w:eastAsia="it-IT"/>
              </w:rPr>
            </w:pPr>
            <w:r w:rsidRPr="002F16BB">
              <w:rPr>
                <w:sz w:val="18"/>
                <w:szCs w:val="18"/>
                <w:u w:val="single"/>
                <w:lang w:val="ru-RU"/>
              </w:rPr>
              <w:t>Мы рекомендуем</w:t>
            </w:r>
            <w:r w:rsidRPr="002F16BB">
              <w:rPr>
                <w:sz w:val="18"/>
                <w:szCs w:val="18"/>
                <w:lang w:val="ru-RU"/>
              </w:rPr>
              <w:t xml:space="preserve"> руководству усилить контроль за многократным заключением заказов на закупки/контрактов с одним и тем же поставщиком для сокращения риска того, что правила и процедуры </w:t>
            </w:r>
            <w:r w:rsidRPr="002F16BB">
              <w:rPr>
                <w:sz w:val="18"/>
                <w:szCs w:val="18"/>
                <w:lang w:val="ru-RU"/>
              </w:rPr>
              <w:lastRenderedPageBreak/>
              <w:t>МСЭ в области закупок избегаются или не применяются должным образом.</w:t>
            </w:r>
          </w:p>
        </w:tc>
        <w:tc>
          <w:tcPr>
            <w:tcW w:w="1362" w:type="pct"/>
            <w:tcBorders>
              <w:top w:val="single" w:sz="4" w:space="0" w:color="auto"/>
              <w:left w:val="single" w:sz="4" w:space="0" w:color="auto"/>
              <w:bottom w:val="single" w:sz="4" w:space="0" w:color="auto"/>
              <w:right w:val="single" w:sz="4" w:space="0" w:color="auto"/>
            </w:tcBorders>
          </w:tcPr>
          <w:p w14:paraId="1C9FD28C"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МСЭ согласен, что следует ввести меры контроля для сокращения риска того, что правила и процедуры МСЭ в области закупок избегаются.</w:t>
            </w:r>
          </w:p>
        </w:tc>
        <w:tc>
          <w:tcPr>
            <w:tcW w:w="1363" w:type="pct"/>
            <w:tcBorders>
              <w:top w:val="single" w:sz="4" w:space="0" w:color="auto"/>
              <w:left w:val="single" w:sz="4" w:space="0" w:color="auto"/>
              <w:bottom w:val="single" w:sz="4" w:space="0" w:color="auto"/>
              <w:right w:val="single" w:sz="4" w:space="0" w:color="auto"/>
            </w:tcBorders>
          </w:tcPr>
          <w:p w14:paraId="3A5D0B98" w14:textId="6EFA3CE6"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1E928BAE"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Осуществление запланировано на январь 2019 года. </w:t>
            </w:r>
          </w:p>
          <w:p w14:paraId="7705544B" w14:textId="77777777" w:rsidR="00B86204" w:rsidRPr="002F16BB" w:rsidRDefault="00B86204" w:rsidP="00016740">
            <w:pPr>
              <w:pStyle w:val="Tabletext"/>
              <w:keepNext/>
              <w:keepLines/>
              <w:spacing w:before="20" w:after="20"/>
              <w:rPr>
                <w:sz w:val="18"/>
                <w:szCs w:val="18"/>
                <w:lang w:val="ru-RU" w:eastAsia="it-IT"/>
              </w:rPr>
            </w:pPr>
            <w:r w:rsidRPr="002F16BB">
              <w:rPr>
                <w:b/>
                <w:bCs/>
                <w:sz w:val="18"/>
                <w:szCs w:val="18"/>
                <w:lang w:val="ru-RU" w:eastAsia="it-IT"/>
              </w:rPr>
              <w:lastRenderedPageBreak/>
              <w:t>Обновление, по состоянию на апрель 2019 г</w:t>
            </w:r>
            <w:r w:rsidRPr="002F16BB">
              <w:rPr>
                <w:sz w:val="18"/>
                <w:szCs w:val="18"/>
                <w:lang w:val="ru-RU" w:eastAsia="it-IT"/>
              </w:rPr>
              <w:t>.:</w:t>
            </w:r>
          </w:p>
          <w:p w14:paraId="227FC965" w14:textId="02BDC5A0"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Осуществлено. 1 апреля 2019 года введены новые процедуры, касающиеся закупок на сумму менее 20 000 </w:t>
            </w:r>
            <w:proofErr w:type="spellStart"/>
            <w:r w:rsidRPr="002F16BB">
              <w:rPr>
                <w:sz w:val="18"/>
                <w:szCs w:val="18"/>
                <w:lang w:val="ru-RU" w:eastAsia="it-IT"/>
              </w:rPr>
              <w:t>шв</w:t>
            </w:r>
            <w:proofErr w:type="spellEnd"/>
            <w:r w:rsidRPr="002F16BB">
              <w:rPr>
                <w:sz w:val="18"/>
                <w:szCs w:val="18"/>
                <w:lang w:val="ru-RU" w:eastAsia="it-IT"/>
              </w:rPr>
              <w:t xml:space="preserve">. фр. Теперь для применения требования о представления трех предложений по ценам устанавливается пороговый уровень в размере 5000 </w:t>
            </w:r>
            <w:proofErr w:type="spellStart"/>
            <w:r w:rsidRPr="002F16BB">
              <w:rPr>
                <w:sz w:val="18"/>
                <w:szCs w:val="18"/>
                <w:lang w:val="ru-RU" w:eastAsia="it-IT"/>
              </w:rPr>
              <w:t>шв</w:t>
            </w:r>
            <w:proofErr w:type="spellEnd"/>
            <w:r w:rsidRPr="002F16BB">
              <w:rPr>
                <w:sz w:val="18"/>
                <w:szCs w:val="18"/>
                <w:lang w:val="ru-RU" w:eastAsia="it-IT"/>
              </w:rPr>
              <w:t xml:space="preserve">. фр. Предоставление заказа без конкурсного предложения по ценам ограничивается суммой в 5000 </w:t>
            </w:r>
            <w:proofErr w:type="spellStart"/>
            <w:r w:rsidRPr="002F16BB">
              <w:rPr>
                <w:sz w:val="18"/>
                <w:szCs w:val="18"/>
                <w:lang w:val="ru-RU" w:eastAsia="it-IT"/>
              </w:rPr>
              <w:t>шв</w:t>
            </w:r>
            <w:proofErr w:type="spellEnd"/>
            <w:r w:rsidRPr="002F16BB">
              <w:rPr>
                <w:sz w:val="18"/>
                <w:szCs w:val="18"/>
                <w:lang w:val="ru-RU" w:eastAsia="it-IT"/>
              </w:rPr>
              <w:t>. фр. за одну сделку и 20 000</w:t>
            </w:r>
            <w:r w:rsidR="00016740">
              <w:rPr>
                <w:sz w:val="18"/>
                <w:szCs w:val="18"/>
                <w:lang w:eastAsia="it-IT"/>
              </w:rPr>
              <w:t> </w:t>
            </w:r>
            <w:proofErr w:type="spellStart"/>
            <w:r w:rsidRPr="002F16BB">
              <w:rPr>
                <w:sz w:val="18"/>
                <w:szCs w:val="18"/>
                <w:lang w:val="ru-RU" w:eastAsia="it-IT"/>
              </w:rPr>
              <w:t>шв</w:t>
            </w:r>
            <w:proofErr w:type="spellEnd"/>
            <w:r w:rsidRPr="002F16BB">
              <w:rPr>
                <w:sz w:val="18"/>
                <w:szCs w:val="18"/>
                <w:lang w:val="ru-RU" w:eastAsia="it-IT"/>
              </w:rPr>
              <w:t>. фр. на одного поставщика в календарный год.</w:t>
            </w:r>
          </w:p>
          <w:p w14:paraId="1B5DDCD1" w14:textId="2658E2D4"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 xml:space="preserve">.: </w:t>
            </w:r>
          </w:p>
          <w:p w14:paraId="7AED0F72" w14:textId="56FCC146"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r w:rsidR="00016740">
              <w:rPr>
                <w:sz w:val="18"/>
                <w:szCs w:val="18"/>
                <w:lang w:val="ru-RU" w:eastAsia="it-IT"/>
              </w:rPr>
              <w:t>,</w:t>
            </w:r>
            <w:r w:rsidRPr="002F16BB">
              <w:rPr>
                <w:sz w:val="18"/>
                <w:szCs w:val="18"/>
                <w:lang w:val="ru-RU" w:eastAsia="it-IT"/>
              </w:rPr>
              <w:t xml:space="preserve"> по состоянию на апрель 2019</w:t>
            </w:r>
            <w:r w:rsidR="00016740">
              <w:rPr>
                <w:sz w:val="18"/>
                <w:szCs w:val="18"/>
                <w:lang w:eastAsia="it-IT"/>
              </w:rPr>
              <w:t> </w:t>
            </w:r>
            <w:r w:rsidRPr="002F16BB">
              <w:rPr>
                <w:sz w:val="18"/>
                <w:szCs w:val="18"/>
                <w:lang w:val="ru-RU" w:eastAsia="it-IT"/>
              </w:rPr>
              <w:t>г</w:t>
            </w:r>
            <w:r w:rsidR="00016740">
              <w:rPr>
                <w:sz w:val="18"/>
                <w:szCs w:val="18"/>
                <w:lang w:val="ru-RU" w:eastAsia="it-IT"/>
              </w:rPr>
              <w:t>ода</w:t>
            </w:r>
            <w:r w:rsidRPr="002F16BB">
              <w:rPr>
                <w:sz w:val="18"/>
                <w:szCs w:val="18"/>
                <w:lang w:val="ru-RU" w:eastAsia="it-IT"/>
              </w:rPr>
              <w:t>.</w:t>
            </w:r>
          </w:p>
          <w:p w14:paraId="73767A3A" w14:textId="6E5B8AB1"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233BFFFA"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4FD7EBDE"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Выполнено.</w:t>
            </w:r>
          </w:p>
        </w:tc>
      </w:tr>
      <w:tr w:rsidR="00B86204" w:rsidRPr="00FE280E" w14:paraId="0B6F5F3A" w14:textId="77777777" w:rsidTr="00016740">
        <w:tc>
          <w:tcPr>
            <w:tcW w:w="339" w:type="pct"/>
            <w:tcBorders>
              <w:top w:val="single" w:sz="4" w:space="0" w:color="auto"/>
              <w:left w:val="single" w:sz="4" w:space="0" w:color="auto"/>
              <w:bottom w:val="single" w:sz="4" w:space="0" w:color="auto"/>
              <w:right w:val="single" w:sz="4" w:space="0" w:color="auto"/>
            </w:tcBorders>
          </w:tcPr>
          <w:p w14:paraId="40C29CF0"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6/2017</w:t>
            </w:r>
          </w:p>
        </w:tc>
        <w:tc>
          <w:tcPr>
            <w:tcW w:w="1216" w:type="pct"/>
            <w:tcBorders>
              <w:top w:val="single" w:sz="4" w:space="0" w:color="auto"/>
              <w:left w:val="single" w:sz="4" w:space="0" w:color="auto"/>
              <w:bottom w:val="single" w:sz="4" w:space="0" w:color="auto"/>
              <w:right w:val="single" w:sz="4" w:space="0" w:color="auto"/>
            </w:tcBorders>
          </w:tcPr>
          <w:p w14:paraId="050B70D1" w14:textId="77777777" w:rsidR="00B86204" w:rsidRPr="002F16BB" w:rsidRDefault="00B86204" w:rsidP="00016740">
            <w:pPr>
              <w:pStyle w:val="Tabletext"/>
              <w:spacing w:before="20" w:after="20"/>
              <w:rPr>
                <w:sz w:val="18"/>
                <w:szCs w:val="18"/>
                <w:lang w:val="ru-RU" w:eastAsia="it-IT"/>
              </w:rPr>
            </w:pPr>
            <w:r w:rsidRPr="002F16BB">
              <w:rPr>
                <w:sz w:val="18"/>
                <w:szCs w:val="18"/>
                <w:u w:val="single"/>
                <w:lang w:val="ru-RU"/>
              </w:rPr>
              <w:t>Мы рекомендуем</w:t>
            </w:r>
            <w:r w:rsidRPr="002F16BB">
              <w:rPr>
                <w:sz w:val="18"/>
                <w:szCs w:val="18"/>
                <w:lang w:val="ru-RU"/>
              </w:rPr>
              <w:t xml:space="preserve"> руководству обновить программное обеспечение SRM, чтобы обеспечить возможность осуществления контроля заказов на закупки/контрактов, заключаемых в случае отказа от проведения конкурса.</w:t>
            </w:r>
          </w:p>
        </w:tc>
        <w:tc>
          <w:tcPr>
            <w:tcW w:w="1362" w:type="pct"/>
            <w:tcBorders>
              <w:top w:val="single" w:sz="4" w:space="0" w:color="auto"/>
              <w:left w:val="single" w:sz="4" w:space="0" w:color="auto"/>
              <w:bottom w:val="single" w:sz="4" w:space="0" w:color="auto"/>
              <w:right w:val="single" w:sz="4" w:space="0" w:color="auto"/>
            </w:tcBorders>
          </w:tcPr>
          <w:p w14:paraId="22F3BC4C"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МСЭ согласен, что, если это технически осуществимо, основание для заключения (отказ от проведения конкурса) следует заносить в систему SRM.</w:t>
            </w:r>
          </w:p>
        </w:tc>
        <w:tc>
          <w:tcPr>
            <w:tcW w:w="1363" w:type="pct"/>
            <w:tcBorders>
              <w:top w:val="single" w:sz="4" w:space="0" w:color="auto"/>
              <w:left w:val="single" w:sz="4" w:space="0" w:color="auto"/>
              <w:bottom w:val="single" w:sz="4" w:space="0" w:color="auto"/>
              <w:right w:val="single" w:sz="4" w:space="0" w:color="auto"/>
            </w:tcBorders>
          </w:tcPr>
          <w:p w14:paraId="7B8B7630" w14:textId="03BFF59E"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304213B0"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Это часть проекта в области управления контрактами, завершение которого планируется в 2019 году. </w:t>
            </w:r>
          </w:p>
          <w:p w14:paraId="71FA1157"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21781E9C"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Отсутствует. </w:t>
            </w:r>
          </w:p>
          <w:p w14:paraId="183AFEA5" w14:textId="506ED4DE"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eastAsia="it-IT"/>
              </w:rPr>
              <w:t> </w:t>
            </w:r>
            <w:r w:rsidRPr="002F16BB">
              <w:rPr>
                <w:b/>
                <w:bCs/>
                <w:sz w:val="18"/>
                <w:szCs w:val="18"/>
                <w:lang w:val="ru-RU" w:eastAsia="it-IT"/>
              </w:rPr>
              <w:t>г</w:t>
            </w:r>
            <w:r w:rsidRPr="002F16BB">
              <w:rPr>
                <w:sz w:val="18"/>
                <w:szCs w:val="18"/>
                <w:lang w:val="ru-RU" w:eastAsia="it-IT"/>
              </w:rPr>
              <w:t>.:</w:t>
            </w:r>
          </w:p>
          <w:p w14:paraId="2A47CDB8" w14:textId="58498EB5"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r w:rsidR="00016740">
              <w:rPr>
                <w:sz w:val="18"/>
                <w:szCs w:val="18"/>
                <w:lang w:val="ru-RU" w:eastAsia="it-IT"/>
              </w:rPr>
              <w:t>,</w:t>
            </w:r>
            <w:r w:rsidRPr="002F16BB">
              <w:rPr>
                <w:sz w:val="18"/>
                <w:szCs w:val="18"/>
                <w:lang w:val="ru-RU" w:eastAsia="it-IT"/>
              </w:rPr>
              <w:t xml:space="preserve"> по состоянию на июнь 2019</w:t>
            </w:r>
            <w:r w:rsidR="00016740">
              <w:rPr>
                <w:sz w:val="18"/>
                <w:szCs w:val="18"/>
                <w:lang w:val="ru-RU" w:eastAsia="it-IT"/>
              </w:rPr>
              <w:t> </w:t>
            </w:r>
            <w:r w:rsidRPr="002F16BB">
              <w:rPr>
                <w:sz w:val="18"/>
                <w:szCs w:val="18"/>
                <w:lang w:val="ru-RU" w:eastAsia="it-IT"/>
              </w:rPr>
              <w:t>г</w:t>
            </w:r>
            <w:r w:rsidR="00016740">
              <w:rPr>
                <w:sz w:val="18"/>
                <w:szCs w:val="18"/>
                <w:lang w:val="ru-RU" w:eastAsia="it-IT"/>
              </w:rPr>
              <w:t>ода</w:t>
            </w:r>
            <w:r w:rsidRPr="002F16BB">
              <w:rPr>
                <w:sz w:val="18"/>
                <w:szCs w:val="18"/>
                <w:lang w:val="ru-RU" w:eastAsia="it-IT"/>
              </w:rPr>
              <w:t>.</w:t>
            </w:r>
          </w:p>
          <w:p w14:paraId="1FABD427" w14:textId="52380C89"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1DF69A83"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18924BDD" w14:textId="77777777" w:rsidR="00B86204" w:rsidRPr="002F16BB" w:rsidRDefault="00B86204" w:rsidP="00016740">
            <w:pPr>
              <w:pStyle w:val="Tabletext"/>
              <w:spacing w:before="20" w:after="20"/>
              <w:rPr>
                <w:sz w:val="18"/>
                <w:szCs w:val="18"/>
                <w:lang w:val="ru-RU"/>
              </w:rPr>
            </w:pPr>
            <w:r w:rsidRPr="002F16BB">
              <w:rPr>
                <w:sz w:val="18"/>
                <w:szCs w:val="18"/>
                <w:lang w:val="ru-RU"/>
              </w:rPr>
              <w:t>В процессе выполнения.</w:t>
            </w:r>
          </w:p>
          <w:p w14:paraId="3F752092"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Мы будем контролировать осуществление в контексте наших следующих аудиторских проверок.</w:t>
            </w:r>
          </w:p>
        </w:tc>
      </w:tr>
      <w:tr w:rsidR="00B86204" w:rsidRPr="002F16BB" w14:paraId="22304CAD" w14:textId="77777777" w:rsidTr="00016740">
        <w:tc>
          <w:tcPr>
            <w:tcW w:w="339" w:type="pct"/>
            <w:tcBorders>
              <w:top w:val="single" w:sz="4" w:space="0" w:color="auto"/>
              <w:left w:val="single" w:sz="4" w:space="0" w:color="auto"/>
              <w:bottom w:val="single" w:sz="4" w:space="0" w:color="auto"/>
              <w:right w:val="single" w:sz="4" w:space="0" w:color="auto"/>
            </w:tcBorders>
          </w:tcPr>
          <w:p w14:paraId="4AA4F3E9"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10/2017</w:t>
            </w:r>
          </w:p>
        </w:tc>
        <w:tc>
          <w:tcPr>
            <w:tcW w:w="1216" w:type="pct"/>
            <w:tcBorders>
              <w:top w:val="single" w:sz="4" w:space="0" w:color="auto"/>
              <w:left w:val="single" w:sz="4" w:space="0" w:color="auto"/>
              <w:bottom w:val="single" w:sz="4" w:space="0" w:color="auto"/>
              <w:right w:val="single" w:sz="4" w:space="0" w:color="auto"/>
            </w:tcBorders>
          </w:tcPr>
          <w:p w14:paraId="352E0232" w14:textId="77777777" w:rsidR="00B86204" w:rsidRPr="002F16BB" w:rsidRDefault="00B86204" w:rsidP="00016740">
            <w:pPr>
              <w:pStyle w:val="Tabletext"/>
              <w:spacing w:before="20" w:after="20"/>
              <w:rPr>
                <w:sz w:val="18"/>
                <w:szCs w:val="18"/>
                <w:lang w:val="ru-RU" w:eastAsia="it-IT"/>
              </w:rPr>
            </w:pPr>
            <w:r w:rsidRPr="002F16BB">
              <w:rPr>
                <w:sz w:val="18"/>
                <w:szCs w:val="18"/>
                <w:u w:val="single"/>
                <w:lang w:val="ru-RU"/>
              </w:rPr>
              <w:t>Мы рекомендуем</w:t>
            </w:r>
            <w:r w:rsidRPr="002F16BB">
              <w:rPr>
                <w:sz w:val="18"/>
                <w:szCs w:val="18"/>
                <w:lang w:val="ru-RU"/>
              </w:rPr>
              <w:t xml:space="preserve"> по любым закупкам получать от поставщика письменное подтверждение того, что компания соблюдает Кодекс поведения поставщика ООН.</w:t>
            </w:r>
          </w:p>
        </w:tc>
        <w:tc>
          <w:tcPr>
            <w:tcW w:w="1362" w:type="pct"/>
            <w:tcBorders>
              <w:top w:val="single" w:sz="4" w:space="0" w:color="auto"/>
              <w:left w:val="single" w:sz="4" w:space="0" w:color="auto"/>
              <w:bottom w:val="single" w:sz="4" w:space="0" w:color="auto"/>
              <w:right w:val="single" w:sz="4" w:space="0" w:color="auto"/>
            </w:tcBorders>
          </w:tcPr>
          <w:p w14:paraId="4116F5C1"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 xml:space="preserve">МСЭ согласен с этой рекомендацией и намеревается зарегистрировать всех поставщиков на </w:t>
            </w:r>
            <w:r w:rsidRPr="002F16BB">
              <w:rPr>
                <w:color w:val="000000"/>
                <w:sz w:val="18"/>
                <w:szCs w:val="18"/>
                <w:lang w:val="ru-RU"/>
              </w:rPr>
              <w:t>Глобальном рынке Организации Объединенных Наций (ГРООН</w:t>
            </w:r>
            <w:r w:rsidRPr="002F16BB">
              <w:rPr>
                <w:sz w:val="18"/>
                <w:szCs w:val="18"/>
                <w:lang w:val="ru-RU"/>
              </w:rPr>
              <w:t xml:space="preserve">). В рамках этого процесса регистрации поставщик </w:t>
            </w:r>
            <w:r w:rsidRPr="002F16BB">
              <w:rPr>
                <w:sz w:val="18"/>
                <w:szCs w:val="18"/>
                <w:lang w:val="ru-RU"/>
              </w:rPr>
              <w:lastRenderedPageBreak/>
              <w:t>подтверждает, что прочел и понял Кодекс поведения поставщика ООН.</w:t>
            </w:r>
          </w:p>
        </w:tc>
        <w:tc>
          <w:tcPr>
            <w:tcW w:w="1363" w:type="pct"/>
            <w:tcBorders>
              <w:top w:val="single" w:sz="4" w:space="0" w:color="auto"/>
              <w:left w:val="single" w:sz="4" w:space="0" w:color="auto"/>
              <w:bottom w:val="single" w:sz="4" w:space="0" w:color="auto"/>
              <w:right w:val="single" w:sz="4" w:space="0" w:color="auto"/>
            </w:tcBorders>
          </w:tcPr>
          <w:p w14:paraId="28DED2CB" w14:textId="4EE96B70"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lastRenderedPageBreak/>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07497BE2"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На постоянной основе реализуется проект, направленный на обеспечение регистрации всех поставщиков на ГРООН. МСЭ </w:t>
            </w:r>
            <w:r w:rsidRPr="002F16BB">
              <w:rPr>
                <w:sz w:val="18"/>
                <w:szCs w:val="18"/>
                <w:lang w:val="ru-RU" w:eastAsia="it-IT"/>
              </w:rPr>
              <w:lastRenderedPageBreak/>
              <w:t xml:space="preserve">рассчитывает, что к 2019 году все поставщики, у которых имеются контракты/заказы на поставку, будут проходить процедуру регистрации на ГРООН в качестве предварительного условия. </w:t>
            </w:r>
          </w:p>
          <w:p w14:paraId="2922412E"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222B3E68"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Частично выполнено. </w:t>
            </w:r>
          </w:p>
          <w:p w14:paraId="7005D433" w14:textId="7B6332CC"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2AAAA01D"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Выполнено</w:t>
            </w:r>
            <w:r w:rsidRPr="002F16BB">
              <w:rPr>
                <w:sz w:val="18"/>
                <w:szCs w:val="18"/>
                <w:lang w:val="ru-RU" w:eastAsia="it-IT"/>
              </w:rPr>
              <w:t xml:space="preserve">. См. пункт 5.1.2 инструкции МСЭ по закупкам. Все новые поставщики должны зарегистрироваться </w:t>
            </w:r>
            <w:r w:rsidRPr="002F16BB">
              <w:rPr>
                <w:color w:val="000000"/>
                <w:sz w:val="18"/>
                <w:szCs w:val="18"/>
                <w:lang w:val="ru-RU"/>
              </w:rPr>
              <w:t>на сайте ГРООН и, в качестве таковых, подтвердить, что придерживаются Кодекса поведения поставщика ООН</w:t>
            </w:r>
            <w:r w:rsidRPr="002F16BB">
              <w:rPr>
                <w:sz w:val="18"/>
                <w:szCs w:val="18"/>
                <w:lang w:val="ru-RU" w:eastAsia="it-IT"/>
              </w:rPr>
              <w:t>.</w:t>
            </w:r>
          </w:p>
          <w:p w14:paraId="6ECD4E7A" w14:textId="5D3F90FB"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55488545"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5A2D9815"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Выполнено.</w:t>
            </w:r>
          </w:p>
        </w:tc>
      </w:tr>
      <w:tr w:rsidR="00B86204" w:rsidRPr="002F16BB" w14:paraId="0CCFB95A" w14:textId="77777777" w:rsidTr="00016740">
        <w:tc>
          <w:tcPr>
            <w:tcW w:w="339" w:type="pct"/>
            <w:tcBorders>
              <w:top w:val="single" w:sz="4" w:space="0" w:color="auto"/>
              <w:left w:val="single" w:sz="4" w:space="0" w:color="auto"/>
              <w:bottom w:val="single" w:sz="4" w:space="0" w:color="auto"/>
              <w:right w:val="single" w:sz="4" w:space="0" w:color="auto"/>
            </w:tcBorders>
          </w:tcPr>
          <w:p w14:paraId="31FA43AB"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1/2016</w:t>
            </w:r>
          </w:p>
        </w:tc>
        <w:tc>
          <w:tcPr>
            <w:tcW w:w="1216" w:type="pct"/>
            <w:tcBorders>
              <w:top w:val="single" w:sz="4" w:space="0" w:color="auto"/>
              <w:left w:val="single" w:sz="4" w:space="0" w:color="auto"/>
              <w:bottom w:val="single" w:sz="4" w:space="0" w:color="auto"/>
              <w:right w:val="single" w:sz="4" w:space="0" w:color="auto"/>
            </w:tcBorders>
          </w:tcPr>
          <w:p w14:paraId="6902C126"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 xml:space="preserve">Учитывая прогнозы в области выхода на пенсию в предстоящие 10 лет и потенциальный риск, связанный с нарушением преемственности, </w:t>
            </w:r>
            <w:r w:rsidRPr="002F16BB">
              <w:rPr>
                <w:sz w:val="18"/>
                <w:szCs w:val="18"/>
                <w:u w:val="single"/>
                <w:lang w:val="ru-RU"/>
              </w:rPr>
              <w:t>мы рекомендуем</w:t>
            </w:r>
            <w:r w:rsidRPr="002F16BB">
              <w:rPr>
                <w:sz w:val="18"/>
                <w:szCs w:val="18"/>
                <w:lang w:val="ru-RU"/>
              </w:rPr>
              <w:t>, чтобы руководство приняло официальную стратегию планирования преемственности, которая должна войти в Стратегический план в области людских ресурсов. Эта стратегия должна уточнять важнейшие функции и посты, исходя из задач и потребностей МСЭ, и устанавливать планы на ближайшее будущее (передачу знаний) и на более долгосрочный период (на основе, в том числе, перечня квалификационных навыков, содержащегося в принятой недавно Системе компетенций МСЭ, в целях определения внутреннего потенциала для обеспечения преемственности).</w:t>
            </w:r>
          </w:p>
        </w:tc>
        <w:tc>
          <w:tcPr>
            <w:tcW w:w="1362" w:type="pct"/>
            <w:tcBorders>
              <w:top w:val="single" w:sz="4" w:space="0" w:color="auto"/>
              <w:left w:val="single" w:sz="4" w:space="0" w:color="auto"/>
              <w:bottom w:val="single" w:sz="4" w:space="0" w:color="auto"/>
              <w:right w:val="single" w:sz="4" w:space="0" w:color="auto"/>
            </w:tcBorders>
          </w:tcPr>
          <w:p w14:paraId="29B8BA54"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Департамент по управлению людскими ресурсами проведет консультации с Бюро и Департаментами ГС в целях разработки стратегии планирования преемственности, направленной на сохранение институциональных знаний и обеспечение преемственности в осуществлении мандата Союза.</w:t>
            </w:r>
          </w:p>
        </w:tc>
        <w:tc>
          <w:tcPr>
            <w:tcW w:w="1363" w:type="pct"/>
            <w:tcBorders>
              <w:top w:val="single" w:sz="4" w:space="0" w:color="auto"/>
              <w:left w:val="single" w:sz="4" w:space="0" w:color="auto"/>
              <w:bottom w:val="single" w:sz="4" w:space="0" w:color="auto"/>
              <w:right w:val="single" w:sz="4" w:space="0" w:color="auto"/>
            </w:tcBorders>
          </w:tcPr>
          <w:p w14:paraId="2ED0F518"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215765A0"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Ответственная за этот вид деятельности служба HRMD, активно участвующая во внедрении новой системы e-PDMS (система управления показателям деятельности и профессионального развития), подтверждает, что рекомендация будет выполнена в первом квартале 2018 года. </w:t>
            </w:r>
          </w:p>
          <w:p w14:paraId="30E25EAD" w14:textId="0E4DA278"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756EB7C"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При разработке и осуществлении Стратегического плана в области ЛР (СП ЛР), который должен быть утвержден на сессии Совета 2019 года, особое внимание, помимо прочего, будет уделяться содействию расширению кадрового многообразия и оперативности (обеспечение соответствия рабочей силы МСЭ целям МСЭ) в рамках ряда направлений деятельности, включая: </w:t>
            </w:r>
          </w:p>
          <w:p w14:paraId="5C94EFAD"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w:t>
            </w:r>
            <w:r w:rsidRPr="002F16BB">
              <w:rPr>
                <w:sz w:val="18"/>
                <w:szCs w:val="18"/>
                <w:lang w:val="ru-RU" w:eastAsia="it-IT"/>
              </w:rPr>
              <w:tab/>
              <w:t xml:space="preserve">обеспечение сбалансированности и многообразия кадров применительно к </w:t>
            </w:r>
            <w:r w:rsidRPr="002F16BB">
              <w:rPr>
                <w:sz w:val="18"/>
                <w:szCs w:val="18"/>
                <w:lang w:val="ru-RU" w:eastAsia="it-IT"/>
              </w:rPr>
              <w:lastRenderedPageBreak/>
              <w:t xml:space="preserve">сотрудникам категорий специалистов и выше в сопоставлении с сотрудниками категорий общего обслуживания; возрастного, гендерного паритета на всех уровнях и географического распределения; </w:t>
            </w:r>
          </w:p>
          <w:p w14:paraId="58BBB4F6"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w:t>
            </w:r>
            <w:r w:rsidRPr="002F16BB">
              <w:rPr>
                <w:sz w:val="18"/>
                <w:szCs w:val="18"/>
                <w:lang w:val="ru-RU" w:eastAsia="it-IT"/>
              </w:rPr>
              <w:tab/>
              <w:t xml:space="preserve">обеспечение соответствия кадров целевому назначению, включая выявление случаев дублирования и частичного совпадения работы; </w:t>
            </w:r>
          </w:p>
          <w:p w14:paraId="341A1789"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w:t>
            </w:r>
            <w:r w:rsidRPr="002F16BB">
              <w:rPr>
                <w:sz w:val="18"/>
                <w:szCs w:val="18"/>
                <w:lang w:val="ru-RU" w:eastAsia="it-IT"/>
              </w:rPr>
              <w:tab/>
              <w:t xml:space="preserve">обеспечение согласованности стратегических приоритетов Союза с функциями и должностями персонала; </w:t>
            </w:r>
          </w:p>
          <w:p w14:paraId="6805B843"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w:t>
            </w:r>
            <w:r w:rsidRPr="002F16BB">
              <w:rPr>
                <w:sz w:val="18"/>
                <w:szCs w:val="18"/>
                <w:lang w:val="ru-RU" w:eastAsia="it-IT"/>
              </w:rPr>
              <w:tab/>
              <w:t xml:space="preserve">обеспечение общей основы требуемой компетенции и навыков, базирующейся на анализе и оценке разрывов (составление профилей навыков и компетенций), для того чтобы обеспечить наличие надлежащего персонала на надлежащих должностях, в том числе благодаря мобильности и ротации должностей; </w:t>
            </w:r>
          </w:p>
          <w:p w14:paraId="3E7AC5D8" w14:textId="77777777" w:rsidR="00B86204" w:rsidRPr="002F16BB" w:rsidRDefault="00B86204" w:rsidP="00016740">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ind w:left="284" w:hanging="284"/>
              <w:rPr>
                <w:sz w:val="18"/>
                <w:szCs w:val="18"/>
                <w:lang w:val="ru-RU" w:eastAsia="it-IT"/>
              </w:rPr>
            </w:pPr>
            <w:r w:rsidRPr="002F16BB">
              <w:rPr>
                <w:sz w:val="18"/>
                <w:szCs w:val="18"/>
                <w:lang w:val="ru-RU" w:eastAsia="it-IT"/>
              </w:rPr>
              <w:t>•</w:t>
            </w:r>
            <w:r w:rsidRPr="002F16BB">
              <w:rPr>
                <w:sz w:val="18"/>
                <w:szCs w:val="18"/>
                <w:lang w:val="ru-RU" w:eastAsia="it-IT"/>
              </w:rPr>
              <w:tab/>
              <w:t xml:space="preserve">планирование преемственности как средство согласования планирования и заблаговременного определения потребностей. </w:t>
            </w:r>
          </w:p>
          <w:p w14:paraId="0704D1B4"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5EED9EE3"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Эти элементы являются составной частью проекта Стратегического плана в области ЛР (см. рекомендацию 3/2017, выше), который будет представлен для утверждения на сессии Совета 2019 года. </w:t>
            </w:r>
          </w:p>
          <w:p w14:paraId="5CF542A7" w14:textId="6AD1BF53"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80AF8DA"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Стратегический план в области людских ресурсов на 2020–2023 годы, вытекающий из процесса, описанного выше, был утвержден на сессии Совета 2019 года. Он находится в стадии реализации и отчет о его выполнении будет представлен сессии Совета 2020 года</w:t>
            </w:r>
            <w:r w:rsidRPr="002F16BB">
              <w:rPr>
                <w:sz w:val="18"/>
                <w:szCs w:val="18"/>
                <w:lang w:val="ru-RU" w:eastAsia="it-IT"/>
              </w:rPr>
              <w:t>.</w:t>
            </w:r>
          </w:p>
          <w:p w14:paraId="67F9AA85" w14:textId="6FF8666D"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lastRenderedPageBreak/>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00F9CA9"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Комментарии, сделанные сентябре 2019 года, сохраняют свою силу. Был подготовлен отчет для представления сессии Совета 2020 года, однако во время виртуальных консультаций Совета в июне 2020 года он не рассматривался. Его рассмотрение было отложено до следующей сессии Совета.</w:t>
            </w:r>
          </w:p>
        </w:tc>
        <w:tc>
          <w:tcPr>
            <w:tcW w:w="720" w:type="pct"/>
            <w:tcBorders>
              <w:top w:val="single" w:sz="4" w:space="0" w:color="auto"/>
              <w:left w:val="single" w:sz="4" w:space="0" w:color="auto"/>
              <w:bottom w:val="single" w:sz="4" w:space="0" w:color="auto"/>
              <w:right w:val="single" w:sz="4" w:space="0" w:color="auto"/>
            </w:tcBorders>
          </w:tcPr>
          <w:p w14:paraId="21F9F243"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Выполнено.</w:t>
            </w:r>
          </w:p>
        </w:tc>
      </w:tr>
      <w:tr w:rsidR="00B86204" w:rsidRPr="002F16BB" w14:paraId="3BC60E5E" w14:textId="77777777" w:rsidTr="00016740">
        <w:tc>
          <w:tcPr>
            <w:tcW w:w="339" w:type="pct"/>
            <w:tcBorders>
              <w:top w:val="single" w:sz="4" w:space="0" w:color="auto"/>
              <w:left w:val="single" w:sz="4" w:space="0" w:color="auto"/>
              <w:bottom w:val="single" w:sz="4" w:space="0" w:color="auto"/>
              <w:right w:val="single" w:sz="4" w:space="0" w:color="auto"/>
            </w:tcBorders>
          </w:tcPr>
          <w:p w14:paraId="18067057" w14:textId="77777777" w:rsidR="00B86204" w:rsidRPr="002F16BB" w:rsidRDefault="00B86204" w:rsidP="00016740">
            <w:pPr>
              <w:pStyle w:val="Tabletext"/>
              <w:keepNext/>
              <w:spacing w:before="20" w:after="20"/>
              <w:jc w:val="center"/>
              <w:rPr>
                <w:b/>
                <w:sz w:val="18"/>
                <w:szCs w:val="18"/>
                <w:lang w:val="ru-RU" w:eastAsia="it-IT"/>
              </w:rPr>
            </w:pPr>
            <w:r w:rsidRPr="002F16BB">
              <w:rPr>
                <w:b/>
                <w:sz w:val="18"/>
                <w:szCs w:val="18"/>
                <w:lang w:val="ru-RU" w:eastAsia="it-IT"/>
              </w:rPr>
              <w:lastRenderedPageBreak/>
              <w:t>Рек. 4/2016</w:t>
            </w:r>
          </w:p>
        </w:tc>
        <w:tc>
          <w:tcPr>
            <w:tcW w:w="1216" w:type="pct"/>
            <w:tcBorders>
              <w:top w:val="single" w:sz="4" w:space="0" w:color="auto"/>
              <w:left w:val="single" w:sz="4" w:space="0" w:color="auto"/>
              <w:bottom w:val="single" w:sz="4" w:space="0" w:color="auto"/>
              <w:right w:val="single" w:sz="4" w:space="0" w:color="auto"/>
            </w:tcBorders>
          </w:tcPr>
          <w:p w14:paraId="4A106763" w14:textId="77777777" w:rsidR="00B86204" w:rsidRPr="002F16BB" w:rsidRDefault="00B86204" w:rsidP="00016740">
            <w:pPr>
              <w:keepNext/>
              <w:spacing w:before="20" w:after="20"/>
              <w:rPr>
                <w:sz w:val="18"/>
                <w:szCs w:val="18"/>
                <w:lang w:val="ru-RU"/>
              </w:rPr>
            </w:pPr>
            <w:r w:rsidRPr="002F16BB">
              <w:rPr>
                <w:sz w:val="18"/>
                <w:szCs w:val="18"/>
                <w:u w:val="single"/>
                <w:lang w:val="ru-RU"/>
              </w:rPr>
              <w:t>Мы</w:t>
            </w:r>
            <w:r w:rsidRPr="002F16BB">
              <w:rPr>
                <w:sz w:val="18"/>
                <w:szCs w:val="18"/>
                <w:lang w:val="ru-RU"/>
              </w:rPr>
              <w:t xml:space="preserve"> разделяем позицию Внутреннего аудитора и </w:t>
            </w:r>
            <w:r w:rsidRPr="002F16BB">
              <w:rPr>
                <w:sz w:val="18"/>
                <w:szCs w:val="18"/>
                <w:u w:val="single"/>
                <w:lang w:val="ru-RU"/>
              </w:rPr>
              <w:t>рекомендуем</w:t>
            </w:r>
            <w:r w:rsidRPr="002F16BB">
              <w:rPr>
                <w:sz w:val="18"/>
                <w:szCs w:val="18"/>
                <w:lang w:val="ru-RU"/>
              </w:rPr>
              <w:t xml:space="preserve"> принять: </w:t>
            </w:r>
            <w:r w:rsidRPr="002F16BB">
              <w:rPr>
                <w:b/>
                <w:bCs/>
                <w:sz w:val="18"/>
                <w:szCs w:val="18"/>
                <w:lang w:val="ru-RU"/>
              </w:rPr>
              <w:t>A</w:t>
            </w:r>
            <w:r w:rsidRPr="002F16BB">
              <w:rPr>
                <w:sz w:val="18"/>
                <w:szCs w:val="18"/>
                <w:lang w:val="ru-RU"/>
              </w:rPr>
              <w:t xml:space="preserve">) инструкцию по закупкам, которая охватывала бы все этапы процесса закупок в соответствии с передовым опытом ООН в этой области, а также </w:t>
            </w:r>
            <w:r w:rsidRPr="002F16BB">
              <w:rPr>
                <w:b/>
                <w:bCs/>
                <w:sz w:val="18"/>
                <w:szCs w:val="18"/>
                <w:lang w:val="ru-RU"/>
              </w:rPr>
              <w:t>B</w:t>
            </w:r>
            <w:r w:rsidRPr="002F16BB">
              <w:rPr>
                <w:sz w:val="18"/>
                <w:szCs w:val="18"/>
                <w:lang w:val="ru-RU"/>
              </w:rPr>
              <w:t>) меры по реализации с направлениями политики и процедурами, которые должны служить руководством для всех сотрудников, задействованных на различных этапах процесса закупок.</w:t>
            </w:r>
          </w:p>
        </w:tc>
        <w:tc>
          <w:tcPr>
            <w:tcW w:w="1362" w:type="pct"/>
            <w:tcBorders>
              <w:top w:val="single" w:sz="4" w:space="0" w:color="auto"/>
              <w:left w:val="single" w:sz="4" w:space="0" w:color="auto"/>
              <w:bottom w:val="single" w:sz="4" w:space="0" w:color="auto"/>
              <w:right w:val="single" w:sz="4" w:space="0" w:color="auto"/>
            </w:tcBorders>
          </w:tcPr>
          <w:p w14:paraId="725B1A20" w14:textId="77777777" w:rsidR="00B86204" w:rsidRPr="002F16BB" w:rsidRDefault="00B86204" w:rsidP="00016740">
            <w:pPr>
              <w:keepNext/>
              <w:spacing w:before="20" w:after="20"/>
              <w:rPr>
                <w:sz w:val="18"/>
                <w:szCs w:val="18"/>
                <w:lang w:val="ru-RU"/>
              </w:rPr>
            </w:pPr>
            <w:r w:rsidRPr="002F16BB">
              <w:rPr>
                <w:sz w:val="18"/>
                <w:szCs w:val="18"/>
                <w:lang w:val="ru-RU"/>
              </w:rPr>
              <w:t>МСЭ принимает эту рекомендацию. В настоящее время готовится инструкция по закупкам, которая охватит все этапы процесса закупок и будет служить руководством по направлениям политики и процедурам для всех сотрудников, задействованных на различных этапах процесса закупок.</w:t>
            </w:r>
          </w:p>
        </w:tc>
        <w:tc>
          <w:tcPr>
            <w:tcW w:w="1363" w:type="pct"/>
            <w:tcBorders>
              <w:top w:val="single" w:sz="4" w:space="0" w:color="auto"/>
              <w:left w:val="single" w:sz="4" w:space="0" w:color="auto"/>
              <w:bottom w:val="single" w:sz="4" w:space="0" w:color="auto"/>
              <w:right w:val="single" w:sz="4" w:space="0" w:color="auto"/>
            </w:tcBorders>
          </w:tcPr>
          <w:p w14:paraId="2C0643AC" w14:textId="77777777"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075EF5AE" w14:textId="77777777" w:rsidR="00B86204" w:rsidRPr="002F16BB" w:rsidRDefault="00B86204" w:rsidP="00016740">
            <w:pPr>
              <w:keepNext/>
              <w:spacing w:before="20" w:after="20"/>
              <w:rPr>
                <w:sz w:val="18"/>
                <w:szCs w:val="18"/>
                <w:lang w:val="ru-RU"/>
              </w:rPr>
            </w:pPr>
            <w:r w:rsidRPr="002F16BB">
              <w:rPr>
                <w:sz w:val="18"/>
                <w:szCs w:val="18"/>
                <w:lang w:val="ru-RU"/>
              </w:rPr>
              <w:t>Осуществляется.</w:t>
            </w:r>
          </w:p>
          <w:p w14:paraId="6103BFAB"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rPr>
              <w:t>Составляется инструкция по закупкам.</w:t>
            </w:r>
          </w:p>
          <w:p w14:paraId="67DCEA72" w14:textId="35043599"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211B03C3"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eastAsia="it-IT"/>
              </w:rPr>
              <w:t xml:space="preserve">Это включено в инструкцию по закупкам, которая была составлена и планируется к распространению в начале 2019 года. </w:t>
            </w:r>
          </w:p>
          <w:p w14:paraId="246C1C58" w14:textId="77777777"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628820E7" w14:textId="77777777" w:rsidR="00B86204" w:rsidRPr="002F16BB" w:rsidRDefault="00B86204" w:rsidP="00016740">
            <w:pPr>
              <w:pStyle w:val="Tabletext"/>
              <w:keepNext/>
              <w:spacing w:before="20" w:after="20"/>
              <w:rPr>
                <w:sz w:val="18"/>
                <w:szCs w:val="18"/>
                <w:lang w:val="ru-RU"/>
              </w:rPr>
            </w:pPr>
            <w:r w:rsidRPr="002F16BB">
              <w:rPr>
                <w:sz w:val="18"/>
                <w:szCs w:val="18"/>
                <w:lang w:val="ru-RU"/>
              </w:rPr>
              <w:t>Отсутствует.</w:t>
            </w:r>
          </w:p>
          <w:p w14:paraId="1B631BF5" w14:textId="0E53FA8E"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 xml:space="preserve">.: </w:t>
            </w:r>
          </w:p>
          <w:p w14:paraId="443437E8"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eastAsia="it-IT"/>
              </w:rPr>
              <w:t>Осуществлено. Инструкция МСЭ по закупкам опубликована в июне 2019 г</w:t>
            </w:r>
            <w:r>
              <w:rPr>
                <w:sz w:val="18"/>
                <w:szCs w:val="18"/>
                <w:lang w:val="ru-RU" w:eastAsia="it-IT"/>
              </w:rPr>
              <w:t>ода</w:t>
            </w:r>
            <w:r w:rsidRPr="002F16BB">
              <w:rPr>
                <w:sz w:val="18"/>
                <w:szCs w:val="18"/>
                <w:lang w:val="ru-RU" w:eastAsia="it-IT"/>
              </w:rPr>
              <w:t>.</w:t>
            </w:r>
          </w:p>
          <w:p w14:paraId="22519813" w14:textId="478C6C16"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2F43CDBF"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5738DEBE"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rPr>
              <w:t>Выполнено.</w:t>
            </w:r>
          </w:p>
        </w:tc>
      </w:tr>
      <w:tr w:rsidR="00B86204" w:rsidRPr="002F16BB" w14:paraId="6E63F81F" w14:textId="77777777" w:rsidTr="00016740">
        <w:tc>
          <w:tcPr>
            <w:tcW w:w="339" w:type="pct"/>
            <w:tcBorders>
              <w:top w:val="single" w:sz="4" w:space="0" w:color="auto"/>
              <w:left w:val="single" w:sz="4" w:space="0" w:color="auto"/>
              <w:bottom w:val="single" w:sz="4" w:space="0" w:color="auto"/>
              <w:right w:val="single" w:sz="4" w:space="0" w:color="auto"/>
            </w:tcBorders>
          </w:tcPr>
          <w:p w14:paraId="382202D7"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6/2016</w:t>
            </w:r>
          </w:p>
        </w:tc>
        <w:tc>
          <w:tcPr>
            <w:tcW w:w="1216" w:type="pct"/>
            <w:tcBorders>
              <w:top w:val="single" w:sz="4" w:space="0" w:color="auto"/>
              <w:left w:val="single" w:sz="4" w:space="0" w:color="auto"/>
              <w:bottom w:val="single" w:sz="4" w:space="0" w:color="auto"/>
              <w:right w:val="single" w:sz="4" w:space="0" w:color="auto"/>
            </w:tcBorders>
          </w:tcPr>
          <w:p w14:paraId="0BD3D204" w14:textId="77777777" w:rsidR="00B86204" w:rsidRPr="002F16BB" w:rsidRDefault="00B86204" w:rsidP="00016740">
            <w:pPr>
              <w:spacing w:before="20" w:after="20"/>
              <w:rPr>
                <w:b/>
                <w:bCs/>
                <w:i/>
                <w:iCs/>
                <w:sz w:val="18"/>
                <w:szCs w:val="18"/>
                <w:lang w:val="ru-RU"/>
              </w:rPr>
            </w:pPr>
            <w:r w:rsidRPr="002F16BB">
              <w:rPr>
                <w:b/>
                <w:bCs/>
                <w:i/>
                <w:iCs/>
                <w:sz w:val="18"/>
                <w:szCs w:val="18"/>
                <w:lang w:val="ru-RU"/>
              </w:rPr>
              <w:t>Повышение прозрачности процесса закупок</w:t>
            </w:r>
          </w:p>
          <w:p w14:paraId="582CAA1C" w14:textId="77777777" w:rsidR="00B86204" w:rsidRPr="002F16BB" w:rsidRDefault="00B86204" w:rsidP="00016740">
            <w:pPr>
              <w:spacing w:before="20" w:after="20"/>
              <w:rPr>
                <w:sz w:val="18"/>
                <w:szCs w:val="18"/>
                <w:lang w:val="ru-RU"/>
              </w:rPr>
            </w:pPr>
            <w:r w:rsidRPr="002F16BB">
              <w:rPr>
                <w:sz w:val="18"/>
                <w:szCs w:val="18"/>
                <w:lang w:val="ru-RU"/>
              </w:rPr>
              <w:t xml:space="preserve">Мы отмечаем, что Управление закупками МСЭ регулярно публикует все решения о присуждении контрактов на ГРООН, но для повышения уровня прозрачности процесса закупок </w:t>
            </w:r>
            <w:r w:rsidRPr="002F16BB">
              <w:rPr>
                <w:sz w:val="18"/>
                <w:szCs w:val="18"/>
                <w:u w:val="single"/>
                <w:lang w:val="ru-RU"/>
              </w:rPr>
              <w:t>мы рекомендуем</w:t>
            </w:r>
            <w:r w:rsidRPr="002F16BB">
              <w:rPr>
                <w:sz w:val="18"/>
                <w:szCs w:val="18"/>
                <w:lang w:val="ru-RU"/>
              </w:rPr>
              <w:t xml:space="preserve"> МСЭ: </w:t>
            </w:r>
            <w:r w:rsidRPr="002F16BB">
              <w:rPr>
                <w:b/>
                <w:bCs/>
                <w:sz w:val="18"/>
                <w:szCs w:val="18"/>
                <w:lang w:val="ru-RU"/>
              </w:rPr>
              <w:t>A</w:t>
            </w:r>
            <w:r w:rsidRPr="002F16BB">
              <w:rPr>
                <w:sz w:val="18"/>
                <w:szCs w:val="18"/>
                <w:lang w:val="ru-RU"/>
              </w:rPr>
              <w:t xml:space="preserve">) уведомлять в индивидуальном порядке всех участников тендера о завершении или аннулировании процесса закупок; </w:t>
            </w:r>
            <w:r w:rsidRPr="002F16BB">
              <w:rPr>
                <w:b/>
                <w:bCs/>
                <w:sz w:val="18"/>
                <w:szCs w:val="18"/>
                <w:lang w:val="ru-RU"/>
              </w:rPr>
              <w:t>B</w:t>
            </w:r>
            <w:r w:rsidRPr="002F16BB">
              <w:rPr>
                <w:sz w:val="18"/>
                <w:szCs w:val="18"/>
                <w:lang w:val="ru-RU"/>
              </w:rPr>
              <w:t xml:space="preserve">) проводить, если поступает запрос, собеседование с </w:t>
            </w:r>
            <w:r w:rsidRPr="002F16BB">
              <w:rPr>
                <w:sz w:val="18"/>
                <w:szCs w:val="18"/>
                <w:lang w:val="ru-RU"/>
              </w:rPr>
              <w:lastRenderedPageBreak/>
              <w:t>проигравшими/</w:t>
            </w:r>
            <w:r w:rsidRPr="002F16BB">
              <w:rPr>
                <w:sz w:val="18"/>
                <w:szCs w:val="18"/>
                <w:lang w:val="ru-RU"/>
              </w:rPr>
              <w:br/>
              <w:t xml:space="preserve">исключенными участниками тендера, которые участвовали в процессе закупок, чтобы дать им возможность эффективнее конкурировать при представлении заявок в будущем; </w:t>
            </w:r>
            <w:r w:rsidRPr="002F16BB">
              <w:rPr>
                <w:b/>
                <w:bCs/>
                <w:sz w:val="18"/>
                <w:szCs w:val="18"/>
                <w:lang w:val="ru-RU"/>
              </w:rPr>
              <w:t>C</w:t>
            </w:r>
            <w:r w:rsidRPr="002F16BB">
              <w:rPr>
                <w:sz w:val="18"/>
                <w:szCs w:val="18"/>
                <w:lang w:val="ru-RU"/>
              </w:rPr>
              <w:t>) информировать в ходе собеседования проигравших поставщиков о причинах отклонения их заявок.</w:t>
            </w:r>
          </w:p>
        </w:tc>
        <w:tc>
          <w:tcPr>
            <w:tcW w:w="1362" w:type="pct"/>
            <w:tcBorders>
              <w:top w:val="single" w:sz="4" w:space="0" w:color="auto"/>
              <w:left w:val="single" w:sz="4" w:space="0" w:color="auto"/>
              <w:bottom w:val="single" w:sz="4" w:space="0" w:color="auto"/>
              <w:right w:val="single" w:sz="4" w:space="0" w:color="auto"/>
            </w:tcBorders>
          </w:tcPr>
          <w:p w14:paraId="4486D907" w14:textId="77777777" w:rsidR="00B86204" w:rsidRPr="002F16BB" w:rsidRDefault="00B86204" w:rsidP="00016740">
            <w:pPr>
              <w:spacing w:before="20" w:after="20"/>
              <w:rPr>
                <w:sz w:val="18"/>
                <w:szCs w:val="18"/>
                <w:lang w:val="ru-RU"/>
              </w:rPr>
            </w:pPr>
            <w:r w:rsidRPr="002F16BB">
              <w:rPr>
                <w:sz w:val="18"/>
                <w:szCs w:val="18"/>
                <w:lang w:val="ru-RU"/>
              </w:rPr>
              <w:lastRenderedPageBreak/>
              <w:t xml:space="preserve">В настоящее время в МСЭ практикуется отправка писем с сожалениями (по электронной почте для сумм менее 50 000 швейцарских франков) всем проигравшим поставщикам, уведомляя их об отклонении их заявок. В документе по представлению заявок поставщикам предлагается запрашивать информацию об оценке их заявки. МСЭ принимает рекомендацию относительно уведомления также поставщиков в письме с сожалениями о том, что они могут запрашивать информацию </w:t>
            </w:r>
            <w:r w:rsidRPr="002F16BB">
              <w:rPr>
                <w:sz w:val="18"/>
                <w:szCs w:val="18"/>
                <w:lang w:val="ru-RU"/>
              </w:rPr>
              <w:lastRenderedPageBreak/>
              <w:t>по оценке своих заявок, и это будет включено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14:paraId="0440A7C1"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lastRenderedPageBreak/>
              <w:t>Обновление, по состоянию на апрель 2018 г</w:t>
            </w:r>
            <w:r w:rsidRPr="002F16BB">
              <w:rPr>
                <w:sz w:val="18"/>
                <w:szCs w:val="18"/>
                <w:lang w:val="ru-RU" w:eastAsia="it-IT"/>
              </w:rPr>
              <w:t>.:</w:t>
            </w:r>
          </w:p>
          <w:p w14:paraId="3F705228" w14:textId="77777777" w:rsidR="00B86204" w:rsidRPr="002F16BB" w:rsidRDefault="00B86204" w:rsidP="00016740">
            <w:pPr>
              <w:spacing w:before="20" w:after="20"/>
              <w:rPr>
                <w:sz w:val="18"/>
                <w:szCs w:val="18"/>
                <w:lang w:val="ru-RU"/>
              </w:rPr>
            </w:pPr>
            <w:r w:rsidRPr="002F16BB">
              <w:rPr>
                <w:sz w:val="18"/>
                <w:szCs w:val="18"/>
                <w:lang w:val="ru-RU"/>
              </w:rPr>
              <w:t>Осуществляется.</w:t>
            </w:r>
          </w:p>
          <w:p w14:paraId="530CA777"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Составляется инструкция по закупкам.</w:t>
            </w:r>
          </w:p>
          <w:p w14:paraId="27815F64" w14:textId="447363CF"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29354D08"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14:paraId="7CD8ED3E"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29124C5A" w14:textId="77777777" w:rsidR="00B86204" w:rsidRPr="002F16BB" w:rsidRDefault="00B86204" w:rsidP="00016740">
            <w:pPr>
              <w:pStyle w:val="Tabletext"/>
              <w:spacing w:before="20" w:after="20"/>
              <w:rPr>
                <w:sz w:val="18"/>
                <w:szCs w:val="18"/>
                <w:lang w:val="ru-RU"/>
              </w:rPr>
            </w:pPr>
            <w:r w:rsidRPr="002F16BB">
              <w:rPr>
                <w:sz w:val="18"/>
                <w:szCs w:val="18"/>
                <w:lang w:val="ru-RU"/>
              </w:rPr>
              <w:t>Отсутствует.</w:t>
            </w:r>
          </w:p>
          <w:p w14:paraId="3E07D0AB" w14:textId="45FF2F61" w:rsidR="00B86204" w:rsidRPr="002F16BB" w:rsidRDefault="00B86204" w:rsidP="00016740">
            <w:pPr>
              <w:pStyle w:val="Tabletext"/>
              <w:keepNext/>
              <w:keepLines/>
              <w:spacing w:before="20" w:after="20"/>
              <w:rPr>
                <w:sz w:val="18"/>
                <w:szCs w:val="18"/>
                <w:lang w:val="ru-RU" w:eastAsia="it-IT"/>
              </w:rPr>
            </w:pPr>
            <w:r w:rsidRPr="002F16BB">
              <w:rPr>
                <w:b/>
                <w:bCs/>
                <w:sz w:val="18"/>
                <w:szCs w:val="18"/>
                <w:lang w:val="ru-RU" w:eastAsia="it-IT"/>
              </w:rPr>
              <w:lastRenderedPageBreak/>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CDCFDE5"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 См. пункты 9.14 и 9.15 инструкции МСЭ по закупкам.</w:t>
            </w:r>
          </w:p>
          <w:p w14:paraId="550528DC" w14:textId="478DB730"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1FD64A0"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310A2CC3"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Выполнено.</w:t>
            </w:r>
          </w:p>
        </w:tc>
      </w:tr>
      <w:tr w:rsidR="00B86204" w:rsidRPr="00FE280E" w14:paraId="28A0DF46" w14:textId="77777777" w:rsidTr="00016740">
        <w:tc>
          <w:tcPr>
            <w:tcW w:w="339" w:type="pct"/>
            <w:tcBorders>
              <w:top w:val="single" w:sz="4" w:space="0" w:color="auto"/>
              <w:left w:val="single" w:sz="4" w:space="0" w:color="auto"/>
              <w:bottom w:val="single" w:sz="4" w:space="0" w:color="auto"/>
              <w:right w:val="single" w:sz="4" w:space="0" w:color="auto"/>
            </w:tcBorders>
          </w:tcPr>
          <w:p w14:paraId="0C32C1D0" w14:textId="77777777" w:rsidR="00B86204" w:rsidRPr="002F16BB" w:rsidRDefault="00B86204" w:rsidP="00016740">
            <w:pPr>
              <w:pStyle w:val="Tabletext"/>
              <w:keepNext/>
              <w:spacing w:before="20" w:after="20"/>
              <w:jc w:val="center"/>
              <w:rPr>
                <w:b/>
                <w:sz w:val="18"/>
                <w:szCs w:val="18"/>
                <w:lang w:val="ru-RU" w:eastAsia="it-IT"/>
              </w:rPr>
            </w:pPr>
            <w:r w:rsidRPr="002F16BB">
              <w:rPr>
                <w:b/>
                <w:sz w:val="18"/>
                <w:szCs w:val="18"/>
                <w:lang w:val="ru-RU" w:eastAsia="it-IT"/>
              </w:rPr>
              <w:t>Рек. 7/2016</w:t>
            </w:r>
          </w:p>
        </w:tc>
        <w:tc>
          <w:tcPr>
            <w:tcW w:w="1216" w:type="pct"/>
            <w:tcBorders>
              <w:top w:val="single" w:sz="4" w:space="0" w:color="auto"/>
              <w:left w:val="single" w:sz="4" w:space="0" w:color="auto"/>
              <w:bottom w:val="single" w:sz="4" w:space="0" w:color="auto"/>
              <w:right w:val="single" w:sz="4" w:space="0" w:color="auto"/>
            </w:tcBorders>
          </w:tcPr>
          <w:p w14:paraId="1242087B" w14:textId="77777777" w:rsidR="00B86204" w:rsidRPr="002F16BB" w:rsidRDefault="00B86204" w:rsidP="00016740">
            <w:pPr>
              <w:keepNext/>
              <w:spacing w:before="20" w:after="20"/>
              <w:rPr>
                <w:sz w:val="18"/>
                <w:szCs w:val="18"/>
                <w:lang w:val="ru-RU"/>
              </w:rPr>
            </w:pPr>
            <w:r w:rsidRPr="002F16BB">
              <w:rPr>
                <w:sz w:val="18"/>
                <w:szCs w:val="18"/>
                <w:u w:val="single"/>
                <w:lang w:val="ru-RU"/>
              </w:rPr>
              <w:t>Мы рекомендуем</w:t>
            </w:r>
            <w:r w:rsidRPr="002F16BB">
              <w:rPr>
                <w:sz w:val="18"/>
                <w:szCs w:val="18"/>
                <w:lang w:val="ru-RU"/>
              </w:rPr>
              <w:t xml:space="preserve"> МСЭ обеспечить последовательное применение четких критериев успеха/неуспеха (или соответствия/несоответствия) во всех предложениях представлять заявки.</w:t>
            </w:r>
          </w:p>
        </w:tc>
        <w:tc>
          <w:tcPr>
            <w:tcW w:w="1362" w:type="pct"/>
            <w:tcBorders>
              <w:top w:val="single" w:sz="4" w:space="0" w:color="auto"/>
              <w:left w:val="single" w:sz="4" w:space="0" w:color="auto"/>
              <w:bottom w:val="single" w:sz="4" w:space="0" w:color="auto"/>
              <w:right w:val="single" w:sz="4" w:space="0" w:color="auto"/>
            </w:tcBorders>
          </w:tcPr>
          <w:p w14:paraId="0A4C07D7" w14:textId="77777777" w:rsidR="00B86204" w:rsidRPr="002F16BB" w:rsidRDefault="00B86204" w:rsidP="00016740">
            <w:pPr>
              <w:keepNext/>
              <w:spacing w:before="20" w:after="20"/>
              <w:rPr>
                <w:sz w:val="18"/>
                <w:szCs w:val="18"/>
                <w:lang w:val="ru-RU"/>
              </w:rPr>
            </w:pPr>
            <w:r w:rsidRPr="002F16BB">
              <w:rPr>
                <w:sz w:val="18"/>
                <w:szCs w:val="18"/>
                <w:lang w:val="ru-RU"/>
              </w:rPr>
              <w:t>В настоящее время в МСЭ практикуется применение для всех предложений представлять заявки четких критериев успеха/неуспеха, которые определяются до выпуска предложения представлять заявки. Эта практика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14:paraId="21D57C94" w14:textId="77777777"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1618F975" w14:textId="77777777" w:rsidR="00B86204" w:rsidRPr="002F16BB" w:rsidRDefault="00B86204" w:rsidP="00016740">
            <w:pPr>
              <w:keepNext/>
              <w:spacing w:before="20" w:after="20"/>
              <w:rPr>
                <w:sz w:val="18"/>
                <w:szCs w:val="18"/>
                <w:lang w:val="ru-RU"/>
              </w:rPr>
            </w:pPr>
            <w:r w:rsidRPr="002F16BB">
              <w:rPr>
                <w:sz w:val="18"/>
                <w:szCs w:val="18"/>
                <w:lang w:val="ru-RU"/>
              </w:rPr>
              <w:t>Осуществляется.</w:t>
            </w:r>
          </w:p>
          <w:p w14:paraId="5726C01D"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rPr>
              <w:t>Составляется инструкция по закупкам.</w:t>
            </w:r>
          </w:p>
          <w:p w14:paraId="04A504BC" w14:textId="41E58907"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9B35EDD"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eastAsia="it-IT"/>
              </w:rPr>
              <w:t xml:space="preserve">Это включено в инструкцию по закупкам, которая была составлена и планируется к распространению в начале 2019 года. </w:t>
            </w:r>
          </w:p>
          <w:p w14:paraId="014B1177" w14:textId="77777777"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37E9B927" w14:textId="77777777" w:rsidR="00B86204" w:rsidRPr="002F16BB" w:rsidRDefault="00B86204" w:rsidP="00016740">
            <w:pPr>
              <w:pStyle w:val="Tabletext"/>
              <w:keepNext/>
              <w:spacing w:before="20" w:after="20"/>
              <w:rPr>
                <w:sz w:val="18"/>
                <w:szCs w:val="18"/>
                <w:lang w:val="ru-RU"/>
              </w:rPr>
            </w:pPr>
            <w:r w:rsidRPr="002F16BB">
              <w:rPr>
                <w:sz w:val="18"/>
                <w:szCs w:val="18"/>
                <w:lang w:val="ru-RU"/>
              </w:rPr>
              <w:t>Отсутствует.</w:t>
            </w:r>
          </w:p>
          <w:p w14:paraId="1C70EC7B" w14:textId="6767DA44"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332CEB6C"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eastAsia="it-IT"/>
              </w:rPr>
              <w:t>Осуществлено. См. пункт 6.9.2 инструкции МСЭ по закупкам.</w:t>
            </w:r>
          </w:p>
          <w:p w14:paraId="5D5065AD" w14:textId="63CE2BC2"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05976B6"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332C0E4B" w14:textId="77777777" w:rsidR="00B86204" w:rsidRPr="002F16BB" w:rsidRDefault="00B86204" w:rsidP="00016740">
            <w:pPr>
              <w:pStyle w:val="Tabletext"/>
              <w:keepNext/>
              <w:spacing w:before="20" w:after="20"/>
              <w:rPr>
                <w:sz w:val="18"/>
                <w:szCs w:val="18"/>
                <w:lang w:val="ru-RU"/>
              </w:rPr>
            </w:pPr>
            <w:r w:rsidRPr="002F16BB">
              <w:rPr>
                <w:sz w:val="18"/>
                <w:szCs w:val="18"/>
                <w:lang w:val="ru-RU"/>
              </w:rPr>
              <w:t>В процессе выполнения.</w:t>
            </w:r>
          </w:p>
          <w:p w14:paraId="3C2D158F" w14:textId="77777777" w:rsidR="00B86204" w:rsidRPr="002F16BB" w:rsidRDefault="00B86204" w:rsidP="00016740">
            <w:pPr>
              <w:pStyle w:val="Tabletext"/>
              <w:keepNext/>
              <w:spacing w:before="20" w:after="20"/>
              <w:rPr>
                <w:sz w:val="18"/>
                <w:szCs w:val="18"/>
                <w:lang w:val="ru-RU" w:eastAsia="it-IT"/>
              </w:rPr>
            </w:pPr>
            <w:r w:rsidRPr="002F16BB">
              <w:rPr>
                <w:sz w:val="18"/>
                <w:szCs w:val="18"/>
                <w:lang w:val="ru-RU"/>
              </w:rPr>
              <w:t>Мы будем контролировать осуществление в контексте наших следующих аудиторских проверок.</w:t>
            </w:r>
          </w:p>
        </w:tc>
      </w:tr>
      <w:tr w:rsidR="00B86204" w:rsidRPr="00FE280E" w14:paraId="0C5A4592" w14:textId="77777777" w:rsidTr="00016740">
        <w:tc>
          <w:tcPr>
            <w:tcW w:w="339" w:type="pct"/>
            <w:tcBorders>
              <w:top w:val="single" w:sz="4" w:space="0" w:color="auto"/>
              <w:left w:val="single" w:sz="4" w:space="0" w:color="auto"/>
              <w:bottom w:val="single" w:sz="4" w:space="0" w:color="auto"/>
              <w:right w:val="single" w:sz="4" w:space="0" w:color="auto"/>
            </w:tcBorders>
          </w:tcPr>
          <w:p w14:paraId="3EA24F7B"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8/2016</w:t>
            </w:r>
          </w:p>
        </w:tc>
        <w:tc>
          <w:tcPr>
            <w:tcW w:w="1216" w:type="pct"/>
            <w:tcBorders>
              <w:top w:val="single" w:sz="4" w:space="0" w:color="auto"/>
              <w:left w:val="single" w:sz="4" w:space="0" w:color="auto"/>
              <w:bottom w:val="single" w:sz="4" w:space="0" w:color="auto"/>
              <w:right w:val="single" w:sz="4" w:space="0" w:color="auto"/>
            </w:tcBorders>
          </w:tcPr>
          <w:p w14:paraId="73CFED5C" w14:textId="77777777" w:rsidR="00B86204" w:rsidRPr="002F16BB" w:rsidRDefault="00B86204" w:rsidP="00016740">
            <w:pPr>
              <w:spacing w:before="20" w:after="20"/>
              <w:rPr>
                <w:b/>
                <w:bCs/>
                <w:i/>
                <w:iCs/>
                <w:sz w:val="18"/>
                <w:szCs w:val="18"/>
                <w:lang w:val="ru-RU"/>
              </w:rPr>
            </w:pPr>
            <w:bookmarkStart w:id="435" w:name="_Toc482176250"/>
            <w:bookmarkStart w:id="436" w:name="_Toc482995203"/>
            <w:r w:rsidRPr="002F16BB">
              <w:rPr>
                <w:b/>
                <w:bCs/>
                <w:i/>
                <w:iCs/>
                <w:sz w:val="18"/>
                <w:szCs w:val="18"/>
                <w:lang w:val="ru-RU"/>
              </w:rPr>
              <w:t>Активизация роли Комитета по оценке</w:t>
            </w:r>
            <w:bookmarkEnd w:id="435"/>
            <w:bookmarkEnd w:id="436"/>
          </w:p>
          <w:p w14:paraId="0AD1CDCC" w14:textId="77777777" w:rsidR="00B86204" w:rsidRPr="002F16BB" w:rsidRDefault="00B86204" w:rsidP="00016740">
            <w:pPr>
              <w:spacing w:before="20" w:after="20"/>
              <w:rPr>
                <w:sz w:val="18"/>
                <w:szCs w:val="18"/>
                <w:lang w:val="ru-RU"/>
              </w:rPr>
            </w:pPr>
            <w:r w:rsidRPr="002F16BB">
              <w:rPr>
                <w:sz w:val="18"/>
                <w:szCs w:val="18"/>
                <w:u w:val="single"/>
                <w:lang w:val="ru-RU"/>
              </w:rPr>
              <w:t>Мы рекомендуем</w:t>
            </w:r>
            <w:r w:rsidRPr="002F16BB">
              <w:rPr>
                <w:sz w:val="18"/>
                <w:szCs w:val="18"/>
                <w:lang w:val="ru-RU"/>
              </w:rPr>
              <w:t xml:space="preserve"> для проведения процесса закупок справедливым и прозрачным образом, и учитывая наилучшее соотношение цены и качества, следующее: </w:t>
            </w:r>
            <w:r w:rsidRPr="002F16BB">
              <w:rPr>
                <w:b/>
                <w:bCs/>
                <w:sz w:val="18"/>
                <w:szCs w:val="18"/>
                <w:lang w:val="ru-RU"/>
              </w:rPr>
              <w:t>A</w:t>
            </w:r>
            <w:r w:rsidRPr="002F16BB">
              <w:rPr>
                <w:sz w:val="18"/>
                <w:szCs w:val="18"/>
                <w:lang w:val="ru-RU"/>
              </w:rPr>
              <w:t xml:space="preserve">) Комитету по оценке следует в процессе оценки применять критерии и метод оценки, предусмотренные в документе с предложением принять участие в тендере/досье тендера. Наряду с этим </w:t>
            </w:r>
            <w:r w:rsidRPr="002F16BB">
              <w:rPr>
                <w:sz w:val="18"/>
                <w:szCs w:val="18"/>
                <w:lang w:val="ru-RU"/>
              </w:rPr>
              <w:lastRenderedPageBreak/>
              <w:t>мы считаем неподобающими критерии, установленные в приглашении подавать предложения, согласно которым "</w:t>
            </w:r>
            <w:r w:rsidRPr="002F16BB">
              <w:rPr>
                <w:i/>
                <w:iCs/>
                <w:sz w:val="18"/>
                <w:szCs w:val="18"/>
                <w:lang w:val="ru-RU"/>
              </w:rPr>
              <w:t>доступность участников тендера в середине ноября (2012 года) будет важным критерием отбора</w:t>
            </w:r>
            <w:r w:rsidRPr="002F16BB">
              <w:rPr>
                <w:sz w:val="18"/>
                <w:szCs w:val="18"/>
                <w:lang w:val="ru-RU"/>
              </w:rPr>
              <w:t xml:space="preserve">", потому что они могут сократить конкуренцию, ограничивая участие других поставщиков в процессе закупок (фактически в отношении проверенной закупки контракт был подписан только в феврале 2013 г.); </w:t>
            </w:r>
            <w:r w:rsidRPr="002F16BB">
              <w:rPr>
                <w:b/>
                <w:bCs/>
                <w:sz w:val="18"/>
                <w:szCs w:val="18"/>
                <w:lang w:val="ru-RU"/>
              </w:rPr>
              <w:t>B</w:t>
            </w:r>
            <w:r w:rsidRPr="002F16BB">
              <w:rPr>
                <w:sz w:val="18"/>
                <w:szCs w:val="18"/>
                <w:lang w:val="ru-RU"/>
              </w:rPr>
              <w:t xml:space="preserve">) Комитету по оценке следует составлять четкие отчеты по оценке, учитывая технические и коммерческие баллы в заявках, чтобы получить четкое ранжирование заявки, рекомендуемой для заключения контракта, в соответствии с критериями, установленными в файле тендера; </w:t>
            </w:r>
            <w:r w:rsidRPr="002F16BB">
              <w:rPr>
                <w:b/>
                <w:bCs/>
                <w:sz w:val="18"/>
                <w:szCs w:val="18"/>
                <w:lang w:val="ru-RU"/>
              </w:rPr>
              <w:t>C</w:t>
            </w:r>
            <w:r w:rsidRPr="002F16BB">
              <w:rPr>
                <w:sz w:val="18"/>
                <w:szCs w:val="18"/>
                <w:lang w:val="ru-RU"/>
              </w:rPr>
              <w:t>) в случае отступления от принципа автоматического отклонения заявок, полученных с опозданием, в Служебном приказе 14/06 следует четко указать, в каких случаях применимы такие отступления.</w:t>
            </w:r>
          </w:p>
        </w:tc>
        <w:tc>
          <w:tcPr>
            <w:tcW w:w="1362" w:type="pct"/>
            <w:tcBorders>
              <w:top w:val="single" w:sz="4" w:space="0" w:color="auto"/>
              <w:left w:val="single" w:sz="4" w:space="0" w:color="auto"/>
              <w:bottom w:val="single" w:sz="4" w:space="0" w:color="auto"/>
              <w:right w:val="single" w:sz="4" w:space="0" w:color="auto"/>
            </w:tcBorders>
          </w:tcPr>
          <w:p w14:paraId="2DD0C9D3" w14:textId="77777777" w:rsidR="00B86204" w:rsidRPr="002F16BB" w:rsidRDefault="00B86204" w:rsidP="00016740">
            <w:pPr>
              <w:spacing w:before="20" w:after="20"/>
              <w:rPr>
                <w:sz w:val="18"/>
                <w:szCs w:val="18"/>
                <w:lang w:val="ru-RU"/>
              </w:rPr>
            </w:pPr>
            <w:r w:rsidRPr="002F16BB">
              <w:rPr>
                <w:sz w:val="18"/>
                <w:szCs w:val="18"/>
                <w:lang w:val="ru-RU"/>
              </w:rPr>
              <w:lastRenderedPageBreak/>
              <w:t>В настоящее время в МСЭ практикуется установление критериев и методики оценки до объявления тендера, а в отчетах по оценке четко представляются баллы, выставленные каждому участнику тендера, и их индивидуальное ранжирование. Эта практика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14:paraId="3DDB7EC4"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289AFA40" w14:textId="77777777" w:rsidR="00B86204" w:rsidRPr="002F16BB" w:rsidRDefault="00B86204" w:rsidP="00016740">
            <w:pPr>
              <w:spacing w:before="20" w:after="20"/>
              <w:rPr>
                <w:sz w:val="18"/>
                <w:szCs w:val="18"/>
                <w:lang w:val="ru-RU"/>
              </w:rPr>
            </w:pPr>
            <w:r w:rsidRPr="002F16BB">
              <w:rPr>
                <w:sz w:val="18"/>
                <w:szCs w:val="18"/>
                <w:lang w:val="ru-RU"/>
              </w:rPr>
              <w:t>Осуществляется.</w:t>
            </w:r>
          </w:p>
          <w:p w14:paraId="5C7F22F2"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Составляется инструкция по закупкам.</w:t>
            </w:r>
          </w:p>
          <w:p w14:paraId="146C7283" w14:textId="5A760E89"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1F71C1D7"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14:paraId="6A261C0F"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530F6C2D" w14:textId="77777777" w:rsidR="00B86204" w:rsidRPr="002F16BB" w:rsidRDefault="00B86204" w:rsidP="00016740">
            <w:pPr>
              <w:pStyle w:val="Tabletext"/>
              <w:spacing w:before="20" w:after="20"/>
              <w:rPr>
                <w:sz w:val="18"/>
                <w:szCs w:val="18"/>
                <w:lang w:val="ru-RU"/>
              </w:rPr>
            </w:pPr>
            <w:r w:rsidRPr="002F16BB">
              <w:rPr>
                <w:sz w:val="18"/>
                <w:szCs w:val="18"/>
                <w:lang w:val="ru-RU"/>
              </w:rPr>
              <w:t>Отсутствует.</w:t>
            </w:r>
          </w:p>
          <w:p w14:paraId="11B5D670" w14:textId="0DD394C6" w:rsidR="00B86204" w:rsidRPr="002F16BB" w:rsidRDefault="00B86204" w:rsidP="00016740">
            <w:pPr>
              <w:pStyle w:val="Tabletext"/>
              <w:keepNext/>
              <w:keepLines/>
              <w:spacing w:before="20" w:after="20"/>
              <w:rPr>
                <w:sz w:val="18"/>
                <w:szCs w:val="18"/>
                <w:lang w:val="ru-RU" w:eastAsia="it-IT"/>
              </w:rPr>
            </w:pPr>
            <w:r w:rsidRPr="002F16BB">
              <w:rPr>
                <w:b/>
                <w:bCs/>
                <w:sz w:val="18"/>
                <w:szCs w:val="18"/>
                <w:lang w:val="ru-RU" w:eastAsia="it-IT"/>
              </w:rPr>
              <w:lastRenderedPageBreak/>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07F0433C"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Комитет по оценке был распущен в инструкции по закупкам. </w:t>
            </w:r>
            <w:r w:rsidRPr="002F16BB">
              <w:rPr>
                <w:color w:val="000000"/>
                <w:sz w:val="18"/>
                <w:szCs w:val="18"/>
                <w:lang w:val="ru-RU"/>
              </w:rPr>
              <w:t xml:space="preserve">Группа </w:t>
            </w:r>
            <w:proofErr w:type="gramStart"/>
            <w:r w:rsidRPr="002F16BB">
              <w:rPr>
                <w:color w:val="000000"/>
                <w:sz w:val="18"/>
                <w:szCs w:val="18"/>
                <w:lang w:val="ru-RU"/>
              </w:rPr>
              <w:t>экспертов по технической оценке</w:t>
            </w:r>
            <w:proofErr w:type="gramEnd"/>
            <w:r w:rsidRPr="002F16BB">
              <w:rPr>
                <w:sz w:val="18"/>
                <w:szCs w:val="18"/>
                <w:lang w:val="ru-RU" w:eastAsia="it-IT"/>
              </w:rPr>
              <w:t xml:space="preserve"> провела техническую оценку, а коммерческая оценка проведена PROC. Процесс оценки четко прописан в инструкции.</w:t>
            </w:r>
          </w:p>
          <w:p w14:paraId="274FFF48" w14:textId="3E7D7898"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301469F"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22FF16F5" w14:textId="77777777" w:rsidR="00B86204" w:rsidRPr="002F16BB" w:rsidRDefault="00B86204" w:rsidP="00016740">
            <w:pPr>
              <w:pStyle w:val="Tabletext"/>
              <w:spacing w:before="20" w:after="20"/>
              <w:rPr>
                <w:sz w:val="18"/>
                <w:szCs w:val="18"/>
                <w:lang w:val="ru-RU"/>
              </w:rPr>
            </w:pPr>
            <w:r w:rsidRPr="002F16BB">
              <w:rPr>
                <w:sz w:val="18"/>
                <w:szCs w:val="18"/>
                <w:lang w:val="ru-RU"/>
              </w:rPr>
              <w:lastRenderedPageBreak/>
              <w:t>В процессе выполнения.</w:t>
            </w:r>
          </w:p>
          <w:p w14:paraId="2F207CA3"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Мы будем контролировать осуществление в контексте наших следующих аудиторских проверок.</w:t>
            </w:r>
          </w:p>
        </w:tc>
      </w:tr>
      <w:tr w:rsidR="00B86204" w:rsidRPr="00FE280E" w14:paraId="0C9D05FE" w14:textId="77777777" w:rsidTr="00016740">
        <w:tc>
          <w:tcPr>
            <w:tcW w:w="339" w:type="pct"/>
            <w:tcBorders>
              <w:top w:val="single" w:sz="4" w:space="0" w:color="auto"/>
              <w:left w:val="single" w:sz="4" w:space="0" w:color="auto"/>
              <w:bottom w:val="single" w:sz="4" w:space="0" w:color="auto"/>
              <w:right w:val="single" w:sz="4" w:space="0" w:color="auto"/>
            </w:tcBorders>
          </w:tcPr>
          <w:p w14:paraId="7E2BA908"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9/2016</w:t>
            </w:r>
          </w:p>
        </w:tc>
        <w:tc>
          <w:tcPr>
            <w:tcW w:w="1216" w:type="pct"/>
            <w:tcBorders>
              <w:top w:val="single" w:sz="4" w:space="0" w:color="auto"/>
              <w:left w:val="single" w:sz="4" w:space="0" w:color="auto"/>
              <w:bottom w:val="single" w:sz="4" w:space="0" w:color="auto"/>
              <w:right w:val="single" w:sz="4" w:space="0" w:color="auto"/>
            </w:tcBorders>
          </w:tcPr>
          <w:p w14:paraId="6C00A48B" w14:textId="77777777" w:rsidR="00B86204" w:rsidRPr="002F16BB" w:rsidRDefault="00B86204" w:rsidP="00016740">
            <w:pPr>
              <w:spacing w:before="20" w:after="20"/>
              <w:rPr>
                <w:b/>
                <w:bCs/>
                <w:i/>
                <w:iCs/>
                <w:sz w:val="18"/>
                <w:szCs w:val="18"/>
                <w:lang w:val="ru-RU"/>
              </w:rPr>
            </w:pPr>
            <w:bookmarkStart w:id="437" w:name="_Toc482176251"/>
            <w:bookmarkStart w:id="438" w:name="_Toc482995204"/>
            <w:r w:rsidRPr="002F16BB">
              <w:rPr>
                <w:b/>
                <w:bCs/>
                <w:i/>
                <w:iCs/>
                <w:sz w:val="18"/>
                <w:szCs w:val="18"/>
                <w:lang w:val="ru-RU"/>
              </w:rPr>
              <w:t>Совершенствование обязательной технической оценки</w:t>
            </w:r>
            <w:bookmarkEnd w:id="437"/>
            <w:bookmarkEnd w:id="438"/>
          </w:p>
          <w:p w14:paraId="6FB56673" w14:textId="77777777" w:rsidR="00B86204" w:rsidRPr="002F16BB" w:rsidRDefault="00B86204" w:rsidP="00016740">
            <w:pPr>
              <w:spacing w:before="20" w:after="20"/>
              <w:rPr>
                <w:sz w:val="18"/>
                <w:szCs w:val="18"/>
                <w:lang w:val="ru-RU"/>
              </w:rPr>
            </w:pPr>
            <w:r w:rsidRPr="002F16BB">
              <w:rPr>
                <w:sz w:val="18"/>
                <w:szCs w:val="18"/>
                <w:u w:val="single"/>
                <w:lang w:val="ru-RU"/>
              </w:rPr>
              <w:t>Мы рекомендуем</w:t>
            </w:r>
            <w:r w:rsidRPr="002F16BB">
              <w:rPr>
                <w:sz w:val="18"/>
                <w:szCs w:val="18"/>
                <w:lang w:val="ru-RU"/>
              </w:rPr>
              <w:t>, как это предусматривает передовой опыт ООН, чтобы применительно к приглашениям подавать предложения при коммерческой оценке учитывались только предложения, соответствующие обязательным и минимальным требованиям (или баллам), а коммерческие заявки от поставщиков, которые были признаны технически не соответствующими спецификациям тендера, не оценивались.</w:t>
            </w:r>
          </w:p>
        </w:tc>
        <w:tc>
          <w:tcPr>
            <w:tcW w:w="1362" w:type="pct"/>
            <w:tcBorders>
              <w:top w:val="single" w:sz="4" w:space="0" w:color="auto"/>
              <w:left w:val="single" w:sz="4" w:space="0" w:color="auto"/>
              <w:bottom w:val="single" w:sz="4" w:space="0" w:color="auto"/>
              <w:right w:val="single" w:sz="4" w:space="0" w:color="auto"/>
            </w:tcBorders>
          </w:tcPr>
          <w:p w14:paraId="1D2830A8" w14:textId="77777777" w:rsidR="00B86204" w:rsidRPr="002F16BB" w:rsidRDefault="00B86204" w:rsidP="00016740">
            <w:pPr>
              <w:spacing w:before="20" w:after="20"/>
              <w:rPr>
                <w:sz w:val="18"/>
                <w:szCs w:val="18"/>
                <w:lang w:val="ru-RU"/>
              </w:rPr>
            </w:pPr>
            <w:r w:rsidRPr="002F16BB">
              <w:rPr>
                <w:sz w:val="18"/>
                <w:szCs w:val="18"/>
                <w:lang w:val="ru-RU"/>
              </w:rPr>
              <w:t>В настоящее время в МСЭ практикуется оценка только коммерческих предложений поставщиков, которые технически соответствуют условиям тендера. Эта практика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14:paraId="29DF5FA5"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796502C5" w14:textId="77777777" w:rsidR="00B86204" w:rsidRPr="002F16BB" w:rsidRDefault="00B86204" w:rsidP="00016740">
            <w:pPr>
              <w:spacing w:before="20" w:after="20"/>
              <w:rPr>
                <w:sz w:val="18"/>
                <w:szCs w:val="18"/>
                <w:lang w:val="ru-RU"/>
              </w:rPr>
            </w:pPr>
            <w:r w:rsidRPr="002F16BB">
              <w:rPr>
                <w:sz w:val="18"/>
                <w:szCs w:val="18"/>
                <w:lang w:val="ru-RU"/>
              </w:rPr>
              <w:t>Осуществляется.</w:t>
            </w:r>
          </w:p>
          <w:p w14:paraId="33284ADC"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Составляется инструкция по закупкам.</w:t>
            </w:r>
          </w:p>
          <w:p w14:paraId="2BCCA72D" w14:textId="78EB1E2C"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6536273D"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14:paraId="698C2A58"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41417458" w14:textId="77777777" w:rsidR="00B86204" w:rsidRPr="002F16BB" w:rsidRDefault="00B86204" w:rsidP="00016740">
            <w:pPr>
              <w:pStyle w:val="Tabletext"/>
              <w:spacing w:before="20" w:after="20"/>
              <w:rPr>
                <w:sz w:val="18"/>
                <w:szCs w:val="18"/>
                <w:lang w:val="ru-RU"/>
              </w:rPr>
            </w:pPr>
            <w:r w:rsidRPr="002F16BB">
              <w:rPr>
                <w:sz w:val="18"/>
                <w:szCs w:val="18"/>
                <w:lang w:val="ru-RU"/>
              </w:rPr>
              <w:t>Отсутствует.</w:t>
            </w:r>
          </w:p>
          <w:p w14:paraId="07192FE9" w14:textId="4154CB41"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6C4FAC3F"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 См. пункт 8.4.11 инструкции МСЭ по закупкам.</w:t>
            </w:r>
          </w:p>
          <w:p w14:paraId="478FEC57" w14:textId="268E790E"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lastRenderedPageBreak/>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76A9E64"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504B6BE5" w14:textId="77777777" w:rsidR="00B86204" w:rsidRPr="002F16BB" w:rsidRDefault="00B86204" w:rsidP="00016740">
            <w:pPr>
              <w:pStyle w:val="Tabletext"/>
              <w:spacing w:before="20" w:after="20"/>
              <w:rPr>
                <w:sz w:val="18"/>
                <w:szCs w:val="18"/>
                <w:lang w:val="ru-RU"/>
              </w:rPr>
            </w:pPr>
            <w:r w:rsidRPr="002F16BB">
              <w:rPr>
                <w:sz w:val="18"/>
                <w:szCs w:val="18"/>
                <w:lang w:val="ru-RU"/>
              </w:rPr>
              <w:lastRenderedPageBreak/>
              <w:t>В процессе выполнения.</w:t>
            </w:r>
          </w:p>
          <w:p w14:paraId="78771CE9"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Мы будем контролировать осуществление в контексте наших следующих аудиторских проверок.</w:t>
            </w:r>
          </w:p>
        </w:tc>
      </w:tr>
      <w:tr w:rsidR="00B86204" w:rsidRPr="00FE280E" w14:paraId="1645BFBB" w14:textId="77777777" w:rsidTr="00016740">
        <w:tc>
          <w:tcPr>
            <w:tcW w:w="339" w:type="pct"/>
            <w:tcBorders>
              <w:top w:val="single" w:sz="4" w:space="0" w:color="auto"/>
              <w:left w:val="single" w:sz="4" w:space="0" w:color="auto"/>
              <w:bottom w:val="single" w:sz="4" w:space="0" w:color="auto"/>
              <w:right w:val="single" w:sz="4" w:space="0" w:color="auto"/>
            </w:tcBorders>
          </w:tcPr>
          <w:p w14:paraId="7EFB91C0"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10/2016</w:t>
            </w:r>
          </w:p>
        </w:tc>
        <w:tc>
          <w:tcPr>
            <w:tcW w:w="1216" w:type="pct"/>
            <w:tcBorders>
              <w:top w:val="single" w:sz="4" w:space="0" w:color="auto"/>
              <w:left w:val="single" w:sz="4" w:space="0" w:color="auto"/>
              <w:bottom w:val="single" w:sz="4" w:space="0" w:color="auto"/>
              <w:right w:val="single" w:sz="4" w:space="0" w:color="auto"/>
            </w:tcBorders>
          </w:tcPr>
          <w:p w14:paraId="14136099" w14:textId="77777777" w:rsidR="00B86204" w:rsidRPr="002F16BB" w:rsidRDefault="00B86204" w:rsidP="00016740">
            <w:pPr>
              <w:spacing w:before="20" w:after="20"/>
              <w:rPr>
                <w:b/>
                <w:bCs/>
                <w:i/>
                <w:iCs/>
                <w:sz w:val="18"/>
                <w:szCs w:val="18"/>
                <w:lang w:val="ru-RU"/>
              </w:rPr>
            </w:pPr>
            <w:bookmarkStart w:id="439" w:name="_Toc478775838"/>
            <w:bookmarkStart w:id="440" w:name="_Toc482176253"/>
            <w:bookmarkStart w:id="441" w:name="_Toc482995206"/>
            <w:r w:rsidRPr="002F16BB">
              <w:rPr>
                <w:b/>
                <w:bCs/>
                <w:i/>
                <w:iCs/>
                <w:sz w:val="18"/>
                <w:szCs w:val="18"/>
                <w:lang w:val="ru-RU"/>
              </w:rPr>
              <w:t xml:space="preserve">Контроль </w:t>
            </w:r>
            <w:bookmarkEnd w:id="439"/>
            <w:bookmarkEnd w:id="440"/>
            <w:r w:rsidRPr="002F16BB">
              <w:rPr>
                <w:b/>
                <w:bCs/>
                <w:i/>
                <w:iCs/>
                <w:sz w:val="18"/>
                <w:szCs w:val="18"/>
                <w:lang w:val="ru-RU"/>
              </w:rPr>
              <w:t>показателей работы поставщиков</w:t>
            </w:r>
            <w:bookmarkEnd w:id="441"/>
          </w:p>
          <w:p w14:paraId="466D8C26" w14:textId="77777777" w:rsidR="00B86204" w:rsidRPr="002F16BB" w:rsidRDefault="00B86204" w:rsidP="00016740">
            <w:pPr>
              <w:spacing w:before="20" w:after="20"/>
              <w:rPr>
                <w:sz w:val="18"/>
                <w:szCs w:val="18"/>
                <w:lang w:val="ru-RU"/>
              </w:rPr>
            </w:pPr>
            <w:r w:rsidRPr="002F16BB">
              <w:rPr>
                <w:sz w:val="18"/>
                <w:szCs w:val="18"/>
                <w:u w:val="single"/>
                <w:lang w:val="ru-RU"/>
              </w:rPr>
              <w:t>Мы</w:t>
            </w:r>
            <w:r w:rsidRPr="002F16BB">
              <w:rPr>
                <w:sz w:val="18"/>
                <w:szCs w:val="18"/>
                <w:lang w:val="ru-RU"/>
              </w:rPr>
              <w:t xml:space="preserve"> разделяем мнение Внутреннего аудитора и </w:t>
            </w:r>
            <w:r w:rsidRPr="002F16BB">
              <w:rPr>
                <w:sz w:val="18"/>
                <w:szCs w:val="18"/>
                <w:u w:val="single"/>
                <w:lang w:val="ru-RU"/>
              </w:rPr>
              <w:t>рекомендуем</w:t>
            </w:r>
            <w:r w:rsidRPr="002F16BB">
              <w:rPr>
                <w:sz w:val="18"/>
                <w:szCs w:val="18"/>
                <w:lang w:val="ru-RU"/>
              </w:rPr>
              <w:t xml:space="preserve"> ввести оценку показателей работы поставщика с целью их контроля и оценки фактического исполнения контрактов в отношении таких показателей, как качество, поставка, своевременность, контроль затрат, соответствие кругу ведения или описанию работ (SOW), а также всем остальным установленным в контракте показателям работы.</w:t>
            </w:r>
          </w:p>
        </w:tc>
        <w:tc>
          <w:tcPr>
            <w:tcW w:w="1362" w:type="pct"/>
            <w:tcBorders>
              <w:top w:val="single" w:sz="4" w:space="0" w:color="auto"/>
              <w:left w:val="single" w:sz="4" w:space="0" w:color="auto"/>
              <w:bottom w:val="single" w:sz="4" w:space="0" w:color="auto"/>
              <w:right w:val="single" w:sz="4" w:space="0" w:color="auto"/>
            </w:tcBorders>
          </w:tcPr>
          <w:p w14:paraId="73A65AFA" w14:textId="77777777" w:rsidR="00B86204" w:rsidRPr="002F16BB" w:rsidRDefault="00B86204" w:rsidP="00016740">
            <w:pPr>
              <w:spacing w:before="20" w:after="20"/>
              <w:rPr>
                <w:sz w:val="18"/>
                <w:szCs w:val="18"/>
                <w:lang w:val="ru-RU"/>
              </w:rPr>
            </w:pPr>
            <w:r w:rsidRPr="002F16BB">
              <w:rPr>
                <w:sz w:val="18"/>
                <w:szCs w:val="18"/>
                <w:lang w:val="ru-RU"/>
              </w:rPr>
              <w:t>МСЭ согласен с этой рекомендацией. Политика управления показателями работы поставщиков будет включена в новую инструкцию по закупкам.</w:t>
            </w:r>
          </w:p>
        </w:tc>
        <w:tc>
          <w:tcPr>
            <w:tcW w:w="1363" w:type="pct"/>
            <w:tcBorders>
              <w:top w:val="single" w:sz="4" w:space="0" w:color="auto"/>
              <w:left w:val="single" w:sz="4" w:space="0" w:color="auto"/>
              <w:bottom w:val="single" w:sz="4" w:space="0" w:color="auto"/>
              <w:right w:val="single" w:sz="4" w:space="0" w:color="auto"/>
            </w:tcBorders>
          </w:tcPr>
          <w:p w14:paraId="4FFD2C78"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3E9FD6FA" w14:textId="77777777" w:rsidR="00B86204" w:rsidRPr="002F16BB" w:rsidRDefault="00B86204" w:rsidP="00016740">
            <w:pPr>
              <w:spacing w:before="20" w:after="20"/>
              <w:rPr>
                <w:sz w:val="18"/>
                <w:szCs w:val="18"/>
                <w:lang w:val="ru-RU"/>
              </w:rPr>
            </w:pPr>
            <w:r w:rsidRPr="002F16BB">
              <w:rPr>
                <w:sz w:val="18"/>
                <w:szCs w:val="18"/>
                <w:lang w:val="ru-RU"/>
              </w:rPr>
              <w:t>Осуществляется.</w:t>
            </w:r>
          </w:p>
          <w:p w14:paraId="1507176E"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Составляется инструкция по закупкам.</w:t>
            </w:r>
          </w:p>
          <w:p w14:paraId="4C1A8BEF" w14:textId="63C7C040"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317739C6"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Это включено в инструкцию по закупкам, которая составлена и планируется к распространению в начале 2019 года. </w:t>
            </w:r>
          </w:p>
          <w:p w14:paraId="45F034A0" w14:textId="77777777" w:rsidR="00B86204" w:rsidRPr="002F16BB" w:rsidRDefault="00B86204" w:rsidP="00016740">
            <w:pPr>
              <w:pStyle w:val="Tabletext"/>
              <w:keepNext/>
              <w:keepLines/>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2B1FB3D8" w14:textId="77777777" w:rsidR="00B86204" w:rsidRPr="002F16BB" w:rsidRDefault="00B86204" w:rsidP="00016740">
            <w:pPr>
              <w:pStyle w:val="Tabletext"/>
              <w:spacing w:before="20" w:after="20"/>
              <w:rPr>
                <w:sz w:val="18"/>
                <w:szCs w:val="18"/>
                <w:lang w:val="ru-RU"/>
              </w:rPr>
            </w:pPr>
            <w:r w:rsidRPr="002F16BB">
              <w:rPr>
                <w:sz w:val="18"/>
                <w:szCs w:val="18"/>
                <w:lang w:val="ru-RU"/>
              </w:rPr>
              <w:t>Отсутствует.</w:t>
            </w:r>
          </w:p>
          <w:p w14:paraId="7A433783" w14:textId="5AC92C0A"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FB598D1"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 См. пункт 5.4 инструкции МСЭ по закупкам.</w:t>
            </w:r>
          </w:p>
          <w:p w14:paraId="74B4906B" w14:textId="3381CE81"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E155ADF"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Осуществлено.</w:t>
            </w:r>
          </w:p>
        </w:tc>
        <w:tc>
          <w:tcPr>
            <w:tcW w:w="720" w:type="pct"/>
            <w:tcBorders>
              <w:top w:val="single" w:sz="4" w:space="0" w:color="auto"/>
              <w:left w:val="single" w:sz="4" w:space="0" w:color="auto"/>
              <w:bottom w:val="single" w:sz="4" w:space="0" w:color="auto"/>
              <w:right w:val="single" w:sz="4" w:space="0" w:color="auto"/>
            </w:tcBorders>
          </w:tcPr>
          <w:p w14:paraId="244BFC8C" w14:textId="77777777" w:rsidR="00B86204" w:rsidRPr="002F16BB" w:rsidRDefault="00B86204" w:rsidP="00016740">
            <w:pPr>
              <w:pStyle w:val="Tabletext"/>
              <w:spacing w:before="20" w:after="20"/>
              <w:rPr>
                <w:sz w:val="18"/>
                <w:szCs w:val="18"/>
                <w:lang w:val="ru-RU"/>
              </w:rPr>
            </w:pPr>
            <w:r w:rsidRPr="002F16BB">
              <w:rPr>
                <w:sz w:val="18"/>
                <w:szCs w:val="18"/>
                <w:lang w:val="ru-RU"/>
              </w:rPr>
              <w:t>В процессе выполнения.</w:t>
            </w:r>
          </w:p>
          <w:p w14:paraId="1224510B"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Мы будем контролировать осуществление в контексте наших следующих аудиторских проверок.</w:t>
            </w:r>
          </w:p>
        </w:tc>
      </w:tr>
      <w:tr w:rsidR="00B86204" w:rsidRPr="00FE280E" w14:paraId="191C017B" w14:textId="77777777" w:rsidTr="00016740">
        <w:tc>
          <w:tcPr>
            <w:tcW w:w="339" w:type="pct"/>
            <w:tcBorders>
              <w:top w:val="single" w:sz="4" w:space="0" w:color="auto"/>
              <w:left w:val="single" w:sz="4" w:space="0" w:color="auto"/>
              <w:bottom w:val="single" w:sz="4" w:space="0" w:color="auto"/>
              <w:right w:val="single" w:sz="4" w:space="0" w:color="auto"/>
            </w:tcBorders>
          </w:tcPr>
          <w:p w14:paraId="0CD92D46"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1/2015</w:t>
            </w:r>
          </w:p>
        </w:tc>
        <w:tc>
          <w:tcPr>
            <w:tcW w:w="1216" w:type="pct"/>
            <w:tcBorders>
              <w:top w:val="single" w:sz="4" w:space="0" w:color="auto"/>
              <w:left w:val="single" w:sz="4" w:space="0" w:color="auto"/>
              <w:bottom w:val="single" w:sz="4" w:space="0" w:color="auto"/>
              <w:right w:val="single" w:sz="4" w:space="0" w:color="auto"/>
            </w:tcBorders>
          </w:tcPr>
          <w:p w14:paraId="02AA7CB9" w14:textId="77777777" w:rsidR="00B86204" w:rsidRPr="002F16BB" w:rsidRDefault="00B86204" w:rsidP="00016740">
            <w:pPr>
              <w:spacing w:before="20" w:after="20"/>
              <w:rPr>
                <w:b/>
                <w:bCs/>
                <w:i/>
                <w:iCs/>
                <w:sz w:val="18"/>
                <w:szCs w:val="18"/>
                <w:lang w:val="ru-RU"/>
              </w:rPr>
            </w:pPr>
            <w:r w:rsidRPr="002F16BB">
              <w:rPr>
                <w:b/>
                <w:bCs/>
                <w:i/>
                <w:iCs/>
                <w:sz w:val="18"/>
                <w:szCs w:val="18"/>
                <w:lang w:val="ru-RU"/>
              </w:rPr>
              <w:t>Необходимо повысить точность реестра активов</w:t>
            </w:r>
          </w:p>
          <w:p w14:paraId="617F71B6" w14:textId="77777777" w:rsidR="00B86204" w:rsidRPr="002F16BB" w:rsidRDefault="00B86204" w:rsidP="00016740">
            <w:pPr>
              <w:spacing w:before="20" w:after="20"/>
              <w:rPr>
                <w:sz w:val="18"/>
                <w:szCs w:val="18"/>
                <w:lang w:val="ru-RU"/>
              </w:rPr>
            </w:pPr>
            <w:r w:rsidRPr="002F16BB">
              <w:rPr>
                <w:sz w:val="18"/>
                <w:szCs w:val="18"/>
                <w:lang w:val="ru-RU"/>
              </w:rPr>
              <w:t xml:space="preserve">В связи с этим </w:t>
            </w:r>
            <w:r w:rsidRPr="002F16BB">
              <w:rPr>
                <w:sz w:val="18"/>
                <w:szCs w:val="18"/>
                <w:u w:val="single"/>
                <w:lang w:val="ru-RU"/>
              </w:rPr>
              <w:t>мы рекомендуем</w:t>
            </w:r>
            <w:r w:rsidRPr="002F16BB">
              <w:rPr>
                <w:sz w:val="18"/>
                <w:szCs w:val="18"/>
                <w:lang w:val="ru-RU"/>
              </w:rPr>
              <w:t xml:space="preserve"> руководству приложить дополнительные усилия для учета, маркировки и капитализации находящихся в МСЭ материальных активов в целях ведения более точных записей об активах, используя для этого процедуры и процессы, которые усилят координацию между различными Департаментами.</w:t>
            </w:r>
          </w:p>
        </w:tc>
        <w:tc>
          <w:tcPr>
            <w:tcW w:w="1362" w:type="pct"/>
            <w:tcBorders>
              <w:top w:val="single" w:sz="4" w:space="0" w:color="auto"/>
              <w:left w:val="single" w:sz="4" w:space="0" w:color="auto"/>
              <w:bottom w:val="single" w:sz="4" w:space="0" w:color="auto"/>
              <w:right w:val="single" w:sz="4" w:space="0" w:color="auto"/>
            </w:tcBorders>
          </w:tcPr>
          <w:p w14:paraId="713A4F46" w14:textId="77777777" w:rsidR="00B86204" w:rsidRPr="002F16BB" w:rsidRDefault="00B86204" w:rsidP="00016740">
            <w:pPr>
              <w:spacing w:before="20" w:after="20"/>
              <w:rPr>
                <w:sz w:val="18"/>
                <w:szCs w:val="18"/>
                <w:lang w:val="ru-RU"/>
              </w:rPr>
            </w:pPr>
            <w:r w:rsidRPr="002F16BB">
              <w:rPr>
                <w:sz w:val="18"/>
                <w:szCs w:val="18"/>
                <w:lang w:val="ru-RU"/>
              </w:rPr>
              <w:t>Секретариат продолжит предпринятые усилия для обеспечения учета всех активов в соответствующих базах данных.</w:t>
            </w:r>
          </w:p>
        </w:tc>
        <w:tc>
          <w:tcPr>
            <w:tcW w:w="1363" w:type="pct"/>
            <w:tcBorders>
              <w:top w:val="single" w:sz="4" w:space="0" w:color="auto"/>
              <w:left w:val="single" w:sz="4" w:space="0" w:color="auto"/>
              <w:bottom w:val="single" w:sz="4" w:space="0" w:color="auto"/>
              <w:right w:val="single" w:sz="4" w:space="0" w:color="auto"/>
            </w:tcBorders>
          </w:tcPr>
          <w:p w14:paraId="65002072" w14:textId="35AA33AF" w:rsidR="00B86204" w:rsidRPr="002F16BB" w:rsidRDefault="00B86204" w:rsidP="00016740">
            <w:pPr>
              <w:spacing w:before="20" w:after="20"/>
              <w:rPr>
                <w:b/>
                <w:bCs/>
                <w:sz w:val="18"/>
                <w:szCs w:val="18"/>
                <w:lang w:val="ru-RU"/>
              </w:rPr>
            </w:pPr>
            <w:r w:rsidRPr="002F16BB">
              <w:rPr>
                <w:b/>
                <w:bCs/>
                <w:sz w:val="18"/>
                <w:szCs w:val="18"/>
                <w:lang w:val="ru-RU"/>
              </w:rPr>
              <w:t>Обновление, по состоянию на конец апреля 2017</w:t>
            </w:r>
            <w:r w:rsidR="00016740">
              <w:rPr>
                <w:b/>
                <w:bCs/>
                <w:sz w:val="18"/>
                <w:szCs w:val="18"/>
                <w:lang w:val="ru-RU"/>
              </w:rPr>
              <w:t> </w:t>
            </w:r>
            <w:r w:rsidRPr="002F16BB">
              <w:rPr>
                <w:b/>
                <w:bCs/>
                <w:sz w:val="18"/>
                <w:szCs w:val="18"/>
                <w:lang w:val="ru-RU"/>
              </w:rPr>
              <w:t>г</w:t>
            </w:r>
            <w:r w:rsidRPr="002F16BB">
              <w:rPr>
                <w:sz w:val="18"/>
                <w:szCs w:val="18"/>
                <w:lang w:val="ru-RU"/>
              </w:rPr>
              <w:t>.:</w:t>
            </w:r>
          </w:p>
          <w:p w14:paraId="50E9A488" w14:textId="77777777" w:rsidR="00B86204" w:rsidRPr="002F16BB" w:rsidRDefault="00B86204" w:rsidP="00016740">
            <w:pPr>
              <w:spacing w:before="20" w:after="20"/>
              <w:rPr>
                <w:sz w:val="18"/>
                <w:szCs w:val="18"/>
                <w:lang w:val="ru-RU"/>
              </w:rPr>
            </w:pPr>
            <w:r w:rsidRPr="002F16BB">
              <w:rPr>
                <w:sz w:val="18"/>
                <w:szCs w:val="18"/>
                <w:lang w:val="ru-RU"/>
              </w:rPr>
              <w:t>При тесном сотрудничестве между различными департаментами было обеспечено улучшение в плане согласованности данных двух модулей SAP, предназначенных для учета активов и управления оборудованием в штаб-квартире и региональных отделениях. Коме того, был выпущен служебный приказ о товарно-материальных запасах и защите оборудования МСЭ.</w:t>
            </w:r>
          </w:p>
          <w:p w14:paraId="2E59DD8F"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апрель 2018 г</w:t>
            </w:r>
            <w:r w:rsidRPr="002F16BB">
              <w:rPr>
                <w:sz w:val="18"/>
                <w:szCs w:val="18"/>
                <w:lang w:val="ru-RU"/>
              </w:rPr>
              <w:t>.:</w:t>
            </w:r>
          </w:p>
          <w:p w14:paraId="48957CDB"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 xml:space="preserve">Различные данные в системе оборудования SAP и в модуле SAP для управления активами теперь синхронизированы. Вместе с тем согласование данных представляет собой постоянный и регулярный вид деятельности, </w:t>
            </w:r>
            <w:r w:rsidRPr="002F16BB">
              <w:rPr>
                <w:sz w:val="18"/>
                <w:szCs w:val="18"/>
                <w:lang w:val="ru-RU"/>
              </w:rPr>
              <w:lastRenderedPageBreak/>
              <w:t>который будут и далее осуществлять соответствующие департаменты.</w:t>
            </w:r>
          </w:p>
          <w:p w14:paraId="29E3C975" w14:textId="19BD84F6"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22B45690"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Осуществляется рассмотрение существующих процедур и процессов; согласование пересмотренных процессов с SAP планируется в 2019 году. </w:t>
            </w:r>
          </w:p>
          <w:p w14:paraId="7B69899B"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1AD10176"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В 2019 году планируется внедрение нового программного обеспечения учета и системы сканирования SAP. </w:t>
            </w:r>
          </w:p>
          <w:p w14:paraId="5F31D2F9" w14:textId="76FF7F69"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157782C3"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Новое программное обеспечения учета и системы сканирования SAP</w:t>
            </w:r>
            <w:r w:rsidRPr="002F16BB">
              <w:rPr>
                <w:sz w:val="18"/>
                <w:szCs w:val="18"/>
                <w:lang w:val="ru-RU" w:eastAsia="it-IT"/>
              </w:rPr>
              <w:t xml:space="preserve"> установлено. Все </w:t>
            </w:r>
            <w:r w:rsidRPr="002F16BB">
              <w:rPr>
                <w:color w:val="000000"/>
                <w:sz w:val="18"/>
                <w:szCs w:val="18"/>
                <w:lang w:val="ru-RU"/>
              </w:rPr>
              <w:t xml:space="preserve">региональные и зональные отделения </w:t>
            </w:r>
            <w:r w:rsidRPr="002F16BB">
              <w:rPr>
                <w:sz w:val="18"/>
                <w:szCs w:val="18"/>
                <w:lang w:val="ru-RU" w:eastAsia="it-IT"/>
              </w:rPr>
              <w:t>оснащены сканерами.</w:t>
            </w:r>
          </w:p>
          <w:p w14:paraId="24E02053" w14:textId="05D38D7C"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544CD72"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Новое программное обеспечения учета и системы сканирования SAP</w:t>
            </w:r>
            <w:r w:rsidRPr="002F16BB">
              <w:rPr>
                <w:sz w:val="18"/>
                <w:szCs w:val="18"/>
                <w:lang w:val="ru-RU" w:eastAsia="it-IT"/>
              </w:rPr>
              <w:t xml:space="preserve"> установлено командой Департамента IS/ERP и работает хорошо.</w:t>
            </w:r>
          </w:p>
          <w:p w14:paraId="7B8A5837"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Все </w:t>
            </w:r>
            <w:r w:rsidRPr="002F16BB">
              <w:rPr>
                <w:color w:val="000000"/>
                <w:sz w:val="18"/>
                <w:szCs w:val="18"/>
                <w:lang w:val="ru-RU"/>
              </w:rPr>
              <w:t xml:space="preserve">региональные и зональные отделения </w:t>
            </w:r>
            <w:r w:rsidRPr="002F16BB">
              <w:rPr>
                <w:sz w:val="18"/>
                <w:szCs w:val="18"/>
                <w:lang w:val="ru-RU" w:eastAsia="it-IT"/>
              </w:rPr>
              <w:t>оснащены сканерами.</w:t>
            </w:r>
          </w:p>
        </w:tc>
        <w:tc>
          <w:tcPr>
            <w:tcW w:w="720" w:type="pct"/>
            <w:tcBorders>
              <w:top w:val="single" w:sz="4" w:space="0" w:color="auto"/>
              <w:left w:val="single" w:sz="4" w:space="0" w:color="auto"/>
              <w:bottom w:val="single" w:sz="4" w:space="0" w:color="auto"/>
              <w:right w:val="single" w:sz="4" w:space="0" w:color="auto"/>
            </w:tcBorders>
          </w:tcPr>
          <w:p w14:paraId="056732F7" w14:textId="77777777" w:rsidR="00B86204" w:rsidRPr="002F16BB" w:rsidRDefault="00B86204" w:rsidP="00016740">
            <w:pPr>
              <w:pStyle w:val="Tabletext"/>
              <w:spacing w:before="20" w:after="20"/>
              <w:rPr>
                <w:sz w:val="18"/>
                <w:szCs w:val="18"/>
                <w:lang w:val="ru-RU"/>
              </w:rPr>
            </w:pPr>
            <w:r w:rsidRPr="002F16BB">
              <w:rPr>
                <w:sz w:val="18"/>
                <w:szCs w:val="18"/>
                <w:lang w:val="ru-RU"/>
              </w:rPr>
              <w:lastRenderedPageBreak/>
              <w:t>В процессе выполнения.</w:t>
            </w:r>
          </w:p>
          <w:p w14:paraId="631AE04E"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Мы проследим за выполнением этой рекомендации в следующем финансовом году.</w:t>
            </w:r>
          </w:p>
        </w:tc>
      </w:tr>
      <w:tr w:rsidR="00B86204" w:rsidRPr="002F16BB" w14:paraId="4AD3F152" w14:textId="77777777" w:rsidTr="00016740">
        <w:tc>
          <w:tcPr>
            <w:tcW w:w="339" w:type="pct"/>
            <w:tcBorders>
              <w:top w:val="single" w:sz="4" w:space="0" w:color="auto"/>
              <w:left w:val="single" w:sz="4" w:space="0" w:color="auto"/>
              <w:bottom w:val="single" w:sz="4" w:space="0" w:color="auto"/>
              <w:right w:val="single" w:sz="4" w:space="0" w:color="auto"/>
            </w:tcBorders>
          </w:tcPr>
          <w:p w14:paraId="627189CC"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2/2015</w:t>
            </w:r>
          </w:p>
        </w:tc>
        <w:tc>
          <w:tcPr>
            <w:tcW w:w="1216" w:type="pct"/>
            <w:tcBorders>
              <w:top w:val="single" w:sz="4" w:space="0" w:color="auto"/>
              <w:left w:val="single" w:sz="4" w:space="0" w:color="auto"/>
              <w:bottom w:val="single" w:sz="4" w:space="0" w:color="auto"/>
              <w:right w:val="single" w:sz="4" w:space="0" w:color="auto"/>
            </w:tcBorders>
          </w:tcPr>
          <w:p w14:paraId="38C04734" w14:textId="77777777" w:rsidR="00B86204" w:rsidRPr="002F16BB" w:rsidRDefault="00B86204" w:rsidP="00016740">
            <w:pPr>
              <w:spacing w:before="20" w:after="20"/>
              <w:rPr>
                <w:b/>
                <w:bCs/>
                <w:i/>
                <w:iCs/>
                <w:sz w:val="18"/>
                <w:szCs w:val="18"/>
                <w:lang w:val="ru-RU"/>
              </w:rPr>
            </w:pPr>
            <w:bookmarkStart w:id="442" w:name="_Toc450991467"/>
            <w:r w:rsidRPr="002F16BB">
              <w:rPr>
                <w:b/>
                <w:bCs/>
                <w:i/>
                <w:iCs/>
                <w:sz w:val="18"/>
                <w:szCs w:val="18"/>
                <w:lang w:val="ru-RU"/>
              </w:rPr>
              <w:t>Необходимо пересмотреть коэффициенты амортизации</w:t>
            </w:r>
            <w:bookmarkEnd w:id="442"/>
          </w:p>
          <w:p w14:paraId="4378658A" w14:textId="77777777" w:rsidR="00B86204" w:rsidRPr="002F16BB" w:rsidRDefault="00B86204" w:rsidP="00016740">
            <w:pPr>
              <w:spacing w:before="20" w:after="20"/>
              <w:rPr>
                <w:sz w:val="18"/>
                <w:szCs w:val="18"/>
                <w:lang w:val="ru-RU"/>
              </w:rPr>
            </w:pPr>
            <w:r w:rsidRPr="002F16BB">
              <w:rPr>
                <w:sz w:val="18"/>
                <w:szCs w:val="18"/>
                <w:lang w:val="ru-RU"/>
              </w:rPr>
              <w:t xml:space="preserve">В связи с этим </w:t>
            </w:r>
            <w:r w:rsidRPr="002F16BB">
              <w:rPr>
                <w:sz w:val="18"/>
                <w:szCs w:val="18"/>
                <w:u w:val="single"/>
                <w:lang w:val="ru-RU"/>
              </w:rPr>
              <w:t>мы рекомендуем</w:t>
            </w:r>
            <w:r w:rsidRPr="002F16BB">
              <w:rPr>
                <w:sz w:val="18"/>
                <w:szCs w:val="18"/>
                <w:lang w:val="ru-RU"/>
              </w:rPr>
              <w:t xml:space="preserve"> руководству пересмотреть сроки использования различных категорий и относящиеся к ним коэффициенты амортизации в соответствии с практикой ООН. В случае уточнения категорий потребуется осуществить корректировку чистой балансовой стоимости.</w:t>
            </w:r>
          </w:p>
        </w:tc>
        <w:tc>
          <w:tcPr>
            <w:tcW w:w="1362" w:type="pct"/>
            <w:tcBorders>
              <w:top w:val="single" w:sz="4" w:space="0" w:color="auto"/>
              <w:left w:val="single" w:sz="4" w:space="0" w:color="auto"/>
              <w:bottom w:val="single" w:sz="4" w:space="0" w:color="auto"/>
              <w:right w:val="single" w:sz="4" w:space="0" w:color="auto"/>
            </w:tcBorders>
          </w:tcPr>
          <w:p w14:paraId="7CDC3C31" w14:textId="77777777" w:rsidR="00B86204" w:rsidRPr="002F16BB" w:rsidRDefault="00B86204" w:rsidP="00016740">
            <w:pPr>
              <w:spacing w:before="20" w:after="20"/>
              <w:rPr>
                <w:sz w:val="18"/>
                <w:szCs w:val="18"/>
                <w:lang w:val="ru-RU"/>
              </w:rPr>
            </w:pPr>
            <w:r w:rsidRPr="002F16BB">
              <w:rPr>
                <w:sz w:val="18"/>
                <w:szCs w:val="18"/>
                <w:lang w:val="ru-RU"/>
              </w:rPr>
              <w:t>Секретариат проведет дополнительный анализ этой рекомендации и ее возможных последствий.</w:t>
            </w:r>
          </w:p>
        </w:tc>
        <w:tc>
          <w:tcPr>
            <w:tcW w:w="1363" w:type="pct"/>
            <w:tcBorders>
              <w:top w:val="single" w:sz="4" w:space="0" w:color="auto"/>
              <w:left w:val="single" w:sz="4" w:space="0" w:color="auto"/>
              <w:bottom w:val="single" w:sz="4" w:space="0" w:color="auto"/>
              <w:right w:val="single" w:sz="4" w:space="0" w:color="auto"/>
            </w:tcBorders>
          </w:tcPr>
          <w:p w14:paraId="27FE1492" w14:textId="77777777" w:rsidR="00B86204" w:rsidRPr="002F16BB" w:rsidRDefault="00B86204" w:rsidP="00016740">
            <w:pPr>
              <w:spacing w:before="20" w:after="20"/>
              <w:rPr>
                <w:b/>
                <w:bCs/>
                <w:sz w:val="18"/>
                <w:szCs w:val="18"/>
                <w:lang w:val="ru-RU"/>
              </w:rPr>
            </w:pPr>
            <w:r w:rsidRPr="002F16BB">
              <w:rPr>
                <w:b/>
                <w:bCs/>
                <w:sz w:val="18"/>
                <w:szCs w:val="18"/>
                <w:lang w:val="ru-RU"/>
              </w:rPr>
              <w:t>Обновление, по состоянию на конец апреля 2017 г</w:t>
            </w:r>
            <w:r w:rsidRPr="002F16BB">
              <w:rPr>
                <w:sz w:val="18"/>
                <w:szCs w:val="18"/>
                <w:lang w:val="ru-RU"/>
              </w:rPr>
              <w:t>.:</w:t>
            </w:r>
          </w:p>
          <w:p w14:paraId="5967E6C0" w14:textId="77777777" w:rsidR="00B86204" w:rsidRPr="002F16BB" w:rsidRDefault="00B86204" w:rsidP="00016740">
            <w:pPr>
              <w:spacing w:before="20" w:after="20"/>
              <w:rPr>
                <w:sz w:val="18"/>
                <w:szCs w:val="18"/>
                <w:lang w:val="ru-RU"/>
              </w:rPr>
            </w:pPr>
            <w:r w:rsidRPr="002F16BB">
              <w:rPr>
                <w:sz w:val="18"/>
                <w:szCs w:val="18"/>
                <w:lang w:val="ru-RU"/>
              </w:rPr>
              <w:t>Было проведено изучение вопроса о полезном сроке службы активов в сравнении с другими международными организациями, находящимися в Женеве. Рассматривается вопрос о возможных изменениях в сроках использования некоторых категорий активов, и решение о выполнении этой рекомендации связано со строительством нового здания штаб</w:t>
            </w:r>
            <w:r w:rsidRPr="002F16BB">
              <w:rPr>
                <w:sz w:val="18"/>
                <w:szCs w:val="18"/>
                <w:lang w:val="ru-RU"/>
              </w:rPr>
              <w:noBreakHyphen/>
              <w:t>квартиры МСЭ.</w:t>
            </w:r>
          </w:p>
          <w:p w14:paraId="020C390F"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апрель 2018 г</w:t>
            </w:r>
            <w:r w:rsidRPr="002F16BB">
              <w:rPr>
                <w:sz w:val="18"/>
                <w:szCs w:val="18"/>
                <w:lang w:val="ru-RU"/>
              </w:rPr>
              <w:t>.:</w:t>
            </w:r>
          </w:p>
          <w:p w14:paraId="29F597BE" w14:textId="77777777" w:rsidR="00B86204" w:rsidRPr="002F16BB" w:rsidRDefault="00B86204" w:rsidP="00016740">
            <w:pPr>
              <w:pStyle w:val="Tabletext"/>
              <w:spacing w:before="20" w:after="20"/>
              <w:rPr>
                <w:sz w:val="18"/>
                <w:szCs w:val="18"/>
                <w:lang w:val="ru-RU"/>
              </w:rPr>
            </w:pPr>
            <w:r w:rsidRPr="002F16BB">
              <w:rPr>
                <w:sz w:val="18"/>
                <w:szCs w:val="18"/>
                <w:lang w:val="ru-RU"/>
              </w:rPr>
              <w:t>Отсутствует.</w:t>
            </w:r>
          </w:p>
          <w:p w14:paraId="4DCB1CB5" w14:textId="0DE8344C" w:rsidR="00B86204" w:rsidRPr="002F16BB" w:rsidRDefault="00B86204" w:rsidP="00016740">
            <w:pPr>
              <w:pStyle w:val="Tabletext"/>
              <w:keepNext/>
              <w:keepLines/>
              <w:spacing w:before="20" w:after="20"/>
              <w:rPr>
                <w:sz w:val="18"/>
                <w:szCs w:val="18"/>
                <w:lang w:val="ru-RU" w:eastAsia="it-IT"/>
              </w:rPr>
            </w:pPr>
            <w:r w:rsidRPr="002F16BB">
              <w:rPr>
                <w:b/>
                <w:bCs/>
                <w:sz w:val="18"/>
                <w:szCs w:val="18"/>
                <w:lang w:val="ru-RU" w:eastAsia="it-IT"/>
              </w:rPr>
              <w:lastRenderedPageBreak/>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04191D94"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Действующие параметры амортизации в настоящее время пересматриваются и планируются к введению. </w:t>
            </w:r>
          </w:p>
          <w:p w14:paraId="529077BA"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0B4E06EC"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Консультант SAP привлекается для внедрения изменений в систему ERP, которые вступят в силу в 2020 году. </w:t>
            </w:r>
          </w:p>
          <w:p w14:paraId="4B6C31DF" w14:textId="2C4868A8"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10C22350"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Отсутствует</w:t>
            </w:r>
            <w:r>
              <w:rPr>
                <w:sz w:val="18"/>
                <w:szCs w:val="18"/>
                <w:lang w:val="ru-RU"/>
              </w:rPr>
              <w:t>.</w:t>
            </w:r>
          </w:p>
          <w:p w14:paraId="02D16BBD" w14:textId="5A6E1ACA"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371EE390" w14:textId="77777777" w:rsidR="00B86204" w:rsidRPr="00A578FA" w:rsidRDefault="00B86204" w:rsidP="00016740">
            <w:pPr>
              <w:pStyle w:val="Tabletext"/>
              <w:spacing w:before="20" w:after="20"/>
              <w:rPr>
                <w:color w:val="000000"/>
                <w:sz w:val="18"/>
                <w:szCs w:val="18"/>
                <w:lang w:val="ru-RU"/>
              </w:rPr>
            </w:pPr>
            <w:r w:rsidRPr="002F16BB">
              <w:rPr>
                <w:color w:val="000000"/>
                <w:sz w:val="18"/>
                <w:szCs w:val="18"/>
                <w:lang w:val="ru-RU"/>
              </w:rPr>
              <w:t>Новые параметры амортизации здания применяются с 1 января 2020 года в соответствии с практикой ООН. С учетом этого корректировки чистой балансовой стоимости</w:t>
            </w:r>
            <w:r w:rsidRPr="002F16BB">
              <w:rPr>
                <w:sz w:val="18"/>
                <w:szCs w:val="18"/>
                <w:lang w:val="ru-RU" w:eastAsia="it-IT"/>
              </w:rPr>
              <w:t xml:space="preserve"> будут осуществлены </w:t>
            </w:r>
            <w:r w:rsidRPr="002F16BB">
              <w:rPr>
                <w:color w:val="000000"/>
                <w:sz w:val="18"/>
                <w:szCs w:val="18"/>
                <w:lang w:val="ru-RU"/>
              </w:rPr>
              <w:t>в финансовом периоде 2020 года</w:t>
            </w:r>
            <w:r w:rsidRPr="00A578FA">
              <w:rPr>
                <w:color w:val="000000"/>
                <w:sz w:val="18"/>
                <w:szCs w:val="18"/>
                <w:lang w:val="ru-RU"/>
              </w:rPr>
              <w:t>.</w:t>
            </w:r>
          </w:p>
          <w:p w14:paraId="370CE41B" w14:textId="77777777" w:rsidR="00B86204" w:rsidRPr="002F16BB" w:rsidRDefault="00B86204" w:rsidP="00016740">
            <w:pPr>
              <w:pStyle w:val="Tabletext"/>
              <w:spacing w:before="20" w:after="20"/>
              <w:rPr>
                <w:sz w:val="18"/>
                <w:szCs w:val="18"/>
                <w:lang w:val="ru-RU" w:eastAsia="it-IT"/>
              </w:rPr>
            </w:pPr>
            <w:r w:rsidRPr="002F16BB">
              <w:rPr>
                <w:color w:val="000000"/>
                <w:sz w:val="18"/>
                <w:szCs w:val="18"/>
                <w:lang w:val="ru-RU"/>
              </w:rPr>
              <w:t xml:space="preserve">Поправки к Финансовому регламенту и Финансовым правилам были предложены Совету для того, чтобы снять </w:t>
            </w:r>
            <w:r w:rsidRPr="002F16BB">
              <w:rPr>
                <w:sz w:val="18"/>
                <w:szCs w:val="18"/>
                <w:lang w:val="ru-RU" w:eastAsia="it-IT"/>
              </w:rPr>
              <w:t xml:space="preserve">пороговый уровень в 5000 </w:t>
            </w:r>
            <w:proofErr w:type="spellStart"/>
            <w:r w:rsidRPr="002F16BB">
              <w:rPr>
                <w:sz w:val="18"/>
                <w:szCs w:val="18"/>
                <w:lang w:val="ru-RU" w:eastAsia="it-IT"/>
              </w:rPr>
              <w:t>шв</w:t>
            </w:r>
            <w:proofErr w:type="spellEnd"/>
            <w:r w:rsidRPr="002F16BB">
              <w:rPr>
                <w:sz w:val="18"/>
                <w:szCs w:val="18"/>
                <w:lang w:val="ru-RU" w:eastAsia="it-IT"/>
              </w:rPr>
              <w:t>. фр</w:t>
            </w:r>
            <w:r w:rsidRPr="002F16BB">
              <w:rPr>
                <w:color w:val="000000"/>
                <w:sz w:val="18"/>
                <w:szCs w:val="18"/>
                <w:lang w:val="ru-RU"/>
              </w:rPr>
              <w:t xml:space="preserve">., что позволит МСЭ установить более низкий порог капитализации для внутренних целей и </w:t>
            </w:r>
            <w:r w:rsidRPr="002F16BB">
              <w:rPr>
                <w:sz w:val="18"/>
                <w:szCs w:val="18"/>
                <w:lang w:val="ru-RU" w:eastAsia="it-IT"/>
              </w:rPr>
              <w:t>капитализировать малоценные и быстроизнашивающиеся предметы.</w:t>
            </w:r>
          </w:p>
        </w:tc>
        <w:tc>
          <w:tcPr>
            <w:tcW w:w="720" w:type="pct"/>
            <w:tcBorders>
              <w:top w:val="single" w:sz="4" w:space="0" w:color="auto"/>
              <w:left w:val="single" w:sz="4" w:space="0" w:color="auto"/>
              <w:bottom w:val="single" w:sz="4" w:space="0" w:color="auto"/>
              <w:right w:val="single" w:sz="4" w:space="0" w:color="auto"/>
            </w:tcBorders>
          </w:tcPr>
          <w:p w14:paraId="0497B3A8"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 процессе выполнения.</w:t>
            </w:r>
          </w:p>
        </w:tc>
      </w:tr>
      <w:tr w:rsidR="00B86204" w:rsidRPr="00FE280E" w14:paraId="6A8D0B61" w14:textId="77777777" w:rsidTr="00016740">
        <w:tc>
          <w:tcPr>
            <w:tcW w:w="339" w:type="pct"/>
            <w:tcBorders>
              <w:top w:val="single" w:sz="4" w:space="0" w:color="auto"/>
              <w:left w:val="single" w:sz="4" w:space="0" w:color="auto"/>
              <w:bottom w:val="single" w:sz="4" w:space="0" w:color="auto"/>
              <w:right w:val="single" w:sz="4" w:space="0" w:color="auto"/>
            </w:tcBorders>
          </w:tcPr>
          <w:p w14:paraId="3FDDC6F5"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t>Рек. 3/2014</w:t>
            </w:r>
          </w:p>
        </w:tc>
        <w:tc>
          <w:tcPr>
            <w:tcW w:w="1216" w:type="pct"/>
            <w:tcBorders>
              <w:top w:val="single" w:sz="4" w:space="0" w:color="auto"/>
              <w:left w:val="single" w:sz="4" w:space="0" w:color="auto"/>
              <w:bottom w:val="single" w:sz="4" w:space="0" w:color="auto"/>
              <w:right w:val="single" w:sz="4" w:space="0" w:color="auto"/>
            </w:tcBorders>
          </w:tcPr>
          <w:p w14:paraId="3A267B9F" w14:textId="77777777" w:rsidR="00B86204" w:rsidRPr="002F16BB" w:rsidRDefault="00B86204" w:rsidP="00016740">
            <w:pPr>
              <w:spacing w:before="20" w:after="20"/>
              <w:rPr>
                <w:sz w:val="18"/>
                <w:szCs w:val="18"/>
                <w:lang w:val="ru-RU"/>
              </w:rPr>
            </w:pPr>
            <w:r w:rsidRPr="002F16BB">
              <w:rPr>
                <w:sz w:val="18"/>
                <w:szCs w:val="18"/>
                <w:u w:val="single"/>
                <w:lang w:val="ru-RU"/>
              </w:rPr>
              <w:t>Мы рекомендуем</w:t>
            </w:r>
            <w:r w:rsidRPr="002F16BB">
              <w:rPr>
                <w:sz w:val="18"/>
                <w:szCs w:val="18"/>
                <w:lang w:val="ru-RU"/>
              </w:rPr>
              <w:t xml:space="preserve"> руководству провести полное актуарное экспертное исследование для оценки того, когда, при долгосрочном сценарии, финансовая стабильность МСЭ могла бы быть ослаблена резервными фондами для системы медицинского страхования. Однако, с учетом продолжающегося перехода на новую систему, данное исследование должно быть проведено после выхода из ФМСП и получения в </w:t>
            </w:r>
            <w:r w:rsidRPr="002F16BB">
              <w:rPr>
                <w:sz w:val="18"/>
                <w:szCs w:val="18"/>
                <w:lang w:val="ru-RU"/>
              </w:rPr>
              <w:lastRenderedPageBreak/>
              <w:t>рамках ПКМС данных в достаточном объеме, то есть не раньше конца 2016 года. Данная рекомендация заменяет предыдущие рекомендации 6/2012 и 3/2013, которые считаются выполненными.</w:t>
            </w:r>
          </w:p>
        </w:tc>
        <w:tc>
          <w:tcPr>
            <w:tcW w:w="1362" w:type="pct"/>
            <w:tcBorders>
              <w:top w:val="single" w:sz="4" w:space="0" w:color="auto"/>
              <w:left w:val="single" w:sz="4" w:space="0" w:color="auto"/>
              <w:bottom w:val="single" w:sz="4" w:space="0" w:color="auto"/>
              <w:right w:val="single" w:sz="4" w:space="0" w:color="auto"/>
            </w:tcBorders>
          </w:tcPr>
          <w:p w14:paraId="71615BB3" w14:textId="77777777" w:rsidR="00B86204" w:rsidRPr="002F16BB" w:rsidRDefault="00B86204" w:rsidP="00016740">
            <w:pPr>
              <w:spacing w:before="20" w:after="20"/>
              <w:rPr>
                <w:sz w:val="18"/>
                <w:szCs w:val="18"/>
                <w:lang w:val="ru-RU"/>
              </w:rPr>
            </w:pPr>
            <w:r w:rsidRPr="002F16BB">
              <w:rPr>
                <w:sz w:val="18"/>
                <w:szCs w:val="18"/>
                <w:lang w:val="ru-RU"/>
              </w:rPr>
              <w:lastRenderedPageBreak/>
              <w:t>Эта рекомендация принимается к сведению. В соответствии с рекомендацией будет проведено полное актуарное исследование.</w:t>
            </w:r>
          </w:p>
        </w:tc>
        <w:tc>
          <w:tcPr>
            <w:tcW w:w="1363" w:type="pct"/>
            <w:tcBorders>
              <w:top w:val="single" w:sz="4" w:space="0" w:color="auto"/>
              <w:left w:val="single" w:sz="4" w:space="0" w:color="auto"/>
              <w:bottom w:val="single" w:sz="4" w:space="0" w:color="auto"/>
              <w:right w:val="single" w:sz="4" w:space="0" w:color="auto"/>
            </w:tcBorders>
          </w:tcPr>
          <w:p w14:paraId="3F07D32B" w14:textId="77777777" w:rsidR="00B86204" w:rsidRPr="002F16BB" w:rsidRDefault="00B86204" w:rsidP="00016740">
            <w:pPr>
              <w:spacing w:before="20" w:after="20"/>
              <w:rPr>
                <w:sz w:val="18"/>
                <w:szCs w:val="18"/>
                <w:lang w:val="ru-RU"/>
              </w:rPr>
            </w:pPr>
            <w:r w:rsidRPr="002F16BB">
              <w:rPr>
                <w:sz w:val="18"/>
                <w:szCs w:val="18"/>
                <w:lang w:val="ru-RU"/>
              </w:rPr>
              <w:t>В соответствии с рекомендацией в конце 2016 года будет проведено полное актуарное исследование на основе данных и результатов, представленных в "Плане коллективного медицинского страхования (ПКМС)".</w:t>
            </w:r>
          </w:p>
          <w:p w14:paraId="2A3CFD40"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января 2016 г</w:t>
            </w:r>
            <w:r w:rsidRPr="002F16BB">
              <w:rPr>
                <w:sz w:val="18"/>
                <w:szCs w:val="18"/>
                <w:lang w:val="ru-RU"/>
              </w:rPr>
              <w:t>.:</w:t>
            </w:r>
          </w:p>
          <w:p w14:paraId="00CC57EC" w14:textId="77777777" w:rsidR="00B86204" w:rsidRPr="002F16BB" w:rsidRDefault="00B86204" w:rsidP="00016740">
            <w:pPr>
              <w:spacing w:before="20" w:after="20"/>
              <w:rPr>
                <w:sz w:val="18"/>
                <w:szCs w:val="18"/>
                <w:lang w:val="ru-RU"/>
              </w:rPr>
            </w:pPr>
            <w:r w:rsidRPr="002F16BB">
              <w:rPr>
                <w:sz w:val="18"/>
                <w:szCs w:val="18"/>
                <w:lang w:val="ru-RU"/>
              </w:rPr>
              <w:t xml:space="preserve">Требование о проведении этого исследования будет включено в основное актуарное </w:t>
            </w:r>
            <w:r w:rsidRPr="002F16BB">
              <w:rPr>
                <w:sz w:val="18"/>
                <w:szCs w:val="18"/>
                <w:lang w:val="ru-RU"/>
              </w:rPr>
              <w:lastRenderedPageBreak/>
              <w:t>исследование, касающееся IPSAS 25 (рек. 2/2014).</w:t>
            </w:r>
          </w:p>
          <w:p w14:paraId="3A5599C7"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апреля 2017 г</w:t>
            </w:r>
            <w:r w:rsidRPr="002F16BB">
              <w:rPr>
                <w:sz w:val="18"/>
                <w:szCs w:val="18"/>
                <w:lang w:val="ru-RU"/>
              </w:rPr>
              <w:t>.:</w:t>
            </w:r>
          </w:p>
          <w:p w14:paraId="00F9451C" w14:textId="77777777" w:rsidR="00B86204" w:rsidRPr="002F16BB" w:rsidRDefault="00B86204" w:rsidP="00016740">
            <w:pPr>
              <w:spacing w:before="20" w:after="20"/>
              <w:rPr>
                <w:sz w:val="18"/>
                <w:szCs w:val="18"/>
                <w:lang w:val="ru-RU"/>
              </w:rPr>
            </w:pPr>
            <w:r w:rsidRPr="002F16BB">
              <w:rPr>
                <w:sz w:val="18"/>
                <w:szCs w:val="18"/>
                <w:lang w:val="ru-RU"/>
              </w:rPr>
              <w:t>Были отобраны новые актуарии для проведения полного актуарного исследования системы медицинского страхования. Результаты полного исследования будут представлены в середине 2017 г.</w:t>
            </w:r>
          </w:p>
          <w:p w14:paraId="75DCEBA1"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декабрь 2017 г</w:t>
            </w:r>
            <w:r w:rsidRPr="002F16BB">
              <w:rPr>
                <w:sz w:val="18"/>
                <w:szCs w:val="18"/>
                <w:lang w:val="ru-RU"/>
              </w:rPr>
              <w:t>.:</w:t>
            </w:r>
          </w:p>
          <w:p w14:paraId="374882FD" w14:textId="77777777" w:rsidR="00B86204" w:rsidRPr="002F16BB" w:rsidRDefault="00B86204" w:rsidP="00016740">
            <w:pPr>
              <w:spacing w:before="20" w:after="20"/>
              <w:rPr>
                <w:sz w:val="18"/>
                <w:szCs w:val="18"/>
                <w:lang w:val="ru-RU"/>
              </w:rPr>
            </w:pPr>
            <w:r w:rsidRPr="002F16BB">
              <w:rPr>
                <w:sz w:val="18"/>
                <w:szCs w:val="18"/>
                <w:lang w:val="ru-RU"/>
              </w:rPr>
              <w:t>Обсуждения с актуарием уже начались, и окончательный результат полного актуарного исследования должен быть направлен в МСЭ в начале следующего года для представления следующей сессии Совета посредством документа по обязательствам по медицинскому страхованию после выхода в отставку (АСХИ).</w:t>
            </w:r>
          </w:p>
          <w:p w14:paraId="73D600E5"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апрель 2018 г</w:t>
            </w:r>
            <w:r w:rsidRPr="002F16BB">
              <w:rPr>
                <w:sz w:val="18"/>
                <w:szCs w:val="18"/>
                <w:lang w:val="ru-RU"/>
              </w:rPr>
              <w:t>.:</w:t>
            </w:r>
          </w:p>
          <w:p w14:paraId="73ED3AFD"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Заключительное обсуждение для представления результатов по различным сценариям пройдет в мае 2018 г.</w:t>
            </w:r>
          </w:p>
          <w:p w14:paraId="6EFCE807" w14:textId="12932BA3"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75E58F0"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Результаты исследования получены и переданы Комитету ПКМС для рассмотрения. </w:t>
            </w:r>
          </w:p>
          <w:p w14:paraId="7986EDE3"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486123A9"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Комитет ПКМС продолжает тщательно рассматривать различные варианты в целях обеспечения долгосрочной устойчивости плана. Помимо результатов полного актуарного исследования, Комитет ПКМС решил рассмотреть вариант присоединиться к другой организации системы ООН. </w:t>
            </w:r>
          </w:p>
          <w:p w14:paraId="51A1F085" w14:textId="4D4DA859"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C950E42"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Генеральный секретарь, руководствуясь рекомендацией </w:t>
            </w:r>
            <w:r w:rsidRPr="002F16BB">
              <w:rPr>
                <w:color w:val="000000"/>
                <w:sz w:val="18"/>
                <w:szCs w:val="18"/>
                <w:lang w:val="ru-RU"/>
              </w:rPr>
              <w:t xml:space="preserve">Комитета ПКМС, решил выйти </w:t>
            </w:r>
            <w:r w:rsidRPr="002F16BB">
              <w:rPr>
                <w:color w:val="000000"/>
                <w:sz w:val="18"/>
                <w:szCs w:val="18"/>
                <w:lang w:val="ru-RU"/>
              </w:rPr>
              <w:lastRenderedPageBreak/>
              <w:t xml:space="preserve">из </w:t>
            </w:r>
            <w:r w:rsidRPr="002F16BB">
              <w:rPr>
                <w:sz w:val="18"/>
                <w:szCs w:val="18"/>
                <w:lang w:val="ru-RU" w:eastAsia="it-IT"/>
              </w:rPr>
              <w:t>CIGNA, как поставщика услуг, и подписал контракт о присоединении к ЮНСМИС с</w:t>
            </w:r>
            <w:r>
              <w:rPr>
                <w:sz w:val="18"/>
                <w:szCs w:val="18"/>
                <w:lang w:val="ru-RU" w:eastAsia="it-IT"/>
              </w:rPr>
              <w:t> </w:t>
            </w:r>
            <w:r w:rsidRPr="002F16BB">
              <w:rPr>
                <w:sz w:val="18"/>
                <w:szCs w:val="18"/>
                <w:lang w:val="ru-RU" w:eastAsia="it-IT"/>
              </w:rPr>
              <w:t>1</w:t>
            </w:r>
            <w:r>
              <w:rPr>
                <w:sz w:val="18"/>
                <w:szCs w:val="18"/>
                <w:lang w:val="ru-RU" w:eastAsia="it-IT"/>
              </w:rPr>
              <w:t xml:space="preserve"> января </w:t>
            </w:r>
            <w:r w:rsidRPr="002F16BB">
              <w:rPr>
                <w:sz w:val="18"/>
                <w:szCs w:val="18"/>
                <w:lang w:val="ru-RU" w:eastAsia="it-IT"/>
              </w:rPr>
              <w:t>2020 г</w:t>
            </w:r>
            <w:r>
              <w:rPr>
                <w:sz w:val="18"/>
                <w:szCs w:val="18"/>
                <w:lang w:val="ru-RU" w:eastAsia="it-IT"/>
              </w:rPr>
              <w:t>ода</w:t>
            </w:r>
            <w:r w:rsidRPr="002F16BB">
              <w:rPr>
                <w:sz w:val="18"/>
                <w:szCs w:val="18"/>
                <w:lang w:val="ru-RU" w:eastAsia="it-IT"/>
              </w:rPr>
              <w:t>.</w:t>
            </w:r>
          </w:p>
          <w:p w14:paraId="0D50E20E" w14:textId="38B45F42"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2FCF206"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См. выше</w:t>
            </w:r>
            <w:r>
              <w:rPr>
                <w:sz w:val="18"/>
                <w:szCs w:val="18"/>
                <w:lang w:val="ru-RU" w:eastAsia="it-IT"/>
              </w:rPr>
              <w:t>.</w:t>
            </w:r>
          </w:p>
        </w:tc>
        <w:tc>
          <w:tcPr>
            <w:tcW w:w="720" w:type="pct"/>
            <w:tcBorders>
              <w:top w:val="single" w:sz="4" w:space="0" w:color="auto"/>
              <w:left w:val="single" w:sz="4" w:space="0" w:color="auto"/>
              <w:bottom w:val="single" w:sz="4" w:space="0" w:color="auto"/>
              <w:right w:val="single" w:sz="4" w:space="0" w:color="auto"/>
            </w:tcBorders>
          </w:tcPr>
          <w:p w14:paraId="6CDDC032" w14:textId="77777777" w:rsidR="00B86204" w:rsidRPr="002F16BB" w:rsidRDefault="00B86204" w:rsidP="00016740">
            <w:pPr>
              <w:pStyle w:val="Tabletext"/>
              <w:spacing w:before="20" w:after="20"/>
              <w:rPr>
                <w:sz w:val="18"/>
                <w:szCs w:val="18"/>
                <w:lang w:val="ru-RU"/>
              </w:rPr>
            </w:pPr>
            <w:r w:rsidRPr="002F16BB">
              <w:rPr>
                <w:sz w:val="18"/>
                <w:szCs w:val="18"/>
                <w:lang w:val="ru-RU"/>
              </w:rPr>
              <w:lastRenderedPageBreak/>
              <w:t>Выполнено со следующим комментарием:</w:t>
            </w:r>
          </w:p>
          <w:p w14:paraId="12232D49"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Эта рекомендация заменена замечанием, доведенным до сведения Совета</w:t>
            </w:r>
            <w:r>
              <w:rPr>
                <w:sz w:val="18"/>
                <w:szCs w:val="18"/>
                <w:lang w:val="ru-RU"/>
              </w:rPr>
              <w:t xml:space="preserve"> </w:t>
            </w:r>
            <w:r w:rsidRPr="002F16BB">
              <w:rPr>
                <w:sz w:val="18"/>
                <w:szCs w:val="18"/>
                <w:lang w:val="ru-RU"/>
              </w:rPr>
              <w:t>в настоящем отчете.</w:t>
            </w:r>
          </w:p>
        </w:tc>
      </w:tr>
      <w:tr w:rsidR="00B86204" w:rsidRPr="00FE280E" w14:paraId="07E512BD" w14:textId="77777777" w:rsidTr="00016740">
        <w:tc>
          <w:tcPr>
            <w:tcW w:w="339" w:type="pct"/>
            <w:tcBorders>
              <w:top w:val="single" w:sz="4" w:space="0" w:color="auto"/>
              <w:left w:val="single" w:sz="4" w:space="0" w:color="auto"/>
              <w:bottom w:val="single" w:sz="4" w:space="0" w:color="auto"/>
              <w:right w:val="single" w:sz="4" w:space="0" w:color="auto"/>
            </w:tcBorders>
          </w:tcPr>
          <w:p w14:paraId="3FFA7B7A"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lastRenderedPageBreak/>
              <w:t>Рек. 4/2014</w:t>
            </w:r>
          </w:p>
        </w:tc>
        <w:tc>
          <w:tcPr>
            <w:tcW w:w="1216" w:type="pct"/>
            <w:tcBorders>
              <w:top w:val="single" w:sz="4" w:space="0" w:color="auto"/>
              <w:left w:val="single" w:sz="4" w:space="0" w:color="auto"/>
              <w:bottom w:val="single" w:sz="4" w:space="0" w:color="auto"/>
              <w:right w:val="single" w:sz="4" w:space="0" w:color="auto"/>
            </w:tcBorders>
          </w:tcPr>
          <w:p w14:paraId="075FDF1A" w14:textId="77777777" w:rsidR="00B86204" w:rsidRPr="002F16BB" w:rsidRDefault="00B86204" w:rsidP="00016740">
            <w:pPr>
              <w:spacing w:before="20" w:after="20"/>
              <w:rPr>
                <w:b/>
                <w:bCs/>
                <w:sz w:val="18"/>
                <w:szCs w:val="18"/>
                <w:lang w:val="ru-RU"/>
              </w:rPr>
            </w:pPr>
            <w:r w:rsidRPr="002F16BB">
              <w:rPr>
                <w:sz w:val="18"/>
                <w:szCs w:val="18"/>
                <w:lang w:val="ru-RU"/>
              </w:rPr>
              <w:t xml:space="preserve">В связи с необходимостью принятия корректирующих мер эти факторы могут быть рассмотрены Советом: </w:t>
            </w:r>
            <w:r w:rsidRPr="002F16BB">
              <w:rPr>
                <w:sz w:val="18"/>
                <w:szCs w:val="18"/>
                <w:u w:val="single"/>
                <w:lang w:val="ru-RU"/>
              </w:rPr>
              <w:t>мы рекомендуем</w:t>
            </w:r>
            <w:r w:rsidRPr="002F16BB">
              <w:rPr>
                <w:sz w:val="18"/>
                <w:szCs w:val="18"/>
                <w:lang w:val="ru-RU"/>
              </w:rPr>
              <w:t xml:space="preserve"> руководству контролировать эти факторы и обеспечить достаточное финансирование на распределительной и долгосрочной основе. </w:t>
            </w:r>
          </w:p>
        </w:tc>
        <w:tc>
          <w:tcPr>
            <w:tcW w:w="1362" w:type="pct"/>
            <w:tcBorders>
              <w:top w:val="single" w:sz="4" w:space="0" w:color="auto"/>
              <w:left w:val="single" w:sz="4" w:space="0" w:color="auto"/>
              <w:bottom w:val="single" w:sz="4" w:space="0" w:color="auto"/>
              <w:right w:val="single" w:sz="4" w:space="0" w:color="auto"/>
            </w:tcBorders>
          </w:tcPr>
          <w:p w14:paraId="03FE8B84" w14:textId="77777777" w:rsidR="00B86204" w:rsidRPr="002F16BB" w:rsidRDefault="00B86204" w:rsidP="00016740">
            <w:pPr>
              <w:spacing w:before="20" w:after="20"/>
              <w:rPr>
                <w:sz w:val="18"/>
                <w:szCs w:val="18"/>
                <w:lang w:val="ru-RU"/>
              </w:rPr>
            </w:pPr>
            <w:r w:rsidRPr="002F16BB">
              <w:rPr>
                <w:sz w:val="18"/>
                <w:szCs w:val="18"/>
                <w:lang w:val="ru-RU"/>
              </w:rPr>
              <w:t xml:space="preserve">Финансирование медицинского страхования на распределительной основе, а также финансирование актуарных обязательств по АСХИ имеет важнейшее значение для Союза и тщательно контролируется. Указанные выше факторы были учтены среди прочих факторов при планировании перехода на ПКМС и составлении бюджета на 2014−2015 годы, финансового плана на 2016−2019 годы, а также бюджета на 2016−2017 годы, который будет представлен в ходе сессии Совета 2015 года. Постоянный контроль результатов ПКМС в сочетании с регулярным упреждающим взаимодействием со всеми заинтересованными сторонами и </w:t>
            </w:r>
            <w:proofErr w:type="gramStart"/>
            <w:r w:rsidRPr="002F16BB">
              <w:rPr>
                <w:sz w:val="18"/>
                <w:szCs w:val="18"/>
                <w:lang w:val="ru-RU"/>
              </w:rPr>
              <w:t>своевременно предлагаемыми корректировками</w:t>
            </w:r>
            <w:proofErr w:type="gramEnd"/>
            <w:r w:rsidRPr="002F16BB">
              <w:rPr>
                <w:sz w:val="18"/>
                <w:szCs w:val="18"/>
                <w:lang w:val="ru-RU"/>
              </w:rPr>
              <w:t xml:space="preserve"> и решениями обеспечит возможность финансирования на распределительной основе.</w:t>
            </w:r>
          </w:p>
        </w:tc>
        <w:tc>
          <w:tcPr>
            <w:tcW w:w="1363" w:type="pct"/>
            <w:tcBorders>
              <w:top w:val="single" w:sz="4" w:space="0" w:color="auto"/>
              <w:left w:val="single" w:sz="4" w:space="0" w:color="auto"/>
              <w:bottom w:val="single" w:sz="4" w:space="0" w:color="auto"/>
              <w:right w:val="single" w:sz="4" w:space="0" w:color="auto"/>
            </w:tcBorders>
          </w:tcPr>
          <w:p w14:paraId="573AFABA" w14:textId="77777777" w:rsidR="00B86204" w:rsidRPr="002F16BB" w:rsidRDefault="00B86204" w:rsidP="00016740">
            <w:pPr>
              <w:spacing w:before="20" w:after="20"/>
              <w:rPr>
                <w:sz w:val="18"/>
                <w:szCs w:val="18"/>
                <w:lang w:val="ru-RU"/>
              </w:rPr>
            </w:pPr>
            <w:r w:rsidRPr="002F16BB">
              <w:rPr>
                <w:sz w:val="18"/>
                <w:szCs w:val="18"/>
                <w:lang w:val="ru-RU"/>
              </w:rPr>
              <w:t>Руководство следует этой рекомендации и тщательно контролирует различные факторы для обеспечения прочной финансовой стабильности МСЭ.</w:t>
            </w:r>
          </w:p>
          <w:p w14:paraId="0CB19F1E"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апреля 2017 г</w:t>
            </w:r>
            <w:r w:rsidRPr="002F16BB">
              <w:rPr>
                <w:sz w:val="18"/>
                <w:szCs w:val="18"/>
                <w:lang w:val="ru-RU"/>
              </w:rPr>
              <w:t>.:</w:t>
            </w:r>
          </w:p>
          <w:p w14:paraId="15320ACE" w14:textId="77777777" w:rsidR="00B86204" w:rsidRPr="00A578FA" w:rsidRDefault="00B86204" w:rsidP="00016740">
            <w:pPr>
              <w:spacing w:before="20" w:after="20"/>
              <w:rPr>
                <w:sz w:val="18"/>
                <w:szCs w:val="18"/>
                <w:lang w:val="ru-RU"/>
              </w:rPr>
            </w:pPr>
            <w:r w:rsidRPr="002F16BB">
              <w:rPr>
                <w:sz w:val="18"/>
                <w:szCs w:val="18"/>
                <w:lang w:val="ru-RU"/>
              </w:rPr>
              <w:t>Руководство продолжает тщательно контролировать факторы и проведет их анализ и корректировку на основе результатов глобального актуарного исследования, заершенного в конце 2016 г. Руководство МСЭ ежегодно представляет ситуацию с обязательствами по медицинскому страхованию после выхода в отставку (АСХИ). МСЭ будет продолжать уделять внимание сдерживанию затрат с помощью поставщика услуг и предложил увеличить свою долю взносов и долю взносов членов ПКМС в бюджете 2016−2017 гг., для того чтобы обеспечить финансирование медицинского страхования на распределительной основе. Кроме того, МСЭ, по возможности, продолжит финансирование резерва АСХИ, исходя из превышения доходов над расходами бюджета.</w:t>
            </w:r>
            <w:r w:rsidRPr="00A578FA">
              <w:rPr>
                <w:sz w:val="18"/>
                <w:szCs w:val="18"/>
                <w:lang w:val="ru-RU"/>
              </w:rPr>
              <w:t xml:space="preserve"> </w:t>
            </w:r>
          </w:p>
          <w:p w14:paraId="3BD5508F"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декабрь 2017 г</w:t>
            </w:r>
            <w:r w:rsidRPr="002F16BB">
              <w:rPr>
                <w:sz w:val="18"/>
                <w:szCs w:val="18"/>
                <w:lang w:val="ru-RU"/>
              </w:rPr>
              <w:t>.:</w:t>
            </w:r>
          </w:p>
          <w:p w14:paraId="018061FC" w14:textId="77777777" w:rsidR="00B86204" w:rsidRPr="002F16BB" w:rsidRDefault="00B86204" w:rsidP="00016740">
            <w:pPr>
              <w:spacing w:before="20" w:after="20"/>
              <w:rPr>
                <w:sz w:val="18"/>
                <w:szCs w:val="18"/>
                <w:lang w:val="ru-RU"/>
              </w:rPr>
            </w:pPr>
            <w:r w:rsidRPr="002F16BB">
              <w:rPr>
                <w:sz w:val="18"/>
                <w:szCs w:val="18"/>
                <w:lang w:val="ru-RU"/>
              </w:rPr>
              <w:t xml:space="preserve">В рамках полного актуарного исследования все факторы тщательно изучаются и контролируются. Их долгосрочное воздействие будет рассчитываться на основе различных допущений. Наряду с этим МСЭ </w:t>
            </w:r>
            <w:r w:rsidRPr="002F16BB">
              <w:rPr>
                <w:sz w:val="18"/>
                <w:szCs w:val="18"/>
                <w:lang w:val="ru-RU"/>
              </w:rPr>
              <w:lastRenderedPageBreak/>
              <w:t>будет и далее финансировать резерв АСХИ в зависимости от итогов выполнения бюджета.</w:t>
            </w:r>
          </w:p>
          <w:p w14:paraId="353BA078"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апрель 2018 г</w:t>
            </w:r>
            <w:r w:rsidRPr="002F16BB">
              <w:rPr>
                <w:sz w:val="18"/>
                <w:szCs w:val="18"/>
                <w:lang w:val="ru-RU"/>
              </w:rPr>
              <w:t>.:</w:t>
            </w:r>
          </w:p>
          <w:p w14:paraId="4B87DD9B" w14:textId="77777777" w:rsidR="00B86204" w:rsidRPr="002F16BB" w:rsidRDefault="00B86204" w:rsidP="00016740">
            <w:pPr>
              <w:spacing w:before="20" w:after="20"/>
              <w:rPr>
                <w:sz w:val="18"/>
                <w:szCs w:val="18"/>
                <w:lang w:val="ru-RU"/>
              </w:rPr>
            </w:pPr>
            <w:r w:rsidRPr="002F16BB">
              <w:rPr>
                <w:sz w:val="18"/>
                <w:szCs w:val="18"/>
                <w:lang w:val="ru-RU"/>
              </w:rPr>
              <w:t>МСЭ будет и далее финансировать резерв АСХИ в зависимости от итогов выполнения бюджета, а также в рамках утвержденных бюджетных ассигнований.</w:t>
            </w:r>
          </w:p>
          <w:p w14:paraId="364D69A0"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На основании результатов полного актуарного исследования МСЭ рассмотрит основные факторы для обеспечения устойчивости плана.</w:t>
            </w:r>
          </w:p>
          <w:p w14:paraId="52D9E6E8" w14:textId="5FE00A65"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0C7C2C93" w14:textId="77777777" w:rsidR="00B86204" w:rsidRPr="002F16BB" w:rsidRDefault="00B86204" w:rsidP="00016740">
            <w:pPr>
              <w:pStyle w:val="Tabletext"/>
              <w:spacing w:before="20" w:after="20"/>
              <w:rPr>
                <w:b/>
                <w:bCs/>
                <w:sz w:val="18"/>
                <w:szCs w:val="18"/>
                <w:lang w:val="ru-RU"/>
              </w:rPr>
            </w:pPr>
            <w:r w:rsidRPr="002F16BB">
              <w:rPr>
                <w:sz w:val="18"/>
                <w:szCs w:val="18"/>
                <w:lang w:val="ru-RU" w:eastAsia="it-IT"/>
              </w:rPr>
              <w:t>Результаты полного актуарного исследования были направлены Комитету ПКМС для анализа и рассмотрения. Руководство продолжает тщательно контролировать все факторы в целях уменьшения обязательств по АСХИ и обеспечения долгосрочной устойчивости плана.</w:t>
            </w:r>
            <w:r w:rsidRPr="002F16BB">
              <w:rPr>
                <w:b/>
                <w:bCs/>
                <w:sz w:val="18"/>
                <w:szCs w:val="18"/>
                <w:lang w:val="ru-RU"/>
              </w:rPr>
              <w:t xml:space="preserve"> </w:t>
            </w:r>
          </w:p>
          <w:p w14:paraId="12C6B229"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rPr>
              <w:t>Обновление, по состоянию на апрель 2019 г</w:t>
            </w:r>
            <w:r w:rsidRPr="002F16BB">
              <w:rPr>
                <w:sz w:val="18"/>
                <w:szCs w:val="18"/>
                <w:lang w:val="ru-RU"/>
              </w:rPr>
              <w:t>.:</w:t>
            </w:r>
          </w:p>
          <w:p w14:paraId="6BAD8F8E"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Комитет ПКМС продолжает тщательно рассматривать различные варианты в целях обеспечения долгосрочной устойчивости плана. Помимо результатов полного актуарного исследования, Комитет ПКМС решил рассмотреть вариант присоединиться к другой организации системы ООН. </w:t>
            </w:r>
          </w:p>
          <w:p w14:paraId="7C69316B" w14:textId="77777777" w:rsidR="00B86204" w:rsidRPr="002F16BB" w:rsidRDefault="00B86204" w:rsidP="00016740">
            <w:pPr>
              <w:spacing w:before="20" w:after="20"/>
              <w:rPr>
                <w:sz w:val="18"/>
                <w:szCs w:val="18"/>
                <w:lang w:val="ru-RU" w:eastAsia="it-IT"/>
              </w:rPr>
            </w:pPr>
            <w:r w:rsidRPr="002F16BB">
              <w:rPr>
                <w:sz w:val="18"/>
                <w:szCs w:val="18"/>
                <w:lang w:val="ru-RU" w:eastAsia="it-IT"/>
              </w:rPr>
              <w:t>Кроме того, МСЭ продолжит финансирование резерва АСХИ, исходя из итогов выполнения бюджета, а также в рамках утвержденных бюджетных ассигнований.</w:t>
            </w:r>
          </w:p>
          <w:p w14:paraId="6A99D95E" w14:textId="413F8A98" w:rsidR="00B86204" w:rsidRPr="002F16BB" w:rsidRDefault="00B86204" w:rsidP="00016740">
            <w:pPr>
              <w:spacing w:before="20" w:after="20"/>
              <w:rPr>
                <w:sz w:val="18"/>
                <w:szCs w:val="18"/>
                <w:lang w:val="ru-RU"/>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2B34E2F6" w14:textId="77777777" w:rsidR="00B86204" w:rsidRPr="002F16BB" w:rsidRDefault="00B86204" w:rsidP="00016740">
            <w:pPr>
              <w:spacing w:before="20" w:after="20"/>
              <w:rPr>
                <w:sz w:val="18"/>
                <w:szCs w:val="18"/>
                <w:lang w:val="ru-RU"/>
              </w:rPr>
            </w:pPr>
            <w:r w:rsidRPr="002F16BB">
              <w:rPr>
                <w:sz w:val="18"/>
                <w:szCs w:val="18"/>
                <w:lang w:val="ru-RU" w:eastAsia="it-IT"/>
              </w:rPr>
              <w:t xml:space="preserve">Генеральный секретарь, руководствуясь рекомендацией </w:t>
            </w:r>
            <w:r w:rsidRPr="002F16BB">
              <w:rPr>
                <w:color w:val="000000"/>
                <w:sz w:val="18"/>
                <w:szCs w:val="18"/>
                <w:lang w:val="ru-RU"/>
              </w:rPr>
              <w:t xml:space="preserve">Комитета ПКМС, решил выйти из </w:t>
            </w:r>
            <w:r w:rsidRPr="002F16BB">
              <w:rPr>
                <w:sz w:val="18"/>
                <w:szCs w:val="18"/>
                <w:lang w:val="ru-RU" w:eastAsia="it-IT"/>
              </w:rPr>
              <w:t>CIGNA, как поставщика услуг, и подписал контракт о присоединении к ЮНСМИС с</w:t>
            </w:r>
            <w:r>
              <w:rPr>
                <w:sz w:val="18"/>
                <w:szCs w:val="18"/>
                <w:lang w:val="ru-RU" w:eastAsia="it-IT"/>
              </w:rPr>
              <w:t> </w:t>
            </w:r>
            <w:r w:rsidRPr="002F16BB">
              <w:rPr>
                <w:sz w:val="18"/>
                <w:szCs w:val="18"/>
                <w:lang w:val="ru-RU" w:eastAsia="it-IT"/>
              </w:rPr>
              <w:t>1</w:t>
            </w:r>
            <w:r>
              <w:rPr>
                <w:sz w:val="18"/>
                <w:szCs w:val="18"/>
                <w:lang w:val="ru-RU" w:eastAsia="it-IT"/>
              </w:rPr>
              <w:t xml:space="preserve"> января </w:t>
            </w:r>
            <w:r w:rsidRPr="002F16BB">
              <w:rPr>
                <w:sz w:val="18"/>
                <w:szCs w:val="18"/>
                <w:lang w:val="ru-RU" w:eastAsia="it-IT"/>
              </w:rPr>
              <w:t>2020 г</w:t>
            </w:r>
            <w:r>
              <w:rPr>
                <w:sz w:val="18"/>
                <w:szCs w:val="18"/>
                <w:lang w:val="ru-RU" w:eastAsia="it-IT"/>
              </w:rPr>
              <w:t>ода</w:t>
            </w:r>
            <w:r w:rsidRPr="002F16BB">
              <w:rPr>
                <w:sz w:val="18"/>
                <w:szCs w:val="18"/>
                <w:lang w:val="ru-RU"/>
              </w:rPr>
              <w:t>.</w:t>
            </w:r>
          </w:p>
          <w:p w14:paraId="26F3BBDA" w14:textId="77777777" w:rsidR="00B86204" w:rsidRPr="002F16BB" w:rsidRDefault="00B86204" w:rsidP="00016740">
            <w:pPr>
              <w:spacing w:before="20" w:after="20"/>
              <w:rPr>
                <w:sz w:val="18"/>
                <w:szCs w:val="18"/>
                <w:lang w:val="ru-RU"/>
              </w:rPr>
            </w:pPr>
            <w:r w:rsidRPr="002F16BB">
              <w:rPr>
                <w:sz w:val="18"/>
                <w:szCs w:val="18"/>
                <w:lang w:val="ru-RU"/>
              </w:rPr>
              <w:lastRenderedPageBreak/>
              <w:t xml:space="preserve">Кроме того, </w:t>
            </w:r>
            <w:r w:rsidRPr="002F16BB">
              <w:rPr>
                <w:color w:val="000000"/>
                <w:sz w:val="18"/>
                <w:szCs w:val="18"/>
                <w:lang w:val="ru-RU"/>
              </w:rPr>
              <w:t>МСЭ продолжит финансирование резерва АСХИ, в зависимости от итогов выполнения бюджета,</w:t>
            </w:r>
            <w:r w:rsidRPr="002F16BB">
              <w:rPr>
                <w:sz w:val="18"/>
                <w:szCs w:val="18"/>
                <w:lang w:val="ru-RU"/>
              </w:rPr>
              <w:t xml:space="preserve"> </w:t>
            </w:r>
            <w:r w:rsidRPr="002F16BB">
              <w:rPr>
                <w:color w:val="000000"/>
                <w:sz w:val="18"/>
                <w:szCs w:val="18"/>
                <w:lang w:val="ru-RU"/>
              </w:rPr>
              <w:t>а также в рамках утвержденных бюджетных ассигнований</w:t>
            </w:r>
            <w:r w:rsidRPr="002F16BB">
              <w:rPr>
                <w:sz w:val="18"/>
                <w:szCs w:val="18"/>
                <w:lang w:val="ru-RU"/>
              </w:rPr>
              <w:t>.</w:t>
            </w:r>
          </w:p>
          <w:p w14:paraId="6F7A74C8" w14:textId="5A6CAAF7" w:rsidR="00B86204" w:rsidRPr="002F16BB" w:rsidRDefault="00B86204" w:rsidP="00016740">
            <w:pPr>
              <w:spacing w:before="20" w:after="20"/>
              <w:rPr>
                <w:sz w:val="18"/>
                <w:szCs w:val="18"/>
                <w:lang w:val="ru-RU"/>
              </w:rPr>
            </w:pPr>
            <w:r w:rsidRPr="002F16BB">
              <w:rPr>
                <w:b/>
                <w:bCs/>
                <w:sz w:val="18"/>
                <w:szCs w:val="18"/>
                <w:lang w:val="ru-RU" w:eastAsia="it-IT"/>
              </w:rPr>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47DF0DA6" w14:textId="77777777" w:rsidR="00B86204" w:rsidRPr="002F16BB" w:rsidRDefault="00B86204" w:rsidP="00016740">
            <w:pPr>
              <w:spacing w:before="20" w:after="20"/>
              <w:rPr>
                <w:sz w:val="18"/>
                <w:szCs w:val="18"/>
                <w:lang w:val="ru-RU"/>
              </w:rPr>
            </w:pPr>
            <w:r w:rsidRPr="002F16BB">
              <w:rPr>
                <w:sz w:val="18"/>
                <w:szCs w:val="18"/>
                <w:lang w:val="ru-RU"/>
              </w:rPr>
              <w:t>См. выше</w:t>
            </w:r>
          </w:p>
        </w:tc>
        <w:tc>
          <w:tcPr>
            <w:tcW w:w="720" w:type="pct"/>
            <w:tcBorders>
              <w:top w:val="single" w:sz="4" w:space="0" w:color="auto"/>
              <w:left w:val="single" w:sz="4" w:space="0" w:color="auto"/>
              <w:bottom w:val="single" w:sz="4" w:space="0" w:color="auto"/>
              <w:right w:val="single" w:sz="4" w:space="0" w:color="auto"/>
            </w:tcBorders>
          </w:tcPr>
          <w:p w14:paraId="531B6FD9" w14:textId="77777777" w:rsidR="00B86204" w:rsidRPr="002F16BB" w:rsidRDefault="00B86204" w:rsidP="00016740">
            <w:pPr>
              <w:pStyle w:val="Tabletext"/>
              <w:spacing w:before="20" w:after="20"/>
              <w:rPr>
                <w:sz w:val="18"/>
                <w:szCs w:val="18"/>
                <w:lang w:val="ru-RU"/>
              </w:rPr>
            </w:pPr>
            <w:r w:rsidRPr="002F16BB">
              <w:rPr>
                <w:sz w:val="18"/>
                <w:szCs w:val="18"/>
                <w:lang w:val="ru-RU"/>
              </w:rPr>
              <w:lastRenderedPageBreak/>
              <w:t>Выполнено со следующим комментарием:</w:t>
            </w:r>
          </w:p>
          <w:p w14:paraId="5E9EA9CD"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Эта рекомендация заменена замечанием, доведенным до сведения Совета</w:t>
            </w:r>
            <w:r>
              <w:rPr>
                <w:sz w:val="18"/>
                <w:szCs w:val="18"/>
                <w:lang w:val="ru-RU"/>
              </w:rPr>
              <w:t xml:space="preserve"> </w:t>
            </w:r>
            <w:r w:rsidRPr="002F16BB">
              <w:rPr>
                <w:sz w:val="18"/>
                <w:szCs w:val="18"/>
                <w:lang w:val="ru-RU"/>
              </w:rPr>
              <w:t>в настоящем отчете.</w:t>
            </w:r>
          </w:p>
        </w:tc>
      </w:tr>
      <w:tr w:rsidR="00B86204" w:rsidRPr="002F16BB" w14:paraId="10EDF382" w14:textId="77777777" w:rsidTr="00016740">
        <w:tc>
          <w:tcPr>
            <w:tcW w:w="339" w:type="pct"/>
            <w:tcBorders>
              <w:top w:val="single" w:sz="4" w:space="0" w:color="auto"/>
              <w:left w:val="single" w:sz="4" w:space="0" w:color="auto"/>
              <w:bottom w:val="single" w:sz="4" w:space="0" w:color="auto"/>
              <w:right w:val="single" w:sz="4" w:space="0" w:color="auto"/>
            </w:tcBorders>
          </w:tcPr>
          <w:p w14:paraId="7A0C9A66" w14:textId="77777777" w:rsidR="00B86204" w:rsidRPr="002F16BB" w:rsidRDefault="00B86204" w:rsidP="00016740">
            <w:pPr>
              <w:pStyle w:val="Tabletext"/>
              <w:spacing w:before="20" w:after="20"/>
              <w:jc w:val="center"/>
              <w:rPr>
                <w:b/>
                <w:sz w:val="18"/>
                <w:szCs w:val="18"/>
                <w:highlight w:val="yellow"/>
                <w:lang w:val="ru-RU" w:eastAsia="it-IT"/>
              </w:rPr>
            </w:pPr>
            <w:r w:rsidRPr="002F16BB">
              <w:rPr>
                <w:b/>
                <w:sz w:val="18"/>
                <w:szCs w:val="18"/>
                <w:lang w:val="ru-RU" w:eastAsia="it-IT"/>
              </w:rPr>
              <w:lastRenderedPageBreak/>
              <w:t>Рек. 3/2012</w:t>
            </w:r>
          </w:p>
        </w:tc>
        <w:tc>
          <w:tcPr>
            <w:tcW w:w="1216" w:type="pct"/>
            <w:tcBorders>
              <w:top w:val="single" w:sz="4" w:space="0" w:color="auto"/>
              <w:left w:val="single" w:sz="4" w:space="0" w:color="auto"/>
              <w:bottom w:val="single" w:sz="4" w:space="0" w:color="auto"/>
              <w:right w:val="single" w:sz="4" w:space="0" w:color="auto"/>
            </w:tcBorders>
          </w:tcPr>
          <w:p w14:paraId="508C2EAB" w14:textId="77777777" w:rsidR="00B86204" w:rsidRPr="002F16BB" w:rsidRDefault="00B86204" w:rsidP="00016740">
            <w:pPr>
              <w:spacing w:before="20" w:after="20"/>
              <w:rPr>
                <w:b/>
                <w:bCs/>
                <w:i/>
                <w:iCs/>
                <w:sz w:val="18"/>
                <w:szCs w:val="18"/>
                <w:lang w:val="ru-RU"/>
              </w:rPr>
            </w:pPr>
            <w:r w:rsidRPr="00A578FA">
              <w:rPr>
                <w:b/>
                <w:bCs/>
                <w:sz w:val="18"/>
                <w:szCs w:val="18"/>
                <w:lang w:val="ru-RU"/>
              </w:rPr>
              <w:t>"</w:t>
            </w:r>
            <w:r w:rsidRPr="002F16BB">
              <w:rPr>
                <w:b/>
                <w:bCs/>
                <w:i/>
                <w:iCs/>
                <w:sz w:val="18"/>
                <w:szCs w:val="18"/>
                <w:lang w:val="ru-RU"/>
              </w:rPr>
              <w:t xml:space="preserve">Право </w:t>
            </w:r>
            <w:proofErr w:type="spellStart"/>
            <w:r w:rsidRPr="002F16BB">
              <w:rPr>
                <w:b/>
                <w:bCs/>
                <w:i/>
                <w:iCs/>
                <w:sz w:val="18"/>
                <w:szCs w:val="18"/>
                <w:lang w:val="ru-RU"/>
              </w:rPr>
              <w:t>суперфиция</w:t>
            </w:r>
            <w:proofErr w:type="spellEnd"/>
            <w:r w:rsidRPr="00A578FA">
              <w:rPr>
                <w:b/>
                <w:bCs/>
                <w:sz w:val="18"/>
                <w:szCs w:val="18"/>
                <w:lang w:val="ru-RU"/>
              </w:rPr>
              <w:t>"</w:t>
            </w:r>
          </w:p>
          <w:p w14:paraId="2CE73A74" w14:textId="77777777" w:rsidR="00B86204" w:rsidRPr="002F16BB" w:rsidRDefault="00B86204" w:rsidP="00016740">
            <w:pPr>
              <w:spacing w:before="20" w:after="20"/>
              <w:rPr>
                <w:sz w:val="18"/>
                <w:szCs w:val="18"/>
                <w:lang w:val="ru-RU"/>
              </w:rPr>
            </w:pPr>
            <w:r w:rsidRPr="002F16BB">
              <w:rPr>
                <w:sz w:val="18"/>
                <w:szCs w:val="18"/>
                <w:lang w:val="ru-RU"/>
              </w:rPr>
              <w:t xml:space="preserve">С учетом того, что важно и в интересах МСЭ продлить "право </w:t>
            </w:r>
            <w:proofErr w:type="spellStart"/>
            <w:r w:rsidRPr="002F16BB">
              <w:rPr>
                <w:sz w:val="18"/>
                <w:szCs w:val="18"/>
                <w:lang w:val="ru-RU"/>
              </w:rPr>
              <w:t>суперфиция</w:t>
            </w:r>
            <w:proofErr w:type="spellEnd"/>
            <w:r w:rsidRPr="002F16BB">
              <w:rPr>
                <w:sz w:val="18"/>
                <w:szCs w:val="18"/>
                <w:lang w:val="ru-RU"/>
              </w:rPr>
              <w:t>", предоставленное МСЭ администрацией Женевы с 1967 года, мы рекомендовали руководству как можно скорее начать переговоры по этому вопросу с компетентными органами власти принимающей страны.</w:t>
            </w:r>
          </w:p>
        </w:tc>
        <w:tc>
          <w:tcPr>
            <w:tcW w:w="1362" w:type="pct"/>
            <w:tcBorders>
              <w:top w:val="single" w:sz="4" w:space="0" w:color="auto"/>
              <w:left w:val="single" w:sz="4" w:space="0" w:color="auto"/>
              <w:bottom w:val="single" w:sz="4" w:space="0" w:color="auto"/>
              <w:right w:val="single" w:sz="4" w:space="0" w:color="auto"/>
            </w:tcBorders>
          </w:tcPr>
          <w:p w14:paraId="3DBA2FEF" w14:textId="77777777" w:rsidR="00B86204" w:rsidRPr="002F16BB" w:rsidRDefault="00B86204" w:rsidP="00016740">
            <w:pPr>
              <w:spacing w:before="20" w:after="20"/>
              <w:rPr>
                <w:sz w:val="18"/>
                <w:szCs w:val="18"/>
                <w:lang w:val="ru-RU"/>
              </w:rPr>
            </w:pPr>
            <w:r w:rsidRPr="002F16BB">
              <w:rPr>
                <w:sz w:val="18"/>
                <w:szCs w:val="18"/>
                <w:lang w:val="ru-RU"/>
              </w:rPr>
              <w:t>В январе 2013 года Советник по правовым вопросам уже установил контакт с компетентными органами власти принимающей страны в целях начала процесса переговоров.</w:t>
            </w:r>
          </w:p>
        </w:tc>
        <w:tc>
          <w:tcPr>
            <w:tcW w:w="1363" w:type="pct"/>
            <w:tcBorders>
              <w:top w:val="single" w:sz="4" w:space="0" w:color="auto"/>
              <w:left w:val="single" w:sz="4" w:space="0" w:color="auto"/>
              <w:bottom w:val="single" w:sz="4" w:space="0" w:color="auto"/>
              <w:right w:val="single" w:sz="4" w:space="0" w:color="auto"/>
            </w:tcBorders>
          </w:tcPr>
          <w:p w14:paraId="2ACDBBB7" w14:textId="77777777" w:rsidR="00B86204" w:rsidRPr="002F16BB" w:rsidRDefault="00B86204" w:rsidP="00016740">
            <w:pPr>
              <w:spacing w:before="20" w:after="20"/>
              <w:rPr>
                <w:sz w:val="18"/>
                <w:szCs w:val="18"/>
                <w:lang w:val="ru-RU"/>
              </w:rPr>
            </w:pPr>
            <w:r w:rsidRPr="002F16BB">
              <w:rPr>
                <w:sz w:val="18"/>
                <w:szCs w:val="18"/>
                <w:lang w:val="ru-RU"/>
              </w:rPr>
              <w:t>Компетентные органы власти принимающей страны в принципе поддержали просьбу МСЭ и подтвердили свою заинтересованность, а также то, что дальнейшее развитие событий будет зависеть от решений, связанных с заменой здания "</w:t>
            </w:r>
            <w:proofErr w:type="spellStart"/>
            <w:r w:rsidRPr="002F16BB">
              <w:rPr>
                <w:sz w:val="18"/>
                <w:szCs w:val="18"/>
                <w:lang w:val="ru-RU"/>
              </w:rPr>
              <w:t>Варембе</w:t>
            </w:r>
            <w:proofErr w:type="spellEnd"/>
            <w:r w:rsidRPr="002F16BB">
              <w:rPr>
                <w:sz w:val="18"/>
                <w:szCs w:val="18"/>
                <w:lang w:val="ru-RU"/>
              </w:rPr>
              <w:t xml:space="preserve">", обсуждение которых в настоящее время продолжается. </w:t>
            </w:r>
          </w:p>
          <w:p w14:paraId="31A737CB" w14:textId="77777777" w:rsidR="00B86204" w:rsidRPr="002F16BB" w:rsidRDefault="00B86204" w:rsidP="00016740">
            <w:pPr>
              <w:pStyle w:val="Tabletext"/>
              <w:spacing w:before="20" w:after="20"/>
              <w:rPr>
                <w:sz w:val="18"/>
                <w:szCs w:val="18"/>
                <w:lang w:val="ru-RU"/>
              </w:rPr>
            </w:pPr>
            <w:r w:rsidRPr="002F16BB">
              <w:rPr>
                <w:sz w:val="18"/>
                <w:szCs w:val="18"/>
                <w:lang w:val="ru-RU"/>
              </w:rPr>
              <w:t>ПК-14 приняла решение создать рабочую группу Совета. Эта РГС при поддержке со стороны Секретариата изучит состояние помещений штаб-квартиры Союза и продолжит анализ вариантов, представленных до настоящего времени, и любых других предложений Государств-Членов для обеспечения взвешенного подхода к размещению помещений в долгосрочной перспективе, с тем чтобы подготовить рекомендацию для Совета. Первое собрание РГС состоялось 28 января 2015 г.</w:t>
            </w:r>
          </w:p>
          <w:p w14:paraId="77143831"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января 2016 г</w:t>
            </w:r>
            <w:r w:rsidRPr="002F16BB">
              <w:rPr>
                <w:sz w:val="18"/>
                <w:szCs w:val="18"/>
                <w:lang w:val="ru-RU"/>
              </w:rPr>
              <w:t>.:</w:t>
            </w:r>
          </w:p>
          <w:p w14:paraId="5DBC9AA6"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Работа РГС по вариантам помещений штаб</w:t>
            </w:r>
            <w:r w:rsidRPr="002F16BB">
              <w:rPr>
                <w:sz w:val="18"/>
                <w:szCs w:val="18"/>
                <w:lang w:val="ru-RU"/>
              </w:rPr>
              <w:noBreakHyphen/>
              <w:t>квартиры Союза в долгосрочной перспективе все еще продолжается. Второе собрание РГС было проведено 28 сентября 2015 г.</w:t>
            </w:r>
          </w:p>
          <w:p w14:paraId="2785AD0B"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апреля 2017 г</w:t>
            </w:r>
            <w:r w:rsidRPr="002F16BB">
              <w:rPr>
                <w:sz w:val="18"/>
                <w:szCs w:val="18"/>
                <w:lang w:val="ru-RU"/>
              </w:rPr>
              <w:t>.:</w:t>
            </w:r>
          </w:p>
          <w:p w14:paraId="4E4C5790"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Совет в соответствии со своим Решением 588 постановил заменить здание МСЭ "</w:t>
            </w:r>
            <w:proofErr w:type="spellStart"/>
            <w:r w:rsidRPr="002F16BB">
              <w:rPr>
                <w:sz w:val="18"/>
                <w:szCs w:val="18"/>
                <w:lang w:val="ru-RU"/>
              </w:rPr>
              <w:t>Варембе</w:t>
            </w:r>
            <w:proofErr w:type="spellEnd"/>
            <w:r w:rsidRPr="002F16BB">
              <w:rPr>
                <w:sz w:val="18"/>
                <w:szCs w:val="18"/>
                <w:lang w:val="ru-RU"/>
              </w:rPr>
              <w:t xml:space="preserve">" новым строением, которое также будет включать служебные и иные функциональные </w:t>
            </w:r>
            <w:r w:rsidRPr="002F16BB">
              <w:rPr>
                <w:sz w:val="18"/>
                <w:szCs w:val="18"/>
                <w:lang w:val="ru-RU"/>
              </w:rPr>
              <w:lastRenderedPageBreak/>
              <w:t>помещения здания "Башня", и дополнить здание "</w:t>
            </w:r>
            <w:proofErr w:type="spellStart"/>
            <w:r w:rsidRPr="002F16BB">
              <w:rPr>
                <w:sz w:val="18"/>
                <w:szCs w:val="18"/>
                <w:lang w:val="ru-RU"/>
              </w:rPr>
              <w:t>Монбрийан</w:t>
            </w:r>
            <w:proofErr w:type="spellEnd"/>
            <w:r w:rsidRPr="002F16BB">
              <w:rPr>
                <w:sz w:val="18"/>
                <w:szCs w:val="18"/>
                <w:lang w:val="ru-RU"/>
              </w:rPr>
              <w:t xml:space="preserve">". В связи с этим будет необходимо вновь провести переговоры с властями Швейцарии по вопросу о "праве </w:t>
            </w:r>
            <w:proofErr w:type="spellStart"/>
            <w:r w:rsidRPr="002F16BB">
              <w:rPr>
                <w:sz w:val="18"/>
                <w:szCs w:val="18"/>
                <w:lang w:val="ru-RU"/>
              </w:rPr>
              <w:t>суперфиция</w:t>
            </w:r>
            <w:proofErr w:type="spellEnd"/>
            <w:r w:rsidRPr="002F16BB">
              <w:rPr>
                <w:sz w:val="18"/>
                <w:szCs w:val="18"/>
                <w:lang w:val="ru-RU"/>
              </w:rPr>
              <w:t xml:space="preserve">", которым в настоящее время МСЭ может пользоваться до 2079 г. в отношении всех своих строений. Вместе с тем власти Швейцарии уже заверили МСЭ в том, что условия, предоставленные МСЭ в настоящее время, не могут быть пересмотрены в сторону сокращения и что предельный срок до 2079 г. не будет поставлен под сомнение ни при каких обстоятельствах. В начале 2017 г. будет учреждена рабочая группа в составе представителей МСЭ, кантона Женевы (землевладелец), Швейцарской Конфедерации и ФИПОИ для обсуждения конкретного вопроса о "праве </w:t>
            </w:r>
            <w:proofErr w:type="spellStart"/>
            <w:r w:rsidRPr="002F16BB">
              <w:rPr>
                <w:sz w:val="18"/>
                <w:szCs w:val="18"/>
                <w:lang w:val="ru-RU"/>
              </w:rPr>
              <w:t>суперфиция</w:t>
            </w:r>
            <w:proofErr w:type="spellEnd"/>
            <w:r w:rsidRPr="002F16BB">
              <w:rPr>
                <w:sz w:val="18"/>
                <w:szCs w:val="18"/>
                <w:lang w:val="ru-RU"/>
              </w:rPr>
              <w:t>".</w:t>
            </w:r>
          </w:p>
          <w:p w14:paraId="61C7FD9C"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505942C1" w14:textId="77777777" w:rsidR="00B86204" w:rsidRPr="002F16BB" w:rsidRDefault="00B86204" w:rsidP="00016740">
            <w:pPr>
              <w:spacing w:before="20" w:after="20"/>
              <w:rPr>
                <w:sz w:val="18"/>
                <w:szCs w:val="18"/>
                <w:lang w:val="ru-RU"/>
              </w:rPr>
            </w:pPr>
            <w:bookmarkStart w:id="443" w:name="_Hlk515455921"/>
            <w:r w:rsidRPr="002F16BB">
              <w:rPr>
                <w:sz w:val="18"/>
                <w:szCs w:val="18"/>
                <w:lang w:val="ru-RU"/>
              </w:rPr>
              <w:t xml:space="preserve">Рабочая группа МСЭ/принимающей страны по "праву </w:t>
            </w:r>
            <w:proofErr w:type="spellStart"/>
            <w:r w:rsidRPr="002F16BB">
              <w:rPr>
                <w:sz w:val="18"/>
                <w:szCs w:val="18"/>
                <w:lang w:val="ru-RU"/>
              </w:rPr>
              <w:t>суперфиция</w:t>
            </w:r>
            <w:proofErr w:type="spellEnd"/>
            <w:r w:rsidRPr="002F16BB">
              <w:rPr>
                <w:sz w:val="18"/>
                <w:szCs w:val="18"/>
                <w:lang w:val="ru-RU"/>
              </w:rPr>
              <w:t>" провела первое собрание 15 ноября 2017</w:t>
            </w:r>
            <w:bookmarkEnd w:id="443"/>
            <w:r w:rsidRPr="002F16BB">
              <w:rPr>
                <w:sz w:val="18"/>
                <w:szCs w:val="18"/>
                <w:lang w:val="ru-RU"/>
              </w:rPr>
              <w:t> г. Обсуждались следующие элементы:</w:t>
            </w:r>
          </w:p>
          <w:p w14:paraId="0B62D456"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rPr>
            </w:pPr>
            <w:r w:rsidRPr="002F16BB">
              <w:rPr>
                <w:sz w:val="18"/>
                <w:szCs w:val="18"/>
                <w:lang w:val="ru-RU"/>
              </w:rPr>
              <w:t>1)</w:t>
            </w:r>
            <w:r w:rsidRPr="002F16BB">
              <w:rPr>
                <w:sz w:val="18"/>
                <w:szCs w:val="18"/>
                <w:lang w:val="ru-RU"/>
              </w:rPr>
              <w:tab/>
              <w:t>Распределение земельного участка, на которое, по договоренности, не должно оказать воздействие строительство нового здания.</w:t>
            </w:r>
          </w:p>
          <w:p w14:paraId="6978A222"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rPr>
            </w:pPr>
            <w:r w:rsidRPr="002F16BB">
              <w:rPr>
                <w:sz w:val="18"/>
                <w:szCs w:val="18"/>
                <w:lang w:val="ru-RU"/>
              </w:rPr>
              <w:t>2)</w:t>
            </w:r>
            <w:r w:rsidRPr="002F16BB">
              <w:rPr>
                <w:sz w:val="18"/>
                <w:szCs w:val="18"/>
                <w:lang w:val="ru-RU"/>
              </w:rPr>
              <w:tab/>
              <w:t xml:space="preserve">Предоставление представителями принимающей страны "права </w:t>
            </w:r>
            <w:proofErr w:type="spellStart"/>
            <w:r w:rsidRPr="002F16BB">
              <w:rPr>
                <w:sz w:val="18"/>
                <w:szCs w:val="18"/>
                <w:lang w:val="ru-RU"/>
              </w:rPr>
              <w:t>суперфиция</w:t>
            </w:r>
            <w:proofErr w:type="spellEnd"/>
            <w:r w:rsidRPr="002F16BB">
              <w:rPr>
                <w:sz w:val="18"/>
                <w:szCs w:val="18"/>
                <w:lang w:val="ru-RU"/>
              </w:rPr>
              <w:t xml:space="preserve">", применимого в соответствии с недавно принятым швейцарским законом. </w:t>
            </w:r>
          </w:p>
          <w:p w14:paraId="53F0E9B6" w14:textId="77777777" w:rsidR="00B86204" w:rsidRPr="002F16BB" w:rsidRDefault="00B86204" w:rsidP="00016740">
            <w:pPr>
              <w:tabs>
                <w:tab w:val="clear" w:pos="794"/>
                <w:tab w:val="clear" w:pos="1191"/>
                <w:tab w:val="clear" w:pos="1588"/>
                <w:tab w:val="clear" w:pos="1985"/>
                <w:tab w:val="left" w:pos="284"/>
              </w:tabs>
              <w:spacing w:before="20" w:after="20"/>
              <w:rPr>
                <w:sz w:val="18"/>
                <w:szCs w:val="18"/>
                <w:lang w:val="ru-RU"/>
              </w:rPr>
            </w:pPr>
            <w:r w:rsidRPr="002F16BB">
              <w:rPr>
                <w:sz w:val="18"/>
                <w:szCs w:val="18"/>
                <w:lang w:val="ru-RU"/>
              </w:rPr>
              <w:t xml:space="preserve">МСЭ уже получил подтверждение того, что существующая продолжительность применения "права </w:t>
            </w:r>
            <w:proofErr w:type="spellStart"/>
            <w:r w:rsidRPr="002F16BB">
              <w:rPr>
                <w:sz w:val="18"/>
                <w:szCs w:val="18"/>
                <w:lang w:val="ru-RU"/>
              </w:rPr>
              <w:t>суперфиция</w:t>
            </w:r>
            <w:proofErr w:type="spellEnd"/>
            <w:r w:rsidRPr="002F16BB">
              <w:rPr>
                <w:sz w:val="18"/>
                <w:szCs w:val="18"/>
                <w:lang w:val="ru-RU"/>
              </w:rPr>
              <w:t xml:space="preserve">" не будет подвергаться сомнению (до 2079 г.), несмотря на новые нормы, которые ограничивают </w:t>
            </w:r>
            <w:proofErr w:type="spellStart"/>
            <w:proofErr w:type="gramStart"/>
            <w:r w:rsidRPr="002F16BB">
              <w:rPr>
                <w:sz w:val="18"/>
                <w:szCs w:val="18"/>
                <w:lang w:val="ru-RU"/>
              </w:rPr>
              <w:lastRenderedPageBreak/>
              <w:t>продолжитель-ность</w:t>
            </w:r>
            <w:proofErr w:type="spellEnd"/>
            <w:proofErr w:type="gramEnd"/>
            <w:r w:rsidRPr="002F16BB">
              <w:rPr>
                <w:sz w:val="18"/>
                <w:szCs w:val="18"/>
                <w:lang w:val="ru-RU"/>
              </w:rPr>
              <w:t xml:space="preserve"> действия права максимум 50 годами.</w:t>
            </w:r>
          </w:p>
          <w:p w14:paraId="5C42D284" w14:textId="77777777" w:rsidR="00B86204" w:rsidRPr="002F16BB" w:rsidRDefault="00B86204" w:rsidP="00016740">
            <w:pPr>
              <w:tabs>
                <w:tab w:val="clear" w:pos="794"/>
                <w:tab w:val="clear" w:pos="1191"/>
                <w:tab w:val="clear" w:pos="1588"/>
                <w:tab w:val="clear" w:pos="1985"/>
                <w:tab w:val="left" w:pos="284"/>
              </w:tabs>
              <w:spacing w:before="20" w:after="20"/>
              <w:rPr>
                <w:sz w:val="18"/>
                <w:szCs w:val="18"/>
                <w:lang w:val="ru-RU"/>
              </w:rPr>
            </w:pPr>
            <w:r w:rsidRPr="002F16BB">
              <w:rPr>
                <w:sz w:val="18"/>
                <w:szCs w:val="18"/>
                <w:lang w:val="ru-RU"/>
              </w:rPr>
              <w:t>МСЭ также получил подтверждение того, что основные элементы права, такие, например, как безвозмездная рента, не будут подвергаться сомнению.</w:t>
            </w:r>
          </w:p>
          <w:p w14:paraId="0A930545"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rPr>
            </w:pPr>
            <w:r w:rsidRPr="002F16BB">
              <w:rPr>
                <w:sz w:val="18"/>
                <w:szCs w:val="18"/>
                <w:lang w:val="ru-RU"/>
              </w:rPr>
              <w:t>3)</w:t>
            </w:r>
            <w:r w:rsidRPr="002F16BB">
              <w:rPr>
                <w:sz w:val="18"/>
                <w:szCs w:val="18"/>
                <w:lang w:val="ru-RU"/>
              </w:rPr>
              <w:tab/>
              <w:t xml:space="preserve">Принимающей страной была составлена модель контракта на "право </w:t>
            </w:r>
            <w:proofErr w:type="spellStart"/>
            <w:r w:rsidRPr="002F16BB">
              <w:rPr>
                <w:sz w:val="18"/>
                <w:szCs w:val="18"/>
                <w:lang w:val="ru-RU"/>
              </w:rPr>
              <w:t>суперфиция</w:t>
            </w:r>
            <w:proofErr w:type="spellEnd"/>
            <w:r w:rsidRPr="002F16BB">
              <w:rPr>
                <w:sz w:val="18"/>
                <w:szCs w:val="18"/>
                <w:lang w:val="ru-RU"/>
              </w:rPr>
              <w:t>". Эта модель вскоре будет направлена в МСЭ для анализа и замечаний. Представители принимающей страны подтвердили, что готовы обсуждать положения модели.</w:t>
            </w:r>
          </w:p>
          <w:p w14:paraId="453DF072"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eastAsia="it-IT"/>
              </w:rPr>
            </w:pPr>
            <w:r w:rsidRPr="002F16BB">
              <w:rPr>
                <w:sz w:val="18"/>
                <w:szCs w:val="18"/>
                <w:lang w:val="ru-RU"/>
              </w:rPr>
              <w:t>4)</w:t>
            </w:r>
            <w:r w:rsidRPr="002F16BB">
              <w:rPr>
                <w:sz w:val="18"/>
                <w:szCs w:val="18"/>
                <w:lang w:val="ru-RU"/>
              </w:rPr>
              <w:tab/>
              <w:t xml:space="preserve">В идеале проект контракта на "право </w:t>
            </w:r>
            <w:proofErr w:type="spellStart"/>
            <w:r w:rsidRPr="002F16BB">
              <w:rPr>
                <w:sz w:val="18"/>
                <w:szCs w:val="18"/>
                <w:lang w:val="ru-RU"/>
              </w:rPr>
              <w:t>суперфиция</w:t>
            </w:r>
            <w:proofErr w:type="spellEnd"/>
            <w:r w:rsidRPr="002F16BB">
              <w:rPr>
                <w:sz w:val="18"/>
                <w:szCs w:val="18"/>
                <w:lang w:val="ru-RU"/>
              </w:rPr>
              <w:t>" должен быть доработан к октябрю 2018 г.</w:t>
            </w:r>
          </w:p>
        </w:tc>
        <w:tc>
          <w:tcPr>
            <w:tcW w:w="720" w:type="pct"/>
            <w:tcBorders>
              <w:top w:val="single" w:sz="4" w:space="0" w:color="auto"/>
              <w:left w:val="single" w:sz="4" w:space="0" w:color="auto"/>
              <w:bottom w:val="single" w:sz="4" w:space="0" w:color="auto"/>
              <w:right w:val="single" w:sz="4" w:space="0" w:color="auto"/>
            </w:tcBorders>
          </w:tcPr>
          <w:p w14:paraId="743E3115"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 процессе выполнения.</w:t>
            </w:r>
          </w:p>
        </w:tc>
      </w:tr>
      <w:tr w:rsidR="00B86204" w:rsidRPr="00FE280E" w14:paraId="1F712634" w14:textId="77777777" w:rsidTr="00016740">
        <w:tc>
          <w:tcPr>
            <w:tcW w:w="339" w:type="pct"/>
            <w:tcBorders>
              <w:top w:val="single" w:sz="4" w:space="0" w:color="auto"/>
              <w:left w:val="single" w:sz="4" w:space="0" w:color="auto"/>
              <w:bottom w:val="single" w:sz="4" w:space="0" w:color="auto"/>
              <w:right w:val="single" w:sz="4" w:space="0" w:color="auto"/>
            </w:tcBorders>
          </w:tcPr>
          <w:p w14:paraId="13A385E4" w14:textId="77777777" w:rsidR="00B86204" w:rsidRPr="002F16BB" w:rsidRDefault="00B86204" w:rsidP="00016740">
            <w:pPr>
              <w:pStyle w:val="Tabletext"/>
              <w:spacing w:before="20" w:after="20"/>
              <w:jc w:val="center"/>
              <w:rPr>
                <w:b/>
                <w:sz w:val="18"/>
                <w:szCs w:val="18"/>
                <w:lang w:val="ru-RU" w:eastAsia="it-IT"/>
              </w:rPr>
            </w:pPr>
          </w:p>
        </w:tc>
        <w:tc>
          <w:tcPr>
            <w:tcW w:w="1216" w:type="pct"/>
            <w:tcBorders>
              <w:top w:val="single" w:sz="4" w:space="0" w:color="auto"/>
              <w:left w:val="single" w:sz="4" w:space="0" w:color="auto"/>
              <w:bottom w:val="single" w:sz="4" w:space="0" w:color="auto"/>
              <w:right w:val="single" w:sz="4" w:space="0" w:color="auto"/>
            </w:tcBorders>
          </w:tcPr>
          <w:p w14:paraId="03543022" w14:textId="77777777" w:rsidR="00B86204" w:rsidRPr="002F16BB" w:rsidRDefault="00B86204" w:rsidP="00016740">
            <w:pPr>
              <w:spacing w:before="20" w:after="20"/>
              <w:rPr>
                <w:b/>
                <w:bCs/>
                <w:i/>
                <w:iCs/>
                <w:sz w:val="18"/>
                <w:szCs w:val="18"/>
                <w:lang w:val="ru-RU"/>
              </w:rPr>
            </w:pPr>
          </w:p>
        </w:tc>
        <w:tc>
          <w:tcPr>
            <w:tcW w:w="1362" w:type="pct"/>
            <w:tcBorders>
              <w:top w:val="single" w:sz="4" w:space="0" w:color="auto"/>
              <w:left w:val="single" w:sz="4" w:space="0" w:color="auto"/>
              <w:bottom w:val="single" w:sz="4" w:space="0" w:color="auto"/>
              <w:right w:val="single" w:sz="4" w:space="0" w:color="auto"/>
            </w:tcBorders>
          </w:tcPr>
          <w:p w14:paraId="4FC73396" w14:textId="77777777" w:rsidR="00B86204" w:rsidRPr="002F16BB" w:rsidRDefault="00B86204" w:rsidP="00016740">
            <w:pPr>
              <w:spacing w:before="20" w:after="20"/>
              <w:rPr>
                <w:sz w:val="18"/>
                <w:szCs w:val="18"/>
                <w:lang w:val="ru-RU"/>
              </w:rPr>
            </w:pPr>
          </w:p>
        </w:tc>
        <w:tc>
          <w:tcPr>
            <w:tcW w:w="1363" w:type="pct"/>
            <w:tcBorders>
              <w:top w:val="single" w:sz="4" w:space="0" w:color="auto"/>
              <w:left w:val="single" w:sz="4" w:space="0" w:color="auto"/>
              <w:bottom w:val="single" w:sz="4" w:space="0" w:color="auto"/>
              <w:right w:val="single" w:sz="4" w:space="0" w:color="auto"/>
            </w:tcBorders>
          </w:tcPr>
          <w:p w14:paraId="2812D3EB" w14:textId="73E6DE6E"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7558A15B"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Обсуждения в Рабочей группе принимающей страны были отложены, поскольку МСЭ ожидает письменных разъяснений принимающей страны в отношении правовой основы и причин, оправдывающих уменьшение срока продления действия "права </w:t>
            </w:r>
            <w:proofErr w:type="spellStart"/>
            <w:r w:rsidRPr="002F16BB">
              <w:rPr>
                <w:sz w:val="18"/>
                <w:szCs w:val="18"/>
                <w:lang w:val="ru-RU" w:eastAsia="it-IT"/>
              </w:rPr>
              <w:t>суперфиция</w:t>
            </w:r>
            <w:proofErr w:type="spellEnd"/>
            <w:r w:rsidRPr="002F16BB">
              <w:rPr>
                <w:sz w:val="18"/>
                <w:szCs w:val="18"/>
                <w:lang w:val="ru-RU" w:eastAsia="it-IT"/>
              </w:rPr>
              <w:t xml:space="preserve">" с 99 до 50 лет. В настоящее время между компетентными органами власти принимающей стороны проводятся консультации. Ответ ожидается в начале 2019 года. </w:t>
            </w:r>
          </w:p>
          <w:p w14:paraId="643308BB"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14E2E4B3"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Рабочая группа МСЭ/принимающей страны в настоящее время ведет переговоры по проекту контракта о "праве </w:t>
            </w:r>
            <w:proofErr w:type="spellStart"/>
            <w:r w:rsidRPr="002F16BB">
              <w:rPr>
                <w:sz w:val="18"/>
                <w:szCs w:val="18"/>
                <w:lang w:val="ru-RU" w:eastAsia="it-IT"/>
              </w:rPr>
              <w:t>суперфиция</w:t>
            </w:r>
            <w:proofErr w:type="spellEnd"/>
            <w:r w:rsidRPr="002F16BB">
              <w:rPr>
                <w:sz w:val="18"/>
                <w:szCs w:val="18"/>
                <w:lang w:val="ru-RU" w:eastAsia="it-IT"/>
              </w:rPr>
              <w:t xml:space="preserve">". В этой связи МСЭ запросил у компетентных органов Швейцарии письменные разъяснения в отношении причин и правовой основы возможного сокращения срока, на который предоставляется "право </w:t>
            </w:r>
            <w:proofErr w:type="spellStart"/>
            <w:r w:rsidRPr="002F16BB">
              <w:rPr>
                <w:sz w:val="18"/>
                <w:szCs w:val="18"/>
                <w:lang w:val="ru-RU" w:eastAsia="it-IT"/>
              </w:rPr>
              <w:t>суперфиция</w:t>
            </w:r>
            <w:proofErr w:type="spellEnd"/>
            <w:r w:rsidRPr="002F16BB">
              <w:rPr>
                <w:sz w:val="18"/>
                <w:szCs w:val="18"/>
                <w:lang w:val="ru-RU" w:eastAsia="it-IT"/>
              </w:rPr>
              <w:t xml:space="preserve">", с 99 (в настоящее время) до 50 лет (возможное </w:t>
            </w:r>
            <w:r w:rsidRPr="002F16BB">
              <w:rPr>
                <w:sz w:val="18"/>
                <w:szCs w:val="18"/>
                <w:lang w:val="ru-RU" w:eastAsia="it-IT"/>
              </w:rPr>
              <w:lastRenderedPageBreak/>
              <w:t xml:space="preserve">новое продление). Ожидается, что эти разъяснения будут вскоре получены. </w:t>
            </w:r>
          </w:p>
          <w:p w14:paraId="5F6C56AE" w14:textId="675BCE06"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5A463F21"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Запрошенное разъяснение было получено в середине сентября 2019 года (завершено в середине октября 2019 г</w:t>
            </w:r>
            <w:r>
              <w:rPr>
                <w:sz w:val="18"/>
                <w:szCs w:val="18"/>
                <w:lang w:val="ru-RU" w:eastAsia="it-IT"/>
              </w:rPr>
              <w:t>.</w:t>
            </w:r>
            <w:r w:rsidRPr="002F16BB">
              <w:rPr>
                <w:sz w:val="18"/>
                <w:szCs w:val="18"/>
                <w:lang w:val="ru-RU" w:eastAsia="it-IT"/>
              </w:rPr>
              <w:t>). Оно гласит следующее: "</w:t>
            </w:r>
            <w:r w:rsidRPr="000801CB">
              <w:rPr>
                <w:i/>
                <w:iCs/>
                <w:sz w:val="18"/>
                <w:szCs w:val="18"/>
                <w:lang w:val="ru-RU" w:eastAsia="it-IT"/>
              </w:rPr>
              <w:t>Администрация Женевы пересмотрела в сторону понижения продолжительность действия всех прав DDP, которые она предоставляет: отныне она составляет не более 60 лет. Цель этой меры состоит в том, чтобы позволить Администрации [Женевы] лучше контролировать свои земельные участки и не препятствовать реализации своей земельной политики в результате действия слишком длительных контрактов, которые повлекли бы за собой возмещение убытков в случае смены политики. Идея состоит в том, чтобы сделать так, чтобы контракты о DDP и продолжительность жизни зданий совпадали. В самом деле, работы по капитальному ремонту зданий следовало бы проводить раз в 60 лет. Впрочем, контракты о DDP предусматривают положение о возмещении ущерба (в отношении зданий) в случае досрочного возвращения земельного участка кантону. Это положение, которое отсутствовало в старых контрактах неограниченной продолжительности, не имело бы смысла для контрактов продолжительностью в 100 лет</w:t>
            </w:r>
            <w:r w:rsidRPr="002F16BB">
              <w:rPr>
                <w:sz w:val="18"/>
                <w:szCs w:val="18"/>
                <w:lang w:val="ru-RU" w:eastAsia="it-IT"/>
              </w:rPr>
              <w:t>". Было подтверждено, что такое изменение обусловлено сменой политики компетентных органов власти кантона. Переговоры будут продолжены с учетом этих объяснений.</w:t>
            </w:r>
          </w:p>
          <w:p w14:paraId="53F0C0BC" w14:textId="1B663C18" w:rsidR="00B86204" w:rsidRPr="002F16BB" w:rsidRDefault="00B86204" w:rsidP="00016740">
            <w:pPr>
              <w:pStyle w:val="Tabletext"/>
              <w:keepNext/>
              <w:keepLines/>
              <w:spacing w:before="20" w:after="20"/>
              <w:rPr>
                <w:sz w:val="18"/>
                <w:szCs w:val="18"/>
                <w:lang w:val="ru-RU" w:eastAsia="it-IT"/>
              </w:rPr>
            </w:pPr>
            <w:r w:rsidRPr="002F16BB">
              <w:rPr>
                <w:b/>
                <w:bCs/>
                <w:sz w:val="18"/>
                <w:szCs w:val="18"/>
                <w:lang w:val="ru-RU" w:eastAsia="it-IT"/>
              </w:rPr>
              <w:lastRenderedPageBreak/>
              <w:t>Обновление, по состоянию на сентябрь 2020</w:t>
            </w:r>
            <w:r w:rsidR="0001674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561ECDC7" w14:textId="77777777" w:rsidR="00B86204" w:rsidRPr="002F16BB" w:rsidRDefault="00B86204" w:rsidP="00016740">
            <w:pPr>
              <w:spacing w:before="20" w:after="20"/>
              <w:rPr>
                <w:sz w:val="18"/>
                <w:szCs w:val="18"/>
                <w:lang w:val="ru-RU"/>
              </w:rPr>
            </w:pPr>
            <w:r w:rsidRPr="002F16BB">
              <w:rPr>
                <w:sz w:val="18"/>
                <w:szCs w:val="18"/>
                <w:lang w:val="ru-RU" w:eastAsia="it-IT"/>
              </w:rPr>
              <w:t>Никаких событий за период с прошлого года не произошло.</w:t>
            </w:r>
          </w:p>
        </w:tc>
        <w:tc>
          <w:tcPr>
            <w:tcW w:w="720" w:type="pct"/>
            <w:tcBorders>
              <w:top w:val="single" w:sz="4" w:space="0" w:color="auto"/>
              <w:left w:val="single" w:sz="4" w:space="0" w:color="auto"/>
              <w:bottom w:val="single" w:sz="4" w:space="0" w:color="auto"/>
              <w:right w:val="single" w:sz="4" w:space="0" w:color="auto"/>
            </w:tcBorders>
          </w:tcPr>
          <w:p w14:paraId="76C93131" w14:textId="77777777" w:rsidR="00B86204" w:rsidRPr="002F16BB" w:rsidRDefault="00B86204" w:rsidP="00016740">
            <w:pPr>
              <w:pStyle w:val="Tabletext"/>
              <w:spacing w:before="20" w:after="20"/>
              <w:rPr>
                <w:sz w:val="18"/>
                <w:szCs w:val="18"/>
                <w:lang w:val="ru-RU"/>
              </w:rPr>
            </w:pPr>
          </w:p>
        </w:tc>
      </w:tr>
      <w:tr w:rsidR="00B86204" w:rsidRPr="002F16BB" w14:paraId="4C8E8EA6" w14:textId="77777777" w:rsidTr="00016740">
        <w:tc>
          <w:tcPr>
            <w:tcW w:w="339" w:type="pct"/>
            <w:tcBorders>
              <w:top w:val="single" w:sz="4" w:space="0" w:color="auto"/>
              <w:left w:val="single" w:sz="4" w:space="0" w:color="auto"/>
              <w:bottom w:val="single" w:sz="4" w:space="0" w:color="auto"/>
              <w:right w:val="single" w:sz="4" w:space="0" w:color="auto"/>
            </w:tcBorders>
          </w:tcPr>
          <w:p w14:paraId="52D3670A" w14:textId="77777777" w:rsidR="00B86204" w:rsidRPr="002F16BB" w:rsidRDefault="00B86204" w:rsidP="00016740">
            <w:pPr>
              <w:pStyle w:val="Tabletext"/>
              <w:spacing w:before="20" w:after="20"/>
              <w:jc w:val="center"/>
              <w:rPr>
                <w:b/>
                <w:sz w:val="18"/>
                <w:szCs w:val="18"/>
                <w:lang w:val="ru-RU" w:eastAsia="it-IT"/>
              </w:rPr>
            </w:pPr>
            <w:r w:rsidRPr="002F16BB">
              <w:rPr>
                <w:b/>
                <w:sz w:val="18"/>
                <w:szCs w:val="18"/>
                <w:lang w:val="ru-RU" w:eastAsia="it-IT"/>
              </w:rPr>
              <w:lastRenderedPageBreak/>
              <w:t>Рек. 4/2012</w:t>
            </w:r>
          </w:p>
        </w:tc>
        <w:tc>
          <w:tcPr>
            <w:tcW w:w="1216" w:type="pct"/>
            <w:tcBorders>
              <w:top w:val="single" w:sz="4" w:space="0" w:color="auto"/>
              <w:left w:val="single" w:sz="4" w:space="0" w:color="auto"/>
              <w:bottom w:val="single" w:sz="4" w:space="0" w:color="auto"/>
              <w:right w:val="single" w:sz="4" w:space="0" w:color="auto"/>
            </w:tcBorders>
          </w:tcPr>
          <w:p w14:paraId="1324D5C9" w14:textId="77777777" w:rsidR="00B86204" w:rsidRPr="002F16BB" w:rsidRDefault="00B86204" w:rsidP="00016740">
            <w:pPr>
              <w:spacing w:before="20" w:after="20"/>
              <w:rPr>
                <w:b/>
                <w:bCs/>
                <w:i/>
                <w:iCs/>
                <w:sz w:val="18"/>
                <w:szCs w:val="18"/>
                <w:lang w:val="ru-RU"/>
              </w:rPr>
            </w:pPr>
            <w:r w:rsidRPr="002F16BB">
              <w:rPr>
                <w:b/>
                <w:bCs/>
                <w:i/>
                <w:iCs/>
                <w:sz w:val="18"/>
                <w:szCs w:val="18"/>
                <w:lang w:val="ru-RU"/>
              </w:rPr>
              <w:t>Учет активов в реестре</w:t>
            </w:r>
          </w:p>
          <w:p w14:paraId="072A29C2" w14:textId="77777777" w:rsidR="00B86204" w:rsidRPr="002F16BB" w:rsidRDefault="00B86204" w:rsidP="00016740">
            <w:pPr>
              <w:spacing w:before="20" w:after="20"/>
              <w:rPr>
                <w:sz w:val="18"/>
                <w:szCs w:val="18"/>
                <w:lang w:val="ru-RU"/>
              </w:rPr>
            </w:pPr>
            <w:r w:rsidRPr="002F16BB">
              <w:rPr>
                <w:sz w:val="18"/>
                <w:szCs w:val="18"/>
                <w:lang w:val="ru-RU"/>
              </w:rPr>
              <w:t>[…] мы провели проверку наличных запасов по некоторым категориям основного капитала на основе выборки предметов мебели и оборудования ИТ и отследили их в счетах. Мы заметили, что ответственные лица МСЭ из Отдела административно-хозяйственного управления (Департамент HRMD) в ходе проверки наличных запасов на конец года не обнаружили некоторых активов (около 0,73% от стоимости приобретения соответствующих активов). Мы в курсе того, что при контроле было обнаружено, что часть этих активов в конце года не была найдена, но, тем не менее, мы рекомендовали руководству продолжить изучение этого вопроса и списать предметы, которые не будут обнаружены в течение 2013 года.</w:t>
            </w:r>
          </w:p>
        </w:tc>
        <w:tc>
          <w:tcPr>
            <w:tcW w:w="1362" w:type="pct"/>
            <w:tcBorders>
              <w:top w:val="single" w:sz="4" w:space="0" w:color="auto"/>
              <w:left w:val="single" w:sz="4" w:space="0" w:color="auto"/>
              <w:bottom w:val="single" w:sz="4" w:space="0" w:color="auto"/>
              <w:right w:val="single" w:sz="4" w:space="0" w:color="auto"/>
            </w:tcBorders>
          </w:tcPr>
          <w:p w14:paraId="7790B19E" w14:textId="77777777" w:rsidR="00B86204" w:rsidRPr="002F16BB" w:rsidRDefault="00B86204" w:rsidP="00016740">
            <w:pPr>
              <w:spacing w:before="20" w:after="20"/>
              <w:rPr>
                <w:sz w:val="18"/>
                <w:szCs w:val="18"/>
                <w:lang w:val="ru-RU"/>
              </w:rPr>
            </w:pPr>
            <w:r w:rsidRPr="002F16BB">
              <w:rPr>
                <w:sz w:val="18"/>
                <w:szCs w:val="18"/>
                <w:lang w:val="ru-RU"/>
              </w:rPr>
              <w:t>Я дам FRMD поручение координировать свою работу с Отделом административно-хозяйственного управления, с тем чтобы продолжить в 2013 году эти усилия, и представлю пояснения по поводу существования и порядка действий в отношении позиций, которые не были охвачены при проверке запасов.</w:t>
            </w:r>
          </w:p>
        </w:tc>
        <w:tc>
          <w:tcPr>
            <w:tcW w:w="1363" w:type="pct"/>
            <w:tcBorders>
              <w:top w:val="single" w:sz="4" w:space="0" w:color="auto"/>
              <w:left w:val="single" w:sz="4" w:space="0" w:color="auto"/>
              <w:bottom w:val="single" w:sz="4" w:space="0" w:color="auto"/>
              <w:right w:val="single" w:sz="4" w:space="0" w:color="auto"/>
            </w:tcBorders>
          </w:tcPr>
          <w:p w14:paraId="04FAF8CE" w14:textId="77777777" w:rsidR="00B86204" w:rsidRPr="002F16BB" w:rsidRDefault="00B86204" w:rsidP="00016740">
            <w:pPr>
              <w:spacing w:before="20" w:after="20"/>
              <w:rPr>
                <w:sz w:val="18"/>
                <w:szCs w:val="18"/>
                <w:lang w:val="ru-RU"/>
              </w:rPr>
            </w:pPr>
            <w:r w:rsidRPr="002F16BB">
              <w:rPr>
                <w:sz w:val="18"/>
                <w:szCs w:val="18"/>
                <w:lang w:val="ru-RU"/>
              </w:rPr>
              <w:t xml:space="preserve">Процесс выявления и определения местонахождения и/или списания активов, не обнаруженных в ходе проверки запасов, был начат в прошлых годах и продолжается согласно плану. </w:t>
            </w:r>
          </w:p>
          <w:p w14:paraId="2B27BACC" w14:textId="77777777" w:rsidR="00B86204" w:rsidRPr="002F16BB" w:rsidRDefault="00B86204" w:rsidP="00016740">
            <w:pPr>
              <w:spacing w:before="20" w:after="20"/>
              <w:rPr>
                <w:sz w:val="18"/>
                <w:szCs w:val="18"/>
                <w:lang w:val="ru-RU"/>
              </w:rPr>
            </w:pPr>
            <w:r w:rsidRPr="002F16BB">
              <w:rPr>
                <w:b/>
                <w:bCs/>
                <w:sz w:val="18"/>
                <w:szCs w:val="18"/>
                <w:lang w:val="ru-RU"/>
              </w:rPr>
              <w:t>В конце 2014 года</w:t>
            </w:r>
            <w:r w:rsidRPr="002F16BB">
              <w:rPr>
                <w:sz w:val="18"/>
                <w:szCs w:val="18"/>
                <w:lang w:val="ru-RU"/>
              </w:rPr>
              <w:t xml:space="preserve"> стоимость необнаруженных активов существенно сократилась: на 83% по сравнению с 2012 г. </w:t>
            </w:r>
          </w:p>
          <w:p w14:paraId="2E35F449"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января 2016 г</w:t>
            </w:r>
            <w:r w:rsidRPr="002F16BB">
              <w:rPr>
                <w:sz w:val="18"/>
                <w:szCs w:val="18"/>
                <w:lang w:val="ru-RU"/>
              </w:rPr>
              <w:t>.:</w:t>
            </w:r>
          </w:p>
          <w:p w14:paraId="66E955A1" w14:textId="77777777" w:rsidR="00B86204" w:rsidRPr="002F16BB" w:rsidRDefault="00B86204" w:rsidP="00016740">
            <w:pPr>
              <w:spacing w:before="20" w:after="20"/>
              <w:rPr>
                <w:sz w:val="18"/>
                <w:szCs w:val="18"/>
                <w:lang w:val="ru-RU"/>
              </w:rPr>
            </w:pPr>
            <w:r w:rsidRPr="002F16BB">
              <w:rPr>
                <w:sz w:val="18"/>
                <w:szCs w:val="18"/>
                <w:lang w:val="ru-RU"/>
              </w:rPr>
              <w:t>Уровень выявления активов, которые не были обнаружены, станет известен по завершении инвентаризации наличных запасов 31 декабря 2015 г.</w:t>
            </w:r>
          </w:p>
          <w:p w14:paraId="2086FBC6"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апреля 2017 г</w:t>
            </w:r>
            <w:r w:rsidRPr="002F16BB">
              <w:rPr>
                <w:sz w:val="18"/>
                <w:szCs w:val="18"/>
                <w:lang w:val="ru-RU"/>
              </w:rPr>
              <w:t>.:</w:t>
            </w:r>
          </w:p>
          <w:p w14:paraId="75759F30"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По состоянию на 31 декабря 2016 г. ситуация с возвращенными активами улучшилась по сравнению с 2014 г. и предыдущими годами. Аналогичные действия предпринимались в течение 2016 г. Для сравнения, стоимость активов, не найденных, по состоянию на 31 декабря 2012 г., составляла 392 744 </w:t>
            </w:r>
            <w:proofErr w:type="spellStart"/>
            <w:r w:rsidRPr="002F16BB">
              <w:rPr>
                <w:sz w:val="18"/>
                <w:szCs w:val="18"/>
                <w:lang w:val="ru-RU"/>
              </w:rPr>
              <w:t>шв</w:t>
            </w:r>
            <w:proofErr w:type="spellEnd"/>
            <w:r w:rsidRPr="002F16BB">
              <w:rPr>
                <w:sz w:val="18"/>
                <w:szCs w:val="18"/>
                <w:lang w:val="ru-RU"/>
              </w:rPr>
              <w:t>. фр. по</w:t>
            </w:r>
            <w:r>
              <w:rPr>
                <w:sz w:val="18"/>
                <w:szCs w:val="18"/>
                <w:lang w:val="ru-RU"/>
              </w:rPr>
              <w:t> </w:t>
            </w:r>
            <w:r w:rsidRPr="002F16BB">
              <w:rPr>
                <w:sz w:val="18"/>
                <w:szCs w:val="18"/>
                <w:lang w:val="ru-RU"/>
              </w:rPr>
              <w:t>сравнению с 22 024 </w:t>
            </w:r>
            <w:proofErr w:type="spellStart"/>
            <w:r w:rsidRPr="002F16BB">
              <w:rPr>
                <w:sz w:val="18"/>
                <w:szCs w:val="18"/>
                <w:lang w:val="ru-RU"/>
              </w:rPr>
              <w:t>шв</w:t>
            </w:r>
            <w:proofErr w:type="spellEnd"/>
            <w:r w:rsidRPr="002F16BB">
              <w:rPr>
                <w:sz w:val="18"/>
                <w:szCs w:val="18"/>
                <w:lang w:val="ru-RU"/>
              </w:rPr>
              <w:t>. фр., по состоянию на 31 декабря 2016 г.</w:t>
            </w:r>
          </w:p>
          <w:p w14:paraId="3C68E07C"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2018 г</w:t>
            </w:r>
            <w:r w:rsidRPr="002F16BB">
              <w:rPr>
                <w:sz w:val="18"/>
                <w:szCs w:val="18"/>
                <w:lang w:val="ru-RU" w:eastAsia="it-IT"/>
              </w:rPr>
              <w:t>.:</w:t>
            </w:r>
          </w:p>
          <w:p w14:paraId="1E78CC31" w14:textId="77777777" w:rsidR="00B86204" w:rsidRPr="002F16BB" w:rsidRDefault="00B86204" w:rsidP="00016740">
            <w:pPr>
              <w:spacing w:before="20" w:after="20"/>
              <w:rPr>
                <w:sz w:val="18"/>
                <w:szCs w:val="18"/>
                <w:lang w:val="ru-RU"/>
              </w:rPr>
            </w:pPr>
            <w:r w:rsidRPr="002F16BB">
              <w:rPr>
                <w:sz w:val="18"/>
                <w:szCs w:val="18"/>
                <w:lang w:val="ru-RU"/>
              </w:rPr>
              <w:t>Стоимость активов, которые не были обнаружены к 31 декабря 2017 г., составила 29 792 </w:t>
            </w:r>
            <w:proofErr w:type="spellStart"/>
            <w:r w:rsidRPr="002F16BB">
              <w:rPr>
                <w:sz w:val="18"/>
                <w:szCs w:val="18"/>
                <w:lang w:val="ru-RU"/>
              </w:rPr>
              <w:t>шв</w:t>
            </w:r>
            <w:proofErr w:type="spellEnd"/>
            <w:r w:rsidRPr="002F16BB">
              <w:rPr>
                <w:sz w:val="18"/>
                <w:szCs w:val="18"/>
                <w:lang w:val="ru-RU"/>
              </w:rPr>
              <w:t>. фр., из которых 3901 </w:t>
            </w:r>
            <w:proofErr w:type="spellStart"/>
            <w:r w:rsidRPr="002F16BB">
              <w:rPr>
                <w:sz w:val="18"/>
                <w:szCs w:val="18"/>
                <w:lang w:val="ru-RU"/>
              </w:rPr>
              <w:t>шв</w:t>
            </w:r>
            <w:proofErr w:type="spellEnd"/>
            <w:r w:rsidRPr="002F16BB">
              <w:rPr>
                <w:sz w:val="18"/>
                <w:szCs w:val="18"/>
                <w:lang w:val="ru-RU"/>
              </w:rPr>
              <w:t>. фр. относятся к периоду 2016 г.</w:t>
            </w:r>
          </w:p>
          <w:p w14:paraId="1B3E30CC"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t>В 2018 финансовом году продолжатся поиски для возвращения возможно большего числа потерянных активов.</w:t>
            </w:r>
          </w:p>
          <w:p w14:paraId="3BE2B00A" w14:textId="1787A50A" w:rsidR="00B86204" w:rsidRPr="002F16BB" w:rsidRDefault="00B86204" w:rsidP="00063910">
            <w:pPr>
              <w:pStyle w:val="Tabletext"/>
              <w:keepNext/>
              <w:keepLines/>
              <w:spacing w:before="20" w:after="20"/>
              <w:rPr>
                <w:sz w:val="18"/>
                <w:szCs w:val="18"/>
                <w:lang w:val="ru-RU" w:eastAsia="it-IT"/>
              </w:rPr>
            </w:pPr>
            <w:r w:rsidRPr="002F16BB">
              <w:rPr>
                <w:b/>
                <w:bCs/>
                <w:sz w:val="18"/>
                <w:szCs w:val="18"/>
                <w:lang w:val="ru-RU" w:eastAsia="it-IT"/>
              </w:rPr>
              <w:lastRenderedPageBreak/>
              <w:t>Обновление, по состоянию на декабрь 2018</w:t>
            </w:r>
            <w:r w:rsidR="0006391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028856BD"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Осуществляется рассмотрение существующих процедур и процессов, включая процесс в отношении необнаруженных активов. </w:t>
            </w:r>
          </w:p>
          <w:p w14:paraId="437441BD"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5E0AC887"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В 2018 году в ходе инвентаризации наличных запасов выявилось 313 </w:t>
            </w:r>
            <w:proofErr w:type="gramStart"/>
            <w:r w:rsidRPr="002F16BB">
              <w:rPr>
                <w:sz w:val="18"/>
                <w:szCs w:val="18"/>
                <w:lang w:val="ru-RU" w:eastAsia="it-IT"/>
              </w:rPr>
              <w:t>случая</w:t>
            </w:r>
            <w:proofErr w:type="gramEnd"/>
            <w:r w:rsidRPr="002F16BB">
              <w:rPr>
                <w:sz w:val="18"/>
                <w:szCs w:val="18"/>
                <w:lang w:val="ru-RU" w:eastAsia="it-IT"/>
              </w:rPr>
              <w:t xml:space="preserve"> необнаруженных активов, эквивалентных по сумме приобретения 164 575 </w:t>
            </w:r>
            <w:proofErr w:type="spellStart"/>
            <w:r w:rsidRPr="002F16BB">
              <w:rPr>
                <w:sz w:val="18"/>
                <w:szCs w:val="18"/>
                <w:lang w:val="ru-RU" w:eastAsia="it-IT"/>
              </w:rPr>
              <w:t>шв</w:t>
            </w:r>
            <w:proofErr w:type="spellEnd"/>
            <w:r w:rsidRPr="002F16BB">
              <w:rPr>
                <w:sz w:val="18"/>
                <w:szCs w:val="18"/>
                <w:lang w:val="ru-RU" w:eastAsia="it-IT"/>
              </w:rPr>
              <w:t xml:space="preserve">. фр. В ходе инвентаризации в отделениях на местах подобные случаи не выявлены, все активы обнаружены. </w:t>
            </w:r>
          </w:p>
          <w:p w14:paraId="5EBBBDDB" w14:textId="30F8CF9E"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2019</w:t>
            </w:r>
            <w:r w:rsidR="0006391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636F5A17"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Новая система учета запасов, внедренная в 2019 году, должна свести к минимуму ненайденные активы.</w:t>
            </w:r>
          </w:p>
        </w:tc>
        <w:tc>
          <w:tcPr>
            <w:tcW w:w="720" w:type="pct"/>
            <w:tcBorders>
              <w:top w:val="single" w:sz="4" w:space="0" w:color="auto"/>
              <w:left w:val="single" w:sz="4" w:space="0" w:color="auto"/>
              <w:bottom w:val="single" w:sz="4" w:space="0" w:color="auto"/>
              <w:right w:val="single" w:sz="4" w:space="0" w:color="auto"/>
            </w:tcBorders>
          </w:tcPr>
          <w:p w14:paraId="41E014E6" w14:textId="77777777"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В процессе выполнения.</w:t>
            </w:r>
          </w:p>
        </w:tc>
      </w:tr>
      <w:tr w:rsidR="00B86204" w:rsidRPr="00FE280E" w14:paraId="013DB388" w14:textId="77777777" w:rsidTr="00016740">
        <w:tc>
          <w:tcPr>
            <w:tcW w:w="339" w:type="pct"/>
            <w:tcBorders>
              <w:top w:val="single" w:sz="4" w:space="0" w:color="auto"/>
              <w:left w:val="single" w:sz="4" w:space="0" w:color="auto"/>
              <w:bottom w:val="single" w:sz="4" w:space="0" w:color="auto"/>
              <w:right w:val="single" w:sz="4" w:space="0" w:color="auto"/>
            </w:tcBorders>
          </w:tcPr>
          <w:p w14:paraId="14036101" w14:textId="77777777" w:rsidR="00B86204" w:rsidRPr="002F16BB" w:rsidRDefault="00B86204" w:rsidP="00016740">
            <w:pPr>
              <w:pStyle w:val="Tabletext"/>
              <w:spacing w:before="20" w:after="20"/>
              <w:jc w:val="center"/>
              <w:rPr>
                <w:b/>
                <w:sz w:val="18"/>
                <w:szCs w:val="18"/>
                <w:lang w:val="ru-RU" w:eastAsia="it-IT"/>
              </w:rPr>
            </w:pPr>
          </w:p>
        </w:tc>
        <w:tc>
          <w:tcPr>
            <w:tcW w:w="1216" w:type="pct"/>
            <w:tcBorders>
              <w:top w:val="single" w:sz="4" w:space="0" w:color="auto"/>
              <w:left w:val="single" w:sz="4" w:space="0" w:color="auto"/>
              <w:bottom w:val="single" w:sz="4" w:space="0" w:color="auto"/>
              <w:right w:val="single" w:sz="4" w:space="0" w:color="auto"/>
            </w:tcBorders>
          </w:tcPr>
          <w:p w14:paraId="60AD3003" w14:textId="77777777" w:rsidR="00B86204" w:rsidRPr="002F16BB" w:rsidRDefault="00B86204" w:rsidP="00016740">
            <w:pPr>
              <w:spacing w:before="20" w:after="20"/>
              <w:rPr>
                <w:b/>
                <w:bCs/>
                <w:i/>
                <w:iCs/>
                <w:sz w:val="18"/>
                <w:szCs w:val="18"/>
                <w:lang w:val="ru-RU"/>
              </w:rPr>
            </w:pPr>
          </w:p>
        </w:tc>
        <w:tc>
          <w:tcPr>
            <w:tcW w:w="1362" w:type="pct"/>
            <w:tcBorders>
              <w:top w:val="single" w:sz="4" w:space="0" w:color="auto"/>
              <w:left w:val="single" w:sz="4" w:space="0" w:color="auto"/>
              <w:bottom w:val="single" w:sz="4" w:space="0" w:color="auto"/>
              <w:right w:val="single" w:sz="4" w:space="0" w:color="auto"/>
            </w:tcBorders>
          </w:tcPr>
          <w:p w14:paraId="6F17DC52" w14:textId="77777777" w:rsidR="00B86204" w:rsidRPr="002F16BB" w:rsidRDefault="00B86204" w:rsidP="00016740">
            <w:pPr>
              <w:spacing w:before="20" w:after="20"/>
              <w:rPr>
                <w:sz w:val="18"/>
                <w:szCs w:val="18"/>
                <w:lang w:val="ru-RU"/>
              </w:rPr>
            </w:pPr>
          </w:p>
        </w:tc>
        <w:tc>
          <w:tcPr>
            <w:tcW w:w="1363" w:type="pct"/>
            <w:tcBorders>
              <w:top w:val="single" w:sz="4" w:space="0" w:color="auto"/>
              <w:left w:val="single" w:sz="4" w:space="0" w:color="auto"/>
              <w:bottom w:val="single" w:sz="4" w:space="0" w:color="auto"/>
              <w:right w:val="single" w:sz="4" w:space="0" w:color="auto"/>
            </w:tcBorders>
          </w:tcPr>
          <w:p w14:paraId="016C31F3" w14:textId="78088E09" w:rsidR="00B86204" w:rsidRPr="002F16BB" w:rsidRDefault="00B86204" w:rsidP="00016740">
            <w:pPr>
              <w:pStyle w:val="Tabletext"/>
              <w:keepNext/>
              <w:spacing w:before="20" w:after="20"/>
              <w:rPr>
                <w:sz w:val="18"/>
                <w:szCs w:val="18"/>
                <w:lang w:val="ru-RU" w:eastAsia="it-IT"/>
              </w:rPr>
            </w:pPr>
            <w:r w:rsidRPr="002F16BB">
              <w:rPr>
                <w:b/>
                <w:bCs/>
                <w:sz w:val="18"/>
                <w:szCs w:val="18"/>
                <w:lang w:val="ru-RU" w:eastAsia="it-IT"/>
              </w:rPr>
              <w:t>Обновление, по состоянию на сентябрь 2020</w:t>
            </w:r>
            <w:r w:rsidR="0006391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2EC4EA01"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В отношении FMD, по результатам инвентаризации запасов 2019 года не было обнаружено 82 актива первоначальной стоимостью в 34 576 </w:t>
            </w:r>
            <w:proofErr w:type="spellStart"/>
            <w:r w:rsidRPr="002F16BB">
              <w:rPr>
                <w:sz w:val="18"/>
                <w:szCs w:val="18"/>
                <w:lang w:val="ru-RU" w:eastAsia="it-IT"/>
              </w:rPr>
              <w:t>шв</w:t>
            </w:r>
            <w:proofErr w:type="spellEnd"/>
            <w:r w:rsidRPr="002F16BB">
              <w:rPr>
                <w:sz w:val="18"/>
                <w:szCs w:val="18"/>
                <w:lang w:val="ru-RU" w:eastAsia="it-IT"/>
              </w:rPr>
              <w:t>. фр. Инвентаризация</w:t>
            </w:r>
            <w:r w:rsidRPr="002F16BB">
              <w:rPr>
                <w:color w:val="000000"/>
                <w:sz w:val="18"/>
                <w:szCs w:val="18"/>
                <w:lang w:val="ru-RU"/>
              </w:rPr>
              <w:t xml:space="preserve"> в отделениях на местах</w:t>
            </w:r>
            <w:r w:rsidRPr="002F16BB">
              <w:rPr>
                <w:sz w:val="18"/>
                <w:szCs w:val="18"/>
                <w:lang w:val="ru-RU" w:eastAsia="it-IT"/>
              </w:rPr>
              <w:t xml:space="preserve"> не выявила ненайденных активов, все активы оказались на месте.</w:t>
            </w:r>
          </w:p>
          <w:p w14:paraId="53520114" w14:textId="77777777" w:rsidR="00B86204" w:rsidRPr="002F16BB" w:rsidRDefault="00B86204" w:rsidP="00016740">
            <w:pPr>
              <w:spacing w:before="20" w:after="20"/>
              <w:rPr>
                <w:sz w:val="18"/>
                <w:szCs w:val="18"/>
                <w:lang w:val="ru-RU"/>
              </w:rPr>
            </w:pPr>
            <w:r w:rsidRPr="002F16BB">
              <w:rPr>
                <w:sz w:val="18"/>
                <w:szCs w:val="18"/>
                <w:lang w:val="ru-RU" w:eastAsia="it-IT"/>
              </w:rPr>
              <w:t>В отношении оборудования ИТ ситуация оказалась приблизительно такой же. По</w:t>
            </w:r>
            <w:r>
              <w:rPr>
                <w:sz w:val="18"/>
                <w:szCs w:val="18"/>
                <w:lang w:val="ru-RU" w:eastAsia="it-IT"/>
              </w:rPr>
              <w:t> </w:t>
            </w:r>
            <w:r w:rsidRPr="002F16BB">
              <w:rPr>
                <w:sz w:val="18"/>
                <w:szCs w:val="18"/>
                <w:lang w:val="ru-RU" w:eastAsia="it-IT"/>
              </w:rPr>
              <w:t>результатам инвентаризации запасов 2019</w:t>
            </w:r>
            <w:r>
              <w:rPr>
                <w:sz w:val="18"/>
                <w:szCs w:val="18"/>
                <w:lang w:val="ru-RU" w:eastAsia="it-IT"/>
              </w:rPr>
              <w:t> </w:t>
            </w:r>
            <w:r w:rsidRPr="002F16BB">
              <w:rPr>
                <w:sz w:val="18"/>
                <w:szCs w:val="18"/>
                <w:lang w:val="ru-RU" w:eastAsia="it-IT"/>
              </w:rPr>
              <w:t>года не было обнаружено 600 активов первоначальной стоимостью в 588 781</w:t>
            </w:r>
            <w:r>
              <w:rPr>
                <w:sz w:val="18"/>
                <w:szCs w:val="18"/>
                <w:lang w:val="ru-RU" w:eastAsia="it-IT"/>
              </w:rPr>
              <w:t> </w:t>
            </w:r>
            <w:proofErr w:type="spellStart"/>
            <w:r w:rsidRPr="002F16BB">
              <w:rPr>
                <w:sz w:val="18"/>
                <w:szCs w:val="18"/>
                <w:lang w:val="ru-RU" w:eastAsia="it-IT"/>
              </w:rPr>
              <w:t>шв</w:t>
            </w:r>
            <w:proofErr w:type="spellEnd"/>
            <w:r w:rsidRPr="002F16BB">
              <w:rPr>
                <w:sz w:val="18"/>
                <w:szCs w:val="18"/>
                <w:lang w:val="ru-RU" w:eastAsia="it-IT"/>
              </w:rPr>
              <w:t>. фр. для штаб-квартиры и 16 264</w:t>
            </w:r>
            <w:r>
              <w:rPr>
                <w:sz w:val="18"/>
                <w:szCs w:val="18"/>
                <w:lang w:val="ru-RU" w:eastAsia="it-IT"/>
              </w:rPr>
              <w:t> </w:t>
            </w:r>
            <w:proofErr w:type="spellStart"/>
            <w:r w:rsidRPr="002F16BB">
              <w:rPr>
                <w:sz w:val="18"/>
                <w:szCs w:val="18"/>
                <w:lang w:val="ru-RU" w:eastAsia="it-IT"/>
              </w:rPr>
              <w:t>шв</w:t>
            </w:r>
            <w:proofErr w:type="spellEnd"/>
            <w:r w:rsidRPr="002F16BB">
              <w:rPr>
                <w:sz w:val="18"/>
                <w:szCs w:val="18"/>
                <w:lang w:val="ru-RU" w:eastAsia="it-IT"/>
              </w:rPr>
              <w:t>. фр. для отделений на местах.</w:t>
            </w:r>
          </w:p>
        </w:tc>
        <w:tc>
          <w:tcPr>
            <w:tcW w:w="720" w:type="pct"/>
            <w:tcBorders>
              <w:top w:val="single" w:sz="4" w:space="0" w:color="auto"/>
              <w:left w:val="single" w:sz="4" w:space="0" w:color="auto"/>
              <w:bottom w:val="single" w:sz="4" w:space="0" w:color="auto"/>
              <w:right w:val="single" w:sz="4" w:space="0" w:color="auto"/>
            </w:tcBorders>
          </w:tcPr>
          <w:p w14:paraId="0C004402" w14:textId="77777777" w:rsidR="00B86204" w:rsidRPr="002F16BB" w:rsidRDefault="00B86204" w:rsidP="00016740">
            <w:pPr>
              <w:pStyle w:val="Tabletext"/>
              <w:spacing w:before="20" w:after="20"/>
              <w:rPr>
                <w:sz w:val="18"/>
                <w:szCs w:val="18"/>
                <w:lang w:val="ru-RU"/>
              </w:rPr>
            </w:pPr>
          </w:p>
        </w:tc>
      </w:tr>
      <w:tr w:rsidR="00B86204" w:rsidRPr="002F16BB" w14:paraId="5D76E3AC" w14:textId="77777777" w:rsidTr="00016740">
        <w:tc>
          <w:tcPr>
            <w:tcW w:w="339" w:type="pct"/>
            <w:tcBorders>
              <w:top w:val="single" w:sz="4" w:space="0" w:color="auto"/>
              <w:left w:val="single" w:sz="4" w:space="0" w:color="auto"/>
              <w:bottom w:val="single" w:sz="4" w:space="0" w:color="auto"/>
              <w:right w:val="single" w:sz="4" w:space="0" w:color="auto"/>
            </w:tcBorders>
          </w:tcPr>
          <w:p w14:paraId="371D21BA" w14:textId="77777777" w:rsidR="00B86204" w:rsidRPr="002F16BB" w:rsidRDefault="00B86204" w:rsidP="00016740">
            <w:pPr>
              <w:pStyle w:val="Tabletext"/>
              <w:spacing w:before="20" w:after="20"/>
              <w:jc w:val="center"/>
              <w:rPr>
                <w:b/>
                <w:sz w:val="18"/>
                <w:szCs w:val="18"/>
                <w:highlight w:val="yellow"/>
                <w:lang w:val="ru-RU" w:eastAsia="it-IT"/>
              </w:rPr>
            </w:pPr>
            <w:r w:rsidRPr="002F16BB">
              <w:rPr>
                <w:b/>
                <w:sz w:val="18"/>
                <w:szCs w:val="18"/>
                <w:lang w:val="ru-RU" w:eastAsia="it-IT"/>
              </w:rPr>
              <w:t>Рек. 10/2012</w:t>
            </w:r>
          </w:p>
        </w:tc>
        <w:tc>
          <w:tcPr>
            <w:tcW w:w="1216" w:type="pct"/>
            <w:tcBorders>
              <w:top w:val="single" w:sz="4" w:space="0" w:color="auto"/>
              <w:left w:val="single" w:sz="4" w:space="0" w:color="auto"/>
              <w:bottom w:val="single" w:sz="4" w:space="0" w:color="auto"/>
              <w:right w:val="single" w:sz="4" w:space="0" w:color="auto"/>
            </w:tcBorders>
          </w:tcPr>
          <w:p w14:paraId="73A3B4AF" w14:textId="77777777" w:rsidR="00B86204" w:rsidRPr="002F16BB" w:rsidRDefault="00B86204" w:rsidP="00016740">
            <w:pPr>
              <w:spacing w:before="20" w:after="20"/>
              <w:rPr>
                <w:b/>
                <w:bCs/>
                <w:i/>
                <w:iCs/>
                <w:sz w:val="18"/>
                <w:szCs w:val="18"/>
                <w:lang w:val="ru-RU"/>
              </w:rPr>
            </w:pPr>
            <w:r w:rsidRPr="002F16BB">
              <w:rPr>
                <w:b/>
                <w:bCs/>
                <w:i/>
                <w:iCs/>
                <w:sz w:val="18"/>
                <w:szCs w:val="18"/>
                <w:lang w:val="ru-RU"/>
              </w:rPr>
              <w:t>Перевод в цифровую форму досье сотрудников</w:t>
            </w:r>
          </w:p>
          <w:p w14:paraId="6A579A41" w14:textId="77777777" w:rsidR="00B86204" w:rsidRPr="002F16BB" w:rsidRDefault="00B86204" w:rsidP="00016740">
            <w:pPr>
              <w:spacing w:before="20" w:after="20"/>
              <w:rPr>
                <w:sz w:val="18"/>
                <w:szCs w:val="18"/>
                <w:lang w:val="ru-RU"/>
              </w:rPr>
            </w:pPr>
            <w:r w:rsidRPr="002F16BB">
              <w:rPr>
                <w:sz w:val="18"/>
                <w:szCs w:val="18"/>
                <w:lang w:val="ru-RU"/>
              </w:rPr>
              <w:t xml:space="preserve">Хотя проведенный нами анализ соответствия данных, введенных в систему ИТ, с досье сотрудников не </w:t>
            </w:r>
            <w:r w:rsidRPr="002F16BB">
              <w:rPr>
                <w:sz w:val="18"/>
                <w:szCs w:val="18"/>
                <w:lang w:val="ru-RU"/>
              </w:rPr>
              <w:lastRenderedPageBreak/>
              <w:t>выявил каких-либо серьезных проблем, мы рекомендовали руководству начать оценку экономической эффективности перевода в цифровую форму досье сотрудников не только для предотвращения потери важных данных в результате случайного события, но и для обеспечения прямого интерфейса между досье сотрудников с SAP HR.</w:t>
            </w:r>
          </w:p>
        </w:tc>
        <w:tc>
          <w:tcPr>
            <w:tcW w:w="1362" w:type="pct"/>
            <w:tcBorders>
              <w:top w:val="single" w:sz="4" w:space="0" w:color="auto"/>
              <w:left w:val="single" w:sz="4" w:space="0" w:color="auto"/>
              <w:bottom w:val="single" w:sz="4" w:space="0" w:color="auto"/>
              <w:right w:val="single" w:sz="4" w:space="0" w:color="auto"/>
            </w:tcBorders>
          </w:tcPr>
          <w:p w14:paraId="3DC5930B" w14:textId="77777777" w:rsidR="00B86204" w:rsidRPr="002F16BB" w:rsidRDefault="00B86204" w:rsidP="00016740">
            <w:pPr>
              <w:spacing w:before="20" w:after="20"/>
              <w:rPr>
                <w:sz w:val="18"/>
                <w:szCs w:val="18"/>
                <w:lang w:val="ru-RU"/>
              </w:rPr>
            </w:pPr>
            <w:r w:rsidRPr="002F16BB">
              <w:rPr>
                <w:sz w:val="18"/>
                <w:szCs w:val="18"/>
                <w:lang w:val="ru-RU"/>
              </w:rPr>
              <w:lastRenderedPageBreak/>
              <w:t>Я принимаю к сведению данную рекомендацию и сообщаю вам, что департамент HRMD изучает эту возможность.</w:t>
            </w:r>
          </w:p>
        </w:tc>
        <w:tc>
          <w:tcPr>
            <w:tcW w:w="1363" w:type="pct"/>
            <w:tcBorders>
              <w:top w:val="single" w:sz="4" w:space="0" w:color="auto"/>
              <w:left w:val="single" w:sz="4" w:space="0" w:color="auto"/>
              <w:bottom w:val="single" w:sz="4" w:space="0" w:color="auto"/>
              <w:right w:val="single" w:sz="4" w:space="0" w:color="auto"/>
            </w:tcBorders>
          </w:tcPr>
          <w:p w14:paraId="5FA6E842" w14:textId="08EF7AE3" w:rsidR="00B86204" w:rsidRPr="002F16BB" w:rsidRDefault="00B86204" w:rsidP="00016740">
            <w:pPr>
              <w:spacing w:before="20" w:after="20"/>
              <w:rPr>
                <w:sz w:val="18"/>
                <w:szCs w:val="18"/>
                <w:lang w:val="ru-RU"/>
              </w:rPr>
            </w:pPr>
            <w:r w:rsidRPr="002F16BB">
              <w:rPr>
                <w:sz w:val="18"/>
                <w:szCs w:val="18"/>
                <w:lang w:val="ru-RU"/>
              </w:rPr>
              <w:t>Подробный концептуальный проект (DBBP) системы электронных личных дел сотрудников (ведения цифровых личных дел) был составлен 19 апреля 2013 г</w:t>
            </w:r>
            <w:r w:rsidR="00063910">
              <w:rPr>
                <w:sz w:val="18"/>
                <w:szCs w:val="18"/>
                <w:lang w:val="ru-RU"/>
              </w:rPr>
              <w:t>ода</w:t>
            </w:r>
            <w:r w:rsidRPr="002F16BB">
              <w:rPr>
                <w:sz w:val="18"/>
                <w:szCs w:val="18"/>
                <w:lang w:val="ru-RU"/>
              </w:rPr>
              <w:t>.</w:t>
            </w:r>
          </w:p>
          <w:p w14:paraId="21290EF6" w14:textId="77777777" w:rsidR="00B86204" w:rsidRPr="002F16BB" w:rsidRDefault="00B86204" w:rsidP="00016740">
            <w:pPr>
              <w:spacing w:before="20" w:after="20"/>
              <w:rPr>
                <w:sz w:val="18"/>
                <w:szCs w:val="18"/>
                <w:lang w:val="ru-RU"/>
              </w:rPr>
            </w:pPr>
            <w:r w:rsidRPr="002F16BB">
              <w:rPr>
                <w:sz w:val="18"/>
                <w:szCs w:val="18"/>
                <w:lang w:val="ru-RU"/>
              </w:rPr>
              <w:lastRenderedPageBreak/>
              <w:t xml:space="preserve">Этот DBBP включает бизнес-процессы HRAD (служба E&amp;B) и отображение структуры личного дела сотрудника (в бумажном виде). Эта система связана с SAP-ERP_HCM. </w:t>
            </w:r>
          </w:p>
          <w:p w14:paraId="3F2FA4D2" w14:textId="77777777" w:rsidR="00B86204" w:rsidRPr="002F16BB" w:rsidRDefault="00B86204" w:rsidP="00016740">
            <w:pPr>
              <w:spacing w:before="20" w:after="20"/>
              <w:rPr>
                <w:b/>
                <w:bCs/>
                <w:sz w:val="18"/>
                <w:szCs w:val="18"/>
                <w:lang w:val="ru-RU"/>
              </w:rPr>
            </w:pPr>
            <w:r w:rsidRPr="002F16BB">
              <w:rPr>
                <w:b/>
                <w:bCs/>
                <w:sz w:val="18"/>
                <w:szCs w:val="18"/>
                <w:lang w:val="ru-RU"/>
              </w:rPr>
              <w:t>Обновление, по состоянию на конец января 2015 г</w:t>
            </w:r>
            <w:r w:rsidRPr="002F16BB">
              <w:rPr>
                <w:sz w:val="18"/>
                <w:szCs w:val="18"/>
                <w:lang w:val="ru-RU"/>
              </w:rPr>
              <w:t>.:</w:t>
            </w:r>
          </w:p>
          <w:p w14:paraId="21D2E1A2" w14:textId="77777777" w:rsidR="00B86204" w:rsidRPr="002F16BB" w:rsidRDefault="00B86204" w:rsidP="00016740">
            <w:pPr>
              <w:spacing w:before="20" w:after="20"/>
              <w:rPr>
                <w:sz w:val="18"/>
                <w:szCs w:val="18"/>
                <w:lang w:val="ru-RU"/>
              </w:rPr>
            </w:pPr>
            <w:r w:rsidRPr="002F16BB">
              <w:rPr>
                <w:sz w:val="18"/>
                <w:szCs w:val="18"/>
                <w:lang w:val="ru-RU"/>
              </w:rPr>
              <w:t xml:space="preserve">Завершен первый этап создания этого инструмента. Система электронных личных дел сотрудников (ведения цифровых личных дел) теперь действует. </w:t>
            </w:r>
          </w:p>
          <w:p w14:paraId="3226D96C" w14:textId="77777777" w:rsidR="00B86204" w:rsidRPr="002F16BB" w:rsidRDefault="00B86204" w:rsidP="00016740">
            <w:pPr>
              <w:spacing w:before="20" w:after="20"/>
              <w:rPr>
                <w:sz w:val="18"/>
                <w:szCs w:val="18"/>
                <w:lang w:val="ru-RU"/>
              </w:rPr>
            </w:pPr>
            <w:r w:rsidRPr="002F16BB">
              <w:rPr>
                <w:sz w:val="18"/>
                <w:szCs w:val="18"/>
                <w:lang w:val="ru-RU"/>
              </w:rPr>
              <w:t>Следующий этап работы, касающийся HRAD (служба E&amp;B), посвящен, в основном, двум следующим различным тенденциям:</w:t>
            </w:r>
          </w:p>
          <w:p w14:paraId="176FC859"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rPr>
            </w:pPr>
            <w:r w:rsidRPr="002F16BB">
              <w:rPr>
                <w:sz w:val="18"/>
                <w:szCs w:val="18"/>
                <w:lang w:val="ru-RU"/>
              </w:rPr>
              <w:t>1)</w:t>
            </w:r>
            <w:r w:rsidRPr="002F16BB">
              <w:rPr>
                <w:sz w:val="18"/>
                <w:szCs w:val="18"/>
                <w:lang w:val="ru-RU"/>
              </w:rPr>
              <w:tab/>
              <w:t>сокращение ранее существовавших мест для хранения (шкафы, компьютеризованные справочники) для перенаправления потоков архивных документов в новую систему электронных личных дел;</w:t>
            </w:r>
          </w:p>
          <w:p w14:paraId="3665B614"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eastAsia="it-IT"/>
              </w:rPr>
            </w:pPr>
            <w:r w:rsidRPr="002F16BB">
              <w:rPr>
                <w:sz w:val="18"/>
                <w:szCs w:val="18"/>
                <w:lang w:val="ru-RU"/>
              </w:rPr>
              <w:t>2)</w:t>
            </w:r>
            <w:r w:rsidRPr="002F16BB">
              <w:rPr>
                <w:sz w:val="18"/>
                <w:szCs w:val="18"/>
                <w:lang w:val="ru-RU"/>
              </w:rPr>
              <w:tab/>
              <w:t>сокращение числа бумажных документов в результате пересмотра методов работы (повторение, дублирование, ненужные распечатки и т. д.). Всегда будут существовать бумажные документы, так как по юридическим причинам должны храниться подписанные оригиналы документов, а также для удостоверения точности информации, занесенной в SAP</w:t>
            </w:r>
            <w:r w:rsidRPr="002F16BB">
              <w:rPr>
                <w:sz w:val="18"/>
                <w:szCs w:val="18"/>
                <w:lang w:val="ru-RU"/>
              </w:rPr>
              <w:noBreakHyphen/>
              <w:t>ERP_HCM.</w:t>
            </w:r>
          </w:p>
          <w:p w14:paraId="7706FC7F"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конец января 2016 г</w:t>
            </w:r>
            <w:r w:rsidRPr="002F16BB">
              <w:rPr>
                <w:sz w:val="18"/>
                <w:szCs w:val="18"/>
                <w:lang w:val="ru-RU"/>
              </w:rPr>
              <w:t>.:</w:t>
            </w:r>
          </w:p>
          <w:p w14:paraId="62118F2B" w14:textId="77777777" w:rsidR="00B86204" w:rsidRPr="002F16BB" w:rsidRDefault="00B86204" w:rsidP="00016740">
            <w:pPr>
              <w:spacing w:before="20" w:after="20"/>
              <w:rPr>
                <w:sz w:val="18"/>
                <w:szCs w:val="18"/>
                <w:lang w:val="ru-RU"/>
              </w:rPr>
            </w:pPr>
            <w:r w:rsidRPr="002F16BB">
              <w:rPr>
                <w:sz w:val="18"/>
                <w:szCs w:val="18"/>
                <w:lang w:val="ru-RU"/>
              </w:rPr>
              <w:t>Осуществляется перевод в цифровую форму. HRMD проводит фундаментальный анализ всех своих процедур и потока документов, с тем чтобы создать инфраструктуру централизованного, организованного и безопасного управления электронной информацией в поддержку предоставления услуг HR.</w:t>
            </w:r>
          </w:p>
          <w:p w14:paraId="56AE4859" w14:textId="77777777" w:rsidR="00B86204" w:rsidRPr="002F16BB" w:rsidRDefault="00B86204" w:rsidP="00016740">
            <w:pPr>
              <w:spacing w:before="20" w:after="20"/>
              <w:rPr>
                <w:sz w:val="18"/>
                <w:szCs w:val="18"/>
                <w:lang w:val="ru-RU"/>
              </w:rPr>
            </w:pPr>
            <w:r w:rsidRPr="002F16BB">
              <w:rPr>
                <w:b/>
                <w:bCs/>
                <w:sz w:val="18"/>
                <w:szCs w:val="18"/>
                <w:lang w:val="ru-RU"/>
              </w:rPr>
              <w:lastRenderedPageBreak/>
              <w:t>Обновление, по состоянию на конец апреля 2017 г</w:t>
            </w:r>
            <w:r w:rsidRPr="002F16BB">
              <w:rPr>
                <w:sz w:val="18"/>
                <w:szCs w:val="18"/>
                <w:lang w:val="ru-RU"/>
              </w:rPr>
              <w:t>.:</w:t>
            </w:r>
          </w:p>
          <w:p w14:paraId="771A7577" w14:textId="77777777" w:rsidR="00B86204" w:rsidRPr="002F16BB" w:rsidRDefault="00B86204" w:rsidP="00016740">
            <w:pPr>
              <w:spacing w:before="20" w:after="20"/>
              <w:rPr>
                <w:sz w:val="18"/>
                <w:szCs w:val="18"/>
                <w:lang w:val="ru-RU"/>
              </w:rPr>
            </w:pPr>
            <w:r w:rsidRPr="002F16BB">
              <w:rPr>
                <w:sz w:val="18"/>
                <w:szCs w:val="18"/>
                <w:lang w:val="ru-RU"/>
              </w:rPr>
              <w:t>Этот проект все еще находится на этапе осуществления. Как и прогнозировалось, его реализацией занимается один сотрудник Департамента HRM.</w:t>
            </w:r>
          </w:p>
          <w:p w14:paraId="4D194F17" w14:textId="77777777" w:rsidR="00B86204" w:rsidRPr="002F16BB" w:rsidRDefault="00B86204" w:rsidP="00016740">
            <w:pPr>
              <w:spacing w:before="20" w:after="20"/>
              <w:rPr>
                <w:sz w:val="18"/>
                <w:szCs w:val="18"/>
                <w:lang w:val="ru-RU"/>
              </w:rPr>
            </w:pPr>
            <w:r w:rsidRPr="002F16BB">
              <w:rPr>
                <w:b/>
                <w:bCs/>
                <w:sz w:val="18"/>
                <w:szCs w:val="18"/>
                <w:lang w:val="ru-RU"/>
              </w:rPr>
              <w:t>Обновление, по состоянию на апрель 2018 г</w:t>
            </w:r>
            <w:r w:rsidRPr="002F16BB">
              <w:rPr>
                <w:sz w:val="18"/>
                <w:szCs w:val="18"/>
                <w:lang w:val="ru-RU"/>
              </w:rPr>
              <w:t>.:</w:t>
            </w:r>
          </w:p>
          <w:p w14:paraId="5EFBFEBE" w14:textId="77777777" w:rsidR="00B86204" w:rsidRPr="002F16BB" w:rsidRDefault="00B86204" w:rsidP="00016740">
            <w:pPr>
              <w:pStyle w:val="Tabletext"/>
              <w:spacing w:before="20" w:after="20"/>
              <w:rPr>
                <w:sz w:val="18"/>
                <w:szCs w:val="18"/>
                <w:lang w:val="ru-RU"/>
              </w:rPr>
            </w:pPr>
            <w:r w:rsidRPr="002F16BB">
              <w:rPr>
                <w:sz w:val="18"/>
                <w:szCs w:val="18"/>
                <w:lang w:val="ru-RU"/>
              </w:rPr>
              <w:t>Завершена подготовительная работа для перевода данных. В то же время требуются дальнейшие обсуждения с Департаментом IS для внедрения надежной архитектуры и системы управления информацией, в том числе возможности установления связи с системой SAP-HR ERP.</w:t>
            </w:r>
          </w:p>
          <w:p w14:paraId="0468B39E" w14:textId="405560C4"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декабрь 2018</w:t>
            </w:r>
            <w:r w:rsidR="0006391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3FBF59CA" w14:textId="77777777" w:rsidR="00B86204" w:rsidRPr="002F16BB" w:rsidRDefault="00B86204" w:rsidP="00016740">
            <w:pPr>
              <w:pStyle w:val="Tabletext"/>
              <w:spacing w:before="20" w:after="20"/>
              <w:rPr>
                <w:sz w:val="18"/>
                <w:szCs w:val="18"/>
                <w:lang w:val="ru-RU" w:eastAsia="it-IT"/>
              </w:rPr>
            </w:pPr>
            <w:r w:rsidRPr="002F16BB">
              <w:rPr>
                <w:sz w:val="18"/>
                <w:szCs w:val="18"/>
                <w:lang w:val="ru-RU" w:eastAsia="it-IT"/>
              </w:rPr>
              <w:t xml:space="preserve">Предыдущие замечания сохраняют свою силу. Кроме того, в новый СП ЛР в целях налаживания процесса предоставления услуг в области ЛР, ориентированных на высокие достижения, будут включены следующие направления деятельности: </w:t>
            </w:r>
          </w:p>
          <w:p w14:paraId="2AE4665D"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rPr>
            </w:pPr>
            <w:r w:rsidRPr="002F16BB">
              <w:rPr>
                <w:sz w:val="18"/>
                <w:szCs w:val="18"/>
                <w:lang w:val="ru-RU" w:eastAsia="it-IT"/>
              </w:rPr>
              <w:t>•</w:t>
            </w:r>
            <w:r w:rsidRPr="002F16BB">
              <w:rPr>
                <w:sz w:val="18"/>
                <w:szCs w:val="18"/>
                <w:lang w:val="ru-RU" w:eastAsia="it-IT"/>
              </w:rPr>
              <w:tab/>
              <w:t xml:space="preserve">упорядоченные и целостные услуги в области ЛР (упрощение рабочих потоков и процессов, содействие созданию безбумажной рабочей среды и разработка бизнес-планов и программ, ориентированных на клиентов); </w:t>
            </w:r>
          </w:p>
          <w:p w14:paraId="1737B84F"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rPr>
            </w:pPr>
            <w:r w:rsidRPr="002F16BB">
              <w:rPr>
                <w:sz w:val="18"/>
                <w:szCs w:val="18"/>
                <w:lang w:val="ru-RU"/>
              </w:rPr>
              <w:t>•</w:t>
            </w:r>
            <w:r w:rsidRPr="002F16BB">
              <w:rPr>
                <w:sz w:val="18"/>
                <w:szCs w:val="18"/>
                <w:lang w:val="ru-RU"/>
              </w:rPr>
              <w:tab/>
              <w:t xml:space="preserve">инновационное, оптимизированное и интегрированное ERP, которое постепенно обеспечит поддержку всех типов процессов в области ЛР и предоставит целый ряд новых функциональных возможностей, повышающих эффективность этих операций; </w:t>
            </w:r>
          </w:p>
          <w:p w14:paraId="4FA65CDB" w14:textId="77777777" w:rsidR="00B86204" w:rsidRPr="002F16BB" w:rsidRDefault="00B86204" w:rsidP="00016740">
            <w:pPr>
              <w:tabs>
                <w:tab w:val="clear" w:pos="794"/>
                <w:tab w:val="clear" w:pos="1191"/>
                <w:tab w:val="clear" w:pos="1588"/>
                <w:tab w:val="clear" w:pos="1985"/>
                <w:tab w:val="left" w:pos="284"/>
              </w:tabs>
              <w:spacing w:before="20" w:after="20"/>
              <w:ind w:left="284" w:hanging="284"/>
              <w:rPr>
                <w:sz w:val="18"/>
                <w:szCs w:val="18"/>
                <w:lang w:val="ru-RU" w:eastAsia="it-IT"/>
              </w:rPr>
            </w:pPr>
            <w:r w:rsidRPr="002F16BB">
              <w:rPr>
                <w:sz w:val="18"/>
                <w:szCs w:val="18"/>
                <w:lang w:val="ru-RU"/>
              </w:rPr>
              <w:t>•</w:t>
            </w:r>
            <w:r w:rsidRPr="002F16BB">
              <w:rPr>
                <w:sz w:val="18"/>
                <w:szCs w:val="18"/>
                <w:lang w:val="ru-RU"/>
              </w:rPr>
              <w:tab/>
              <w:t xml:space="preserve">эффективное использование данных и аналитических материалов в области ЛР, которые могут быть преобразованы в значимую информацию и увязаны с </w:t>
            </w:r>
            <w:r w:rsidRPr="002F16BB">
              <w:rPr>
                <w:sz w:val="18"/>
                <w:szCs w:val="18"/>
                <w:lang w:val="ru-RU"/>
              </w:rPr>
              <w:lastRenderedPageBreak/>
              <w:t>соответствующими действиями в области ЛР, а также в условиях глобальной цифровизации функций в области ЛР.</w:t>
            </w:r>
          </w:p>
          <w:p w14:paraId="3C451334" w14:textId="77777777" w:rsidR="00B86204" w:rsidRPr="002F16BB" w:rsidRDefault="00B86204" w:rsidP="00016740">
            <w:pPr>
              <w:pStyle w:val="Tabletext"/>
              <w:spacing w:before="20" w:after="20"/>
              <w:rPr>
                <w:sz w:val="18"/>
                <w:szCs w:val="18"/>
                <w:lang w:val="ru-RU" w:eastAsia="it-IT"/>
              </w:rPr>
            </w:pPr>
            <w:r w:rsidRPr="002F16BB">
              <w:rPr>
                <w:b/>
                <w:bCs/>
                <w:sz w:val="18"/>
                <w:szCs w:val="18"/>
                <w:lang w:val="ru-RU" w:eastAsia="it-IT"/>
              </w:rPr>
              <w:t>Обновление, по состоянию на апрель 2019 г</w:t>
            </w:r>
            <w:r w:rsidRPr="002F16BB">
              <w:rPr>
                <w:sz w:val="18"/>
                <w:szCs w:val="18"/>
                <w:lang w:val="ru-RU" w:eastAsia="it-IT"/>
              </w:rPr>
              <w:t>.:</w:t>
            </w:r>
          </w:p>
          <w:p w14:paraId="40FE7CF8" w14:textId="77777777" w:rsidR="00B86204" w:rsidRPr="002F16BB" w:rsidRDefault="00B86204" w:rsidP="00016740">
            <w:pPr>
              <w:spacing w:before="20" w:after="20"/>
              <w:rPr>
                <w:sz w:val="18"/>
                <w:szCs w:val="18"/>
                <w:lang w:val="ru-RU" w:eastAsia="it-IT"/>
              </w:rPr>
            </w:pPr>
            <w:r w:rsidRPr="002F16BB">
              <w:rPr>
                <w:sz w:val="18"/>
                <w:szCs w:val="18"/>
                <w:lang w:val="ru-RU" w:eastAsia="it-IT"/>
              </w:rPr>
              <w:t>(См. рекомендацию 3/2017, выше.)</w:t>
            </w:r>
          </w:p>
          <w:p w14:paraId="7E0D1014" w14:textId="6B1C51A3" w:rsidR="00B86204" w:rsidRPr="002F16BB" w:rsidRDefault="00B86204" w:rsidP="00016740">
            <w:pPr>
              <w:spacing w:before="20" w:after="20"/>
              <w:rPr>
                <w:sz w:val="18"/>
                <w:szCs w:val="18"/>
                <w:lang w:val="ru-RU" w:eastAsia="it-IT"/>
              </w:rPr>
            </w:pPr>
            <w:r w:rsidRPr="002F16BB">
              <w:rPr>
                <w:b/>
                <w:bCs/>
                <w:sz w:val="18"/>
                <w:szCs w:val="18"/>
                <w:lang w:val="ru-RU" w:eastAsia="it-IT"/>
              </w:rPr>
              <w:t>Обновление, по состоянию на сентябрь 2020</w:t>
            </w:r>
            <w:r w:rsidR="0006391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562ED53D" w14:textId="77777777" w:rsidR="00B86204" w:rsidRPr="002F16BB" w:rsidRDefault="00B86204" w:rsidP="00016740">
            <w:pPr>
              <w:pStyle w:val="Tabletext"/>
              <w:spacing w:before="20" w:after="20"/>
              <w:rPr>
                <w:sz w:val="18"/>
                <w:szCs w:val="18"/>
                <w:lang w:val="ru-RU"/>
              </w:rPr>
            </w:pPr>
            <w:r w:rsidRPr="002F16BB">
              <w:rPr>
                <w:sz w:val="18"/>
                <w:szCs w:val="18"/>
                <w:lang w:val="ru-RU"/>
              </w:rPr>
              <w:t>См. комментарии в отношении рекомендаций</w:t>
            </w:r>
            <w:r>
              <w:rPr>
                <w:sz w:val="18"/>
                <w:szCs w:val="18"/>
                <w:lang w:val="ru-RU"/>
              </w:rPr>
              <w:t> </w:t>
            </w:r>
            <w:r w:rsidRPr="002F16BB">
              <w:rPr>
                <w:sz w:val="18"/>
                <w:szCs w:val="18"/>
                <w:lang w:val="ru-RU"/>
              </w:rPr>
              <w:t>2/2017 и 3/2017.</w:t>
            </w:r>
          </w:p>
        </w:tc>
        <w:tc>
          <w:tcPr>
            <w:tcW w:w="720" w:type="pct"/>
            <w:tcBorders>
              <w:top w:val="single" w:sz="4" w:space="0" w:color="auto"/>
              <w:left w:val="single" w:sz="4" w:space="0" w:color="auto"/>
              <w:bottom w:val="single" w:sz="4" w:space="0" w:color="auto"/>
              <w:right w:val="single" w:sz="4" w:space="0" w:color="auto"/>
            </w:tcBorders>
          </w:tcPr>
          <w:p w14:paraId="5DB7564E" w14:textId="12ED7D23" w:rsidR="00B86204" w:rsidRPr="002F16BB" w:rsidRDefault="00B86204" w:rsidP="00016740">
            <w:pPr>
              <w:pStyle w:val="Tabletext"/>
              <w:spacing w:before="20" w:after="20"/>
              <w:rPr>
                <w:sz w:val="18"/>
                <w:szCs w:val="18"/>
                <w:lang w:val="ru-RU" w:eastAsia="it-IT"/>
              </w:rPr>
            </w:pPr>
            <w:r w:rsidRPr="002F16BB">
              <w:rPr>
                <w:sz w:val="18"/>
                <w:szCs w:val="18"/>
                <w:lang w:val="ru-RU"/>
              </w:rPr>
              <w:lastRenderedPageBreak/>
              <w:t>Заменена рекомендациями</w:t>
            </w:r>
            <w:r w:rsidR="00063910">
              <w:rPr>
                <w:sz w:val="18"/>
                <w:szCs w:val="18"/>
                <w:lang w:val="ru-RU"/>
              </w:rPr>
              <w:t> </w:t>
            </w:r>
            <w:r w:rsidRPr="002F16BB">
              <w:rPr>
                <w:sz w:val="18"/>
                <w:szCs w:val="18"/>
                <w:lang w:val="ru-RU"/>
              </w:rPr>
              <w:t>2/2017 и 3/2017</w:t>
            </w:r>
            <w:r>
              <w:rPr>
                <w:sz w:val="18"/>
                <w:szCs w:val="18"/>
                <w:lang w:val="ru-RU"/>
              </w:rPr>
              <w:t>.</w:t>
            </w:r>
          </w:p>
        </w:tc>
      </w:tr>
    </w:tbl>
    <w:p w14:paraId="3509288F" w14:textId="77777777" w:rsidR="00B86204" w:rsidRPr="002F16BB" w:rsidRDefault="00B86204" w:rsidP="00016740">
      <w:pPr>
        <w:rPr>
          <w:lang w:val="ru-RU"/>
        </w:rPr>
      </w:pPr>
      <w:r w:rsidRPr="002F16BB">
        <w:rPr>
          <w:lang w:val="ru-RU"/>
        </w:rPr>
        <w:lastRenderedPageBreak/>
        <w:br w:type="page"/>
      </w:r>
    </w:p>
    <w:p w14:paraId="3B65BF14" w14:textId="77777777" w:rsidR="00B86204" w:rsidRPr="002F16BB" w:rsidRDefault="00B86204" w:rsidP="00016740">
      <w:pPr>
        <w:pStyle w:val="AnnexNo"/>
        <w:rPr>
          <w:lang w:val="ru-RU"/>
        </w:rPr>
      </w:pPr>
      <w:bookmarkStart w:id="444" w:name="_Toc418501349"/>
      <w:bookmarkStart w:id="445" w:name="_Toc418861210"/>
      <w:bookmarkStart w:id="446" w:name="_Toc450158134"/>
      <w:bookmarkStart w:id="447" w:name="_Toc450323565"/>
      <w:bookmarkStart w:id="448" w:name="_Toc450991504"/>
      <w:bookmarkStart w:id="449" w:name="_Toc452157346"/>
      <w:bookmarkStart w:id="450" w:name="_Toc482995220"/>
      <w:bookmarkStart w:id="451" w:name="_Toc10817508"/>
      <w:bookmarkStart w:id="452" w:name="_Toc56180424"/>
      <w:r w:rsidRPr="002F16BB">
        <w:rPr>
          <w:lang w:val="ru-RU"/>
        </w:rPr>
        <w:lastRenderedPageBreak/>
        <w:t>Приложение II</w:t>
      </w:r>
      <w:bookmarkEnd w:id="444"/>
      <w:bookmarkEnd w:id="445"/>
      <w:bookmarkEnd w:id="446"/>
      <w:bookmarkEnd w:id="447"/>
      <w:bookmarkEnd w:id="448"/>
      <w:bookmarkEnd w:id="449"/>
      <w:bookmarkEnd w:id="450"/>
      <w:bookmarkEnd w:id="451"/>
      <w:bookmarkEnd w:id="452"/>
    </w:p>
    <w:p w14:paraId="496046E5" w14:textId="77777777" w:rsidR="00B86204" w:rsidRPr="002F16BB" w:rsidRDefault="00B86204" w:rsidP="00016740">
      <w:pPr>
        <w:pStyle w:val="Annextitle"/>
        <w:rPr>
          <w:lang w:val="ru-RU"/>
        </w:rPr>
      </w:pPr>
      <w:bookmarkStart w:id="453" w:name="_Toc452157349"/>
      <w:bookmarkStart w:id="454" w:name="_Toc482995223"/>
      <w:bookmarkStart w:id="455" w:name="_Toc56180425"/>
      <w:r w:rsidRPr="002F16BB">
        <w:rPr>
          <w:lang w:val="ru-RU"/>
        </w:rPr>
        <w:t>Последующие меры в связи с предложениями, представленными в наших предыдущих отчетах</w:t>
      </w:r>
      <w:bookmarkEnd w:id="453"/>
      <w:bookmarkEnd w:id="454"/>
      <w:bookmarkEnd w:id="455"/>
    </w:p>
    <w:tbl>
      <w:tblPr>
        <w:tblW w:w="5000" w:type="pct"/>
        <w:tblLayout w:type="fixed"/>
        <w:tblCellMar>
          <w:left w:w="85" w:type="dxa"/>
          <w:right w:w="85" w:type="dxa"/>
        </w:tblCellMar>
        <w:tblLook w:val="0000" w:firstRow="0" w:lastRow="0" w:firstColumn="0" w:lastColumn="0" w:noHBand="0" w:noVBand="0"/>
      </w:tblPr>
      <w:tblGrid>
        <w:gridCol w:w="950"/>
        <w:gridCol w:w="3402"/>
        <w:gridCol w:w="3822"/>
        <w:gridCol w:w="3805"/>
        <w:gridCol w:w="2009"/>
      </w:tblGrid>
      <w:tr w:rsidR="00B86204" w:rsidRPr="00FE280E" w14:paraId="00C1ED21" w14:textId="77777777" w:rsidTr="00016740">
        <w:trPr>
          <w:tblHeader/>
        </w:trPr>
        <w:tc>
          <w:tcPr>
            <w:tcW w:w="340" w:type="pct"/>
            <w:tcBorders>
              <w:top w:val="single" w:sz="4" w:space="0" w:color="auto"/>
              <w:left w:val="single" w:sz="4" w:space="0" w:color="auto"/>
              <w:bottom w:val="single" w:sz="4" w:space="0" w:color="auto"/>
              <w:right w:val="single" w:sz="4" w:space="0" w:color="auto"/>
            </w:tcBorders>
          </w:tcPr>
          <w:p w14:paraId="0D8C96DC" w14:textId="77777777" w:rsidR="00B86204" w:rsidRPr="002F16BB" w:rsidRDefault="00B86204" w:rsidP="00016740">
            <w:pPr>
              <w:spacing w:before="80" w:after="80"/>
              <w:jc w:val="center"/>
              <w:rPr>
                <w:b/>
                <w:bCs/>
                <w:sz w:val="18"/>
                <w:szCs w:val="18"/>
                <w:lang w:val="ru-RU"/>
              </w:rPr>
            </w:pPr>
          </w:p>
        </w:tc>
        <w:tc>
          <w:tcPr>
            <w:tcW w:w="1216" w:type="pct"/>
            <w:tcBorders>
              <w:top w:val="single" w:sz="4" w:space="0" w:color="auto"/>
              <w:left w:val="single" w:sz="4" w:space="0" w:color="auto"/>
              <w:bottom w:val="single" w:sz="4" w:space="0" w:color="auto"/>
              <w:right w:val="single" w:sz="4" w:space="0" w:color="auto"/>
            </w:tcBorders>
            <w:vAlign w:val="center"/>
          </w:tcPr>
          <w:p w14:paraId="65843D54" w14:textId="77777777" w:rsidR="00B86204" w:rsidRPr="002F16BB" w:rsidRDefault="00B86204" w:rsidP="00016740">
            <w:pPr>
              <w:spacing w:before="80" w:after="80"/>
              <w:jc w:val="center"/>
              <w:rPr>
                <w:b/>
                <w:bCs/>
                <w:sz w:val="18"/>
                <w:szCs w:val="18"/>
                <w:lang w:val="ru-RU"/>
              </w:rPr>
            </w:pPr>
            <w:r w:rsidRPr="002F16BB">
              <w:rPr>
                <w:b/>
                <w:bCs/>
                <w:sz w:val="18"/>
                <w:szCs w:val="18"/>
                <w:lang w:val="ru-RU"/>
              </w:rPr>
              <w:t>Предложение, сделанное Государственной счетной палатой Италии</w:t>
            </w:r>
          </w:p>
        </w:tc>
        <w:tc>
          <w:tcPr>
            <w:tcW w:w="1366" w:type="pct"/>
            <w:tcBorders>
              <w:top w:val="single" w:sz="4" w:space="0" w:color="auto"/>
              <w:left w:val="single" w:sz="4" w:space="0" w:color="auto"/>
              <w:bottom w:val="single" w:sz="4" w:space="0" w:color="auto"/>
              <w:right w:val="single" w:sz="4" w:space="0" w:color="auto"/>
            </w:tcBorders>
            <w:vAlign w:val="center"/>
          </w:tcPr>
          <w:p w14:paraId="1D319D54" w14:textId="77777777" w:rsidR="00B86204" w:rsidRPr="002F16BB" w:rsidRDefault="00B86204" w:rsidP="00016740">
            <w:pPr>
              <w:spacing w:before="80" w:after="80"/>
              <w:jc w:val="center"/>
              <w:rPr>
                <w:b/>
                <w:bCs/>
                <w:sz w:val="18"/>
                <w:szCs w:val="18"/>
                <w:lang w:val="ru-RU"/>
              </w:rPr>
            </w:pPr>
            <w:r w:rsidRPr="002F16BB">
              <w:rPr>
                <w:b/>
                <w:bCs/>
                <w:sz w:val="18"/>
                <w:szCs w:val="18"/>
                <w:lang w:val="ru-RU"/>
              </w:rPr>
              <w:t>Комментарии, полученные от Генерального секретаря, на дату опубликования аудиторского отчета</w:t>
            </w:r>
          </w:p>
        </w:tc>
        <w:tc>
          <w:tcPr>
            <w:tcW w:w="1360" w:type="pct"/>
            <w:tcBorders>
              <w:top w:val="single" w:sz="4" w:space="0" w:color="auto"/>
              <w:left w:val="single" w:sz="4" w:space="0" w:color="auto"/>
              <w:bottom w:val="single" w:sz="4" w:space="0" w:color="auto"/>
              <w:right w:val="single" w:sz="4" w:space="0" w:color="auto"/>
            </w:tcBorders>
            <w:vAlign w:val="center"/>
          </w:tcPr>
          <w:p w14:paraId="136D62E1" w14:textId="77777777" w:rsidR="00B86204" w:rsidRPr="002F16BB" w:rsidRDefault="00B86204" w:rsidP="00016740">
            <w:pPr>
              <w:spacing w:before="80" w:after="80"/>
              <w:jc w:val="center"/>
              <w:rPr>
                <w:b/>
                <w:bCs/>
                <w:sz w:val="18"/>
                <w:szCs w:val="18"/>
                <w:lang w:val="ru-RU"/>
              </w:rPr>
            </w:pPr>
            <w:r w:rsidRPr="002F16BB">
              <w:rPr>
                <w:b/>
                <w:bCs/>
                <w:sz w:val="18"/>
                <w:szCs w:val="18"/>
                <w:lang w:val="ru-RU"/>
              </w:rPr>
              <w:t xml:space="preserve">Статус выполнения по сообщению </w:t>
            </w:r>
            <w:r w:rsidRPr="002F16BB">
              <w:rPr>
                <w:b/>
                <w:bCs/>
                <w:sz w:val="18"/>
                <w:szCs w:val="18"/>
                <w:lang w:val="ru-RU"/>
              </w:rPr>
              <w:br/>
              <w:t>руководства МСЭ</w:t>
            </w:r>
          </w:p>
        </w:tc>
        <w:tc>
          <w:tcPr>
            <w:tcW w:w="718" w:type="pct"/>
            <w:tcBorders>
              <w:top w:val="single" w:sz="4" w:space="0" w:color="auto"/>
              <w:left w:val="single" w:sz="4" w:space="0" w:color="auto"/>
              <w:bottom w:val="single" w:sz="4" w:space="0" w:color="auto"/>
              <w:right w:val="single" w:sz="4" w:space="0" w:color="auto"/>
            </w:tcBorders>
            <w:vAlign w:val="center"/>
          </w:tcPr>
          <w:p w14:paraId="66771087" w14:textId="77777777" w:rsidR="00B86204" w:rsidRPr="002F16BB" w:rsidRDefault="00B86204" w:rsidP="00016740">
            <w:pPr>
              <w:spacing w:before="80" w:after="80"/>
              <w:jc w:val="center"/>
              <w:rPr>
                <w:b/>
                <w:bCs/>
                <w:sz w:val="18"/>
                <w:szCs w:val="18"/>
                <w:lang w:val="ru-RU"/>
              </w:rPr>
            </w:pPr>
            <w:r w:rsidRPr="002F16BB">
              <w:rPr>
                <w:b/>
                <w:bCs/>
                <w:sz w:val="18"/>
                <w:szCs w:val="18"/>
                <w:lang w:val="ru-RU"/>
              </w:rPr>
              <w:t>Статус, по оценке Государственной счетной палаты Италии</w:t>
            </w:r>
          </w:p>
        </w:tc>
      </w:tr>
      <w:tr w:rsidR="00B86204" w:rsidRPr="002F16BB" w14:paraId="332C8444" w14:textId="77777777" w:rsidTr="00016740">
        <w:tc>
          <w:tcPr>
            <w:tcW w:w="340" w:type="pct"/>
            <w:tcBorders>
              <w:top w:val="single" w:sz="4" w:space="0" w:color="auto"/>
              <w:left w:val="single" w:sz="4" w:space="0" w:color="auto"/>
              <w:bottom w:val="single" w:sz="4" w:space="0" w:color="auto"/>
              <w:right w:val="single" w:sz="4" w:space="0" w:color="auto"/>
            </w:tcBorders>
          </w:tcPr>
          <w:p w14:paraId="2AB2B58D" w14:textId="77777777" w:rsidR="00B86204" w:rsidRPr="002F16BB" w:rsidRDefault="00B86204" w:rsidP="00016740">
            <w:pPr>
              <w:spacing w:before="40" w:after="40"/>
              <w:jc w:val="center"/>
              <w:rPr>
                <w:b/>
                <w:bCs/>
                <w:sz w:val="18"/>
                <w:szCs w:val="18"/>
                <w:lang w:val="ru-RU"/>
              </w:rPr>
            </w:pPr>
            <w:r w:rsidRPr="002F16BB">
              <w:rPr>
                <w:b/>
                <w:bCs/>
                <w:sz w:val="18"/>
                <w:szCs w:val="18"/>
                <w:lang w:val="ru-RU"/>
              </w:rPr>
              <w:t>Предл. 1/2018</w:t>
            </w:r>
          </w:p>
        </w:tc>
        <w:tc>
          <w:tcPr>
            <w:tcW w:w="1216" w:type="pct"/>
            <w:tcBorders>
              <w:top w:val="single" w:sz="4" w:space="0" w:color="auto"/>
              <w:left w:val="single" w:sz="4" w:space="0" w:color="auto"/>
              <w:bottom w:val="single" w:sz="4" w:space="0" w:color="auto"/>
              <w:right w:val="single" w:sz="4" w:space="0" w:color="auto"/>
            </w:tcBorders>
          </w:tcPr>
          <w:p w14:paraId="24EB9C4C" w14:textId="77777777" w:rsidR="00B86204" w:rsidRPr="002F16BB" w:rsidRDefault="00B86204" w:rsidP="00016740">
            <w:pPr>
              <w:spacing w:before="40" w:after="40"/>
              <w:rPr>
                <w:sz w:val="18"/>
                <w:szCs w:val="18"/>
                <w:lang w:val="ru-RU"/>
              </w:rPr>
            </w:pPr>
            <w:r w:rsidRPr="002F16BB">
              <w:rPr>
                <w:sz w:val="18"/>
                <w:szCs w:val="18"/>
                <w:lang w:val="ru-RU"/>
              </w:rPr>
              <w:t>Мы предлагаем руководству продолжать деятельность по согласованию с Членами Секторов и Ассоциированными членами планов погашения задолженностей.</w:t>
            </w:r>
          </w:p>
        </w:tc>
        <w:tc>
          <w:tcPr>
            <w:tcW w:w="1366" w:type="pct"/>
            <w:tcBorders>
              <w:top w:val="single" w:sz="4" w:space="0" w:color="auto"/>
              <w:left w:val="single" w:sz="4" w:space="0" w:color="auto"/>
              <w:bottom w:val="single" w:sz="4" w:space="0" w:color="auto"/>
              <w:right w:val="single" w:sz="4" w:space="0" w:color="auto"/>
            </w:tcBorders>
          </w:tcPr>
          <w:p w14:paraId="7DD7C5D1" w14:textId="77777777" w:rsidR="00B86204" w:rsidRPr="002F16BB" w:rsidRDefault="00B86204" w:rsidP="00016740">
            <w:pPr>
              <w:spacing w:before="40" w:after="40"/>
              <w:rPr>
                <w:sz w:val="18"/>
                <w:szCs w:val="18"/>
                <w:lang w:val="ru-RU"/>
              </w:rPr>
            </w:pPr>
            <w:r w:rsidRPr="002F16BB">
              <w:rPr>
                <w:sz w:val="18"/>
                <w:szCs w:val="18"/>
                <w:lang w:val="ru-RU"/>
              </w:rPr>
              <w:t>Руководство тесно взаимодействует с Государствами-Членами с целью сокращения задолженности Членов Секторов и Ассоциированных Членов. Эта конкретная задолженность уменьшилась в 2018 году на 24%. Оставшаяся задолженность относится в основном к неактивным Членам Секторов и Ассоциированным членам, которые уже исключены из списка членов. Руководство не может принять решение, оно может только предложить подписать соглашение о погашении задолженности.</w:t>
            </w:r>
          </w:p>
        </w:tc>
        <w:tc>
          <w:tcPr>
            <w:tcW w:w="1360" w:type="pct"/>
            <w:tcBorders>
              <w:top w:val="single" w:sz="4" w:space="0" w:color="auto"/>
              <w:left w:val="single" w:sz="4" w:space="0" w:color="auto"/>
              <w:bottom w:val="single" w:sz="4" w:space="0" w:color="auto"/>
              <w:right w:val="single" w:sz="4" w:space="0" w:color="auto"/>
            </w:tcBorders>
          </w:tcPr>
          <w:p w14:paraId="59CCDFF1" w14:textId="77777777" w:rsidR="00B86204" w:rsidRPr="002F16BB" w:rsidRDefault="00B86204" w:rsidP="00016740">
            <w:pPr>
              <w:spacing w:before="40" w:after="40"/>
              <w:rPr>
                <w:sz w:val="18"/>
                <w:szCs w:val="18"/>
                <w:lang w:val="ru-RU"/>
              </w:rPr>
            </w:pPr>
            <w:r w:rsidRPr="002F16BB">
              <w:rPr>
                <w:b/>
                <w:bCs/>
                <w:sz w:val="18"/>
                <w:szCs w:val="18"/>
                <w:lang w:val="ru-RU"/>
              </w:rPr>
              <w:t>Январь 2020 г</w:t>
            </w:r>
            <w:r w:rsidRPr="002F16BB">
              <w:rPr>
                <w:sz w:val="18"/>
                <w:szCs w:val="18"/>
                <w:lang w:val="ru-RU"/>
              </w:rPr>
              <w:t>.:</w:t>
            </w:r>
          </w:p>
          <w:p w14:paraId="23B81045" w14:textId="77777777" w:rsidR="00B86204" w:rsidRPr="002F16BB" w:rsidRDefault="00B86204" w:rsidP="00016740">
            <w:pPr>
              <w:spacing w:before="40" w:after="40"/>
              <w:rPr>
                <w:sz w:val="18"/>
                <w:szCs w:val="18"/>
                <w:lang w:val="ru-RU"/>
              </w:rPr>
            </w:pPr>
            <w:r w:rsidRPr="002F16BB">
              <w:rPr>
                <w:color w:val="000000"/>
                <w:sz w:val="18"/>
                <w:szCs w:val="18"/>
                <w:lang w:val="ru-RU"/>
              </w:rPr>
              <w:t>Руководство тесно взаимодействует с Государствами-Членами с целью сокращения задолженности Членов Секторов и Ассоциированных Членов</w:t>
            </w:r>
            <w:r w:rsidRPr="002F16BB">
              <w:rPr>
                <w:sz w:val="18"/>
                <w:szCs w:val="18"/>
                <w:lang w:val="ru-RU"/>
              </w:rPr>
              <w:t>.</w:t>
            </w:r>
          </w:p>
          <w:p w14:paraId="6754FA3C" w14:textId="77777777" w:rsidR="00B86204" w:rsidRPr="002F16BB" w:rsidRDefault="00B86204" w:rsidP="00016740">
            <w:pPr>
              <w:spacing w:before="40" w:after="40"/>
              <w:rPr>
                <w:sz w:val="18"/>
                <w:szCs w:val="18"/>
                <w:lang w:val="ru-RU"/>
              </w:rPr>
            </w:pPr>
            <w:r w:rsidRPr="002F16BB">
              <w:rPr>
                <w:sz w:val="18"/>
                <w:szCs w:val="18"/>
                <w:lang w:val="ru-RU"/>
              </w:rPr>
              <w:t>Руководство не может принять решение, оно может только предложить подписать соглашение о погашении задолженности.</w:t>
            </w:r>
          </w:p>
          <w:p w14:paraId="4210C177" w14:textId="7342CB57" w:rsidR="00B86204" w:rsidRPr="002F16BB" w:rsidRDefault="00B86204" w:rsidP="00016740">
            <w:pPr>
              <w:spacing w:before="40" w:after="40"/>
              <w:rPr>
                <w:sz w:val="18"/>
                <w:szCs w:val="18"/>
                <w:lang w:val="ru-RU"/>
              </w:rPr>
            </w:pPr>
            <w:r w:rsidRPr="002F16BB">
              <w:rPr>
                <w:b/>
                <w:bCs/>
                <w:sz w:val="18"/>
                <w:szCs w:val="18"/>
                <w:lang w:val="ru-RU" w:eastAsia="it-IT"/>
              </w:rPr>
              <w:t>Обновление, по состоянию на сентябрь 2020</w:t>
            </w:r>
            <w:r w:rsidR="00063910">
              <w:rPr>
                <w:b/>
                <w:bCs/>
                <w:sz w:val="18"/>
                <w:szCs w:val="18"/>
                <w:lang w:val="ru-RU" w:eastAsia="it-IT"/>
              </w:rPr>
              <w:t> </w:t>
            </w:r>
            <w:r w:rsidRPr="002F16BB">
              <w:rPr>
                <w:b/>
                <w:bCs/>
                <w:sz w:val="18"/>
                <w:szCs w:val="18"/>
                <w:lang w:val="ru-RU" w:eastAsia="it-IT"/>
              </w:rPr>
              <w:t>г</w:t>
            </w:r>
            <w:r w:rsidRPr="002F16BB">
              <w:rPr>
                <w:sz w:val="18"/>
                <w:szCs w:val="18"/>
                <w:lang w:val="ru-RU" w:eastAsia="it-IT"/>
              </w:rPr>
              <w:t>.:</w:t>
            </w:r>
          </w:p>
          <w:p w14:paraId="17DABAC4" w14:textId="77777777" w:rsidR="00B86204" w:rsidRPr="002F16BB" w:rsidRDefault="00B86204" w:rsidP="00016740">
            <w:pPr>
              <w:spacing w:before="40" w:after="40"/>
              <w:rPr>
                <w:sz w:val="18"/>
                <w:szCs w:val="18"/>
                <w:lang w:val="ru-RU"/>
              </w:rPr>
            </w:pPr>
            <w:r w:rsidRPr="002F16BB">
              <w:rPr>
                <w:color w:val="000000"/>
                <w:sz w:val="18"/>
                <w:szCs w:val="18"/>
                <w:lang w:val="ru-RU"/>
              </w:rPr>
              <w:t>Дополнительных замечаний не поступило</w:t>
            </w:r>
            <w:r w:rsidRPr="002F16BB">
              <w:rPr>
                <w:sz w:val="18"/>
                <w:szCs w:val="18"/>
                <w:lang w:val="ru-RU"/>
              </w:rPr>
              <w:t>. См.</w:t>
            </w:r>
            <w:r>
              <w:rPr>
                <w:sz w:val="18"/>
                <w:szCs w:val="18"/>
                <w:lang w:val="ru-RU"/>
              </w:rPr>
              <w:t> </w:t>
            </w:r>
            <w:r w:rsidRPr="002F16BB">
              <w:rPr>
                <w:sz w:val="18"/>
                <w:szCs w:val="18"/>
                <w:lang w:val="ru-RU"/>
              </w:rPr>
              <w:t>выше.</w:t>
            </w:r>
          </w:p>
        </w:tc>
        <w:tc>
          <w:tcPr>
            <w:tcW w:w="718" w:type="pct"/>
            <w:tcBorders>
              <w:top w:val="single" w:sz="4" w:space="0" w:color="auto"/>
              <w:left w:val="single" w:sz="4" w:space="0" w:color="auto"/>
              <w:bottom w:val="single" w:sz="4" w:space="0" w:color="auto"/>
              <w:right w:val="single" w:sz="4" w:space="0" w:color="auto"/>
            </w:tcBorders>
          </w:tcPr>
          <w:p w14:paraId="3D3B9E16" w14:textId="77777777" w:rsidR="00B86204" w:rsidRPr="002F16BB" w:rsidRDefault="00B86204" w:rsidP="00016740">
            <w:pPr>
              <w:spacing w:before="40" w:after="40"/>
              <w:rPr>
                <w:sz w:val="18"/>
                <w:szCs w:val="18"/>
                <w:lang w:val="ru-RU"/>
              </w:rPr>
            </w:pPr>
            <w:r w:rsidRPr="002F16BB">
              <w:rPr>
                <w:sz w:val="18"/>
                <w:szCs w:val="18"/>
                <w:lang w:val="ru-RU"/>
              </w:rPr>
              <w:t>В процессе выполнения.</w:t>
            </w:r>
          </w:p>
        </w:tc>
      </w:tr>
      <w:tr w:rsidR="00B86204" w:rsidRPr="002F16BB" w14:paraId="5F4112F6" w14:textId="77777777" w:rsidTr="00016740">
        <w:tc>
          <w:tcPr>
            <w:tcW w:w="340" w:type="pct"/>
            <w:tcBorders>
              <w:top w:val="single" w:sz="4" w:space="0" w:color="auto"/>
              <w:left w:val="single" w:sz="4" w:space="0" w:color="auto"/>
              <w:bottom w:val="single" w:sz="4" w:space="0" w:color="auto"/>
              <w:right w:val="single" w:sz="4" w:space="0" w:color="auto"/>
            </w:tcBorders>
          </w:tcPr>
          <w:p w14:paraId="4DDAE91D" w14:textId="77777777" w:rsidR="00B86204" w:rsidRPr="002F16BB" w:rsidRDefault="00B86204" w:rsidP="00016740">
            <w:pPr>
              <w:spacing w:before="40" w:after="40"/>
              <w:jc w:val="center"/>
              <w:rPr>
                <w:b/>
                <w:bCs/>
                <w:sz w:val="18"/>
                <w:szCs w:val="18"/>
                <w:lang w:val="ru-RU"/>
              </w:rPr>
            </w:pPr>
            <w:r w:rsidRPr="002F16BB">
              <w:rPr>
                <w:b/>
                <w:bCs/>
                <w:sz w:val="18"/>
                <w:szCs w:val="18"/>
                <w:lang w:val="ru-RU"/>
              </w:rPr>
              <w:t>Предл. 2/2015</w:t>
            </w:r>
          </w:p>
        </w:tc>
        <w:tc>
          <w:tcPr>
            <w:tcW w:w="1216" w:type="pct"/>
            <w:tcBorders>
              <w:top w:val="single" w:sz="4" w:space="0" w:color="auto"/>
              <w:left w:val="single" w:sz="4" w:space="0" w:color="auto"/>
              <w:bottom w:val="single" w:sz="4" w:space="0" w:color="auto"/>
              <w:right w:val="single" w:sz="4" w:space="0" w:color="auto"/>
            </w:tcBorders>
          </w:tcPr>
          <w:p w14:paraId="622DD127" w14:textId="77777777" w:rsidR="00B86204" w:rsidRPr="002F16BB" w:rsidRDefault="00B86204" w:rsidP="00016740">
            <w:pPr>
              <w:spacing w:before="40" w:after="40"/>
              <w:rPr>
                <w:b/>
                <w:bCs/>
                <w:i/>
                <w:iCs/>
                <w:sz w:val="18"/>
                <w:szCs w:val="18"/>
                <w:lang w:val="ru-RU"/>
              </w:rPr>
            </w:pPr>
            <w:bookmarkStart w:id="456" w:name="_Toc450158131"/>
            <w:bookmarkStart w:id="457" w:name="_Toc450323561"/>
            <w:bookmarkStart w:id="458" w:name="_Toc450991500"/>
            <w:bookmarkStart w:id="459" w:name="_Toc452157341"/>
            <w:r w:rsidRPr="002F16BB">
              <w:rPr>
                <w:b/>
                <w:bCs/>
                <w:i/>
                <w:iCs/>
                <w:sz w:val="18"/>
                <w:szCs w:val="18"/>
                <w:lang w:val="ru-RU"/>
              </w:rPr>
              <w:t xml:space="preserve">Соглашения с принимающей страной для </w:t>
            </w:r>
            <w:bookmarkEnd w:id="456"/>
            <w:bookmarkEnd w:id="457"/>
            <w:bookmarkEnd w:id="458"/>
            <w:r w:rsidRPr="002F16BB">
              <w:rPr>
                <w:b/>
                <w:bCs/>
                <w:i/>
                <w:iCs/>
                <w:sz w:val="18"/>
                <w:szCs w:val="18"/>
                <w:lang w:val="ru-RU"/>
              </w:rPr>
              <w:t>отделений на местах</w:t>
            </w:r>
            <w:bookmarkEnd w:id="459"/>
          </w:p>
          <w:p w14:paraId="12BDBA49" w14:textId="77777777" w:rsidR="00B86204" w:rsidRPr="002F16BB" w:rsidRDefault="00B86204" w:rsidP="00016740">
            <w:pPr>
              <w:spacing w:before="40" w:after="40"/>
              <w:rPr>
                <w:sz w:val="18"/>
                <w:szCs w:val="18"/>
                <w:lang w:val="ru-RU"/>
              </w:rPr>
            </w:pPr>
            <w:r w:rsidRPr="002F16BB">
              <w:rPr>
                <w:sz w:val="18"/>
                <w:szCs w:val="18"/>
                <w:lang w:val="ru-RU"/>
              </w:rPr>
              <w:t xml:space="preserve">В связи с этим </w:t>
            </w:r>
            <w:r w:rsidRPr="002F16BB">
              <w:rPr>
                <w:sz w:val="18"/>
                <w:szCs w:val="18"/>
                <w:u w:val="single"/>
                <w:lang w:val="ru-RU"/>
              </w:rPr>
              <w:t>мы рекомендуем</w:t>
            </w:r>
            <w:r w:rsidRPr="002F16BB">
              <w:rPr>
                <w:sz w:val="18"/>
                <w:szCs w:val="18"/>
                <w:lang w:val="ru-RU"/>
              </w:rPr>
              <w:t xml:space="preserve"> руководству МСЭ продолжить анализ существующих соглашений с принимающей страной в целях закрепления в документе "принятой практики" и выгод, получаемых по соглашению с принимающей страной, с тем чтобы усилить его значение и защитить его активы.</w:t>
            </w:r>
          </w:p>
        </w:tc>
        <w:tc>
          <w:tcPr>
            <w:tcW w:w="1366" w:type="pct"/>
            <w:tcBorders>
              <w:top w:val="single" w:sz="4" w:space="0" w:color="auto"/>
              <w:left w:val="single" w:sz="4" w:space="0" w:color="auto"/>
              <w:bottom w:val="single" w:sz="4" w:space="0" w:color="auto"/>
              <w:right w:val="single" w:sz="4" w:space="0" w:color="auto"/>
            </w:tcBorders>
          </w:tcPr>
          <w:p w14:paraId="13A03254" w14:textId="77777777" w:rsidR="00B86204" w:rsidRPr="002F16BB" w:rsidRDefault="00B86204" w:rsidP="00016740">
            <w:pPr>
              <w:spacing w:before="40" w:after="40"/>
              <w:rPr>
                <w:sz w:val="18"/>
                <w:szCs w:val="18"/>
                <w:lang w:val="ru-RU"/>
              </w:rPr>
            </w:pPr>
            <w:r w:rsidRPr="002F16BB">
              <w:rPr>
                <w:sz w:val="18"/>
                <w:szCs w:val="18"/>
                <w:lang w:val="ru-RU"/>
              </w:rPr>
              <w:t>Предложение 2 является приемлемым и на практике оно осуществляется в течение нескольких лет и эта работа будет продлена в будущем.</w:t>
            </w:r>
          </w:p>
          <w:p w14:paraId="03B76FA6" w14:textId="77777777" w:rsidR="00B86204" w:rsidRPr="002F16BB" w:rsidRDefault="00B86204" w:rsidP="00016740">
            <w:pPr>
              <w:spacing w:before="40" w:after="40"/>
              <w:rPr>
                <w:sz w:val="18"/>
                <w:szCs w:val="18"/>
                <w:lang w:val="ru-RU"/>
              </w:rPr>
            </w:pPr>
            <w:r w:rsidRPr="002F16BB">
              <w:rPr>
                <w:sz w:val="18"/>
                <w:szCs w:val="18"/>
                <w:lang w:val="ru-RU"/>
              </w:rPr>
              <w:t>Так, в 2013 году было заключено специальное соглашение о зональном отделении в Гондурасе, по которому отсутствовало конкретное соглашение.</w:t>
            </w:r>
          </w:p>
          <w:p w14:paraId="2F42F073" w14:textId="77777777" w:rsidR="00B86204" w:rsidRPr="002F16BB" w:rsidRDefault="00B86204" w:rsidP="00016740">
            <w:pPr>
              <w:spacing w:before="40" w:after="40"/>
              <w:rPr>
                <w:sz w:val="18"/>
                <w:szCs w:val="18"/>
                <w:lang w:val="ru-RU"/>
              </w:rPr>
            </w:pPr>
            <w:r w:rsidRPr="002F16BB">
              <w:rPr>
                <w:sz w:val="18"/>
                <w:szCs w:val="18"/>
                <w:lang w:val="ru-RU"/>
              </w:rPr>
              <w:t xml:space="preserve">Аналогично, в ближайшем будущем должно быть подписано официальное соглашение о зональном отделении в Индонезии (по которому в настоящее время официального соглашения не существует); проект соглашения был в принципе согласован обеими сторонами, за исключением одного пункта, который отложен на период проведения внутренних консультаций с правительством Индонезии. Вскоре может быть также завершено рассмотрение действующего в настоящее время соглашения </w:t>
            </w:r>
            <w:r w:rsidRPr="002F16BB">
              <w:rPr>
                <w:sz w:val="18"/>
                <w:szCs w:val="18"/>
                <w:lang w:val="ru-RU"/>
              </w:rPr>
              <w:lastRenderedPageBreak/>
              <w:t xml:space="preserve">с принимающей страной о региональном отделении в Бангкоке. Наконец, ведутся также переговоры о заключении соглашения с принимающей страной о зональном отделении в Чили. </w:t>
            </w:r>
          </w:p>
          <w:p w14:paraId="360F27A5" w14:textId="77777777" w:rsidR="00B86204" w:rsidRPr="002F16BB" w:rsidRDefault="00B86204" w:rsidP="00016740">
            <w:pPr>
              <w:spacing w:before="40" w:after="40"/>
              <w:rPr>
                <w:sz w:val="18"/>
                <w:szCs w:val="18"/>
                <w:lang w:val="ru-RU"/>
              </w:rPr>
            </w:pPr>
            <w:r w:rsidRPr="002F16BB">
              <w:rPr>
                <w:sz w:val="18"/>
                <w:szCs w:val="18"/>
                <w:lang w:val="ru-RU"/>
              </w:rPr>
              <w:t xml:space="preserve">Цель проводимых переговоров об отделениях на местах, по которым отсутствует официальное соглашение с принимающей страной, заключается в кодификации существующей практики с помощью соглашений с заинтересованными принимающими странами. </w:t>
            </w:r>
          </w:p>
        </w:tc>
        <w:tc>
          <w:tcPr>
            <w:tcW w:w="1360" w:type="pct"/>
            <w:tcBorders>
              <w:top w:val="single" w:sz="4" w:space="0" w:color="auto"/>
              <w:left w:val="single" w:sz="4" w:space="0" w:color="auto"/>
              <w:bottom w:val="single" w:sz="4" w:space="0" w:color="auto"/>
              <w:right w:val="single" w:sz="4" w:space="0" w:color="auto"/>
            </w:tcBorders>
          </w:tcPr>
          <w:p w14:paraId="7E70C3CC" w14:textId="1430AB92" w:rsidR="00B86204" w:rsidRPr="002F16BB" w:rsidRDefault="00B86204" w:rsidP="00016740">
            <w:pPr>
              <w:spacing w:before="40" w:after="40"/>
              <w:rPr>
                <w:sz w:val="18"/>
                <w:szCs w:val="18"/>
                <w:lang w:val="ru-RU"/>
              </w:rPr>
            </w:pPr>
            <w:r w:rsidRPr="002F16BB">
              <w:rPr>
                <w:b/>
                <w:bCs/>
                <w:sz w:val="18"/>
                <w:szCs w:val="18"/>
                <w:lang w:val="ru-RU"/>
              </w:rPr>
              <w:lastRenderedPageBreak/>
              <w:t>Обновление, по состоянию на сентябрь 2020</w:t>
            </w:r>
            <w:r w:rsidR="00063910">
              <w:rPr>
                <w:b/>
                <w:bCs/>
                <w:sz w:val="18"/>
                <w:szCs w:val="18"/>
                <w:lang w:val="ru-RU"/>
              </w:rPr>
              <w:t> </w:t>
            </w:r>
            <w:r w:rsidRPr="002F16BB">
              <w:rPr>
                <w:b/>
                <w:bCs/>
                <w:sz w:val="18"/>
                <w:szCs w:val="18"/>
                <w:lang w:val="ru-RU"/>
              </w:rPr>
              <w:t>г</w:t>
            </w:r>
            <w:r w:rsidRPr="002F16BB">
              <w:rPr>
                <w:sz w:val="18"/>
                <w:szCs w:val="18"/>
                <w:lang w:val="ru-RU"/>
              </w:rPr>
              <w:t>.:</w:t>
            </w:r>
          </w:p>
          <w:p w14:paraId="471467AA" w14:textId="77777777" w:rsidR="00B86204" w:rsidRPr="002F16BB" w:rsidRDefault="00B86204" w:rsidP="00016740">
            <w:pPr>
              <w:spacing w:before="40" w:after="40"/>
              <w:rPr>
                <w:sz w:val="18"/>
                <w:szCs w:val="18"/>
                <w:lang w:val="ru-RU"/>
              </w:rPr>
            </w:pPr>
            <w:r w:rsidRPr="002F16BB">
              <w:rPr>
                <w:color w:val="000000"/>
                <w:sz w:val="18"/>
                <w:szCs w:val="18"/>
                <w:lang w:val="ru-RU"/>
              </w:rPr>
              <w:t>Официальное соглашение с принимающей страной</w:t>
            </w:r>
            <w:r w:rsidRPr="002F16BB">
              <w:rPr>
                <w:sz w:val="18"/>
                <w:szCs w:val="18"/>
                <w:lang w:val="ru-RU"/>
              </w:rPr>
              <w:t xml:space="preserve"> </w:t>
            </w:r>
            <w:r w:rsidRPr="002F16BB">
              <w:rPr>
                <w:color w:val="000000"/>
                <w:sz w:val="18"/>
                <w:szCs w:val="18"/>
                <w:lang w:val="ru-RU"/>
              </w:rPr>
              <w:t>о зональном отделении в Индонезии (по которому в настоящее время официального соглашения не существует)</w:t>
            </w:r>
            <w:r w:rsidRPr="002F16BB">
              <w:rPr>
                <w:sz w:val="18"/>
                <w:szCs w:val="18"/>
                <w:lang w:val="ru-RU"/>
              </w:rPr>
              <w:t xml:space="preserve"> было подписано в апреле 2017 года после </w:t>
            </w:r>
            <w:r>
              <w:rPr>
                <w:sz w:val="18"/>
                <w:szCs w:val="18"/>
                <w:lang w:val="ru-RU"/>
              </w:rPr>
              <w:t>восьми</w:t>
            </w:r>
            <w:r w:rsidRPr="002F16BB">
              <w:rPr>
                <w:sz w:val="18"/>
                <w:szCs w:val="18"/>
                <w:lang w:val="ru-RU"/>
              </w:rPr>
              <w:t xml:space="preserve"> лет переговоров. Оно </w:t>
            </w:r>
            <w:r w:rsidRPr="002F16BB">
              <w:rPr>
                <w:color w:val="000000"/>
                <w:sz w:val="18"/>
                <w:szCs w:val="18"/>
                <w:lang w:val="ru-RU"/>
              </w:rPr>
              <w:t>временно применяется с момента его подписания обеими Сторонами, однако не вступило в силу, поскольку еще не завершен внутренний процесс ратификации</w:t>
            </w:r>
            <w:r w:rsidRPr="002F16BB">
              <w:rPr>
                <w:sz w:val="18"/>
                <w:szCs w:val="18"/>
                <w:lang w:val="ru-RU"/>
              </w:rPr>
              <w:t xml:space="preserve">. Секретариат, получивший эту информацию совсем недавно, вступит в контакт с индонезийскими властями и попытается ускорить этот процесс. </w:t>
            </w:r>
            <w:r w:rsidRPr="002F16BB">
              <w:rPr>
                <w:color w:val="000000"/>
                <w:sz w:val="18"/>
                <w:szCs w:val="18"/>
                <w:lang w:val="ru-RU"/>
              </w:rPr>
              <w:t>Вскоре может быть также завершено рассмотрение действующего в настоящее время соглашения с принимающей страной о региональном отделении в Бангкоке</w:t>
            </w:r>
            <w:r w:rsidRPr="002F16BB">
              <w:rPr>
                <w:sz w:val="18"/>
                <w:szCs w:val="18"/>
                <w:lang w:val="ru-RU"/>
              </w:rPr>
              <w:t xml:space="preserve">. В качестве недавней последующей меры Директор БРЭ направил письмо властям Таиланда с напоминанием. </w:t>
            </w:r>
            <w:r w:rsidRPr="002F16BB">
              <w:rPr>
                <w:sz w:val="18"/>
                <w:szCs w:val="18"/>
                <w:lang w:val="ru-RU"/>
              </w:rPr>
              <w:lastRenderedPageBreak/>
              <w:t>Наконец, ведутся также переговоры о</w:t>
            </w:r>
            <w:r>
              <w:rPr>
                <w:sz w:val="18"/>
                <w:szCs w:val="18"/>
                <w:lang w:val="ru-RU"/>
              </w:rPr>
              <w:t> </w:t>
            </w:r>
            <w:r w:rsidRPr="002F16BB">
              <w:rPr>
                <w:sz w:val="18"/>
                <w:szCs w:val="18"/>
                <w:lang w:val="ru-RU"/>
              </w:rPr>
              <w:t>заключении соглашения с принимающей страной о зональном отделении в Чили.</w:t>
            </w:r>
          </w:p>
        </w:tc>
        <w:tc>
          <w:tcPr>
            <w:tcW w:w="718" w:type="pct"/>
            <w:tcBorders>
              <w:top w:val="single" w:sz="4" w:space="0" w:color="auto"/>
              <w:left w:val="single" w:sz="4" w:space="0" w:color="auto"/>
              <w:bottom w:val="single" w:sz="4" w:space="0" w:color="auto"/>
              <w:right w:val="single" w:sz="4" w:space="0" w:color="auto"/>
            </w:tcBorders>
          </w:tcPr>
          <w:p w14:paraId="74D9B6A7" w14:textId="77777777" w:rsidR="00B86204" w:rsidRPr="002F16BB" w:rsidRDefault="00B86204" w:rsidP="00016740">
            <w:pPr>
              <w:spacing w:before="40" w:after="40"/>
              <w:rPr>
                <w:sz w:val="18"/>
                <w:szCs w:val="18"/>
                <w:lang w:val="ru-RU"/>
              </w:rPr>
            </w:pPr>
            <w:r w:rsidRPr="002F16BB">
              <w:rPr>
                <w:sz w:val="18"/>
                <w:szCs w:val="18"/>
                <w:lang w:val="ru-RU"/>
              </w:rPr>
              <w:lastRenderedPageBreak/>
              <w:t>В процессе выполнения.</w:t>
            </w:r>
          </w:p>
        </w:tc>
      </w:tr>
      <w:tr w:rsidR="00B86204" w:rsidRPr="002F16BB" w14:paraId="7F6B9F3C" w14:textId="77777777" w:rsidTr="00016740">
        <w:tc>
          <w:tcPr>
            <w:tcW w:w="340" w:type="pct"/>
            <w:tcBorders>
              <w:top w:val="single" w:sz="4" w:space="0" w:color="auto"/>
              <w:left w:val="single" w:sz="4" w:space="0" w:color="auto"/>
              <w:bottom w:val="single" w:sz="4" w:space="0" w:color="auto"/>
              <w:right w:val="single" w:sz="4" w:space="0" w:color="auto"/>
            </w:tcBorders>
          </w:tcPr>
          <w:p w14:paraId="5E814F97" w14:textId="77777777" w:rsidR="00B86204" w:rsidRPr="002F16BB" w:rsidRDefault="00B86204" w:rsidP="00016740">
            <w:pPr>
              <w:spacing w:before="40" w:after="40"/>
              <w:jc w:val="center"/>
              <w:rPr>
                <w:b/>
                <w:bCs/>
                <w:sz w:val="18"/>
                <w:szCs w:val="18"/>
                <w:lang w:val="ru-RU"/>
              </w:rPr>
            </w:pPr>
            <w:r w:rsidRPr="002F16BB">
              <w:rPr>
                <w:b/>
                <w:bCs/>
                <w:sz w:val="18"/>
                <w:szCs w:val="18"/>
                <w:lang w:val="ru-RU"/>
              </w:rPr>
              <w:t>Предл. 1/2014</w:t>
            </w:r>
          </w:p>
        </w:tc>
        <w:tc>
          <w:tcPr>
            <w:tcW w:w="1216" w:type="pct"/>
            <w:tcBorders>
              <w:top w:val="single" w:sz="4" w:space="0" w:color="auto"/>
              <w:left w:val="single" w:sz="4" w:space="0" w:color="auto"/>
              <w:bottom w:val="single" w:sz="4" w:space="0" w:color="auto"/>
              <w:right w:val="single" w:sz="4" w:space="0" w:color="auto"/>
            </w:tcBorders>
          </w:tcPr>
          <w:p w14:paraId="21D74719" w14:textId="77777777" w:rsidR="00B86204" w:rsidRPr="00C65844" w:rsidRDefault="00B86204" w:rsidP="00016740">
            <w:pPr>
              <w:spacing w:before="40" w:after="40"/>
              <w:rPr>
                <w:b/>
                <w:bCs/>
                <w:i/>
                <w:iCs/>
                <w:sz w:val="18"/>
                <w:szCs w:val="18"/>
                <w:lang w:val="ru-RU"/>
              </w:rPr>
            </w:pPr>
            <w:r w:rsidRPr="00C65844">
              <w:rPr>
                <w:b/>
                <w:bCs/>
                <w:i/>
                <w:iCs/>
                <w:sz w:val="18"/>
                <w:szCs w:val="18"/>
                <w:lang w:val="ru-RU"/>
              </w:rPr>
              <w:t>Малоценные активы</w:t>
            </w:r>
          </w:p>
          <w:p w14:paraId="5ACF4B7E" w14:textId="77777777" w:rsidR="00B86204" w:rsidRPr="00C65844" w:rsidRDefault="00B86204" w:rsidP="00016740">
            <w:pPr>
              <w:spacing w:before="40" w:after="40"/>
              <w:rPr>
                <w:sz w:val="18"/>
                <w:szCs w:val="18"/>
                <w:lang w:val="ru-RU"/>
              </w:rPr>
            </w:pPr>
            <w:r w:rsidRPr="00C65844">
              <w:rPr>
                <w:sz w:val="18"/>
                <w:szCs w:val="18"/>
                <w:lang w:val="ru-RU"/>
              </w:rPr>
              <w:t>В связи с этим мы предлагаем руководству рассмотреть вопрос о пересмотре порогового уровня малоценных активов, в частности определить различные категории предметов и их амортизацию в соответствии с продолжительностью их полезного использования.</w:t>
            </w:r>
          </w:p>
        </w:tc>
        <w:tc>
          <w:tcPr>
            <w:tcW w:w="1366" w:type="pct"/>
            <w:tcBorders>
              <w:top w:val="single" w:sz="4" w:space="0" w:color="auto"/>
              <w:left w:val="single" w:sz="4" w:space="0" w:color="auto"/>
              <w:bottom w:val="single" w:sz="4" w:space="0" w:color="auto"/>
              <w:right w:val="single" w:sz="4" w:space="0" w:color="auto"/>
            </w:tcBorders>
          </w:tcPr>
          <w:p w14:paraId="5D901091" w14:textId="77777777" w:rsidR="00B86204" w:rsidRPr="002F16BB" w:rsidRDefault="00B86204" w:rsidP="00016740">
            <w:pPr>
              <w:spacing w:before="40" w:after="40"/>
              <w:rPr>
                <w:sz w:val="18"/>
                <w:szCs w:val="18"/>
                <w:lang w:val="ru-RU"/>
              </w:rPr>
            </w:pPr>
            <w:r w:rsidRPr="002F16BB">
              <w:rPr>
                <w:sz w:val="18"/>
                <w:szCs w:val="18"/>
                <w:lang w:val="ru-RU"/>
              </w:rPr>
              <w:t>Данное предложение будет изучено с целью анализа последствий введения дифференцированных пороговых уровней в соответствии с категорией материальных активов. Следует отметить, что 15,2 млн. шв. фр. составляют накопленную сумму малоценных активов, определяемую моделью материальных активов со времени введения IPSAS (включая остаток на момент, предшествовавший внедрению IPSAS).</w:t>
            </w:r>
          </w:p>
        </w:tc>
        <w:tc>
          <w:tcPr>
            <w:tcW w:w="1360" w:type="pct"/>
            <w:tcBorders>
              <w:top w:val="single" w:sz="4" w:space="0" w:color="auto"/>
              <w:left w:val="single" w:sz="4" w:space="0" w:color="auto"/>
              <w:bottom w:val="single" w:sz="4" w:space="0" w:color="auto"/>
              <w:right w:val="single" w:sz="4" w:space="0" w:color="auto"/>
            </w:tcBorders>
          </w:tcPr>
          <w:p w14:paraId="7AD864D0" w14:textId="77777777" w:rsidR="00B86204" w:rsidRPr="002F16BB" w:rsidRDefault="00B86204" w:rsidP="00016740">
            <w:pPr>
              <w:spacing w:before="40" w:after="40"/>
              <w:rPr>
                <w:sz w:val="18"/>
                <w:szCs w:val="18"/>
                <w:lang w:val="ru-RU"/>
              </w:rPr>
            </w:pPr>
            <w:r w:rsidRPr="002F16BB">
              <w:rPr>
                <w:b/>
                <w:bCs/>
                <w:sz w:val="18"/>
                <w:szCs w:val="18"/>
                <w:lang w:val="ru-RU"/>
              </w:rPr>
              <w:t>Январь 2020 г</w:t>
            </w:r>
            <w:r w:rsidRPr="002F16BB">
              <w:rPr>
                <w:sz w:val="18"/>
                <w:szCs w:val="18"/>
                <w:lang w:val="ru-RU"/>
              </w:rPr>
              <w:t>.:</w:t>
            </w:r>
          </w:p>
          <w:p w14:paraId="5AA06D1B" w14:textId="77777777" w:rsidR="00B86204" w:rsidRPr="002F16BB" w:rsidRDefault="00B86204" w:rsidP="00016740">
            <w:pPr>
              <w:spacing w:before="40" w:after="40"/>
              <w:rPr>
                <w:sz w:val="18"/>
                <w:szCs w:val="18"/>
                <w:lang w:val="ru-RU"/>
              </w:rPr>
            </w:pPr>
            <w:r w:rsidRPr="002F16BB">
              <w:rPr>
                <w:sz w:val="18"/>
                <w:szCs w:val="18"/>
                <w:lang w:val="ru-RU"/>
              </w:rPr>
              <w:t xml:space="preserve">Предложение о внесении изменений в Финансовые правила и Финансовый регламент представлено </w:t>
            </w:r>
            <w:r w:rsidRPr="002F16BB">
              <w:rPr>
                <w:color w:val="000000"/>
                <w:sz w:val="18"/>
                <w:szCs w:val="18"/>
                <w:lang w:val="ru-RU"/>
              </w:rPr>
              <w:t>для обсуждения на следующем собрании РГС-ФЛР, чтобы изменить пороговый уровень капитализации и тем самым реализовать данное предложение</w:t>
            </w:r>
            <w:r w:rsidRPr="002F16BB">
              <w:rPr>
                <w:sz w:val="18"/>
                <w:szCs w:val="18"/>
                <w:lang w:val="ru-RU"/>
              </w:rPr>
              <w:t xml:space="preserve">. </w:t>
            </w:r>
          </w:p>
          <w:p w14:paraId="5786943A" w14:textId="74CD4FC1" w:rsidR="00B86204" w:rsidRPr="002F16BB" w:rsidRDefault="00B86204" w:rsidP="00016740">
            <w:pPr>
              <w:spacing w:before="40" w:after="40"/>
              <w:rPr>
                <w:sz w:val="18"/>
                <w:szCs w:val="18"/>
                <w:lang w:val="ru-RU"/>
              </w:rPr>
            </w:pPr>
            <w:r w:rsidRPr="002F16BB">
              <w:rPr>
                <w:b/>
                <w:bCs/>
                <w:sz w:val="18"/>
                <w:szCs w:val="18"/>
                <w:lang w:val="ru-RU"/>
              </w:rPr>
              <w:t>Обновление, по состоянию на сентябрь 2020</w:t>
            </w:r>
            <w:r w:rsidR="00063910">
              <w:rPr>
                <w:b/>
                <w:bCs/>
                <w:sz w:val="18"/>
                <w:szCs w:val="18"/>
                <w:lang w:val="ru-RU"/>
              </w:rPr>
              <w:t> </w:t>
            </w:r>
            <w:r w:rsidRPr="002F16BB">
              <w:rPr>
                <w:b/>
                <w:bCs/>
                <w:sz w:val="18"/>
                <w:szCs w:val="18"/>
                <w:lang w:val="ru-RU"/>
              </w:rPr>
              <w:t>г</w:t>
            </w:r>
            <w:r w:rsidRPr="002F16BB">
              <w:rPr>
                <w:sz w:val="18"/>
                <w:szCs w:val="18"/>
                <w:lang w:val="ru-RU"/>
              </w:rPr>
              <w:t>.:</w:t>
            </w:r>
          </w:p>
          <w:p w14:paraId="60F152BB" w14:textId="77777777" w:rsidR="00B86204" w:rsidRPr="002F16BB" w:rsidRDefault="00B86204" w:rsidP="00016740">
            <w:pPr>
              <w:spacing w:before="40" w:after="40"/>
              <w:rPr>
                <w:sz w:val="18"/>
                <w:szCs w:val="18"/>
                <w:lang w:val="ru-RU"/>
              </w:rPr>
            </w:pPr>
            <w:r w:rsidRPr="002F16BB">
              <w:rPr>
                <w:sz w:val="18"/>
                <w:szCs w:val="18"/>
                <w:lang w:val="ru-RU" w:eastAsia="it-IT"/>
              </w:rPr>
              <w:t>Осуществлено</w:t>
            </w:r>
            <w:r w:rsidRPr="002F16BB">
              <w:rPr>
                <w:sz w:val="18"/>
                <w:szCs w:val="18"/>
                <w:lang w:val="ru-RU"/>
              </w:rPr>
              <w:t>. Финансовые правила и Финансовый регламент были соответствующим образом обновлены.</w:t>
            </w:r>
          </w:p>
        </w:tc>
        <w:tc>
          <w:tcPr>
            <w:tcW w:w="718" w:type="pct"/>
            <w:tcBorders>
              <w:top w:val="single" w:sz="4" w:space="0" w:color="auto"/>
              <w:left w:val="single" w:sz="4" w:space="0" w:color="auto"/>
              <w:bottom w:val="single" w:sz="4" w:space="0" w:color="auto"/>
              <w:right w:val="single" w:sz="4" w:space="0" w:color="auto"/>
            </w:tcBorders>
          </w:tcPr>
          <w:p w14:paraId="24FFABB9" w14:textId="77777777" w:rsidR="00B86204" w:rsidRPr="002F16BB" w:rsidRDefault="00B86204" w:rsidP="00016740">
            <w:pPr>
              <w:spacing w:before="40" w:after="40"/>
              <w:rPr>
                <w:sz w:val="18"/>
                <w:szCs w:val="18"/>
                <w:lang w:val="ru-RU"/>
              </w:rPr>
            </w:pPr>
            <w:r w:rsidRPr="002F16BB">
              <w:rPr>
                <w:sz w:val="18"/>
                <w:szCs w:val="18"/>
                <w:lang w:val="ru-RU"/>
              </w:rPr>
              <w:t>Выполнено.</w:t>
            </w:r>
          </w:p>
        </w:tc>
      </w:tr>
      <w:tr w:rsidR="00B86204" w:rsidRPr="00FE280E" w14:paraId="09FA0674" w14:textId="77777777" w:rsidTr="00016740">
        <w:tc>
          <w:tcPr>
            <w:tcW w:w="340" w:type="pct"/>
            <w:tcBorders>
              <w:top w:val="single" w:sz="4" w:space="0" w:color="auto"/>
              <w:left w:val="single" w:sz="4" w:space="0" w:color="auto"/>
              <w:bottom w:val="single" w:sz="4" w:space="0" w:color="auto"/>
              <w:right w:val="single" w:sz="4" w:space="0" w:color="auto"/>
            </w:tcBorders>
          </w:tcPr>
          <w:p w14:paraId="5EC8C87E" w14:textId="77777777" w:rsidR="00B86204" w:rsidRPr="002F16BB" w:rsidRDefault="00B86204" w:rsidP="00016740">
            <w:pPr>
              <w:spacing w:before="40" w:after="40"/>
              <w:jc w:val="center"/>
              <w:rPr>
                <w:b/>
                <w:bCs/>
                <w:sz w:val="18"/>
                <w:szCs w:val="18"/>
                <w:lang w:val="ru-RU"/>
              </w:rPr>
            </w:pPr>
            <w:r w:rsidRPr="002F16BB">
              <w:rPr>
                <w:b/>
                <w:bCs/>
                <w:sz w:val="18"/>
                <w:szCs w:val="18"/>
                <w:lang w:val="ru-RU"/>
              </w:rPr>
              <w:t>Предл. 3/2014</w:t>
            </w:r>
          </w:p>
        </w:tc>
        <w:tc>
          <w:tcPr>
            <w:tcW w:w="1216" w:type="pct"/>
            <w:tcBorders>
              <w:top w:val="single" w:sz="4" w:space="0" w:color="auto"/>
              <w:left w:val="single" w:sz="4" w:space="0" w:color="auto"/>
              <w:bottom w:val="single" w:sz="4" w:space="0" w:color="auto"/>
              <w:right w:val="single" w:sz="4" w:space="0" w:color="auto"/>
            </w:tcBorders>
          </w:tcPr>
          <w:p w14:paraId="57C061D0" w14:textId="77777777" w:rsidR="00B86204" w:rsidRPr="00C65844" w:rsidRDefault="00B86204" w:rsidP="00016740">
            <w:pPr>
              <w:spacing w:before="40" w:after="40"/>
              <w:rPr>
                <w:sz w:val="18"/>
                <w:szCs w:val="18"/>
                <w:lang w:val="ru-RU"/>
              </w:rPr>
            </w:pPr>
            <w:r w:rsidRPr="00C65844">
              <w:rPr>
                <w:sz w:val="18"/>
                <w:szCs w:val="18"/>
                <w:lang w:val="ru-RU"/>
              </w:rPr>
              <w:t>Мы предлагаем руководству, по мере необходимости, определить комплексный набор факторов и субфакторов и использовать наиболее подходящие факторы для эффективного мониторинга положения АСХИ и принятия по нему мер.</w:t>
            </w:r>
          </w:p>
        </w:tc>
        <w:tc>
          <w:tcPr>
            <w:tcW w:w="1366" w:type="pct"/>
            <w:tcBorders>
              <w:top w:val="single" w:sz="4" w:space="0" w:color="auto"/>
              <w:left w:val="single" w:sz="4" w:space="0" w:color="auto"/>
              <w:bottom w:val="single" w:sz="4" w:space="0" w:color="auto"/>
              <w:right w:val="single" w:sz="4" w:space="0" w:color="auto"/>
            </w:tcBorders>
          </w:tcPr>
          <w:p w14:paraId="0A7552D0" w14:textId="77777777" w:rsidR="00B86204" w:rsidRPr="002F16BB" w:rsidRDefault="00B86204" w:rsidP="00016740">
            <w:pPr>
              <w:spacing w:before="40" w:after="40"/>
              <w:rPr>
                <w:sz w:val="18"/>
                <w:szCs w:val="18"/>
                <w:lang w:val="ru-RU"/>
              </w:rPr>
            </w:pPr>
            <w:r w:rsidRPr="002F16BB">
              <w:rPr>
                <w:sz w:val="18"/>
                <w:szCs w:val="18"/>
                <w:lang w:val="ru-RU"/>
              </w:rPr>
              <w:t>В настоящее время проводится мониторинг ПКМС с целью заблаговременного определения коррективов для обеспечения финансирования на основе оплаты по факту оказания услуг. Вышеупомянутые факторы принимаются во внимание для определения соответствующих коррективов. Обязательство по АСХИ будет финансироваться в соответствии с имеющимися ресурсами на долгосрочной основе, принимая во внимание бюджетные ограничения.</w:t>
            </w:r>
          </w:p>
        </w:tc>
        <w:tc>
          <w:tcPr>
            <w:tcW w:w="1360" w:type="pct"/>
            <w:tcBorders>
              <w:top w:val="single" w:sz="4" w:space="0" w:color="auto"/>
              <w:left w:val="single" w:sz="4" w:space="0" w:color="auto"/>
              <w:bottom w:val="single" w:sz="4" w:space="0" w:color="auto"/>
              <w:right w:val="single" w:sz="4" w:space="0" w:color="auto"/>
            </w:tcBorders>
          </w:tcPr>
          <w:p w14:paraId="51F6BEC4" w14:textId="77777777" w:rsidR="00B86204" w:rsidRPr="002F16BB" w:rsidRDefault="00B86204" w:rsidP="00016740">
            <w:pPr>
              <w:spacing w:before="40" w:after="40"/>
              <w:rPr>
                <w:sz w:val="18"/>
                <w:szCs w:val="18"/>
                <w:lang w:val="ru-RU"/>
              </w:rPr>
            </w:pPr>
            <w:r w:rsidRPr="002F16BB">
              <w:rPr>
                <w:b/>
                <w:bCs/>
                <w:sz w:val="18"/>
                <w:szCs w:val="18"/>
                <w:lang w:val="ru-RU"/>
              </w:rPr>
              <w:t>Январь 2020 г</w:t>
            </w:r>
            <w:r w:rsidRPr="002F16BB">
              <w:rPr>
                <w:sz w:val="18"/>
                <w:szCs w:val="18"/>
                <w:lang w:val="ru-RU"/>
              </w:rPr>
              <w:t>.:</w:t>
            </w:r>
          </w:p>
          <w:p w14:paraId="020150CE" w14:textId="77777777" w:rsidR="00B86204" w:rsidRPr="002F16BB" w:rsidRDefault="00B86204" w:rsidP="00016740">
            <w:pPr>
              <w:spacing w:before="40" w:after="40"/>
              <w:rPr>
                <w:sz w:val="18"/>
                <w:szCs w:val="18"/>
                <w:lang w:val="ru-RU"/>
              </w:rPr>
            </w:pPr>
            <w:r w:rsidRPr="002F16BB">
              <w:rPr>
                <w:sz w:val="18"/>
                <w:szCs w:val="18"/>
                <w:lang w:val="ru-RU"/>
              </w:rPr>
              <w:t>МСЭ принял решение присоединиться к ЮНСМИС с января 2020 года.</w:t>
            </w:r>
          </w:p>
          <w:p w14:paraId="07859C05" w14:textId="77777777" w:rsidR="00B86204" w:rsidRPr="002F16BB" w:rsidRDefault="00B86204" w:rsidP="00016740">
            <w:pPr>
              <w:spacing w:before="40" w:after="40"/>
              <w:rPr>
                <w:sz w:val="18"/>
                <w:szCs w:val="18"/>
                <w:lang w:val="ru-RU"/>
              </w:rPr>
            </w:pPr>
            <w:r w:rsidRPr="002F16BB">
              <w:rPr>
                <w:color w:val="000000"/>
                <w:sz w:val="18"/>
                <w:szCs w:val="18"/>
                <w:lang w:val="ru-RU"/>
              </w:rPr>
              <w:t>Обязательство по АСХИ будет финансироваться в соответствии с имеющимися ресурсами на долгосрочной основе, принимая во внимание бюджетные ограничения</w:t>
            </w:r>
            <w:r w:rsidRPr="002F16BB">
              <w:rPr>
                <w:sz w:val="18"/>
                <w:szCs w:val="18"/>
                <w:lang w:val="ru-RU"/>
              </w:rPr>
              <w:t>.</w:t>
            </w:r>
          </w:p>
          <w:p w14:paraId="2BBF339A" w14:textId="69553574" w:rsidR="00B86204" w:rsidRPr="002F16BB" w:rsidRDefault="00B86204" w:rsidP="00016740">
            <w:pPr>
              <w:spacing w:before="40" w:after="40"/>
              <w:rPr>
                <w:sz w:val="18"/>
                <w:szCs w:val="18"/>
                <w:lang w:val="ru-RU"/>
              </w:rPr>
            </w:pPr>
            <w:r w:rsidRPr="002F16BB">
              <w:rPr>
                <w:b/>
                <w:bCs/>
                <w:sz w:val="18"/>
                <w:szCs w:val="18"/>
                <w:lang w:val="ru-RU"/>
              </w:rPr>
              <w:t>Обновление, по состоянию на сентябрь 2020</w:t>
            </w:r>
            <w:r w:rsidR="00063910">
              <w:rPr>
                <w:b/>
                <w:bCs/>
                <w:sz w:val="18"/>
                <w:szCs w:val="18"/>
                <w:lang w:val="ru-RU"/>
              </w:rPr>
              <w:t> </w:t>
            </w:r>
            <w:r w:rsidRPr="002F16BB">
              <w:rPr>
                <w:b/>
                <w:bCs/>
                <w:sz w:val="18"/>
                <w:szCs w:val="18"/>
                <w:lang w:val="ru-RU"/>
              </w:rPr>
              <w:t>г</w:t>
            </w:r>
            <w:r w:rsidRPr="002F16BB">
              <w:rPr>
                <w:sz w:val="18"/>
                <w:szCs w:val="18"/>
                <w:lang w:val="ru-RU"/>
              </w:rPr>
              <w:t>.:</w:t>
            </w:r>
          </w:p>
          <w:p w14:paraId="612B65DD" w14:textId="77777777" w:rsidR="00B86204" w:rsidRPr="002F16BB" w:rsidRDefault="00B86204" w:rsidP="00016740">
            <w:pPr>
              <w:spacing w:before="40" w:after="40"/>
              <w:rPr>
                <w:sz w:val="18"/>
                <w:szCs w:val="18"/>
                <w:lang w:val="ru-RU"/>
              </w:rPr>
            </w:pPr>
            <w:r w:rsidRPr="002F16BB">
              <w:rPr>
                <w:color w:val="000000"/>
                <w:sz w:val="18"/>
                <w:szCs w:val="18"/>
                <w:lang w:val="ru-RU"/>
              </w:rPr>
              <w:t>Дополнительных замечаний не поступило</w:t>
            </w:r>
            <w:r w:rsidRPr="002F16BB">
              <w:rPr>
                <w:sz w:val="18"/>
                <w:szCs w:val="18"/>
                <w:lang w:val="ru-RU"/>
              </w:rPr>
              <w:t>. См.</w:t>
            </w:r>
            <w:r>
              <w:rPr>
                <w:sz w:val="18"/>
                <w:szCs w:val="18"/>
                <w:lang w:val="ru-RU"/>
              </w:rPr>
              <w:t> </w:t>
            </w:r>
            <w:r w:rsidRPr="002F16BB">
              <w:rPr>
                <w:sz w:val="18"/>
                <w:szCs w:val="18"/>
                <w:lang w:val="ru-RU"/>
              </w:rPr>
              <w:t>выше.</w:t>
            </w:r>
          </w:p>
        </w:tc>
        <w:tc>
          <w:tcPr>
            <w:tcW w:w="718" w:type="pct"/>
            <w:tcBorders>
              <w:top w:val="single" w:sz="4" w:space="0" w:color="auto"/>
              <w:left w:val="single" w:sz="4" w:space="0" w:color="auto"/>
              <w:bottom w:val="single" w:sz="4" w:space="0" w:color="auto"/>
              <w:right w:val="single" w:sz="4" w:space="0" w:color="auto"/>
            </w:tcBorders>
          </w:tcPr>
          <w:p w14:paraId="58EFB274" w14:textId="77777777" w:rsidR="00B86204" w:rsidRPr="002F16BB" w:rsidRDefault="00B86204" w:rsidP="00016740">
            <w:pPr>
              <w:pStyle w:val="Tabletext"/>
              <w:rPr>
                <w:sz w:val="18"/>
                <w:szCs w:val="18"/>
                <w:lang w:val="ru-RU"/>
              </w:rPr>
            </w:pPr>
            <w:r w:rsidRPr="002F16BB">
              <w:rPr>
                <w:sz w:val="18"/>
                <w:szCs w:val="18"/>
                <w:lang w:val="ru-RU"/>
              </w:rPr>
              <w:t>Выполнено со</w:t>
            </w:r>
            <w:r>
              <w:rPr>
                <w:sz w:val="18"/>
                <w:szCs w:val="18"/>
                <w:lang w:val="ru-RU"/>
              </w:rPr>
              <w:t> </w:t>
            </w:r>
            <w:r w:rsidRPr="002F16BB">
              <w:rPr>
                <w:sz w:val="18"/>
                <w:szCs w:val="18"/>
                <w:lang w:val="ru-RU"/>
              </w:rPr>
              <w:t>следующим комментарием:</w:t>
            </w:r>
          </w:p>
          <w:p w14:paraId="7E9DE228" w14:textId="77777777" w:rsidR="00B86204" w:rsidRPr="002F16BB" w:rsidRDefault="00B86204" w:rsidP="00016740">
            <w:pPr>
              <w:spacing w:before="40" w:after="40"/>
              <w:rPr>
                <w:sz w:val="18"/>
                <w:szCs w:val="18"/>
                <w:lang w:val="ru-RU"/>
              </w:rPr>
            </w:pPr>
            <w:r w:rsidRPr="002F16BB">
              <w:rPr>
                <w:sz w:val="18"/>
                <w:szCs w:val="18"/>
                <w:lang w:val="ru-RU"/>
              </w:rPr>
              <w:t>Это предложение заменено замечанием, доведенным до сведения Совета</w:t>
            </w:r>
            <w:r>
              <w:rPr>
                <w:sz w:val="18"/>
                <w:szCs w:val="18"/>
                <w:lang w:val="ru-RU"/>
              </w:rPr>
              <w:t xml:space="preserve"> </w:t>
            </w:r>
            <w:r w:rsidRPr="002F16BB">
              <w:rPr>
                <w:sz w:val="18"/>
                <w:szCs w:val="18"/>
                <w:lang w:val="ru-RU"/>
              </w:rPr>
              <w:t>в настоящем отчете</w:t>
            </w:r>
            <w:r>
              <w:rPr>
                <w:sz w:val="18"/>
                <w:szCs w:val="18"/>
                <w:lang w:val="ru-RU"/>
              </w:rPr>
              <w:t>.</w:t>
            </w:r>
          </w:p>
        </w:tc>
      </w:tr>
    </w:tbl>
    <w:p w14:paraId="57D65599" w14:textId="77777777" w:rsidR="00B86204" w:rsidRPr="002F16BB" w:rsidRDefault="00B86204" w:rsidP="00063910">
      <w:pPr>
        <w:spacing w:before="0"/>
        <w:jc w:val="center"/>
        <w:rPr>
          <w:lang w:val="ru-RU"/>
        </w:rPr>
      </w:pPr>
      <w:r w:rsidRPr="002F16BB">
        <w:rPr>
          <w:lang w:val="ru-RU"/>
        </w:rPr>
        <w:t>______________</w:t>
      </w:r>
    </w:p>
    <w:sectPr w:rsidR="00B86204" w:rsidRPr="002F16BB" w:rsidSect="001114F8">
      <w:headerReference w:type="default" r:id="rId13"/>
      <w:footerReference w:type="default" r:id="rId14"/>
      <w:footerReference w:type="first" r:id="rId15"/>
      <w:pgSz w:w="16834" w:h="11907" w:orient="landscape"/>
      <w:pgMar w:top="1134" w:right="1418" w:bottom="1134" w:left="1418"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2A080" w14:textId="77777777" w:rsidR="00E31350" w:rsidRDefault="00E31350">
      <w:r>
        <w:separator/>
      </w:r>
    </w:p>
  </w:endnote>
  <w:endnote w:type="continuationSeparator" w:id="0">
    <w:p w14:paraId="0D6104E8" w14:textId="77777777" w:rsidR="00E31350" w:rsidRDefault="00E3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8E5D" w14:textId="5D0B96BE" w:rsidR="00E31350" w:rsidRPr="00FE280E" w:rsidRDefault="00E31350" w:rsidP="00CE0E84">
    <w:pPr>
      <w:pStyle w:val="Footer"/>
      <w:tabs>
        <w:tab w:val="clear" w:pos="5954"/>
        <w:tab w:val="left" w:pos="6804"/>
      </w:tabs>
      <w:rPr>
        <w:color w:val="D9D9D9" w:themeColor="background1" w:themeShade="D9"/>
        <w:sz w:val="18"/>
        <w:szCs w:val="18"/>
        <w:lang w:val="fr-CH"/>
      </w:rPr>
    </w:pPr>
    <w:r w:rsidRPr="00FE280E">
      <w:rPr>
        <w:color w:val="D9D9D9" w:themeColor="background1" w:themeShade="D9"/>
      </w:rPr>
      <w:fldChar w:fldCharType="begin"/>
    </w:r>
    <w:r w:rsidRPr="00FE280E">
      <w:rPr>
        <w:color w:val="D9D9D9" w:themeColor="background1" w:themeShade="D9"/>
        <w:lang w:val="fr-CH"/>
      </w:rPr>
      <w:instrText xml:space="preserve"> FILENAME \p  \* MERGEFORMAT </w:instrText>
    </w:r>
    <w:r w:rsidRPr="00FE280E">
      <w:rPr>
        <w:color w:val="D9D9D9" w:themeColor="background1" w:themeShade="D9"/>
      </w:rPr>
      <w:fldChar w:fldCharType="separate"/>
    </w:r>
    <w:r w:rsidRPr="00FE280E">
      <w:rPr>
        <w:color w:val="D9D9D9" w:themeColor="background1" w:themeShade="D9"/>
        <w:lang w:val="fr-CH"/>
      </w:rPr>
      <w:t>P:\RUS\SG\CONSEIL\C20\000\040R.docx</w:t>
    </w:r>
    <w:r w:rsidRPr="00FE280E">
      <w:rPr>
        <w:color w:val="D9D9D9" w:themeColor="background1" w:themeShade="D9"/>
        <w:lang w:val="en-US"/>
      </w:rPr>
      <w:fldChar w:fldCharType="end"/>
    </w:r>
    <w:r w:rsidRPr="00FE280E">
      <w:rPr>
        <w:color w:val="D9D9D9" w:themeColor="background1" w:themeShade="D9"/>
        <w:lang w:val="fr-CH"/>
      </w:rPr>
      <w:t xml:space="preserve"> (467349)</w:t>
    </w:r>
    <w:r w:rsidRPr="00FE280E">
      <w:rPr>
        <w:color w:val="D9D9D9" w:themeColor="background1" w:themeShade="D9"/>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82A7C" w14:textId="77777777" w:rsidR="00D61F93" w:rsidRDefault="00D61F93" w:rsidP="00D61F93">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8095" w14:textId="0566E600" w:rsidR="00E31350" w:rsidRPr="00FE280E" w:rsidRDefault="00E31350" w:rsidP="0000018B">
    <w:pPr>
      <w:pStyle w:val="Footer"/>
      <w:tabs>
        <w:tab w:val="clear" w:pos="5954"/>
        <w:tab w:val="clear" w:pos="9639"/>
        <w:tab w:val="left" w:pos="9072"/>
        <w:tab w:val="right" w:pos="14459"/>
      </w:tabs>
      <w:rPr>
        <w:color w:val="D9D9D9" w:themeColor="background1" w:themeShade="D9"/>
        <w:lang w:val="fr-CH"/>
      </w:rPr>
    </w:pPr>
    <w:r w:rsidRPr="00FE280E">
      <w:rPr>
        <w:color w:val="D9D9D9" w:themeColor="background1" w:themeShade="D9"/>
        <w:lang w:val="en-US"/>
      </w:rPr>
      <w:fldChar w:fldCharType="begin"/>
    </w:r>
    <w:r w:rsidRPr="00FE280E">
      <w:rPr>
        <w:color w:val="D9D9D9" w:themeColor="background1" w:themeShade="D9"/>
        <w:lang w:val="fr-CH"/>
      </w:rPr>
      <w:instrText xml:space="preserve"> FILENAME \p  \* MERGEFORMAT </w:instrText>
    </w:r>
    <w:r w:rsidRPr="00FE280E">
      <w:rPr>
        <w:color w:val="D9D9D9" w:themeColor="background1" w:themeShade="D9"/>
        <w:lang w:val="en-US"/>
      </w:rPr>
      <w:fldChar w:fldCharType="separate"/>
    </w:r>
    <w:r w:rsidRPr="00FE280E">
      <w:rPr>
        <w:color w:val="D9D9D9" w:themeColor="background1" w:themeShade="D9"/>
        <w:lang w:val="fr-CH"/>
      </w:rPr>
      <w:t>P:\RUS\SG\CONSEIL\C20\000\040R.docx</w:t>
    </w:r>
    <w:r w:rsidRPr="00FE280E">
      <w:rPr>
        <w:color w:val="D9D9D9" w:themeColor="background1" w:themeShade="D9"/>
        <w:lang w:val="en-US"/>
      </w:rPr>
      <w:fldChar w:fldCharType="end"/>
    </w:r>
    <w:r w:rsidRPr="00FE280E">
      <w:rPr>
        <w:color w:val="D9D9D9" w:themeColor="background1" w:themeShade="D9"/>
        <w:lang w:val="fr-CH"/>
      </w:rPr>
      <w:t xml:space="preserve"> (467349)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27B5" w14:textId="45A38634" w:rsidR="00E31350" w:rsidRPr="00F11930" w:rsidRDefault="00E31350" w:rsidP="00F1193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088D8" w14:textId="77777777" w:rsidR="00E31350" w:rsidRDefault="00E31350">
      <w:r>
        <w:t>____________________</w:t>
      </w:r>
    </w:p>
  </w:footnote>
  <w:footnote w:type="continuationSeparator" w:id="0">
    <w:p w14:paraId="5779C121" w14:textId="77777777" w:rsidR="00E31350" w:rsidRDefault="00E3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14E4" w14:textId="345D3A66" w:rsidR="00E31350" w:rsidRDefault="00E31350" w:rsidP="00BD57B7">
    <w:pPr>
      <w:pStyle w:val="Header"/>
    </w:pPr>
    <w:r>
      <w:fldChar w:fldCharType="begin"/>
    </w:r>
    <w:r>
      <w:instrText>PAGE</w:instrText>
    </w:r>
    <w:r>
      <w:fldChar w:fldCharType="separate"/>
    </w:r>
    <w:r>
      <w:rPr>
        <w:noProof/>
      </w:rPr>
      <w:t>39</w:t>
    </w:r>
    <w:r>
      <w:rPr>
        <w:noProof/>
      </w:rPr>
      <w:fldChar w:fldCharType="end"/>
    </w:r>
  </w:p>
  <w:p w14:paraId="35277301" w14:textId="77777777" w:rsidR="00E31350" w:rsidRDefault="00E31350" w:rsidP="004131E5">
    <w:pPr>
      <w:pStyle w:val="Header"/>
    </w:pPr>
    <w:r>
      <w:t>C20/40-R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8895" w14:textId="3841BC7B" w:rsidR="00E31350" w:rsidRDefault="00E31350" w:rsidP="00BD57B7">
    <w:pPr>
      <w:pStyle w:val="Header"/>
    </w:pPr>
    <w:r>
      <w:fldChar w:fldCharType="begin"/>
    </w:r>
    <w:r>
      <w:instrText>PAGE</w:instrText>
    </w:r>
    <w:r>
      <w:fldChar w:fldCharType="separate"/>
    </w:r>
    <w:r>
      <w:rPr>
        <w:noProof/>
      </w:rPr>
      <w:t>40</w:t>
    </w:r>
    <w:r>
      <w:rPr>
        <w:noProof/>
      </w:rPr>
      <w:fldChar w:fldCharType="end"/>
    </w:r>
  </w:p>
  <w:p w14:paraId="1FB982CA" w14:textId="7657728D" w:rsidR="00E31350" w:rsidRDefault="00E31350" w:rsidP="0000018B">
    <w:pPr>
      <w:pStyle w:val="Header"/>
    </w:pPr>
    <w:r>
      <w:t>C</w:t>
    </w:r>
    <w:r>
      <w:rPr>
        <w:lang w:val="ru-RU"/>
      </w:rPr>
      <w:t>20</w:t>
    </w:r>
    <w:r>
      <w:t>/40-R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CC68386E"/>
    <w:lvl w:ilvl="0" w:tplc="5846FF46">
      <w:start w:val="1"/>
      <w:numFmt w:val="decimal"/>
      <w:pStyle w:val="testobase"/>
      <w:lvlText w:val="%1."/>
      <w:lvlJc w:val="left"/>
      <w:pPr>
        <w:ind w:left="420" w:hanging="420"/>
      </w:pPr>
      <w:rPr>
        <w:rFonts w:hint="default"/>
        <w:lang w:val="en-US"/>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05C924B5"/>
    <w:multiLevelType w:val="hybridMultilevel"/>
    <w:tmpl w:val="7CFC404E"/>
    <w:lvl w:ilvl="0" w:tplc="56904284">
      <w:start w:val="1"/>
      <w:numFmt w:val="decimal"/>
      <w:lvlText w:val="Recommendation n.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1843C3"/>
    <w:multiLevelType w:val="hybridMultilevel"/>
    <w:tmpl w:val="3DA2DD58"/>
    <w:lvl w:ilvl="0" w:tplc="5B46E080">
      <w:start w:val="91"/>
      <w:numFmt w:val="decimal"/>
      <w:pStyle w:val="recesug"/>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2908535F"/>
    <w:multiLevelType w:val="hybridMultilevel"/>
    <w:tmpl w:val="A4D2B83C"/>
    <w:lvl w:ilvl="0" w:tplc="8C2AB892">
      <w:start w:val="1"/>
      <w:numFmt w:val="lowerLetter"/>
      <w:lvlText w:val="%1)"/>
      <w:lvlJc w:val="left"/>
      <w:pPr>
        <w:ind w:left="2070" w:hanging="360"/>
      </w:pPr>
    </w:lvl>
    <w:lvl w:ilvl="1" w:tplc="04100019" w:tentative="1">
      <w:start w:val="1"/>
      <w:numFmt w:val="lowerLetter"/>
      <w:lvlText w:val="%2."/>
      <w:lvlJc w:val="left"/>
      <w:pPr>
        <w:ind w:left="2790" w:hanging="360"/>
      </w:pPr>
    </w:lvl>
    <w:lvl w:ilvl="2" w:tplc="0410001B" w:tentative="1">
      <w:start w:val="1"/>
      <w:numFmt w:val="lowerRoman"/>
      <w:lvlText w:val="%3."/>
      <w:lvlJc w:val="right"/>
      <w:pPr>
        <w:ind w:left="3510" w:hanging="180"/>
      </w:pPr>
    </w:lvl>
    <w:lvl w:ilvl="3" w:tplc="0410000F" w:tentative="1">
      <w:start w:val="1"/>
      <w:numFmt w:val="decimal"/>
      <w:lvlText w:val="%4."/>
      <w:lvlJc w:val="left"/>
      <w:pPr>
        <w:ind w:left="4230" w:hanging="360"/>
      </w:pPr>
    </w:lvl>
    <w:lvl w:ilvl="4" w:tplc="04100019" w:tentative="1">
      <w:start w:val="1"/>
      <w:numFmt w:val="lowerLetter"/>
      <w:lvlText w:val="%5."/>
      <w:lvlJc w:val="left"/>
      <w:pPr>
        <w:ind w:left="4950" w:hanging="360"/>
      </w:pPr>
    </w:lvl>
    <w:lvl w:ilvl="5" w:tplc="0410001B" w:tentative="1">
      <w:start w:val="1"/>
      <w:numFmt w:val="lowerRoman"/>
      <w:lvlText w:val="%6."/>
      <w:lvlJc w:val="right"/>
      <w:pPr>
        <w:ind w:left="5670" w:hanging="180"/>
      </w:pPr>
    </w:lvl>
    <w:lvl w:ilvl="6" w:tplc="0410000F" w:tentative="1">
      <w:start w:val="1"/>
      <w:numFmt w:val="decimal"/>
      <w:lvlText w:val="%7."/>
      <w:lvlJc w:val="left"/>
      <w:pPr>
        <w:ind w:left="6390" w:hanging="360"/>
      </w:pPr>
    </w:lvl>
    <w:lvl w:ilvl="7" w:tplc="04100019" w:tentative="1">
      <w:start w:val="1"/>
      <w:numFmt w:val="lowerLetter"/>
      <w:lvlText w:val="%8."/>
      <w:lvlJc w:val="left"/>
      <w:pPr>
        <w:ind w:left="7110" w:hanging="360"/>
      </w:pPr>
    </w:lvl>
    <w:lvl w:ilvl="8" w:tplc="0410001B" w:tentative="1">
      <w:start w:val="1"/>
      <w:numFmt w:val="lowerRoman"/>
      <w:lvlText w:val="%9."/>
      <w:lvlJc w:val="right"/>
      <w:pPr>
        <w:ind w:left="7830" w:hanging="180"/>
      </w:pPr>
    </w:lvl>
  </w:abstractNum>
  <w:abstractNum w:abstractNumId="6" w15:restartNumberingAfterBreak="0">
    <w:nsid w:val="2B6612E4"/>
    <w:multiLevelType w:val="hybridMultilevel"/>
    <w:tmpl w:val="12C0D2E8"/>
    <w:lvl w:ilvl="0" w:tplc="A5821080">
      <w:start w:val="1"/>
      <w:numFmt w:val="decimal"/>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6A6502BB"/>
    <w:multiLevelType w:val="hybridMultilevel"/>
    <w:tmpl w:val="17C083C6"/>
    <w:lvl w:ilvl="0" w:tplc="B0C63C58">
      <w:start w:val="1"/>
      <w:numFmt w:val="decimal"/>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9"/>
  </w:num>
  <w:num w:numId="6">
    <w:abstractNumId w:val="6"/>
  </w:num>
  <w:num w:numId="7">
    <w:abstractNumId w:val="2"/>
  </w:num>
  <w:num w:numId="8">
    <w:abstractNumId w:val="7"/>
  </w:num>
  <w:num w:numId="9">
    <w:abstractNumId w:val="1"/>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3"/>
    </w:lvlOverride>
  </w:num>
  <w:num w:numId="11">
    <w:abstractNumId w:val="1"/>
    <w:lvlOverride w:ilvl="0">
      <w:startOverride w:val="53"/>
    </w:lvlOverride>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D"/>
    <w:rsid w:val="0000018B"/>
    <w:rsid w:val="0000051B"/>
    <w:rsid w:val="00007057"/>
    <w:rsid w:val="00012D1B"/>
    <w:rsid w:val="00016740"/>
    <w:rsid w:val="0002150D"/>
    <w:rsid w:val="0002183E"/>
    <w:rsid w:val="00022DB4"/>
    <w:rsid w:val="00036CFE"/>
    <w:rsid w:val="000430E2"/>
    <w:rsid w:val="00043CC5"/>
    <w:rsid w:val="00051071"/>
    <w:rsid w:val="000542A0"/>
    <w:rsid w:val="000569B4"/>
    <w:rsid w:val="000608BD"/>
    <w:rsid w:val="00063910"/>
    <w:rsid w:val="00072212"/>
    <w:rsid w:val="00072F51"/>
    <w:rsid w:val="000740D8"/>
    <w:rsid w:val="00080E82"/>
    <w:rsid w:val="00086085"/>
    <w:rsid w:val="00095CD6"/>
    <w:rsid w:val="000A1703"/>
    <w:rsid w:val="000A531A"/>
    <w:rsid w:val="000A6BC2"/>
    <w:rsid w:val="000B7EF7"/>
    <w:rsid w:val="000D58C8"/>
    <w:rsid w:val="000E090B"/>
    <w:rsid w:val="000E2185"/>
    <w:rsid w:val="000E2BE6"/>
    <w:rsid w:val="000E568E"/>
    <w:rsid w:val="000F0031"/>
    <w:rsid w:val="000F32E4"/>
    <w:rsid w:val="00100AA6"/>
    <w:rsid w:val="001114F8"/>
    <w:rsid w:val="001216AD"/>
    <w:rsid w:val="00123591"/>
    <w:rsid w:val="0012628E"/>
    <w:rsid w:val="00144700"/>
    <w:rsid w:val="0014734F"/>
    <w:rsid w:val="00155552"/>
    <w:rsid w:val="0015710D"/>
    <w:rsid w:val="00163A32"/>
    <w:rsid w:val="0019033C"/>
    <w:rsid w:val="00191BE6"/>
    <w:rsid w:val="00192B41"/>
    <w:rsid w:val="001941A2"/>
    <w:rsid w:val="00194732"/>
    <w:rsid w:val="00195530"/>
    <w:rsid w:val="001B28CF"/>
    <w:rsid w:val="001B340B"/>
    <w:rsid w:val="001B7B09"/>
    <w:rsid w:val="001D1165"/>
    <w:rsid w:val="001D15A1"/>
    <w:rsid w:val="001D46D2"/>
    <w:rsid w:val="001E3767"/>
    <w:rsid w:val="001E6719"/>
    <w:rsid w:val="002002DA"/>
    <w:rsid w:val="00200B35"/>
    <w:rsid w:val="00201861"/>
    <w:rsid w:val="002037E0"/>
    <w:rsid w:val="00224E79"/>
    <w:rsid w:val="00225368"/>
    <w:rsid w:val="002262EC"/>
    <w:rsid w:val="002264DA"/>
    <w:rsid w:val="00227FF0"/>
    <w:rsid w:val="002363B5"/>
    <w:rsid w:val="00243C71"/>
    <w:rsid w:val="002573C4"/>
    <w:rsid w:val="00265788"/>
    <w:rsid w:val="00265816"/>
    <w:rsid w:val="00291EB6"/>
    <w:rsid w:val="002971A8"/>
    <w:rsid w:val="002D1BE1"/>
    <w:rsid w:val="002D2F57"/>
    <w:rsid w:val="002D48C5"/>
    <w:rsid w:val="002D7EB5"/>
    <w:rsid w:val="002E439B"/>
    <w:rsid w:val="002F3855"/>
    <w:rsid w:val="00300575"/>
    <w:rsid w:val="003025B5"/>
    <w:rsid w:val="0032175A"/>
    <w:rsid w:val="00331D21"/>
    <w:rsid w:val="00335229"/>
    <w:rsid w:val="00335D92"/>
    <w:rsid w:val="00346A11"/>
    <w:rsid w:val="00363701"/>
    <w:rsid w:val="003855AA"/>
    <w:rsid w:val="003868EE"/>
    <w:rsid w:val="003D5A6F"/>
    <w:rsid w:val="003D6487"/>
    <w:rsid w:val="003E0C24"/>
    <w:rsid w:val="003E40EE"/>
    <w:rsid w:val="003E7D88"/>
    <w:rsid w:val="003F06A6"/>
    <w:rsid w:val="003F099E"/>
    <w:rsid w:val="003F16FE"/>
    <w:rsid w:val="003F235E"/>
    <w:rsid w:val="003F2DF4"/>
    <w:rsid w:val="004023E0"/>
    <w:rsid w:val="00403DD8"/>
    <w:rsid w:val="004131E5"/>
    <w:rsid w:val="00415408"/>
    <w:rsid w:val="004252C0"/>
    <w:rsid w:val="00441336"/>
    <w:rsid w:val="00445331"/>
    <w:rsid w:val="00446AEA"/>
    <w:rsid w:val="0045686C"/>
    <w:rsid w:val="004647C3"/>
    <w:rsid w:val="00473339"/>
    <w:rsid w:val="00474C0F"/>
    <w:rsid w:val="00474CF2"/>
    <w:rsid w:val="004756A9"/>
    <w:rsid w:val="004905FA"/>
    <w:rsid w:val="004918C4"/>
    <w:rsid w:val="004921F8"/>
    <w:rsid w:val="0049472A"/>
    <w:rsid w:val="00497703"/>
    <w:rsid w:val="00497C35"/>
    <w:rsid w:val="004A0374"/>
    <w:rsid w:val="004A45B5"/>
    <w:rsid w:val="004A6755"/>
    <w:rsid w:val="004B10AF"/>
    <w:rsid w:val="004B60B5"/>
    <w:rsid w:val="004C75B4"/>
    <w:rsid w:val="004D0129"/>
    <w:rsid w:val="004D2F49"/>
    <w:rsid w:val="004E4851"/>
    <w:rsid w:val="004F0B2C"/>
    <w:rsid w:val="00503678"/>
    <w:rsid w:val="005274B8"/>
    <w:rsid w:val="00533D54"/>
    <w:rsid w:val="00543FF3"/>
    <w:rsid w:val="00546620"/>
    <w:rsid w:val="00547877"/>
    <w:rsid w:val="00550DE8"/>
    <w:rsid w:val="00562D52"/>
    <w:rsid w:val="00565384"/>
    <w:rsid w:val="00570C03"/>
    <w:rsid w:val="00572252"/>
    <w:rsid w:val="0058476E"/>
    <w:rsid w:val="005A19D5"/>
    <w:rsid w:val="005A3A4A"/>
    <w:rsid w:val="005A64D5"/>
    <w:rsid w:val="005B3DEC"/>
    <w:rsid w:val="005B75DC"/>
    <w:rsid w:val="005B77F9"/>
    <w:rsid w:val="005C106D"/>
    <w:rsid w:val="005C7D63"/>
    <w:rsid w:val="005D0EAE"/>
    <w:rsid w:val="005E5DC4"/>
    <w:rsid w:val="005F206E"/>
    <w:rsid w:val="005F7572"/>
    <w:rsid w:val="00601994"/>
    <w:rsid w:val="00606531"/>
    <w:rsid w:val="00606F03"/>
    <w:rsid w:val="006117CF"/>
    <w:rsid w:val="006258AC"/>
    <w:rsid w:val="006316AD"/>
    <w:rsid w:val="006361B2"/>
    <w:rsid w:val="00643CD7"/>
    <w:rsid w:val="0064563E"/>
    <w:rsid w:val="00650B00"/>
    <w:rsid w:val="00657F7C"/>
    <w:rsid w:val="0066239C"/>
    <w:rsid w:val="0066720E"/>
    <w:rsid w:val="006709FB"/>
    <w:rsid w:val="006740EB"/>
    <w:rsid w:val="00676D8B"/>
    <w:rsid w:val="00682A81"/>
    <w:rsid w:val="00683239"/>
    <w:rsid w:val="00684C5C"/>
    <w:rsid w:val="00691018"/>
    <w:rsid w:val="00691394"/>
    <w:rsid w:val="00695648"/>
    <w:rsid w:val="0069722D"/>
    <w:rsid w:val="006B37CA"/>
    <w:rsid w:val="006B5710"/>
    <w:rsid w:val="006C0D9D"/>
    <w:rsid w:val="006C13CB"/>
    <w:rsid w:val="006C2406"/>
    <w:rsid w:val="006C2C6E"/>
    <w:rsid w:val="006D6703"/>
    <w:rsid w:val="006E2D42"/>
    <w:rsid w:val="006E378B"/>
    <w:rsid w:val="006E3BDE"/>
    <w:rsid w:val="006E4B42"/>
    <w:rsid w:val="006E5485"/>
    <w:rsid w:val="006E5517"/>
    <w:rsid w:val="006F2A2A"/>
    <w:rsid w:val="00703676"/>
    <w:rsid w:val="00707304"/>
    <w:rsid w:val="00714584"/>
    <w:rsid w:val="007275AB"/>
    <w:rsid w:val="00732269"/>
    <w:rsid w:val="00733104"/>
    <w:rsid w:val="00737D2F"/>
    <w:rsid w:val="00743FB0"/>
    <w:rsid w:val="0076793F"/>
    <w:rsid w:val="007711D2"/>
    <w:rsid w:val="007742FD"/>
    <w:rsid w:val="00781108"/>
    <w:rsid w:val="00785ABD"/>
    <w:rsid w:val="007870FF"/>
    <w:rsid w:val="007A2BAF"/>
    <w:rsid w:val="007A2DD4"/>
    <w:rsid w:val="007A4252"/>
    <w:rsid w:val="007A6AB8"/>
    <w:rsid w:val="007B1B5C"/>
    <w:rsid w:val="007D38B5"/>
    <w:rsid w:val="007E780A"/>
    <w:rsid w:val="007E7EA0"/>
    <w:rsid w:val="00807255"/>
    <w:rsid w:val="0081023E"/>
    <w:rsid w:val="008173AA"/>
    <w:rsid w:val="00824C3F"/>
    <w:rsid w:val="0082569A"/>
    <w:rsid w:val="00837C76"/>
    <w:rsid w:val="00840A14"/>
    <w:rsid w:val="00841529"/>
    <w:rsid w:val="00855107"/>
    <w:rsid w:val="008605B2"/>
    <w:rsid w:val="0087255F"/>
    <w:rsid w:val="00875388"/>
    <w:rsid w:val="00875AB9"/>
    <w:rsid w:val="00896FCA"/>
    <w:rsid w:val="008A5482"/>
    <w:rsid w:val="008B62B4"/>
    <w:rsid w:val="008B7768"/>
    <w:rsid w:val="008C1975"/>
    <w:rsid w:val="008D2D7B"/>
    <w:rsid w:val="008E0737"/>
    <w:rsid w:val="008F1DFD"/>
    <w:rsid w:val="008F5EAA"/>
    <w:rsid w:val="008F7C2C"/>
    <w:rsid w:val="0091144B"/>
    <w:rsid w:val="0091769D"/>
    <w:rsid w:val="00925695"/>
    <w:rsid w:val="00932D72"/>
    <w:rsid w:val="00935D76"/>
    <w:rsid w:val="00940E96"/>
    <w:rsid w:val="009431C2"/>
    <w:rsid w:val="00954C81"/>
    <w:rsid w:val="00985FB2"/>
    <w:rsid w:val="009861DA"/>
    <w:rsid w:val="00990F72"/>
    <w:rsid w:val="009950A1"/>
    <w:rsid w:val="0099543F"/>
    <w:rsid w:val="009A2FC9"/>
    <w:rsid w:val="009A34D1"/>
    <w:rsid w:val="009B0BAE"/>
    <w:rsid w:val="009B0DCD"/>
    <w:rsid w:val="009B6F3C"/>
    <w:rsid w:val="009C1C89"/>
    <w:rsid w:val="009D033C"/>
    <w:rsid w:val="009D1C7C"/>
    <w:rsid w:val="009E4CDA"/>
    <w:rsid w:val="009F3448"/>
    <w:rsid w:val="009F5E9E"/>
    <w:rsid w:val="009F6778"/>
    <w:rsid w:val="00A01CF9"/>
    <w:rsid w:val="00A2720A"/>
    <w:rsid w:val="00A40A0C"/>
    <w:rsid w:val="00A57BE0"/>
    <w:rsid w:val="00A71773"/>
    <w:rsid w:val="00A767E7"/>
    <w:rsid w:val="00A82644"/>
    <w:rsid w:val="00AB32F2"/>
    <w:rsid w:val="00AB5B48"/>
    <w:rsid w:val="00AC41F8"/>
    <w:rsid w:val="00AD05E5"/>
    <w:rsid w:val="00AE06EC"/>
    <w:rsid w:val="00AE2C85"/>
    <w:rsid w:val="00B02C75"/>
    <w:rsid w:val="00B0545C"/>
    <w:rsid w:val="00B05C0D"/>
    <w:rsid w:val="00B12622"/>
    <w:rsid w:val="00B12A37"/>
    <w:rsid w:val="00B30DEC"/>
    <w:rsid w:val="00B36D97"/>
    <w:rsid w:val="00B37918"/>
    <w:rsid w:val="00B41FBF"/>
    <w:rsid w:val="00B466B6"/>
    <w:rsid w:val="00B63EF2"/>
    <w:rsid w:val="00B70228"/>
    <w:rsid w:val="00B7130D"/>
    <w:rsid w:val="00B86204"/>
    <w:rsid w:val="00B95156"/>
    <w:rsid w:val="00BA0062"/>
    <w:rsid w:val="00BA33FF"/>
    <w:rsid w:val="00BA7630"/>
    <w:rsid w:val="00BA7D89"/>
    <w:rsid w:val="00BA7ED2"/>
    <w:rsid w:val="00BB18C2"/>
    <w:rsid w:val="00BB54F2"/>
    <w:rsid w:val="00BC032D"/>
    <w:rsid w:val="00BC0D39"/>
    <w:rsid w:val="00BC10EF"/>
    <w:rsid w:val="00BC5224"/>
    <w:rsid w:val="00BC7BC0"/>
    <w:rsid w:val="00BD1A0C"/>
    <w:rsid w:val="00BD36C2"/>
    <w:rsid w:val="00BD57B7"/>
    <w:rsid w:val="00BE08B1"/>
    <w:rsid w:val="00BE63E2"/>
    <w:rsid w:val="00BF406A"/>
    <w:rsid w:val="00BF63F7"/>
    <w:rsid w:val="00C00FEA"/>
    <w:rsid w:val="00C0120A"/>
    <w:rsid w:val="00C14451"/>
    <w:rsid w:val="00C436E4"/>
    <w:rsid w:val="00C619B3"/>
    <w:rsid w:val="00C66538"/>
    <w:rsid w:val="00C744B7"/>
    <w:rsid w:val="00C75B91"/>
    <w:rsid w:val="00C81B8E"/>
    <w:rsid w:val="00C84E06"/>
    <w:rsid w:val="00C95CBE"/>
    <w:rsid w:val="00CA4979"/>
    <w:rsid w:val="00CA666C"/>
    <w:rsid w:val="00CD1402"/>
    <w:rsid w:val="00CD2009"/>
    <w:rsid w:val="00CE0E84"/>
    <w:rsid w:val="00CE2520"/>
    <w:rsid w:val="00CF629C"/>
    <w:rsid w:val="00D058F4"/>
    <w:rsid w:val="00D139EC"/>
    <w:rsid w:val="00D17477"/>
    <w:rsid w:val="00D2474B"/>
    <w:rsid w:val="00D3562F"/>
    <w:rsid w:val="00D3584C"/>
    <w:rsid w:val="00D51FC1"/>
    <w:rsid w:val="00D61F93"/>
    <w:rsid w:val="00D65CA9"/>
    <w:rsid w:val="00D77520"/>
    <w:rsid w:val="00D81ABE"/>
    <w:rsid w:val="00D902DB"/>
    <w:rsid w:val="00D92EEA"/>
    <w:rsid w:val="00DA4447"/>
    <w:rsid w:val="00DA5D4E"/>
    <w:rsid w:val="00DB1A44"/>
    <w:rsid w:val="00DB4A82"/>
    <w:rsid w:val="00DB51CA"/>
    <w:rsid w:val="00DC2156"/>
    <w:rsid w:val="00DC27A7"/>
    <w:rsid w:val="00DD0847"/>
    <w:rsid w:val="00DD1ACA"/>
    <w:rsid w:val="00DD34D2"/>
    <w:rsid w:val="00DF1255"/>
    <w:rsid w:val="00E176BA"/>
    <w:rsid w:val="00E31350"/>
    <w:rsid w:val="00E3462A"/>
    <w:rsid w:val="00E40F40"/>
    <w:rsid w:val="00E423EC"/>
    <w:rsid w:val="00E44711"/>
    <w:rsid w:val="00E47BD4"/>
    <w:rsid w:val="00E55121"/>
    <w:rsid w:val="00E5596D"/>
    <w:rsid w:val="00E62783"/>
    <w:rsid w:val="00E64881"/>
    <w:rsid w:val="00E769DA"/>
    <w:rsid w:val="00E825B8"/>
    <w:rsid w:val="00E8451F"/>
    <w:rsid w:val="00E84783"/>
    <w:rsid w:val="00E85D5C"/>
    <w:rsid w:val="00E8610C"/>
    <w:rsid w:val="00E87BB7"/>
    <w:rsid w:val="00EB377A"/>
    <w:rsid w:val="00EB4FCB"/>
    <w:rsid w:val="00EC1E53"/>
    <w:rsid w:val="00EC6BC5"/>
    <w:rsid w:val="00ED3AE5"/>
    <w:rsid w:val="00EE29E1"/>
    <w:rsid w:val="00EE3530"/>
    <w:rsid w:val="00EE4881"/>
    <w:rsid w:val="00F009A0"/>
    <w:rsid w:val="00F01F2A"/>
    <w:rsid w:val="00F07B98"/>
    <w:rsid w:val="00F11930"/>
    <w:rsid w:val="00F13F6E"/>
    <w:rsid w:val="00F1704A"/>
    <w:rsid w:val="00F259D9"/>
    <w:rsid w:val="00F34554"/>
    <w:rsid w:val="00F35898"/>
    <w:rsid w:val="00F415CD"/>
    <w:rsid w:val="00F47AA5"/>
    <w:rsid w:val="00F5225B"/>
    <w:rsid w:val="00F524D4"/>
    <w:rsid w:val="00F536C4"/>
    <w:rsid w:val="00F62987"/>
    <w:rsid w:val="00F63DE2"/>
    <w:rsid w:val="00F67CBC"/>
    <w:rsid w:val="00F75B03"/>
    <w:rsid w:val="00F833B4"/>
    <w:rsid w:val="00F84A0A"/>
    <w:rsid w:val="00FA295D"/>
    <w:rsid w:val="00FB6841"/>
    <w:rsid w:val="00FC160F"/>
    <w:rsid w:val="00FD44B9"/>
    <w:rsid w:val="00FD46EF"/>
    <w:rsid w:val="00FD57CA"/>
    <w:rsid w:val="00FE280E"/>
    <w:rsid w:val="00FE5701"/>
    <w:rsid w:val="00FE69E3"/>
    <w:rsid w:val="00FF0B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69D8926"/>
  <w15:docId w15:val="{4236BE53-5DC0-4D3F-B8EE-D512B9B8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8B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0608BD"/>
    <w:pPr>
      <w:spacing w:before="280"/>
      <w:ind w:left="0" w:firstLine="0"/>
      <w:outlineLvl w:val="1"/>
    </w:pPr>
    <w:rPr>
      <w:sz w:val="22"/>
    </w:rPr>
  </w:style>
  <w:style w:type="paragraph" w:styleId="Heading3">
    <w:name w:val="heading 3"/>
    <w:basedOn w:val="Heading1"/>
    <w:next w:val="Normal"/>
    <w:link w:val="Heading3Char"/>
    <w:qFormat/>
    <w:rsid w:val="000608BD"/>
    <w:pPr>
      <w:spacing w:before="240"/>
      <w:ind w:left="0" w:firstLine="0"/>
      <w:outlineLvl w:val="2"/>
    </w:pPr>
    <w:rPr>
      <w:sz w:val="22"/>
    </w:rPr>
  </w:style>
  <w:style w:type="paragraph" w:styleId="Heading4">
    <w:name w:val="heading 4"/>
    <w:basedOn w:val="Heading3"/>
    <w:next w:val="Normal"/>
    <w:link w:val="Heading4Char"/>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E84"/>
    <w:rPr>
      <w:rFonts w:ascii="Calibri" w:hAnsi="Calibri"/>
      <w:b/>
      <w:sz w:val="26"/>
      <w:lang w:val="en-GB" w:eastAsia="en-US"/>
    </w:rPr>
  </w:style>
  <w:style w:type="character" w:customStyle="1" w:styleId="Heading2Char">
    <w:name w:val="Heading 2 Char"/>
    <w:basedOn w:val="DefaultParagraphFont"/>
    <w:link w:val="Heading2"/>
    <w:rsid w:val="000608BD"/>
    <w:rPr>
      <w:rFonts w:ascii="Calibri" w:hAnsi="Calibri"/>
      <w:b/>
      <w:sz w:val="22"/>
      <w:lang w:val="en-GB" w:eastAsia="en-US"/>
    </w:rPr>
  </w:style>
  <w:style w:type="character" w:customStyle="1" w:styleId="Heading3Char">
    <w:name w:val="Heading 3 Char"/>
    <w:basedOn w:val="DefaultParagraphFont"/>
    <w:link w:val="Heading3"/>
    <w:rsid w:val="000608BD"/>
    <w:rPr>
      <w:rFonts w:ascii="Calibri" w:hAnsi="Calibri"/>
      <w:b/>
      <w:sz w:val="22"/>
      <w:lang w:val="en-GB" w:eastAsia="en-US"/>
    </w:rPr>
  </w:style>
  <w:style w:type="character" w:customStyle="1" w:styleId="Heading4Char">
    <w:name w:val="Heading 4 Char"/>
    <w:basedOn w:val="DefaultParagraphFont"/>
    <w:link w:val="Heading4"/>
    <w:rsid w:val="00CE0E84"/>
    <w:rPr>
      <w:rFonts w:ascii="Times New Roman Bold" w:hAnsi="Times New Roman Bold"/>
      <w:i/>
      <w:sz w:val="22"/>
      <w:lang w:val="en-GB" w:eastAsia="en-US"/>
    </w:rPr>
  </w:style>
  <w:style w:type="character" w:customStyle="1" w:styleId="Heading5Char">
    <w:name w:val="Heading 5 Char"/>
    <w:basedOn w:val="DefaultParagraphFont"/>
    <w:link w:val="Heading5"/>
    <w:rsid w:val="00CE0E84"/>
    <w:rPr>
      <w:rFonts w:ascii="Times New Roman Bold" w:hAnsi="Times New Roman Bold"/>
      <w:i/>
      <w:sz w:val="22"/>
      <w:lang w:val="en-GB" w:eastAsia="en-US"/>
    </w:rPr>
  </w:style>
  <w:style w:type="character" w:customStyle="1" w:styleId="Heading6Char">
    <w:name w:val="Heading 6 Char"/>
    <w:basedOn w:val="DefaultParagraphFont"/>
    <w:link w:val="Heading6"/>
    <w:rsid w:val="00CE0E84"/>
    <w:rPr>
      <w:rFonts w:ascii="Times New Roman Bold" w:hAnsi="Times New Roman Bold"/>
      <w:i/>
      <w:sz w:val="22"/>
      <w:lang w:val="en-GB" w:eastAsia="en-US"/>
    </w:rPr>
  </w:style>
  <w:style w:type="character" w:customStyle="1" w:styleId="Heading7Char">
    <w:name w:val="Heading 7 Char"/>
    <w:basedOn w:val="DefaultParagraphFont"/>
    <w:link w:val="Heading7"/>
    <w:rsid w:val="00CE0E84"/>
    <w:rPr>
      <w:rFonts w:ascii="Times New Roman Bold" w:hAnsi="Times New Roman Bold"/>
      <w:i/>
      <w:sz w:val="22"/>
      <w:lang w:val="en-GB" w:eastAsia="en-US"/>
    </w:rPr>
  </w:style>
  <w:style w:type="character" w:customStyle="1" w:styleId="Heading8Char">
    <w:name w:val="Heading 8 Char"/>
    <w:basedOn w:val="DefaultParagraphFont"/>
    <w:link w:val="Heading8"/>
    <w:rsid w:val="00CE0E84"/>
    <w:rPr>
      <w:rFonts w:ascii="Times New Roman Bold" w:hAnsi="Times New Roman Bold"/>
      <w:i/>
      <w:sz w:val="22"/>
      <w:lang w:val="en-GB" w:eastAsia="en-US"/>
    </w:rPr>
  </w:style>
  <w:style w:type="character" w:customStyle="1" w:styleId="Heading9Char">
    <w:name w:val="Heading 9 Char"/>
    <w:basedOn w:val="DefaultParagraphFont"/>
    <w:link w:val="Heading9"/>
    <w:rsid w:val="00CE0E84"/>
    <w:rPr>
      <w:rFonts w:ascii="Times New Roman Bold" w:hAnsi="Times New Roman Bold"/>
      <w:i/>
      <w:sz w:val="22"/>
      <w:lang w:val="en-GB" w:eastAsia="en-US"/>
    </w:rPr>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uiPriority w:val="39"/>
    <w:qFormat/>
    <w:rsid w:val="00227FF0"/>
  </w:style>
  <w:style w:type="paragraph" w:styleId="TOC2">
    <w:name w:val="toc 2"/>
    <w:basedOn w:val="TOC1"/>
    <w:uiPriority w:val="39"/>
    <w:qFormat/>
    <w:rsid w:val="00227FF0"/>
    <w:pPr>
      <w:spacing w:before="160"/>
    </w:pPr>
  </w:style>
  <w:style w:type="paragraph" w:styleId="TOC1">
    <w:name w:val="toc 1"/>
    <w:basedOn w:val="Normal"/>
    <w:uiPriority w:val="39"/>
    <w:qFormat/>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CE0E84"/>
    <w:rPr>
      <w:rFonts w:ascii="Calibri" w:hAnsi="Calibri"/>
      <w:caps/>
      <w:noProof/>
      <w:sz w:val="16"/>
      <w:lang w:val="fr-FR" w:eastAsia="en-US"/>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CE0E84"/>
    <w:rPr>
      <w:rFonts w:ascii="Calibri" w:hAnsi="Calibri"/>
      <w:sz w:val="18"/>
      <w:lang w:val="fr-FR" w:eastAsia="en-US"/>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character" w:customStyle="1" w:styleId="FootnoteTextChar">
    <w:name w:val="Footnote Text Char"/>
    <w:basedOn w:val="DefaultParagraphFont"/>
    <w:link w:val="FootnoteText"/>
    <w:rsid w:val="00CE0E84"/>
    <w:rPr>
      <w:rFonts w:ascii="Calibri" w:hAnsi="Calibri"/>
      <w:lang w:val="en-GB" w:eastAsia="en-US"/>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character" w:customStyle="1" w:styleId="enumlev1Char">
    <w:name w:val="enumlev1 Char"/>
    <w:basedOn w:val="DefaultParagraphFont"/>
    <w:link w:val="enumlev1"/>
    <w:rsid w:val="00CE0E84"/>
    <w:rPr>
      <w:rFonts w:ascii="Calibri" w:hAnsi="Calibri"/>
      <w:sz w:val="22"/>
      <w:lang w:val="en-GB" w:eastAsia="en-US"/>
    </w:r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character" w:customStyle="1" w:styleId="NormalaftertitleChar">
    <w:name w:val="Normal after title Char"/>
    <w:basedOn w:val="DefaultParagraphFont"/>
    <w:link w:val="Normalaftertitle"/>
    <w:rsid w:val="00CE0E84"/>
    <w:rPr>
      <w:rFonts w:ascii="Calibri" w:hAnsi="Calibri"/>
      <w:sz w:val="22"/>
      <w:lang w:val="en-GB" w:eastAsia="en-US"/>
    </w:r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
    <w:basedOn w:val="DefaultParagraphFont"/>
    <w:uiPriority w:val="99"/>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0608B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0608BD"/>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title">
    <w:name w:val="Question_title"/>
    <w:basedOn w:val="Rectitle"/>
    <w:next w:val="Questionref"/>
    <w:rsid w:val="001E6719"/>
  </w:style>
  <w:style w:type="paragraph" w:customStyle="1" w:styleId="Questionref">
    <w:name w:val="Question_ref"/>
    <w:basedOn w:val="Recref"/>
    <w:next w:val="Questiondate"/>
    <w:rsid w:val="00227FF0"/>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customStyle="1" w:styleId="firstfooter0">
    <w:name w:val="firstfooter"/>
    <w:basedOn w:val="Normal"/>
    <w:rsid w:val="00CE0E84"/>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CE0E84"/>
    <w:pPr>
      <w:keepNext/>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CE0E84"/>
    <w:pPr>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character" w:customStyle="1" w:styleId="ListParagraphChar">
    <w:name w:val="List Paragraph Char"/>
    <w:basedOn w:val="DefaultParagraphFont"/>
    <w:link w:val="ListParagraph"/>
    <w:uiPriority w:val="34"/>
    <w:rsid w:val="00CE0E84"/>
    <w:rPr>
      <w:rFonts w:asciiTheme="minorHAnsi" w:eastAsiaTheme="minorEastAsia" w:hAnsiTheme="minorHAnsi" w:cstheme="minorBidi"/>
      <w:sz w:val="22"/>
      <w:szCs w:val="22"/>
    </w:rPr>
  </w:style>
  <w:style w:type="paragraph" w:styleId="BalloonText">
    <w:name w:val="Balloon Text"/>
    <w:basedOn w:val="Normal"/>
    <w:link w:val="BalloonTextChar"/>
    <w:uiPriority w:val="99"/>
    <w:rsid w:val="00CE0E84"/>
    <w:rPr>
      <w:rFonts w:ascii="Tahoma" w:hAnsi="Tahoma" w:cs="Tahoma"/>
      <w:sz w:val="16"/>
      <w:szCs w:val="16"/>
    </w:rPr>
  </w:style>
  <w:style w:type="character" w:customStyle="1" w:styleId="BalloonTextChar">
    <w:name w:val="Balloon Text Char"/>
    <w:basedOn w:val="DefaultParagraphFont"/>
    <w:link w:val="BalloonText"/>
    <w:uiPriority w:val="99"/>
    <w:rsid w:val="00CE0E84"/>
    <w:rPr>
      <w:rFonts w:ascii="Tahoma" w:hAnsi="Tahoma" w:cs="Tahoma"/>
      <w:sz w:val="16"/>
      <w:szCs w:val="16"/>
      <w:lang w:val="en-GB" w:eastAsia="en-US"/>
    </w:rPr>
  </w:style>
  <w:style w:type="paragraph" w:customStyle="1" w:styleId="Body">
    <w:name w:val="Body"/>
    <w:rsid w:val="00CE0E84"/>
    <w:rPr>
      <w:rFonts w:ascii="Helvetica" w:eastAsia="ヒラギノ角ゴ Pro W3" w:hAnsi="Helvetica"/>
      <w:color w:val="000000"/>
      <w:sz w:val="24"/>
      <w:lang w:eastAsia="en-US"/>
    </w:rPr>
  </w:style>
  <w:style w:type="paragraph" w:customStyle="1" w:styleId="call0">
    <w:name w:val="call"/>
    <w:basedOn w:val="Normal"/>
    <w:next w:val="Normal"/>
    <w:rsid w:val="00CE0E84"/>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i/>
      <w:sz w:val="24"/>
    </w:rPr>
  </w:style>
  <w:style w:type="character" w:customStyle="1" w:styleId="A1">
    <w:name w:val="A1"/>
    <w:uiPriority w:val="99"/>
    <w:rsid w:val="00CE0E84"/>
    <w:rPr>
      <w:color w:val="000000"/>
      <w:sz w:val="22"/>
      <w:szCs w:val="22"/>
    </w:rPr>
  </w:style>
  <w:style w:type="table" w:styleId="TableGrid">
    <w:name w:val="Table Grid"/>
    <w:basedOn w:val="TableNormal"/>
    <w:rsid w:val="00CE0E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CE0E84"/>
    <w:pPr>
      <w:numPr>
        <w:numId w:val="2"/>
      </w:numPr>
      <w:tabs>
        <w:tab w:val="clear" w:pos="794"/>
        <w:tab w:val="clear" w:pos="1191"/>
        <w:tab w:val="clear" w:pos="1588"/>
        <w:tab w:val="clear" w:pos="1985"/>
        <w:tab w:val="num" w:pos="360"/>
      </w:tabs>
      <w:adjustRightInd w:val="0"/>
      <w:spacing w:before="120" w:after="0" w:line="319" w:lineRule="auto"/>
      <w:ind w:left="425" w:hanging="425"/>
      <w:contextualSpacing w:val="0"/>
      <w:jc w:val="both"/>
    </w:pPr>
    <w:rPr>
      <w:rFonts w:ascii="Times New Roman" w:eastAsiaTheme="minorHAnsi" w:hAnsi="Times New Roman" w:cs="Times New Roman"/>
      <w:sz w:val="24"/>
      <w:szCs w:val="24"/>
      <w:lang w:val="en-GB" w:eastAsia="it-IT"/>
    </w:rPr>
  </w:style>
  <w:style w:type="character" w:customStyle="1" w:styleId="testobaseCarattere">
    <w:name w:val="testo base Carattere"/>
    <w:basedOn w:val="DefaultParagraphFont"/>
    <w:link w:val="testobase"/>
    <w:rsid w:val="00CE0E84"/>
    <w:rPr>
      <w:rFonts w:ascii="Times New Roman" w:eastAsiaTheme="minorHAnsi" w:hAnsi="Times New Roman"/>
      <w:sz w:val="24"/>
      <w:szCs w:val="24"/>
      <w:lang w:val="en-GB" w:eastAsia="it-IT"/>
    </w:rPr>
  </w:style>
  <w:style w:type="paragraph" w:customStyle="1" w:styleId="recesugg">
    <w:name w:val="rec e sugg"/>
    <w:basedOn w:val="testobase"/>
    <w:qFormat/>
    <w:rsid w:val="00CE0E84"/>
    <w:pPr>
      <w:pBdr>
        <w:top w:val="single" w:sz="4" w:space="1" w:color="auto"/>
        <w:left w:val="single" w:sz="4" w:space="4" w:color="auto"/>
        <w:bottom w:val="single" w:sz="4" w:space="1" w:color="auto"/>
        <w:right w:val="single" w:sz="4" w:space="4" w:color="auto"/>
      </w:pBdr>
    </w:pPr>
  </w:style>
  <w:style w:type="paragraph" w:customStyle="1" w:styleId="titolorecesug">
    <w:name w:val="titolo rec e sug"/>
    <w:basedOn w:val="Normal"/>
    <w:qFormat/>
    <w:rsid w:val="00CE0E84"/>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 w:val="24"/>
      <w:szCs w:val="24"/>
    </w:rPr>
  </w:style>
  <w:style w:type="paragraph" w:customStyle="1" w:styleId="titcomments">
    <w:name w:val="tit comments"/>
    <w:basedOn w:val="titolorecesug"/>
    <w:qFormat/>
    <w:rsid w:val="00CE0E84"/>
    <w:rPr>
      <w:u w:val="single"/>
    </w:rPr>
  </w:style>
  <w:style w:type="paragraph" w:customStyle="1" w:styleId="comments">
    <w:name w:val="comments"/>
    <w:basedOn w:val="Normal"/>
    <w:next w:val="Normal"/>
    <w:qFormat/>
    <w:rsid w:val="00CE0E84"/>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 w:val="24"/>
      <w:szCs w:val="24"/>
    </w:rPr>
  </w:style>
  <w:style w:type="paragraph" w:customStyle="1" w:styleId="elencopuntato1">
    <w:name w:val="elenco puntato 1"/>
    <w:basedOn w:val="ListParagraph"/>
    <w:link w:val="elencopuntato1Carattere"/>
    <w:qFormat/>
    <w:rsid w:val="00CE0E84"/>
    <w:pPr>
      <w:numPr>
        <w:numId w:val="3"/>
      </w:numPr>
      <w:tabs>
        <w:tab w:val="clear" w:pos="794"/>
        <w:tab w:val="clear" w:pos="1191"/>
        <w:tab w:val="clear" w:pos="1588"/>
        <w:tab w:val="clear" w:pos="1985"/>
      </w:tabs>
      <w:adjustRightInd w:val="0"/>
      <w:spacing w:before="120" w:after="0" w:line="319" w:lineRule="auto"/>
      <w:ind w:left="709" w:hanging="284"/>
      <w:contextualSpacing w:val="0"/>
      <w:jc w:val="both"/>
    </w:pPr>
    <w:rPr>
      <w:rFonts w:ascii="Times New Roman" w:eastAsiaTheme="minorHAnsi" w:hAnsi="Times New Roman" w:cs="Times New Roman"/>
      <w:sz w:val="24"/>
      <w:szCs w:val="24"/>
      <w:lang w:val="en-GB" w:eastAsia="it-IT"/>
    </w:rPr>
  </w:style>
  <w:style w:type="character" w:customStyle="1" w:styleId="elencopuntato1Carattere">
    <w:name w:val="elenco puntato 1 Carattere"/>
    <w:basedOn w:val="DefaultParagraphFont"/>
    <w:link w:val="elencopuntato1"/>
    <w:rsid w:val="00CE0E84"/>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CE0E84"/>
    <w:pPr>
      <w:keepLines/>
      <w:numPr>
        <w:numId w:val="4"/>
      </w:numPr>
      <w:pBdr>
        <w:top w:val="single" w:sz="4" w:space="1" w:color="auto"/>
        <w:left w:val="single" w:sz="4" w:space="4" w:color="auto"/>
        <w:bottom w:val="single" w:sz="4" w:space="1" w:color="auto"/>
        <w:right w:val="single" w:sz="4" w:space="4" w:color="auto"/>
      </w:pBdr>
      <w:ind w:left="425" w:hanging="425"/>
    </w:pPr>
  </w:style>
  <w:style w:type="paragraph" w:styleId="NormalWeb">
    <w:name w:val="Normal (Web)"/>
    <w:basedOn w:val="Normal"/>
    <w:link w:val="NormalWebChar"/>
    <w:uiPriority w:val="99"/>
    <w:unhideWhenUsed/>
    <w:rsid w:val="00CE0E84"/>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4"/>
      <w:szCs w:val="24"/>
    </w:rPr>
  </w:style>
  <w:style w:type="character" w:customStyle="1" w:styleId="NormalWebChar">
    <w:name w:val="Normal (Web) Char"/>
    <w:link w:val="NormalWeb"/>
    <w:uiPriority w:val="99"/>
    <w:locked/>
    <w:rsid w:val="00CE0E84"/>
    <w:rPr>
      <w:rFonts w:ascii="Times New Roman" w:eastAsia="SimSun" w:hAnsi="Times New Roman"/>
      <w:sz w:val="24"/>
      <w:szCs w:val="24"/>
      <w:lang w:val="en-GB" w:eastAsia="en-US"/>
    </w:rPr>
  </w:style>
  <w:style w:type="paragraph" w:styleId="TOCHeading">
    <w:name w:val="TOC Heading"/>
    <w:basedOn w:val="Heading1"/>
    <w:next w:val="Normal"/>
    <w:uiPriority w:val="39"/>
    <w:unhideWhenUsed/>
    <w:qFormat/>
    <w:rsid w:val="00CE0E84"/>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qFormat/>
    <w:rsid w:val="00CE0E84"/>
    <w:pPr>
      <w:tabs>
        <w:tab w:val="clear" w:pos="794"/>
        <w:tab w:val="clear" w:pos="1191"/>
        <w:tab w:val="clear" w:pos="1588"/>
        <w:tab w:val="clear" w:pos="1985"/>
      </w:tabs>
      <w:overflowPunct/>
      <w:autoSpaceDE/>
      <w:autoSpaceDN/>
      <w:spacing w:line="319" w:lineRule="auto"/>
      <w:contextualSpacing/>
      <w:jc w:val="both"/>
      <w:textAlignment w:val="auto"/>
    </w:pPr>
    <w:rPr>
      <w:rFonts w:asciiTheme="majorBidi" w:eastAsiaTheme="minorHAnsi" w:hAnsiTheme="majorBidi" w:cstheme="majorBidi"/>
      <w:b/>
      <w:bCs/>
      <w:sz w:val="24"/>
      <w:szCs w:val="24"/>
      <w:lang w:val="en-US"/>
    </w:rPr>
  </w:style>
  <w:style w:type="character" w:customStyle="1" w:styleId="Style1Char">
    <w:name w:val="Style1 Char"/>
    <w:basedOn w:val="DefaultParagraphFont"/>
    <w:link w:val="Style1"/>
    <w:rsid w:val="00CE0E84"/>
    <w:rPr>
      <w:rFonts w:asciiTheme="majorBidi" w:eastAsiaTheme="minorHAnsi" w:hAnsiTheme="majorBidi" w:cstheme="majorBidi"/>
      <w:b/>
      <w:bCs/>
      <w:sz w:val="24"/>
      <w:szCs w:val="24"/>
      <w:lang w:eastAsia="en-US"/>
    </w:rPr>
  </w:style>
  <w:style w:type="character" w:customStyle="1" w:styleId="CharacterStyle17">
    <w:name w:val="Character Style 17"/>
    <w:uiPriority w:val="99"/>
    <w:rsid w:val="00CE0E84"/>
    <w:rPr>
      <w:sz w:val="20"/>
    </w:rPr>
  </w:style>
  <w:style w:type="character" w:customStyle="1" w:styleId="hps">
    <w:name w:val="hps"/>
    <w:basedOn w:val="DefaultParagraphFont"/>
    <w:rsid w:val="00CE0E84"/>
  </w:style>
  <w:style w:type="character" w:customStyle="1" w:styleId="shorttext">
    <w:name w:val="short_text"/>
    <w:basedOn w:val="DefaultParagraphFont"/>
    <w:rsid w:val="00CE0E84"/>
  </w:style>
  <w:style w:type="character" w:styleId="Strong">
    <w:name w:val="Strong"/>
    <w:basedOn w:val="DefaultParagraphFont"/>
    <w:uiPriority w:val="22"/>
    <w:qFormat/>
    <w:rsid w:val="00CE0E84"/>
    <w:rPr>
      <w:b/>
      <w:bCs/>
    </w:rPr>
  </w:style>
  <w:style w:type="paragraph" w:customStyle="1" w:styleId="testorientrato">
    <w:name w:val="testo rientrato"/>
    <w:basedOn w:val="testobase"/>
    <w:qFormat/>
    <w:rsid w:val="00CE0E84"/>
    <w:pPr>
      <w:numPr>
        <w:numId w:val="0"/>
      </w:numPr>
      <w:ind w:left="425"/>
    </w:pPr>
    <w:rPr>
      <w:iCs/>
    </w:rPr>
  </w:style>
  <w:style w:type="character" w:customStyle="1" w:styleId="CommentTextChar">
    <w:name w:val="Comment Text Char"/>
    <w:basedOn w:val="DefaultParagraphFont"/>
    <w:link w:val="CommentText"/>
    <w:uiPriority w:val="99"/>
    <w:semiHidden/>
    <w:rsid w:val="00CE0E84"/>
    <w:rPr>
      <w:rFonts w:asciiTheme="majorBidi" w:eastAsiaTheme="minorHAnsi" w:hAnsiTheme="majorBidi" w:cstheme="majorBidi"/>
      <w:lang w:eastAsia="en-US"/>
    </w:rPr>
  </w:style>
  <w:style w:type="paragraph" w:styleId="CommentText">
    <w:name w:val="annotation text"/>
    <w:basedOn w:val="Normal"/>
    <w:link w:val="CommentTextChar"/>
    <w:uiPriority w:val="99"/>
    <w:semiHidden/>
    <w:unhideWhenUsed/>
    <w:rsid w:val="00CE0E84"/>
    <w:pPr>
      <w:tabs>
        <w:tab w:val="clear" w:pos="794"/>
        <w:tab w:val="clear" w:pos="1191"/>
        <w:tab w:val="clear" w:pos="1588"/>
        <w:tab w:val="clear" w:pos="1985"/>
      </w:tabs>
      <w:overflowPunct/>
      <w:autoSpaceDE/>
      <w:autoSpaceDN/>
      <w:jc w:val="both"/>
      <w:textAlignment w:val="auto"/>
    </w:pPr>
    <w:rPr>
      <w:rFonts w:asciiTheme="majorBidi" w:eastAsiaTheme="minorHAnsi" w:hAnsiTheme="majorBidi" w:cstheme="majorBidi"/>
      <w:sz w:val="20"/>
      <w:lang w:val="en-US"/>
    </w:rPr>
  </w:style>
  <w:style w:type="character" w:customStyle="1" w:styleId="CommentTextChar1">
    <w:name w:val="Comment Text Char1"/>
    <w:basedOn w:val="DefaultParagraphFont"/>
    <w:semiHidden/>
    <w:rsid w:val="00CE0E84"/>
    <w:rPr>
      <w:rFonts w:ascii="Calibri" w:hAnsi="Calibri"/>
      <w:lang w:val="en-GB" w:eastAsia="en-US"/>
    </w:rPr>
  </w:style>
  <w:style w:type="character" w:customStyle="1" w:styleId="CommentSubjectChar">
    <w:name w:val="Comment Subject Char"/>
    <w:basedOn w:val="CommentTextChar"/>
    <w:link w:val="CommentSubject"/>
    <w:uiPriority w:val="99"/>
    <w:semiHidden/>
    <w:rsid w:val="00CE0E84"/>
    <w:rPr>
      <w:rFonts w:asciiTheme="majorBidi" w:eastAsiaTheme="minorHAnsi" w:hAnsiTheme="majorBidi" w:cstheme="majorBidi"/>
      <w:b/>
      <w:bCs/>
      <w:lang w:eastAsia="en-US"/>
    </w:rPr>
  </w:style>
  <w:style w:type="paragraph" w:styleId="CommentSubject">
    <w:name w:val="annotation subject"/>
    <w:basedOn w:val="CommentText"/>
    <w:next w:val="CommentText"/>
    <w:link w:val="CommentSubjectChar"/>
    <w:uiPriority w:val="99"/>
    <w:semiHidden/>
    <w:unhideWhenUsed/>
    <w:rsid w:val="00CE0E84"/>
    <w:rPr>
      <w:b/>
      <w:bCs/>
    </w:rPr>
  </w:style>
  <w:style w:type="character" w:customStyle="1" w:styleId="CommentSubjectChar1">
    <w:name w:val="Comment Subject Char1"/>
    <w:basedOn w:val="CommentTextChar1"/>
    <w:semiHidden/>
    <w:rsid w:val="00CE0E84"/>
    <w:rPr>
      <w:rFonts w:ascii="Calibri" w:hAnsi="Calibri"/>
      <w:b/>
      <w:bCs/>
      <w:lang w:val="en-GB" w:eastAsia="en-US"/>
    </w:rPr>
  </w:style>
  <w:style w:type="paragraph" w:customStyle="1" w:styleId="elencoconlettere1">
    <w:name w:val="elenco con lettere 1"/>
    <w:basedOn w:val="Normal"/>
    <w:qFormat/>
    <w:rsid w:val="00CE0E84"/>
    <w:pPr>
      <w:tabs>
        <w:tab w:val="clear" w:pos="794"/>
        <w:tab w:val="clear" w:pos="1191"/>
        <w:tab w:val="clear" w:pos="1588"/>
        <w:tab w:val="clear" w:pos="1985"/>
      </w:tabs>
      <w:overflowPunct/>
      <w:autoSpaceDE/>
      <w:autoSpaceDN/>
      <w:spacing w:line="319" w:lineRule="auto"/>
      <w:ind w:left="709" w:hanging="284"/>
      <w:jc w:val="both"/>
      <w:textAlignment w:val="auto"/>
    </w:pPr>
    <w:rPr>
      <w:rFonts w:asciiTheme="majorBidi" w:eastAsiaTheme="minorHAnsi" w:hAnsiTheme="majorBidi" w:cstheme="majorBidi"/>
      <w:sz w:val="24"/>
      <w:szCs w:val="24"/>
    </w:rPr>
  </w:style>
  <w:style w:type="paragraph" w:customStyle="1" w:styleId="titolorec">
    <w:name w:val="titolo rec"/>
    <w:basedOn w:val="Normal"/>
    <w:next w:val="recesug"/>
    <w:qFormat/>
    <w:rsid w:val="00CE0E84"/>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ind w:left="360" w:hanging="360"/>
      <w:jc w:val="both"/>
      <w:textAlignment w:val="auto"/>
    </w:pPr>
    <w:rPr>
      <w:rFonts w:asciiTheme="majorBidi" w:eastAsiaTheme="minorHAnsi" w:hAnsiTheme="majorBidi" w:cstheme="majorBidi"/>
      <w:b/>
      <w:bCs/>
      <w:sz w:val="24"/>
      <w:szCs w:val="24"/>
    </w:rPr>
  </w:style>
  <w:style w:type="paragraph" w:customStyle="1" w:styleId="titolosugg">
    <w:name w:val="titolo sugg"/>
    <w:basedOn w:val="titolorec"/>
    <w:next w:val="recesug"/>
    <w:qFormat/>
    <w:rsid w:val="00CE0E84"/>
  </w:style>
  <w:style w:type="table" w:customStyle="1" w:styleId="TableGrid2">
    <w:name w:val="Table Grid2"/>
    <w:basedOn w:val="TableNormal"/>
    <w:next w:val="TableGrid"/>
    <w:rsid w:val="00CE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63701"/>
    <w:rPr>
      <w:color w:val="605E5C"/>
      <w:shd w:val="clear" w:color="auto" w:fill="E1DFDD"/>
    </w:rPr>
  </w:style>
  <w:style w:type="paragraph" w:customStyle="1" w:styleId="Default">
    <w:name w:val="Default"/>
    <w:rsid w:val="00F67CBC"/>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52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BCC1-1814-423B-801B-F118A745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PR_C20.dotx</Template>
  <TotalTime>1</TotalTime>
  <Pages>91</Pages>
  <Words>28579</Words>
  <Characters>195170</Characters>
  <Application>Microsoft Office Word</Application>
  <DocSecurity>4</DocSecurity>
  <Lines>1626</Lines>
  <Paragraphs>446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223303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Auditor report: Union's accounts 2019</dc:title>
  <dc:subject>Council 2020</dc:subject>
  <dc:creator>Antipina, Nadezda</dc:creator>
  <cp:keywords>C20, C2020, VC, VCC2</cp:keywords>
  <dc:description/>
  <cp:lastModifiedBy>Brouard, Ricarda</cp:lastModifiedBy>
  <cp:revision>2</cp:revision>
  <cp:lastPrinted>2006-03-28T16:12:00Z</cp:lastPrinted>
  <dcterms:created xsi:type="dcterms:W3CDTF">2020-11-15T19:26:00Z</dcterms:created>
  <dcterms:modified xsi:type="dcterms:W3CDTF">2020-11-15T19:26:00Z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