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B5FCD" w14:paraId="645200FF" w14:textId="77777777">
        <w:trPr>
          <w:cantSplit/>
        </w:trPr>
        <w:tc>
          <w:tcPr>
            <w:tcW w:w="6911" w:type="dxa"/>
          </w:tcPr>
          <w:p w14:paraId="5B0BA874" w14:textId="77777777" w:rsidR="00BC7BC0" w:rsidRPr="00AB5FCD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B5FC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AB5FCD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AB5FC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B5FC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B5FCD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AB5FCD">
              <w:rPr>
                <w:b/>
                <w:bCs/>
                <w:szCs w:val="22"/>
                <w:lang w:val="ru-RU"/>
              </w:rPr>
              <w:t>9</w:t>
            </w:r>
            <w:r w:rsidR="005B3DEC" w:rsidRPr="00AB5FCD">
              <w:rPr>
                <w:b/>
                <w:bCs/>
                <w:szCs w:val="22"/>
                <w:lang w:val="ru-RU"/>
              </w:rPr>
              <w:t>–</w:t>
            </w:r>
            <w:r w:rsidR="00442515" w:rsidRPr="00AB5FCD">
              <w:rPr>
                <w:b/>
                <w:bCs/>
                <w:szCs w:val="22"/>
                <w:lang w:val="ru-RU"/>
              </w:rPr>
              <w:t>19</w:t>
            </w:r>
            <w:r w:rsidR="005B3DEC" w:rsidRPr="00AB5FCD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AB5FCD">
              <w:rPr>
                <w:b/>
                <w:bCs/>
                <w:lang w:val="ru-RU"/>
              </w:rPr>
              <w:t xml:space="preserve"> </w:t>
            </w:r>
            <w:r w:rsidR="00225368" w:rsidRPr="00AB5FCD">
              <w:rPr>
                <w:b/>
                <w:bCs/>
                <w:lang w:val="ru-RU"/>
              </w:rPr>
              <w:t>20</w:t>
            </w:r>
            <w:r w:rsidR="00442515" w:rsidRPr="00AB5FCD">
              <w:rPr>
                <w:b/>
                <w:bCs/>
                <w:lang w:val="ru-RU"/>
              </w:rPr>
              <w:t>20</w:t>
            </w:r>
            <w:r w:rsidR="00225368" w:rsidRPr="00AB5FC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AB5FCD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B5FCD">
              <w:rPr>
                <w:noProof/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B5FCD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AB5FC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AB5FC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AB5FC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AB5FC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B5FCD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406222DF" w:rsidR="00BC7BC0" w:rsidRPr="0016648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B5FC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166483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166483">
              <w:rPr>
                <w:b/>
                <w:bCs/>
                <w:caps/>
                <w:color w:val="000000"/>
                <w:szCs w:val="22"/>
                <w:lang w:val="en-US"/>
              </w:rPr>
              <w:t>1.4</w:t>
            </w:r>
          </w:p>
        </w:tc>
        <w:tc>
          <w:tcPr>
            <w:tcW w:w="3120" w:type="dxa"/>
          </w:tcPr>
          <w:p w14:paraId="667A31B9" w14:textId="17668545" w:rsidR="00BC7BC0" w:rsidRPr="00AB5FCD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Pr="00AB5FCD">
              <w:rPr>
                <w:b/>
                <w:bCs/>
                <w:szCs w:val="22"/>
                <w:lang w:val="ru-RU"/>
              </w:rPr>
              <w:t>/</w:t>
            </w:r>
            <w:r w:rsidR="00166483">
              <w:rPr>
                <w:b/>
                <w:bCs/>
                <w:szCs w:val="22"/>
                <w:lang w:val="en-US"/>
              </w:rPr>
              <w:t>36</w:t>
            </w:r>
            <w:r w:rsidRPr="00AB5FC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B5FCD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3F42DEAA" w:rsidR="00BC7BC0" w:rsidRPr="00AB5FCD" w:rsidRDefault="0016648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5 мая</w:t>
            </w:r>
            <w:r w:rsidR="00EB4FCB" w:rsidRPr="00AB5FC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AB5FCD">
              <w:rPr>
                <w:b/>
                <w:bCs/>
                <w:szCs w:val="22"/>
                <w:lang w:val="ru-RU"/>
              </w:rPr>
              <w:t>20</w:t>
            </w:r>
            <w:r w:rsidR="00442515" w:rsidRPr="00AB5FCD">
              <w:rPr>
                <w:b/>
                <w:bCs/>
                <w:szCs w:val="22"/>
                <w:lang w:val="ru-RU"/>
              </w:rPr>
              <w:t>20</w:t>
            </w:r>
            <w:r w:rsidR="00BC7BC0" w:rsidRPr="00AB5FC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B5FCD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AB5FC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AB5FC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B5FC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B5FCD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0D239C54" w:rsidR="00BC7BC0" w:rsidRPr="00AB5FCD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AB5FCD">
              <w:rPr>
                <w:lang w:val="ru-RU"/>
              </w:rPr>
              <w:t>Отчет Генерального секретаря</w:t>
            </w:r>
          </w:p>
        </w:tc>
      </w:tr>
      <w:tr w:rsidR="00BC7BC0" w:rsidRPr="002A4A19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23E222EF" w:rsidR="00BC7BC0" w:rsidRPr="00AB5FCD" w:rsidRDefault="00484AF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>ОТЧЕТ, РАЗЪЯСНЯЮЩИЙ,</w:t>
            </w:r>
            <w:r w:rsidR="00166483" w:rsidRPr="00166483">
              <w:rPr>
                <w:lang w:val="ru-RU"/>
              </w:rPr>
              <w:t xml:space="preserve"> как МСЭ в настоящее время использует структуру </w:t>
            </w:r>
            <w:hyperlink r:id="rId12" w:history="1">
              <w:r w:rsidR="00166483" w:rsidRPr="00166483">
                <w:rPr>
                  <w:rStyle w:val="Hyperlink"/>
                  <w:lang w:val="ru-RU"/>
                </w:rPr>
                <w:t>Глобальной программы кибербезопасности</w:t>
              </w:r>
            </w:hyperlink>
            <w:r w:rsidR="00166483" w:rsidRPr="00166483">
              <w:rPr>
                <w:lang w:val="ru-RU"/>
              </w:rPr>
              <w:t xml:space="preserve"> (ГПК)</w:t>
            </w:r>
          </w:p>
        </w:tc>
      </w:tr>
      <w:bookmarkEnd w:id="2"/>
    </w:tbl>
    <w:p w14:paraId="4B6F74DD" w14:textId="77777777" w:rsidR="002D2F57" w:rsidRPr="00AB5FC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E5E36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AB5FCD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Резюме</w:t>
            </w:r>
          </w:p>
          <w:p w14:paraId="148A35CE" w14:textId="19E8CDB3" w:rsidR="00746CB6" w:rsidRPr="00746CB6" w:rsidRDefault="00746CB6" w:rsidP="00746CB6">
            <w:pPr>
              <w:rPr>
                <w:szCs w:val="22"/>
                <w:lang w:val="ru-RU"/>
              </w:rPr>
            </w:pPr>
            <w:r w:rsidRPr="00746CB6">
              <w:rPr>
                <w:szCs w:val="22"/>
                <w:lang w:val="ru-RU"/>
              </w:rPr>
              <w:t xml:space="preserve">В ходе своей сессии 2019 года Совет поручил Генеральному секретарю одновременно представить на следующей сессии Совета 1) отчет, разъясняющий, как МСЭ в настоящее время использует структуру </w:t>
            </w:r>
            <w:hyperlink r:id="rId13" w:history="1">
              <w:r w:rsidRPr="00746CB6">
                <w:rPr>
                  <w:rStyle w:val="Hyperlink"/>
                  <w:szCs w:val="22"/>
                  <w:lang w:val="ru-RU"/>
                </w:rPr>
                <w:t>Глобальной программы кибербезопасности</w:t>
              </w:r>
            </w:hyperlink>
            <w:r w:rsidRPr="00746CB6">
              <w:rPr>
                <w:szCs w:val="22"/>
                <w:lang w:val="ru-RU"/>
              </w:rPr>
              <w:t xml:space="preserve"> (ГПК), и 2) соответствующие руководящие указания по использованию структуры ГПК Союзом, разработанные при участии Государств-Членов, на рассмотрение и утверждение Советом (</w:t>
            </w:r>
            <w:hyperlink r:id="rId14" w:history="1">
              <w:r w:rsidRPr="00746CB6">
                <w:rPr>
                  <w:rStyle w:val="Hyperlink"/>
                  <w:szCs w:val="22"/>
                  <w:lang w:val="ru-RU"/>
                </w:rPr>
                <w:t>C19/117</w:t>
              </w:r>
            </w:hyperlink>
            <w:r w:rsidRPr="00746CB6">
              <w:rPr>
                <w:szCs w:val="22"/>
                <w:lang w:val="ru-RU"/>
              </w:rPr>
              <w:t xml:space="preserve">, </w:t>
            </w:r>
            <w:hyperlink r:id="rId15" w:history="1">
              <w:r w:rsidRPr="00746CB6">
                <w:rPr>
                  <w:rStyle w:val="Hyperlink"/>
                  <w:szCs w:val="22"/>
                  <w:lang w:val="ru-RU"/>
                </w:rPr>
                <w:t>C19/58</w:t>
              </w:r>
            </w:hyperlink>
            <w:r w:rsidRPr="00746CB6">
              <w:rPr>
                <w:szCs w:val="22"/>
                <w:lang w:val="ru-RU"/>
              </w:rPr>
              <w:t>).</w:t>
            </w:r>
          </w:p>
          <w:p w14:paraId="153EDD81" w14:textId="60BD40F5" w:rsidR="00746CB6" w:rsidRPr="002A4A19" w:rsidRDefault="00746CB6" w:rsidP="00746CB6">
            <w:pPr>
              <w:rPr>
                <w:szCs w:val="22"/>
                <w:lang w:val="ru-RU"/>
              </w:rPr>
            </w:pPr>
            <w:r w:rsidRPr="00746CB6">
              <w:rPr>
                <w:szCs w:val="22"/>
                <w:lang w:val="ru-RU"/>
              </w:rPr>
              <w:t>В соответствии с этими поручениями при поддержке Старшего судьи (в от</w:t>
            </w:r>
            <w:r w:rsidR="004302E5">
              <w:rPr>
                <w:szCs w:val="22"/>
                <w:lang w:val="ru-RU"/>
              </w:rPr>
              <w:t>ставке) Штайна Шольберга (бывшего председателя</w:t>
            </w:r>
            <w:r w:rsidRPr="00746CB6">
              <w:rPr>
                <w:szCs w:val="22"/>
                <w:lang w:val="ru-RU"/>
              </w:rPr>
              <w:t xml:space="preserve"> HLEG) и при участии Государств-Членов был сформулирован </w:t>
            </w:r>
            <w:r w:rsidR="00F56AE7" w:rsidRPr="00746CB6">
              <w:rPr>
                <w:szCs w:val="22"/>
                <w:lang w:val="ru-RU"/>
              </w:rPr>
              <w:t>для расс</w:t>
            </w:r>
            <w:r w:rsidR="00F56AE7">
              <w:rPr>
                <w:szCs w:val="22"/>
                <w:lang w:val="ru-RU"/>
              </w:rPr>
              <w:t xml:space="preserve">мотрения Советом </w:t>
            </w:r>
            <w:r w:rsidRPr="00746CB6">
              <w:rPr>
                <w:szCs w:val="22"/>
                <w:lang w:val="ru-RU"/>
              </w:rPr>
              <w:t xml:space="preserve">проект руководящих указаний </w:t>
            </w:r>
            <w:r w:rsidR="004302E5">
              <w:rPr>
                <w:szCs w:val="22"/>
                <w:lang w:val="ru-RU"/>
              </w:rPr>
              <w:t xml:space="preserve">по использованию ГПК Союзом </w:t>
            </w:r>
            <w:r w:rsidR="001D637A">
              <w:rPr>
                <w:szCs w:val="22"/>
                <w:lang w:val="ru-RU"/>
              </w:rPr>
              <w:t>(см. С</w:t>
            </w:r>
            <w:r w:rsidR="001D637A" w:rsidRPr="002A4A19">
              <w:rPr>
                <w:szCs w:val="22"/>
                <w:lang w:val="ru-RU"/>
              </w:rPr>
              <w:t>20/65)</w:t>
            </w:r>
            <w:r w:rsidRPr="002A4A19">
              <w:rPr>
                <w:szCs w:val="22"/>
                <w:lang w:val="ru-RU"/>
              </w:rPr>
              <w:t>.</w:t>
            </w:r>
          </w:p>
          <w:p w14:paraId="26899C57" w14:textId="73F2F1E7" w:rsidR="004A16BF" w:rsidRPr="002A4A19" w:rsidRDefault="00F56AE7" w:rsidP="00746CB6">
            <w:pPr>
              <w:rPr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Одновременно</w:t>
            </w:r>
            <w:r w:rsidR="001D637A" w:rsidRPr="001D637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 рассмотрение</w:t>
            </w:r>
            <w:r w:rsidR="002A4A19">
              <w:rPr>
                <w:iCs/>
                <w:szCs w:val="22"/>
                <w:lang w:val="ru-RU"/>
              </w:rPr>
              <w:t xml:space="preserve"> Совета</w:t>
            </w:r>
            <w:r>
              <w:rPr>
                <w:iCs/>
                <w:szCs w:val="22"/>
                <w:lang w:val="ru-RU"/>
              </w:rPr>
              <w:t xml:space="preserve"> представляется </w:t>
            </w:r>
            <w:r w:rsidR="001D637A">
              <w:rPr>
                <w:iCs/>
                <w:szCs w:val="22"/>
                <w:lang w:val="ru-RU"/>
              </w:rPr>
              <w:t>настоящий</w:t>
            </w:r>
            <w:r w:rsidR="001D637A" w:rsidRPr="001D637A">
              <w:rPr>
                <w:iCs/>
                <w:szCs w:val="22"/>
                <w:lang w:val="ru-RU"/>
              </w:rPr>
              <w:t xml:space="preserve"> </w:t>
            </w:r>
            <w:r w:rsidR="001D637A">
              <w:rPr>
                <w:iCs/>
                <w:szCs w:val="22"/>
                <w:lang w:val="ru-RU"/>
              </w:rPr>
              <w:t>отчет</w:t>
            </w:r>
            <w:r w:rsidR="001D637A" w:rsidRPr="001D637A">
              <w:rPr>
                <w:iCs/>
                <w:szCs w:val="22"/>
                <w:lang w:val="ru-RU"/>
              </w:rPr>
              <w:t xml:space="preserve">, </w:t>
            </w:r>
            <w:r w:rsidR="001D637A">
              <w:rPr>
                <w:iCs/>
                <w:szCs w:val="22"/>
                <w:lang w:val="ru-RU"/>
              </w:rPr>
              <w:t>разъясняющий</w:t>
            </w:r>
            <w:r w:rsidR="001D637A" w:rsidRPr="001D637A">
              <w:rPr>
                <w:iCs/>
                <w:szCs w:val="22"/>
                <w:lang w:val="ru-RU"/>
              </w:rPr>
              <w:t xml:space="preserve">, </w:t>
            </w:r>
            <w:r w:rsidR="001D637A">
              <w:rPr>
                <w:iCs/>
                <w:szCs w:val="22"/>
                <w:lang w:val="ru-RU"/>
              </w:rPr>
              <w:t>как</w:t>
            </w:r>
            <w:r w:rsidR="001D637A" w:rsidRPr="001D637A">
              <w:rPr>
                <w:iCs/>
                <w:szCs w:val="22"/>
                <w:lang w:val="ru-RU"/>
              </w:rPr>
              <w:t xml:space="preserve"> </w:t>
            </w:r>
            <w:r w:rsidR="001D637A">
              <w:rPr>
                <w:iCs/>
                <w:szCs w:val="22"/>
                <w:lang w:val="ru-RU"/>
              </w:rPr>
              <w:t>МСЭ</w:t>
            </w:r>
            <w:r w:rsidR="001D637A" w:rsidRPr="001D637A">
              <w:rPr>
                <w:iCs/>
                <w:szCs w:val="22"/>
                <w:lang w:val="ru-RU"/>
              </w:rPr>
              <w:t xml:space="preserve"> </w:t>
            </w:r>
            <w:r w:rsidR="001D637A">
              <w:rPr>
                <w:iCs/>
                <w:szCs w:val="22"/>
                <w:lang w:val="ru-RU"/>
              </w:rPr>
              <w:t>в</w:t>
            </w:r>
            <w:r w:rsidR="001D637A" w:rsidRPr="001D637A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настоящее время использует ГПК</w:t>
            </w:r>
            <w:r w:rsidR="001D637A">
              <w:rPr>
                <w:iCs/>
                <w:szCs w:val="22"/>
                <w:lang w:val="ru-RU"/>
              </w:rPr>
              <w:t xml:space="preserve">. </w:t>
            </w:r>
          </w:p>
          <w:p w14:paraId="08D54458" w14:textId="77777777" w:rsidR="002D2F57" w:rsidRPr="002A4A19" w:rsidRDefault="002D2F57" w:rsidP="00E55121">
            <w:pPr>
              <w:pStyle w:val="Headingb"/>
              <w:rPr>
                <w:lang w:val="ru-RU"/>
              </w:rPr>
            </w:pPr>
            <w:r w:rsidRPr="00AB5FCD">
              <w:rPr>
                <w:lang w:val="ru-RU"/>
              </w:rPr>
              <w:t>Необходимые</w:t>
            </w:r>
            <w:r w:rsidRPr="002A4A19">
              <w:rPr>
                <w:lang w:val="ru-RU"/>
              </w:rPr>
              <w:t xml:space="preserve"> </w:t>
            </w:r>
            <w:r w:rsidR="00F5225B" w:rsidRPr="00AB5FCD">
              <w:rPr>
                <w:lang w:val="ru-RU"/>
              </w:rPr>
              <w:t>действия</w:t>
            </w:r>
          </w:p>
          <w:p w14:paraId="78AB9C76" w14:textId="7007C914" w:rsidR="002D2F57" w:rsidRPr="002A4A19" w:rsidRDefault="004302E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Совету предлагается </w:t>
            </w:r>
            <w:r w:rsidRPr="004302E5">
              <w:rPr>
                <w:b/>
                <w:szCs w:val="22"/>
                <w:lang w:val="ru-RU"/>
              </w:rPr>
              <w:t>принять к сведению</w:t>
            </w:r>
            <w:r>
              <w:rPr>
                <w:szCs w:val="22"/>
                <w:lang w:val="ru-RU"/>
              </w:rPr>
              <w:t xml:space="preserve"> настоящий отчет. </w:t>
            </w:r>
          </w:p>
          <w:p w14:paraId="6A9E596B" w14:textId="77777777" w:rsidR="002D2F57" w:rsidRPr="00484AF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84AFB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484AFB" w:rsidRDefault="002D2F57">
            <w:pPr>
              <w:pStyle w:val="Headingb"/>
              <w:rPr>
                <w:szCs w:val="22"/>
                <w:lang w:val="ru-RU"/>
              </w:rPr>
            </w:pPr>
            <w:r w:rsidRPr="00AB5FCD">
              <w:rPr>
                <w:szCs w:val="22"/>
                <w:lang w:val="ru-RU"/>
              </w:rPr>
              <w:t>Справочные</w:t>
            </w:r>
            <w:r w:rsidRPr="00484AFB">
              <w:rPr>
                <w:szCs w:val="22"/>
                <w:lang w:val="ru-RU"/>
              </w:rPr>
              <w:t xml:space="preserve"> </w:t>
            </w:r>
            <w:r w:rsidRPr="00AB5FCD">
              <w:rPr>
                <w:szCs w:val="22"/>
                <w:lang w:val="ru-RU"/>
              </w:rPr>
              <w:t>материалы</w:t>
            </w:r>
          </w:p>
          <w:p w14:paraId="47CA1E48" w14:textId="60F9EB24" w:rsidR="002D2F57" w:rsidRPr="00484AFB" w:rsidRDefault="000E5E36" w:rsidP="004302E5">
            <w:pPr>
              <w:spacing w:after="120"/>
              <w:rPr>
                <w:i/>
                <w:iCs/>
                <w:lang w:val="ru-RU"/>
              </w:rPr>
            </w:pPr>
            <w:hyperlink r:id="rId16" w:history="1">
              <w:r w:rsidR="004302E5">
                <w:rPr>
                  <w:rStyle w:val="Hyperlink"/>
                  <w:i/>
                  <w:iCs/>
                  <w:lang w:val="ru-RU"/>
                </w:rPr>
                <w:t>Глобальная программа кибербезопасности</w:t>
              </w:r>
              <w:r w:rsidR="00746CB6" w:rsidRPr="00484AFB">
                <w:rPr>
                  <w:rStyle w:val="Hyperlink"/>
                  <w:i/>
                  <w:iCs/>
                  <w:lang w:val="ru-RU"/>
                </w:rPr>
                <w:t xml:space="preserve"> (</w:t>
              </w:r>
              <w:r w:rsidR="004302E5">
                <w:rPr>
                  <w:rStyle w:val="Hyperlink"/>
                  <w:i/>
                  <w:iCs/>
                  <w:lang w:val="ru-RU"/>
                </w:rPr>
                <w:t>ГПК</w:t>
              </w:r>
              <w:r w:rsidR="00746CB6" w:rsidRPr="00484AFB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746CB6" w:rsidRPr="00484AFB">
              <w:rPr>
                <w:i/>
                <w:iCs/>
                <w:lang w:val="ru-RU"/>
              </w:rPr>
              <w:t xml:space="preserve">; </w:t>
            </w:r>
            <w:hyperlink r:id="rId17" w:history="1">
              <w:r w:rsidR="00746CB6" w:rsidRPr="00746CB6">
                <w:rPr>
                  <w:rStyle w:val="Hyperlink"/>
                  <w:i/>
                  <w:iCs/>
                  <w:lang w:val="ru-RU"/>
                </w:rPr>
                <w:t>Документ</w:t>
              </w:r>
              <w:r w:rsidR="00746CB6" w:rsidRPr="00484AFB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746CB6" w:rsidRPr="00746CB6">
                <w:rPr>
                  <w:rStyle w:val="Hyperlink"/>
                  <w:i/>
                  <w:iCs/>
                </w:rPr>
                <w:t>C</w:t>
              </w:r>
              <w:r w:rsidR="00746CB6" w:rsidRPr="00484AFB">
                <w:rPr>
                  <w:rStyle w:val="Hyperlink"/>
                  <w:i/>
                  <w:iCs/>
                  <w:lang w:val="ru-RU"/>
                </w:rPr>
                <w:t xml:space="preserve">20/65 </w:t>
              </w:r>
              <w:r w:rsidR="00746CB6" w:rsidRPr="00746CB6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</w:p>
        </w:tc>
      </w:tr>
    </w:tbl>
    <w:p w14:paraId="6EFAB47A" w14:textId="77777777" w:rsidR="002D2F57" w:rsidRPr="00484AFB" w:rsidRDefault="002D2F57" w:rsidP="00EC6BC5">
      <w:pPr>
        <w:rPr>
          <w:lang w:val="ru-RU"/>
        </w:rPr>
      </w:pPr>
    </w:p>
    <w:p w14:paraId="22EA9419" w14:textId="1C3B232D" w:rsidR="00A90A2E" w:rsidRPr="00484AFB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84AFB">
        <w:rPr>
          <w:lang w:val="ru-RU"/>
        </w:rPr>
        <w:br w:type="page"/>
      </w:r>
    </w:p>
    <w:p w14:paraId="4D45E487" w14:textId="386FC98B" w:rsidR="00746CB6" w:rsidRDefault="00746CB6" w:rsidP="00746CB6">
      <w:pPr>
        <w:pStyle w:val="Heading1"/>
        <w:rPr>
          <w:lang w:val="ru-RU"/>
        </w:rPr>
      </w:pPr>
      <w:r>
        <w:rPr>
          <w:lang w:val="ru-RU"/>
        </w:rPr>
        <w:lastRenderedPageBreak/>
        <w:t>1</w:t>
      </w:r>
      <w:r>
        <w:rPr>
          <w:lang w:val="ru-RU"/>
        </w:rPr>
        <w:tab/>
        <w:t>Введение</w:t>
      </w:r>
    </w:p>
    <w:p w14:paraId="331750F4" w14:textId="38469042" w:rsidR="00746CB6" w:rsidRPr="00746CB6" w:rsidRDefault="00746CB6" w:rsidP="00746CB6">
      <w:pPr>
        <w:rPr>
          <w:iCs/>
          <w:lang w:val="ru-RU"/>
        </w:rPr>
      </w:pPr>
      <w:r w:rsidRPr="00746CB6">
        <w:rPr>
          <w:b/>
          <w:lang w:val="ru-RU"/>
        </w:rPr>
        <w:t>1.1</w:t>
      </w:r>
      <w:r w:rsidRPr="00746CB6">
        <w:rPr>
          <w:lang w:val="ru-RU"/>
        </w:rPr>
        <w:tab/>
        <w:t>Полномочная конференция МСЭ 2018 года, состоявшаяся в Дубае, приняла Резолюцию 130:</w:t>
      </w:r>
      <w:bookmarkStart w:id="3" w:name="_Toc406757688"/>
      <w:r w:rsidRPr="00746CB6">
        <w:rPr>
          <w:lang w:val="ru-RU"/>
        </w:rPr>
        <w:t xml:space="preserve"> "</w:t>
      </w:r>
      <w:r w:rsidRPr="00746CB6">
        <w:rPr>
          <w:i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  <w:bookmarkEnd w:id="3"/>
      <w:r w:rsidRPr="00746CB6">
        <w:rPr>
          <w:iCs/>
          <w:lang w:val="ru-RU"/>
        </w:rPr>
        <w:t>".</w:t>
      </w:r>
      <w:r w:rsidRPr="00746CB6">
        <w:rPr>
          <w:i/>
          <w:lang w:val="ru-RU"/>
        </w:rPr>
        <w:t xml:space="preserve"> </w:t>
      </w:r>
      <w:r w:rsidRPr="00746CB6">
        <w:rPr>
          <w:lang w:val="ru-RU"/>
        </w:rPr>
        <w:t>В Резолюции содержится, наряду с прочим, решение</w:t>
      </w:r>
      <w:r w:rsidRPr="00746CB6">
        <w:rPr>
          <w:i/>
          <w:lang w:val="ru-RU"/>
        </w:rPr>
        <w:t xml:space="preserve"> использовать структуру </w:t>
      </w:r>
      <w:hyperlink r:id="rId18" w:history="1">
        <w:r w:rsidRPr="00746CB6">
          <w:rPr>
            <w:rStyle w:val="Hyperlink"/>
            <w:i/>
            <w:lang w:val="ru-RU"/>
          </w:rPr>
          <w:t>Г</w:t>
        </w:r>
        <w:r w:rsidR="00BA05B9">
          <w:rPr>
            <w:rStyle w:val="Hyperlink"/>
            <w:i/>
            <w:lang w:val="ru-RU"/>
          </w:rPr>
          <w:t>лобальной программы кибербезопасности (Г</w:t>
        </w:r>
        <w:r w:rsidRPr="00746CB6">
          <w:rPr>
            <w:rStyle w:val="Hyperlink"/>
            <w:i/>
            <w:lang w:val="ru-RU"/>
          </w:rPr>
          <w:t>ПК</w:t>
        </w:r>
      </w:hyperlink>
      <w:r w:rsidR="00BA05B9">
        <w:rPr>
          <w:rStyle w:val="Hyperlink"/>
          <w:i/>
          <w:lang w:val="ru-RU"/>
        </w:rPr>
        <w:t>)</w:t>
      </w:r>
      <w:r w:rsidRPr="00746CB6">
        <w:rPr>
          <w:i/>
          <w:lang w:val="ru-RU"/>
        </w:rPr>
        <w:t xml:space="preserve"> для того, чтобы далее направлять работу Союза по укреплению доверия и безопасности при использовании информационно-коммуникационных технологий (ИКТ)</w:t>
      </w:r>
      <w:r w:rsidRPr="00746CB6">
        <w:rPr>
          <w:i/>
          <w:iCs/>
          <w:lang w:val="ru-RU"/>
        </w:rPr>
        <w:t>.</w:t>
      </w:r>
    </w:p>
    <w:p w14:paraId="20897C5B" w14:textId="02C12ACD" w:rsidR="00746CB6" w:rsidRPr="00746CB6" w:rsidRDefault="00746CB6" w:rsidP="00746CB6">
      <w:pPr>
        <w:rPr>
          <w:rFonts w:cstheme="minorHAnsi"/>
          <w:iCs/>
          <w:lang w:val="ru-RU"/>
        </w:rPr>
      </w:pPr>
      <w:r w:rsidRPr="00746CB6">
        <w:rPr>
          <w:b/>
          <w:iCs/>
          <w:lang w:val="ru-RU"/>
        </w:rPr>
        <w:t>1.2</w:t>
      </w:r>
      <w:r w:rsidRPr="00746CB6">
        <w:rPr>
          <w:iCs/>
          <w:lang w:val="ru-RU"/>
        </w:rPr>
        <w:tab/>
      </w:r>
      <w:r w:rsidRPr="00746CB6">
        <w:rPr>
          <w:lang w:val="ru-RU"/>
        </w:rPr>
        <w:t>На пленарном заседании непосредственно перед принятием Резолюции 130 Генеральный секретарь МСЭ "</w:t>
      </w:r>
      <w:r w:rsidRPr="00746CB6">
        <w:rPr>
          <w:i/>
          <w:lang w:val="ru-RU"/>
        </w:rPr>
        <w:t xml:space="preserve">с удовлетворением отметил, что в ходе обсуждения проекта резолюции значимость ГПК получила широкое признание. Он обратился к пленарному заседанию с призывом согласиться с сохранением пункта 12.1 раздела </w:t>
      </w:r>
      <w:r w:rsidRPr="002A4A19">
        <w:rPr>
          <w:iCs/>
          <w:lang w:val="ru-RU"/>
        </w:rPr>
        <w:t>решает</w:t>
      </w:r>
      <w:r w:rsidRPr="00746CB6">
        <w:rPr>
          <w:i/>
          <w:lang w:val="ru-RU"/>
        </w:rPr>
        <w:t>, который позволит МСЭ использовать ГПК в качестве руководящих указаний в своей работе по вопросам</w:t>
      </w:r>
      <w:r w:rsidRPr="00746CB6">
        <w:rPr>
          <w:rFonts w:cstheme="minorHAnsi"/>
          <w:i/>
          <w:iCs/>
          <w:lang w:val="ru-RU"/>
        </w:rPr>
        <w:t xml:space="preserve"> укрепления доверия и безопасности при использовании ИКТ. В связи с этим он проконсультируется с Советом и бывшим председателем Группы экспертов высокого уровня по ГПК судьей Штайном Шольбергом</w:t>
      </w:r>
      <w:r w:rsidRPr="00746CB6">
        <w:rPr>
          <w:rFonts w:cstheme="minorHAnsi"/>
          <w:iCs/>
          <w:lang w:val="ru-RU"/>
        </w:rPr>
        <w:t>"</w:t>
      </w:r>
      <w:r w:rsidR="00094DB2">
        <w:rPr>
          <w:rStyle w:val="FootnoteReference"/>
          <w:rFonts w:cstheme="minorHAnsi"/>
          <w:iCs/>
          <w:lang w:val="ru-RU"/>
        </w:rPr>
        <w:footnoteReference w:customMarkFollows="1" w:id="1"/>
        <w:t>1</w:t>
      </w:r>
      <w:r w:rsidRPr="00746CB6">
        <w:rPr>
          <w:rFonts w:cstheme="minorHAnsi"/>
          <w:iCs/>
          <w:lang w:val="ru-RU"/>
        </w:rPr>
        <w:t>.</w:t>
      </w:r>
    </w:p>
    <w:p w14:paraId="55746F1F" w14:textId="738C6F5C" w:rsidR="00746CB6" w:rsidRPr="00746CB6" w:rsidRDefault="00746CB6" w:rsidP="00746CB6">
      <w:pPr>
        <w:rPr>
          <w:rFonts w:cstheme="minorHAnsi"/>
          <w:iCs/>
          <w:lang w:val="ru-RU"/>
        </w:rPr>
      </w:pPr>
      <w:r w:rsidRPr="00746CB6">
        <w:rPr>
          <w:rFonts w:cstheme="minorHAnsi"/>
          <w:b/>
          <w:iCs/>
          <w:lang w:val="ru-RU"/>
        </w:rPr>
        <w:t>1.3</w:t>
      </w:r>
      <w:r w:rsidRPr="00746CB6">
        <w:rPr>
          <w:rFonts w:cstheme="minorHAnsi"/>
          <w:iCs/>
          <w:lang w:val="ru-RU"/>
        </w:rPr>
        <w:tab/>
        <w:t>На сессии Совета МСЭ 2019 года был представлен отчет бывшего председателя Груп</w:t>
      </w:r>
      <w:r w:rsidR="00BA05B9">
        <w:rPr>
          <w:rFonts w:cstheme="minorHAnsi"/>
          <w:iCs/>
          <w:lang w:val="ru-RU"/>
        </w:rPr>
        <w:t xml:space="preserve">пы экспертов высокого уровня по ГПК </w:t>
      </w:r>
      <w:r w:rsidRPr="00746CB6">
        <w:rPr>
          <w:rFonts w:cstheme="minorHAnsi"/>
          <w:iCs/>
          <w:lang w:val="ru-RU"/>
        </w:rPr>
        <w:t>(</w:t>
      </w:r>
      <w:r w:rsidRPr="00746CB6">
        <w:rPr>
          <w:szCs w:val="22"/>
          <w:lang w:val="ru-RU"/>
        </w:rPr>
        <w:t>HLEG</w:t>
      </w:r>
      <w:r w:rsidRPr="00746CB6">
        <w:rPr>
          <w:rFonts w:cstheme="minorHAnsi"/>
          <w:iCs/>
          <w:lang w:val="ru-RU"/>
        </w:rPr>
        <w:t xml:space="preserve">), в котором отмечалось, что для более эффективного использования </w:t>
      </w:r>
      <w:r w:rsidR="00BA05B9">
        <w:rPr>
          <w:rFonts w:cstheme="minorHAnsi"/>
          <w:iCs/>
          <w:lang w:val="ru-RU"/>
        </w:rPr>
        <w:t>ГПК</w:t>
      </w:r>
      <w:r w:rsidRPr="00746CB6">
        <w:rPr>
          <w:rFonts w:cstheme="minorHAnsi"/>
          <w:iCs/>
          <w:lang w:val="ru-RU"/>
        </w:rPr>
        <w:t xml:space="preserve"> можно было бы разработать соответствующие руководящие указания</w:t>
      </w:r>
      <w:r w:rsidR="00094DB2">
        <w:rPr>
          <w:rStyle w:val="FootnoteReference"/>
          <w:rFonts w:cstheme="minorHAnsi"/>
          <w:iCs/>
          <w:lang w:val="ru-RU"/>
        </w:rPr>
        <w:footnoteReference w:customMarkFollows="1" w:id="2"/>
        <w:t>2</w:t>
      </w:r>
      <w:r w:rsidRPr="00746CB6">
        <w:rPr>
          <w:rFonts w:asciiTheme="minorHAnsi" w:hAnsiTheme="minorHAnsi" w:cstheme="minorHAnsi"/>
          <w:iCs/>
          <w:szCs w:val="22"/>
          <w:lang w:val="ru-RU"/>
        </w:rPr>
        <w:t>. Совет поручил Генеральному секретарю одновременно представить на следующей сессии Совета 1) отчет, разъясняющий, как МСЭ в настоящее время использует структуру</w:t>
      </w:r>
      <w:r w:rsidRPr="00746CB6">
        <w:rPr>
          <w:rFonts w:cstheme="minorHAnsi"/>
          <w:iCs/>
          <w:lang w:val="ru-RU"/>
        </w:rPr>
        <w:t xml:space="preserve"> ГПК</w:t>
      </w:r>
      <w:r w:rsidRPr="00746CB6">
        <w:rPr>
          <w:rFonts w:asciiTheme="minorHAnsi" w:hAnsiTheme="minorHAnsi" w:cstheme="minorHAnsi"/>
          <w:iCs/>
          <w:szCs w:val="22"/>
          <w:lang w:val="ru-RU"/>
        </w:rPr>
        <w:t>, и 2) соответствующие руководящие указания по использованию ГПК Союзом, разработанные при участии Государств-Членов, – на рассмотрение и утверждение Советом</w:t>
      </w:r>
      <w:r w:rsidR="00094DB2">
        <w:rPr>
          <w:rStyle w:val="FootnoteReference"/>
          <w:rFonts w:asciiTheme="minorHAnsi" w:hAnsiTheme="minorHAnsi" w:cstheme="minorHAnsi"/>
          <w:iCs/>
          <w:szCs w:val="22"/>
          <w:lang w:val="ru-RU"/>
        </w:rPr>
        <w:footnoteReference w:customMarkFollows="1" w:id="3"/>
        <w:t>3</w:t>
      </w:r>
      <w:r w:rsidRPr="00746CB6">
        <w:rPr>
          <w:rFonts w:asciiTheme="minorHAnsi" w:hAnsiTheme="minorHAnsi" w:cstheme="minorHAnsi"/>
          <w:iCs/>
          <w:szCs w:val="22"/>
          <w:lang w:val="ru-RU"/>
        </w:rPr>
        <w:t>.</w:t>
      </w:r>
    </w:p>
    <w:p w14:paraId="6ED7DDB6" w14:textId="6A5EF9C9" w:rsidR="00746CB6" w:rsidRPr="00746CB6" w:rsidRDefault="00746CB6" w:rsidP="00746CB6">
      <w:pPr>
        <w:rPr>
          <w:szCs w:val="22"/>
          <w:lang w:val="ru-RU"/>
        </w:rPr>
      </w:pPr>
      <w:r w:rsidRPr="00746CB6">
        <w:rPr>
          <w:rFonts w:asciiTheme="minorHAnsi" w:hAnsiTheme="minorHAnsi" w:cstheme="minorHAnsi"/>
          <w:b/>
          <w:iCs/>
          <w:szCs w:val="22"/>
          <w:lang w:val="ru-RU"/>
        </w:rPr>
        <w:t>1.4</w:t>
      </w:r>
      <w:r w:rsidRPr="00746CB6">
        <w:rPr>
          <w:rFonts w:asciiTheme="minorHAnsi" w:hAnsiTheme="minorHAnsi" w:cstheme="minorHAnsi"/>
          <w:iCs/>
          <w:szCs w:val="22"/>
          <w:lang w:val="ru-RU"/>
        </w:rPr>
        <w:tab/>
      </w:r>
      <w:r w:rsidRPr="00746CB6">
        <w:rPr>
          <w:szCs w:val="22"/>
          <w:lang w:val="ru-RU"/>
        </w:rPr>
        <w:t>В соответствии с этими поручениями при поддержке Старшего судьи (в отставке) Шт</w:t>
      </w:r>
      <w:r w:rsidR="00BA05B9">
        <w:rPr>
          <w:szCs w:val="22"/>
          <w:lang w:val="ru-RU"/>
        </w:rPr>
        <w:t xml:space="preserve">айна Шольберга (бывшего председателя </w:t>
      </w:r>
      <w:r w:rsidRPr="00746CB6">
        <w:rPr>
          <w:szCs w:val="22"/>
          <w:lang w:val="ru-RU"/>
        </w:rPr>
        <w:t xml:space="preserve">HLEG) и </w:t>
      </w:r>
      <w:r w:rsidR="00BA05B9">
        <w:rPr>
          <w:szCs w:val="22"/>
          <w:lang w:val="ru-RU"/>
        </w:rPr>
        <w:t xml:space="preserve">при </w:t>
      </w:r>
      <w:r w:rsidRPr="00746CB6">
        <w:rPr>
          <w:szCs w:val="22"/>
          <w:lang w:val="ru-RU"/>
        </w:rPr>
        <w:t>участии Государств-Членов был подготовлен проект таких руководящих указаний по использованию ГПК Союзом для рассмотрения и утверждения Советом</w:t>
      </w:r>
      <w:r w:rsidR="00094DB2">
        <w:rPr>
          <w:rStyle w:val="FootnoteReference"/>
          <w:szCs w:val="22"/>
          <w:lang w:val="ru-RU"/>
        </w:rPr>
        <w:footnoteReference w:customMarkFollows="1" w:id="4"/>
        <w:t>4</w:t>
      </w:r>
      <w:r w:rsidRPr="00746CB6">
        <w:rPr>
          <w:lang w:val="ru-RU"/>
        </w:rPr>
        <w:t xml:space="preserve">. </w:t>
      </w:r>
      <w:r w:rsidR="00F56AE7">
        <w:rPr>
          <w:lang w:val="ru-RU"/>
        </w:rPr>
        <w:t>Одновременно</w:t>
      </w:r>
      <w:r w:rsidR="00BA05B9">
        <w:rPr>
          <w:lang w:val="ru-RU"/>
        </w:rPr>
        <w:t xml:space="preserve"> </w:t>
      </w:r>
      <w:r w:rsidRPr="00746CB6">
        <w:rPr>
          <w:lang w:val="ru-RU"/>
        </w:rPr>
        <w:t xml:space="preserve">Генеральный секретарь </w:t>
      </w:r>
      <w:r w:rsidR="00BA05B9">
        <w:rPr>
          <w:lang w:val="ru-RU"/>
        </w:rPr>
        <w:t xml:space="preserve">подготовил </w:t>
      </w:r>
      <w:r w:rsidR="00F56AE7">
        <w:rPr>
          <w:lang w:val="ru-RU"/>
        </w:rPr>
        <w:t xml:space="preserve">для рассмотрения Советом </w:t>
      </w:r>
      <w:r w:rsidR="00BA05B9">
        <w:rPr>
          <w:lang w:val="ru-RU"/>
        </w:rPr>
        <w:t>данный отчет, разъясняющий, как МСЭ в</w:t>
      </w:r>
      <w:r w:rsidR="00F56AE7">
        <w:rPr>
          <w:lang w:val="ru-RU"/>
        </w:rPr>
        <w:t xml:space="preserve"> настоящее время использует ГПК</w:t>
      </w:r>
      <w:r w:rsidR="00BA05B9">
        <w:rPr>
          <w:lang w:val="ru-RU"/>
        </w:rPr>
        <w:t>.</w:t>
      </w:r>
    </w:p>
    <w:p w14:paraId="3B6DD26B" w14:textId="2CD516DE" w:rsidR="00746CB6" w:rsidRPr="00746CB6" w:rsidRDefault="00746CB6" w:rsidP="00746CB6">
      <w:pPr>
        <w:pStyle w:val="Heading1"/>
        <w:rPr>
          <w:lang w:val="ru-RU" w:eastAsia="nb-NO"/>
        </w:rPr>
      </w:pPr>
      <w:bookmarkStart w:id="4" w:name="_Toc40185483"/>
      <w:bookmarkStart w:id="5" w:name="_Toc40186898"/>
      <w:bookmarkStart w:id="6" w:name="_Toc41467784"/>
      <w:r>
        <w:rPr>
          <w:lang w:val="ru-RU" w:eastAsia="nb-NO"/>
        </w:rPr>
        <w:t>2</w:t>
      </w:r>
      <w:r>
        <w:rPr>
          <w:lang w:val="ru-RU" w:eastAsia="nb-NO"/>
        </w:rPr>
        <w:tab/>
      </w:r>
      <w:r w:rsidRPr="00746CB6">
        <w:rPr>
          <w:lang w:val="ru-RU" w:eastAsia="nb-NO"/>
        </w:rPr>
        <w:t>Базовая информация</w:t>
      </w:r>
      <w:bookmarkEnd w:id="4"/>
      <w:bookmarkEnd w:id="5"/>
      <w:bookmarkEnd w:id="6"/>
    </w:p>
    <w:p w14:paraId="7F2E1567" w14:textId="0313C87B" w:rsidR="00746CB6" w:rsidRPr="00746CB6" w:rsidRDefault="00746CB6" w:rsidP="00746CB6">
      <w:pPr>
        <w:rPr>
          <w:iCs/>
          <w:lang w:val="ru-RU"/>
        </w:rPr>
      </w:pPr>
      <w:r>
        <w:rPr>
          <w:b/>
          <w:iCs/>
          <w:lang w:val="ru-RU"/>
        </w:rPr>
        <w:t>2</w:t>
      </w:r>
      <w:r w:rsidRPr="00746CB6">
        <w:rPr>
          <w:b/>
          <w:iCs/>
          <w:lang w:val="ru-RU"/>
        </w:rPr>
        <w:t>.</w:t>
      </w:r>
      <w:r>
        <w:rPr>
          <w:b/>
          <w:iCs/>
          <w:lang w:val="ru-RU"/>
        </w:rPr>
        <w:t>1</w:t>
      </w:r>
      <w:r w:rsidRPr="00746CB6">
        <w:rPr>
          <w:iCs/>
          <w:lang w:val="ru-RU"/>
        </w:rPr>
        <w:tab/>
        <w:t>В соответствии с указанием Всемирной встречи на высшем уровне по вопросам информационного общества (ВВУИО) и Полномочной конференции МСЭ</w:t>
      </w:r>
      <w:r w:rsidR="00F56AE7">
        <w:rPr>
          <w:iCs/>
          <w:lang w:val="ru-RU"/>
        </w:rPr>
        <w:t>,</w:t>
      </w:r>
      <w:r w:rsidRPr="00746CB6">
        <w:rPr>
          <w:iCs/>
          <w:lang w:val="ru-RU"/>
        </w:rPr>
        <w:t xml:space="preserve"> важнейшая роль МСЭ заключается в укреплении доверия и безопасности при использовании информационно-коммуникационных технологий (ИКТ).</w:t>
      </w:r>
    </w:p>
    <w:p w14:paraId="25F81C03" w14:textId="60D7594B" w:rsidR="00746CB6" w:rsidRPr="00746CB6" w:rsidRDefault="00746CB6" w:rsidP="00746CB6">
      <w:pPr>
        <w:tabs>
          <w:tab w:val="clear" w:pos="1191"/>
          <w:tab w:val="clear" w:pos="1588"/>
          <w:tab w:val="clear" w:pos="1985"/>
        </w:tabs>
        <w:rPr>
          <w:rFonts w:asciiTheme="minorHAnsi" w:hAnsiTheme="minorHAnsi" w:cstheme="minorHAnsi"/>
          <w:bCs/>
          <w:szCs w:val="22"/>
          <w:lang w:val="ru-RU"/>
        </w:rPr>
      </w:pPr>
      <w:r>
        <w:rPr>
          <w:b/>
          <w:bCs/>
          <w:iCs/>
          <w:lang w:val="ru-RU"/>
        </w:rPr>
        <w:t>2</w:t>
      </w:r>
      <w:r w:rsidRPr="00746CB6">
        <w:rPr>
          <w:b/>
          <w:bCs/>
          <w:iCs/>
          <w:lang w:val="ru-RU"/>
        </w:rPr>
        <w:t>.</w:t>
      </w:r>
      <w:r>
        <w:rPr>
          <w:b/>
          <w:bCs/>
          <w:iCs/>
          <w:lang w:val="ru-RU"/>
        </w:rPr>
        <w:t>2</w:t>
      </w:r>
      <w:r w:rsidRPr="00746CB6">
        <w:rPr>
          <w:bCs/>
          <w:iCs/>
          <w:lang w:val="ru-RU"/>
        </w:rPr>
        <w:tab/>
        <w:t>На ВВУИО главы государств и мировые лидеры поручили МСЭ роль содействующей организации по Направлению деятельности С5 "</w:t>
      </w:r>
      <w:r w:rsidRPr="00746CB6">
        <w:rPr>
          <w:bCs/>
          <w:i/>
          <w:iCs/>
          <w:lang w:val="ru-RU"/>
        </w:rPr>
        <w:t>Укрепление доверия и безопасности при использовании ИКТ</w:t>
      </w:r>
      <w:r w:rsidRPr="00746CB6">
        <w:rPr>
          <w:bCs/>
          <w:iCs/>
          <w:lang w:val="ru-RU"/>
        </w:rPr>
        <w:t>"</w:t>
      </w:r>
      <w:r w:rsidRPr="00746CB6">
        <w:rPr>
          <w:rFonts w:asciiTheme="minorHAnsi" w:hAnsiTheme="minorHAnsi" w:cstheme="minorHAnsi"/>
          <w:bCs/>
          <w:szCs w:val="22"/>
          <w:lang w:val="ru-RU"/>
        </w:rPr>
        <w:t xml:space="preserve">, в связи с чем в 2007 году МСЭ приступил к реализации ГПК в качестве </w:t>
      </w:r>
      <w:r w:rsidRPr="00746CB6">
        <w:rPr>
          <w:lang w:val="ru-RU"/>
        </w:rPr>
        <w:t>основы для международного сотрудничества</w:t>
      </w:r>
      <w:r w:rsidRPr="00746CB6">
        <w:rPr>
          <w:rFonts w:asciiTheme="minorHAnsi" w:hAnsiTheme="minorHAnsi" w:cstheme="minorHAnsi"/>
          <w:bCs/>
          <w:szCs w:val="22"/>
          <w:lang w:val="ru-RU"/>
        </w:rPr>
        <w:t xml:space="preserve"> в этой области</w:t>
      </w:r>
      <w:r w:rsidRPr="00746CB6">
        <w:rPr>
          <w:bCs/>
          <w:lang w:val="ru-RU"/>
        </w:rPr>
        <w:t>.</w:t>
      </w:r>
    </w:p>
    <w:p w14:paraId="3A5761DA" w14:textId="73960990" w:rsidR="00746CB6" w:rsidRPr="00746CB6" w:rsidRDefault="00746CB6" w:rsidP="00746CB6">
      <w:pPr>
        <w:rPr>
          <w:lang w:val="ru-RU"/>
        </w:rPr>
      </w:pPr>
      <w:r w:rsidRPr="005A34C6">
        <w:rPr>
          <w:b/>
          <w:lang w:val="ru-RU"/>
        </w:rPr>
        <w:lastRenderedPageBreak/>
        <w:t>2.3</w:t>
      </w:r>
      <w:r w:rsidRPr="005A34C6">
        <w:rPr>
          <w:lang w:val="ru-RU"/>
        </w:rPr>
        <w:tab/>
      </w:r>
      <w:r w:rsidR="006856B0">
        <w:rPr>
          <w:lang w:val="ru-RU"/>
        </w:rPr>
        <w:t xml:space="preserve">Осуществление </w:t>
      </w:r>
      <w:r w:rsidR="005A34C6">
        <w:rPr>
          <w:lang w:val="ru-RU"/>
        </w:rPr>
        <w:t>ГПК</w:t>
      </w:r>
      <w:r w:rsidR="005A34C6" w:rsidRPr="005A34C6">
        <w:rPr>
          <w:lang w:val="ru-RU"/>
        </w:rPr>
        <w:t xml:space="preserve"> </w:t>
      </w:r>
      <w:r w:rsidR="006856B0">
        <w:rPr>
          <w:lang w:val="ru-RU"/>
        </w:rPr>
        <w:t>началось в 2007</w:t>
      </w:r>
      <w:r w:rsidR="005A34C6" w:rsidRPr="005A34C6">
        <w:rPr>
          <w:lang w:val="ru-RU"/>
        </w:rPr>
        <w:t xml:space="preserve"> </w:t>
      </w:r>
      <w:r w:rsidR="005A34C6">
        <w:rPr>
          <w:lang w:val="ru-RU"/>
        </w:rPr>
        <w:t>год</w:t>
      </w:r>
      <w:r w:rsidR="006856B0">
        <w:rPr>
          <w:lang w:val="ru-RU"/>
        </w:rPr>
        <w:t xml:space="preserve">у; она призвана способствовать </w:t>
      </w:r>
      <w:r w:rsidR="005A34C6" w:rsidRPr="005A34C6">
        <w:rPr>
          <w:lang w:val="ru-RU"/>
        </w:rPr>
        <w:t xml:space="preserve">сотрудничеству и эффективности, поощрению взаимодействия со всеми заинтересованными сторонами и между ними. </w:t>
      </w:r>
      <w:r w:rsidR="005A34C6">
        <w:rPr>
          <w:lang w:val="ru-RU"/>
        </w:rPr>
        <w:t>Программа</w:t>
      </w:r>
      <w:r w:rsidR="005A34C6" w:rsidRPr="005A34C6">
        <w:rPr>
          <w:lang w:val="ru-RU"/>
        </w:rPr>
        <w:t xml:space="preserve"> </w:t>
      </w:r>
      <w:r w:rsidRPr="00746CB6">
        <w:rPr>
          <w:lang w:val="ru-RU"/>
        </w:rPr>
        <w:t xml:space="preserve">включает в себя пять направлений, или областей работы: правовые меры, технические и процедурные меры, организационные структуры, создание потенциала и международное сотрудничество. </w:t>
      </w:r>
    </w:p>
    <w:p w14:paraId="4551BBF7" w14:textId="0E5EF1D1" w:rsidR="00746CB6" w:rsidRPr="00746CB6" w:rsidRDefault="00026D6C" w:rsidP="00746CB6">
      <w:pPr>
        <w:rPr>
          <w:lang w:val="ru-RU"/>
        </w:rPr>
      </w:pPr>
      <w:r>
        <w:rPr>
          <w:b/>
          <w:lang w:val="ru-RU"/>
        </w:rPr>
        <w:t>2</w:t>
      </w:r>
      <w:r w:rsidR="00746CB6" w:rsidRPr="00746CB6">
        <w:rPr>
          <w:b/>
          <w:lang w:val="ru-RU"/>
        </w:rPr>
        <w:t>.</w:t>
      </w:r>
      <w:r>
        <w:rPr>
          <w:b/>
          <w:lang w:val="ru-RU"/>
        </w:rPr>
        <w:t>4</w:t>
      </w:r>
      <w:r w:rsidR="00746CB6" w:rsidRPr="00746CB6">
        <w:rPr>
          <w:lang w:val="ru-RU"/>
        </w:rPr>
        <w:tab/>
        <w:t>Впоследствии, в октябре 2007 года, была создана HLEG по ГПК</w:t>
      </w:r>
      <w:r w:rsidR="005A34C6">
        <w:rPr>
          <w:lang w:val="ru-RU"/>
        </w:rPr>
        <w:t xml:space="preserve"> под председательством Старшего судьи</w:t>
      </w:r>
      <w:r w:rsidR="005A34C6" w:rsidRPr="00746CB6">
        <w:rPr>
          <w:lang w:val="ru-RU"/>
        </w:rPr>
        <w:t xml:space="preserve"> (в отставке) </w:t>
      </w:r>
      <w:r w:rsidR="005A34C6" w:rsidRPr="00746CB6">
        <w:rPr>
          <w:iCs/>
          <w:lang w:val="ru-RU"/>
        </w:rPr>
        <w:t>Штайн</w:t>
      </w:r>
      <w:r w:rsidR="005A34C6">
        <w:rPr>
          <w:iCs/>
          <w:lang w:val="ru-RU"/>
        </w:rPr>
        <w:t>а</w:t>
      </w:r>
      <w:r w:rsidR="005A34C6" w:rsidRPr="00746CB6">
        <w:rPr>
          <w:iCs/>
          <w:lang w:val="ru-RU"/>
        </w:rPr>
        <w:t xml:space="preserve"> Шольберг</w:t>
      </w:r>
      <w:r w:rsidR="005A34C6">
        <w:rPr>
          <w:iCs/>
          <w:lang w:val="ru-RU"/>
        </w:rPr>
        <w:t>а</w:t>
      </w:r>
      <w:r w:rsidR="00746CB6" w:rsidRPr="00746CB6">
        <w:rPr>
          <w:lang w:val="ru-RU"/>
        </w:rPr>
        <w:t xml:space="preserve"> для оказания помощи Генеральному секретарю МСЭ в разработке для Государств-Членов стратегических предложений п</w:t>
      </w:r>
      <w:r w:rsidR="005A34C6">
        <w:rPr>
          <w:lang w:val="ru-RU"/>
        </w:rPr>
        <w:t>о содействию кибербезопасности</w:t>
      </w:r>
      <w:r w:rsidR="00746CB6" w:rsidRPr="00746CB6">
        <w:rPr>
          <w:iCs/>
          <w:lang w:val="ru-RU"/>
        </w:rPr>
        <w:t xml:space="preserve">. </w:t>
      </w:r>
    </w:p>
    <w:p w14:paraId="6BA4CF6A" w14:textId="0267D9B5" w:rsidR="00746CB6" w:rsidRPr="00746CB6" w:rsidRDefault="00026D6C" w:rsidP="00746CB6">
      <w:pPr>
        <w:rPr>
          <w:lang w:val="ru-RU"/>
        </w:rPr>
      </w:pPr>
      <w:r>
        <w:rPr>
          <w:b/>
          <w:lang w:val="ru-RU"/>
        </w:rPr>
        <w:t>2</w:t>
      </w:r>
      <w:r w:rsidR="00746CB6" w:rsidRPr="00746CB6">
        <w:rPr>
          <w:b/>
          <w:lang w:val="ru-RU"/>
        </w:rPr>
        <w:t>.</w:t>
      </w:r>
      <w:r>
        <w:rPr>
          <w:b/>
          <w:lang w:val="ru-RU"/>
        </w:rPr>
        <w:t>5</w:t>
      </w:r>
      <w:r w:rsidR="00746CB6" w:rsidRPr="00746CB6">
        <w:rPr>
          <w:lang w:val="ru-RU"/>
        </w:rPr>
        <w:tab/>
        <w:t xml:space="preserve">HLEG </w:t>
      </w:r>
      <w:r w:rsidR="005A34C6">
        <w:rPr>
          <w:lang w:val="ru-RU"/>
        </w:rPr>
        <w:t>состоит из незави</w:t>
      </w:r>
      <w:r w:rsidR="005C380E">
        <w:rPr>
          <w:lang w:val="ru-RU"/>
        </w:rPr>
        <w:t xml:space="preserve">симой группы глобального уровня, которая объединяет </w:t>
      </w:r>
      <w:r w:rsidR="005A34C6">
        <w:rPr>
          <w:lang w:val="ru-RU"/>
        </w:rPr>
        <w:t>почти</w:t>
      </w:r>
      <w:r w:rsidR="00746CB6" w:rsidRPr="00746CB6">
        <w:rPr>
          <w:lang w:val="ru-RU"/>
        </w:rPr>
        <w:t xml:space="preserve"> 100</w:t>
      </w:r>
      <w:r w:rsidR="002A4A19">
        <w:rPr>
          <w:lang w:val="ru-RU"/>
        </w:rPr>
        <w:t> </w:t>
      </w:r>
      <w:r w:rsidR="00746CB6" w:rsidRPr="00746CB6">
        <w:rPr>
          <w:lang w:val="ru-RU"/>
        </w:rPr>
        <w:t>экспертов</w:t>
      </w:r>
      <w:r w:rsidR="005A34C6">
        <w:rPr>
          <w:lang w:val="ru-RU"/>
        </w:rPr>
        <w:t>, представляющих различные заинтересованные стороны</w:t>
      </w:r>
      <w:r w:rsidR="00746CB6" w:rsidRPr="00746CB6">
        <w:rPr>
          <w:lang w:val="ru-RU"/>
        </w:rPr>
        <w:t xml:space="preserve">. Группа представила свои рекомендации Генеральному секретарю по всем </w:t>
      </w:r>
      <w:r w:rsidR="00746CB6" w:rsidRPr="00746CB6">
        <w:rPr>
          <w:spacing w:val="-4"/>
          <w:lang w:val="ru-RU"/>
        </w:rPr>
        <w:t xml:space="preserve">пяти направлениям в Отчете председателя в августе 2008 года </w:t>
      </w:r>
      <w:r w:rsidR="00746CB6" w:rsidRPr="00746CB6">
        <w:rPr>
          <w:rFonts w:asciiTheme="minorHAnsi" w:hAnsiTheme="minorHAnsi" w:cstheme="minorHAnsi"/>
          <w:szCs w:val="22"/>
          <w:lang w:val="ru-RU"/>
        </w:rPr>
        <w:t>(Отчет HLEG 2008 г</w:t>
      </w:r>
      <w:r w:rsidR="002A4A19">
        <w:rPr>
          <w:rFonts w:asciiTheme="minorHAnsi" w:hAnsiTheme="minorHAnsi" w:cstheme="minorHAnsi"/>
          <w:szCs w:val="22"/>
          <w:lang w:val="ru-RU"/>
        </w:rPr>
        <w:t>.</w:t>
      </w:r>
      <w:r w:rsidR="00746CB6" w:rsidRPr="00746CB6">
        <w:rPr>
          <w:rFonts w:asciiTheme="minorHAnsi" w:hAnsiTheme="minorHAnsi" w:cstheme="minorHAnsi"/>
          <w:szCs w:val="22"/>
          <w:lang w:val="ru-RU"/>
        </w:rPr>
        <w:t>)</w:t>
      </w:r>
      <w:r w:rsidR="00094DB2">
        <w:rPr>
          <w:rStyle w:val="FootnoteReference"/>
          <w:rFonts w:asciiTheme="minorHAnsi" w:hAnsiTheme="minorHAnsi" w:cstheme="minorHAnsi"/>
          <w:szCs w:val="22"/>
          <w:lang w:val="ru-RU"/>
        </w:rPr>
        <w:footnoteReference w:customMarkFollows="1" w:id="5"/>
        <w:t>5</w:t>
      </w:r>
      <w:r w:rsidR="00746CB6" w:rsidRPr="00746CB6">
        <w:rPr>
          <w:spacing w:val="-4"/>
          <w:lang w:val="ru-RU"/>
        </w:rPr>
        <w:t xml:space="preserve">. </w:t>
      </w:r>
    </w:p>
    <w:p w14:paraId="5EA2AD5A" w14:textId="58DB6C0D" w:rsidR="00746CB6" w:rsidRPr="00746CB6" w:rsidRDefault="00026D6C" w:rsidP="00746CB6">
      <w:pPr>
        <w:rPr>
          <w:lang w:val="ru-RU"/>
        </w:rPr>
      </w:pPr>
      <w:r>
        <w:rPr>
          <w:b/>
          <w:bCs/>
          <w:lang w:val="ru-RU"/>
        </w:rPr>
        <w:t>2</w:t>
      </w:r>
      <w:r w:rsidR="00746CB6" w:rsidRPr="00746CB6">
        <w:rPr>
          <w:b/>
          <w:bCs/>
          <w:lang w:val="ru-RU"/>
        </w:rPr>
        <w:t>.</w:t>
      </w:r>
      <w:r>
        <w:rPr>
          <w:b/>
          <w:bCs/>
          <w:lang w:val="ru-RU"/>
        </w:rPr>
        <w:t>6</w:t>
      </w:r>
      <w:r w:rsidR="00746CB6" w:rsidRPr="00746CB6">
        <w:rPr>
          <w:lang w:val="ru-RU"/>
        </w:rPr>
        <w:tab/>
        <w:t xml:space="preserve">В 2008 году работа по направлениям ГПК стала крупным нововведением с точки зрения глобального подхода к решению вопросов кибербезопасности. С момента представления Отчета </w:t>
      </w:r>
      <w:r w:rsidR="00746CB6" w:rsidRPr="00746CB6">
        <w:rPr>
          <w:bCs/>
          <w:lang w:val="ru-RU"/>
        </w:rPr>
        <w:t>HLEG 2008 года прошл</w:t>
      </w:r>
      <w:r w:rsidR="005A34C6">
        <w:rPr>
          <w:bCs/>
          <w:lang w:val="ru-RU"/>
        </w:rPr>
        <w:t>о больше десяти лет. В целом</w:t>
      </w:r>
      <w:r w:rsidR="00746CB6" w:rsidRPr="00746CB6">
        <w:rPr>
          <w:bCs/>
          <w:lang w:val="ru-RU"/>
        </w:rPr>
        <w:t xml:space="preserve"> весь мир признает, </w:t>
      </w:r>
      <w:r w:rsidR="00746CB6" w:rsidRPr="00746CB6">
        <w:rPr>
          <w:lang w:val="ru-RU"/>
        </w:rPr>
        <w:t xml:space="preserve">что ИКТ являются важнейшим инструментом достижения Целей устойчивого развития (ЦУР) ООН и что для выполнения ИКТ этой функции необходимо, чтобы все люди, где бы они ни находились, испытывали доверие и уверенность при их использовании. Таким образом, задача </w:t>
      </w:r>
      <w:r w:rsidR="00746CB6" w:rsidRPr="00746CB6">
        <w:rPr>
          <w:bCs/>
          <w:iCs/>
          <w:lang w:val="ru-RU"/>
        </w:rPr>
        <w:t>"</w:t>
      </w:r>
      <w:r w:rsidR="00746CB6" w:rsidRPr="00746CB6">
        <w:rPr>
          <w:bCs/>
          <w:i/>
          <w:iCs/>
          <w:lang w:val="ru-RU"/>
        </w:rPr>
        <w:t>Укрепление доверия и безопасности при использовании ИКТ</w:t>
      </w:r>
      <w:r w:rsidR="00746CB6" w:rsidRPr="00746CB6">
        <w:rPr>
          <w:bCs/>
          <w:iCs/>
          <w:lang w:val="ru-RU"/>
        </w:rPr>
        <w:t xml:space="preserve">" сегодня, как никогда, значима в контексте достижения ЦУР. </w:t>
      </w:r>
    </w:p>
    <w:p w14:paraId="54EA915F" w14:textId="04766823" w:rsidR="002A01D0" w:rsidRPr="002A01D0" w:rsidRDefault="002A01D0" w:rsidP="002A01D0">
      <w:pPr>
        <w:rPr>
          <w:lang w:val="ru-RU"/>
        </w:rPr>
      </w:pPr>
      <w:r>
        <w:rPr>
          <w:b/>
          <w:lang w:val="ru-RU"/>
        </w:rPr>
        <w:t>2</w:t>
      </w:r>
      <w:r w:rsidRPr="002A01D0">
        <w:rPr>
          <w:b/>
          <w:lang w:val="ru-RU"/>
        </w:rPr>
        <w:t>.</w:t>
      </w:r>
      <w:r>
        <w:rPr>
          <w:b/>
          <w:lang w:val="ru-RU"/>
        </w:rPr>
        <w:t>7</w:t>
      </w:r>
      <w:r w:rsidRPr="002A01D0">
        <w:rPr>
          <w:lang w:val="ru-RU"/>
        </w:rPr>
        <w:tab/>
      </w:r>
      <w:r w:rsidR="005A34C6">
        <w:rPr>
          <w:lang w:val="ru-RU"/>
        </w:rPr>
        <w:t>Структура</w:t>
      </w:r>
      <w:r w:rsidRPr="002A01D0">
        <w:rPr>
          <w:lang w:val="ru-RU"/>
        </w:rPr>
        <w:t xml:space="preserve">, которую обеспечивают пять направлений ГПК, получила высокую оценку </w:t>
      </w:r>
      <w:r w:rsidR="005A34C6">
        <w:rPr>
          <w:lang w:val="ru-RU"/>
        </w:rPr>
        <w:t xml:space="preserve">сообщества членов МСЭ, выдержав </w:t>
      </w:r>
      <w:r w:rsidR="0058616B">
        <w:rPr>
          <w:lang w:val="ru-RU"/>
        </w:rPr>
        <w:t>проверку временем</w:t>
      </w:r>
      <w:r w:rsidR="001E2435" w:rsidRPr="001E2435">
        <w:rPr>
          <w:lang w:val="ru-RU"/>
        </w:rPr>
        <w:t xml:space="preserve"> </w:t>
      </w:r>
      <w:r w:rsidR="001E2435">
        <w:rPr>
          <w:lang w:val="ru-RU"/>
        </w:rPr>
        <w:t>в целом</w:t>
      </w:r>
      <w:r w:rsidR="0058616B">
        <w:rPr>
          <w:lang w:val="ru-RU"/>
        </w:rPr>
        <w:t xml:space="preserve">, и </w:t>
      </w:r>
      <w:r w:rsidRPr="002A01D0">
        <w:rPr>
          <w:lang w:val="ru-RU"/>
        </w:rPr>
        <w:t xml:space="preserve">по-прежнему является широкой основой для международного сотрудничества в области кибербезопасности на базе итоговых документов ВВУИО, в частности принципов, изложенных в Направлении деятельности С5. </w:t>
      </w:r>
      <w:r w:rsidR="0058616B">
        <w:rPr>
          <w:lang w:val="ru-RU"/>
        </w:rPr>
        <w:t xml:space="preserve">Вся работа МСЭ в этой области продолжает строиться </w:t>
      </w:r>
      <w:r w:rsidR="001E2435">
        <w:rPr>
          <w:lang w:val="ru-RU"/>
        </w:rPr>
        <w:t>вокруг</w:t>
      </w:r>
      <w:r w:rsidR="0058616B">
        <w:rPr>
          <w:lang w:val="ru-RU"/>
        </w:rPr>
        <w:t xml:space="preserve"> пяти направлений ГПК.</w:t>
      </w:r>
    </w:p>
    <w:p w14:paraId="4D8F2A9F" w14:textId="3EA60839" w:rsidR="00330D84" w:rsidRPr="001E2435" w:rsidRDefault="00330D84" w:rsidP="00330D84">
      <w:pPr>
        <w:rPr>
          <w:lang w:val="ru-RU"/>
        </w:rPr>
      </w:pPr>
      <w:r w:rsidRPr="0058616B">
        <w:rPr>
          <w:b/>
          <w:bCs/>
          <w:lang w:val="ru-RU"/>
        </w:rPr>
        <w:t>2.8</w:t>
      </w:r>
      <w:r w:rsidRPr="0058616B">
        <w:rPr>
          <w:b/>
          <w:bCs/>
          <w:lang w:val="ru-RU"/>
        </w:rPr>
        <w:tab/>
      </w:r>
      <w:r w:rsidR="0058616B">
        <w:rPr>
          <w:lang w:val="ru-RU"/>
        </w:rPr>
        <w:t>С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момента</w:t>
      </w:r>
      <w:r w:rsidR="0058616B" w:rsidRPr="0058616B">
        <w:rPr>
          <w:lang w:val="ru-RU"/>
        </w:rPr>
        <w:t xml:space="preserve"> </w:t>
      </w:r>
      <w:r w:rsidR="00063216">
        <w:rPr>
          <w:lang w:val="ru-RU"/>
        </w:rPr>
        <w:t xml:space="preserve">начала осуществления </w:t>
      </w:r>
      <w:r w:rsidR="0058616B">
        <w:rPr>
          <w:lang w:val="ru-RU"/>
        </w:rPr>
        <w:t>ГПК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МСЭ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последовательно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отчитывается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перед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Советом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о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своей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деятельности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по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укреплению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доверия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и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безопасности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при использовании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ИКТ, представляя ежегодный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отчет</w:t>
      </w:r>
      <w:r w:rsidR="0058616B" w:rsidRPr="0058616B">
        <w:rPr>
          <w:lang w:val="ru-RU"/>
        </w:rPr>
        <w:t xml:space="preserve">, </w:t>
      </w:r>
      <w:r w:rsidR="001E2435">
        <w:rPr>
          <w:lang w:val="ru-RU"/>
        </w:rPr>
        <w:t>структурированный по пяти направлениям</w:t>
      </w:r>
      <w:r w:rsidR="0058616B" w:rsidRPr="0058616B">
        <w:rPr>
          <w:lang w:val="ru-RU"/>
        </w:rPr>
        <w:t xml:space="preserve">; </w:t>
      </w:r>
      <w:r w:rsidR="0058616B">
        <w:rPr>
          <w:lang w:val="ru-RU"/>
        </w:rPr>
        <w:t xml:space="preserve">это </w:t>
      </w:r>
      <w:r w:rsidR="001E2435">
        <w:rPr>
          <w:lang w:val="ru-RU"/>
        </w:rPr>
        <w:t>подчеркивает</w:t>
      </w:r>
      <w:r w:rsidR="0058616B">
        <w:rPr>
          <w:lang w:val="ru-RU"/>
        </w:rPr>
        <w:t xml:space="preserve"> взаимодополняющий характер </w:t>
      </w:r>
      <w:r w:rsidR="001E2435">
        <w:rPr>
          <w:lang w:val="ru-RU"/>
        </w:rPr>
        <w:t>действующих</w:t>
      </w:r>
      <w:r w:rsidR="0058616B">
        <w:rPr>
          <w:lang w:val="ru-RU"/>
        </w:rPr>
        <w:t xml:space="preserve"> программ работы МСЭ и облегчает осуществление деятельности</w:t>
      </w:r>
      <w:r w:rsidR="001E2435">
        <w:rPr>
          <w:lang w:val="ru-RU"/>
        </w:rPr>
        <w:t xml:space="preserve"> БРЭ, БСЭ и БР в данной сфере. </w:t>
      </w:r>
    </w:p>
    <w:p w14:paraId="0862FCB8" w14:textId="46D30FF6" w:rsidR="00330D84" w:rsidRPr="002A4A19" w:rsidRDefault="00330D84" w:rsidP="00330D84">
      <w:pPr>
        <w:rPr>
          <w:lang w:val="ru-RU"/>
        </w:rPr>
      </w:pPr>
      <w:r w:rsidRPr="0058616B">
        <w:rPr>
          <w:b/>
          <w:bCs/>
          <w:lang w:val="ru-RU"/>
        </w:rPr>
        <w:t>2.9</w:t>
      </w:r>
      <w:r w:rsidRPr="0058616B">
        <w:rPr>
          <w:lang w:val="ru-RU"/>
        </w:rPr>
        <w:tab/>
      </w:r>
      <w:r w:rsidR="0058616B">
        <w:rPr>
          <w:lang w:val="ru-RU"/>
        </w:rPr>
        <w:t>Подробная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информация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об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этой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деятельности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содержится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>в</w:t>
      </w:r>
      <w:r w:rsidR="00063216">
        <w:rPr>
          <w:lang w:val="ru-RU"/>
        </w:rPr>
        <w:t xml:space="preserve"> документах</w:t>
      </w:r>
      <w:r w:rsidR="0058616B" w:rsidRPr="0058616B">
        <w:rPr>
          <w:lang w:val="ru-RU"/>
        </w:rPr>
        <w:t xml:space="preserve"> </w:t>
      </w:r>
      <w:hyperlink r:id="rId19" w:history="1">
        <w:r w:rsidRPr="00330D84">
          <w:rPr>
            <w:rStyle w:val="Hyperlink"/>
            <w:bCs/>
          </w:rPr>
          <w:t>C</w:t>
        </w:r>
        <w:r w:rsidRPr="0058616B">
          <w:rPr>
            <w:rStyle w:val="Hyperlink"/>
            <w:bCs/>
            <w:lang w:val="ru-RU"/>
          </w:rPr>
          <w:t>08/33</w:t>
        </w:r>
      </w:hyperlink>
      <w:r w:rsidRPr="0058616B">
        <w:rPr>
          <w:bCs/>
          <w:lang w:val="ru-RU"/>
        </w:rPr>
        <w:t xml:space="preserve">, </w:t>
      </w:r>
      <w:hyperlink r:id="rId20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09/50</w:t>
        </w:r>
      </w:hyperlink>
      <w:r w:rsidRPr="0058616B">
        <w:rPr>
          <w:lang w:val="ru-RU"/>
        </w:rPr>
        <w:t xml:space="preserve">, </w:t>
      </w:r>
      <w:hyperlink r:id="rId21" w:history="1">
        <w:r w:rsidRPr="00330D84">
          <w:rPr>
            <w:rStyle w:val="Hyperlink"/>
            <w:bCs/>
          </w:rPr>
          <w:t>C</w:t>
        </w:r>
        <w:r w:rsidRPr="0058616B">
          <w:rPr>
            <w:rStyle w:val="Hyperlink"/>
            <w:bCs/>
            <w:lang w:val="ru-RU"/>
          </w:rPr>
          <w:t>10/12</w:t>
        </w:r>
      </w:hyperlink>
      <w:r w:rsidRPr="0058616B">
        <w:rPr>
          <w:bCs/>
          <w:lang w:val="ru-RU"/>
        </w:rPr>
        <w:t xml:space="preserve">, </w:t>
      </w:r>
      <w:hyperlink r:id="rId22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11/54</w:t>
        </w:r>
      </w:hyperlink>
      <w:r w:rsidRPr="0058616B">
        <w:rPr>
          <w:lang w:val="ru-RU"/>
        </w:rPr>
        <w:t xml:space="preserve">, </w:t>
      </w:r>
      <w:hyperlink r:id="rId23" w:history="1">
        <w:r w:rsidRPr="00330D84">
          <w:rPr>
            <w:rStyle w:val="Hyperlink"/>
            <w:bCs/>
          </w:rPr>
          <w:t>C</w:t>
        </w:r>
        <w:r w:rsidRPr="0058616B">
          <w:rPr>
            <w:rStyle w:val="Hyperlink"/>
            <w:bCs/>
            <w:lang w:val="ru-RU"/>
          </w:rPr>
          <w:t>12/29</w:t>
        </w:r>
      </w:hyperlink>
      <w:r w:rsidRPr="0058616B">
        <w:rPr>
          <w:bCs/>
          <w:lang w:val="ru-RU"/>
        </w:rPr>
        <w:t xml:space="preserve">, </w:t>
      </w:r>
      <w:hyperlink r:id="rId24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13/23</w:t>
        </w:r>
      </w:hyperlink>
      <w:r w:rsidRPr="0058616B">
        <w:rPr>
          <w:lang w:val="ru-RU"/>
        </w:rPr>
        <w:t xml:space="preserve">, </w:t>
      </w:r>
      <w:hyperlink r:id="rId25" w:history="1">
        <w:r w:rsidRPr="00330D84">
          <w:rPr>
            <w:rStyle w:val="Hyperlink"/>
            <w:bCs/>
          </w:rPr>
          <w:t>C</w:t>
        </w:r>
        <w:r w:rsidRPr="0058616B">
          <w:rPr>
            <w:rStyle w:val="Hyperlink"/>
            <w:bCs/>
            <w:lang w:val="ru-RU"/>
          </w:rPr>
          <w:t>14/23</w:t>
        </w:r>
      </w:hyperlink>
      <w:r w:rsidRPr="0058616B">
        <w:rPr>
          <w:bCs/>
          <w:lang w:val="ru-RU"/>
        </w:rPr>
        <w:t xml:space="preserve">, </w:t>
      </w:r>
      <w:hyperlink r:id="rId26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15/18</w:t>
        </w:r>
      </w:hyperlink>
      <w:r w:rsidRPr="0058616B">
        <w:rPr>
          <w:lang w:val="ru-RU"/>
        </w:rPr>
        <w:t xml:space="preserve">, </w:t>
      </w:r>
      <w:hyperlink r:id="rId27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16/18</w:t>
        </w:r>
      </w:hyperlink>
      <w:r w:rsidRPr="0058616B">
        <w:rPr>
          <w:lang w:val="ru-RU"/>
        </w:rPr>
        <w:t xml:space="preserve">, </w:t>
      </w:r>
      <w:hyperlink r:id="rId28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17/18</w:t>
        </w:r>
      </w:hyperlink>
      <w:r w:rsidRPr="0058616B">
        <w:rPr>
          <w:lang w:val="ru-RU"/>
        </w:rPr>
        <w:t xml:space="preserve">, </w:t>
      </w:r>
      <w:hyperlink r:id="rId29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18/18</w:t>
        </w:r>
      </w:hyperlink>
      <w:r w:rsidRPr="0058616B">
        <w:rPr>
          <w:lang w:val="ru-RU"/>
        </w:rPr>
        <w:t xml:space="preserve">, </w:t>
      </w:r>
      <w:hyperlink r:id="rId30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19/18</w:t>
        </w:r>
      </w:hyperlink>
      <w:r w:rsidRPr="0058616B">
        <w:rPr>
          <w:lang w:val="ru-RU"/>
        </w:rPr>
        <w:t xml:space="preserve"> </w:t>
      </w:r>
      <w:r w:rsidR="0058616B">
        <w:rPr>
          <w:lang w:val="ru-RU"/>
        </w:rPr>
        <w:t>и</w:t>
      </w:r>
      <w:r w:rsidRPr="0058616B">
        <w:rPr>
          <w:lang w:val="ru-RU"/>
        </w:rPr>
        <w:t xml:space="preserve"> </w:t>
      </w:r>
      <w:hyperlink r:id="rId31" w:history="1">
        <w:r w:rsidRPr="00330D84">
          <w:rPr>
            <w:rStyle w:val="Hyperlink"/>
          </w:rPr>
          <w:t>C</w:t>
        </w:r>
        <w:r w:rsidRPr="0058616B">
          <w:rPr>
            <w:rStyle w:val="Hyperlink"/>
            <w:lang w:val="ru-RU"/>
          </w:rPr>
          <w:t>20/18</w:t>
        </w:r>
      </w:hyperlink>
      <w:r w:rsidRPr="0058616B">
        <w:rPr>
          <w:lang w:val="ru-RU"/>
        </w:rPr>
        <w:t xml:space="preserve">. </w:t>
      </w:r>
      <w:r w:rsidR="0058616B">
        <w:rPr>
          <w:lang w:val="ru-RU"/>
        </w:rPr>
        <w:t>В</w:t>
      </w:r>
      <w:r w:rsidR="00590DE6">
        <w:rPr>
          <w:lang w:val="ru-RU"/>
        </w:rPr>
        <w:t> </w:t>
      </w:r>
      <w:r w:rsidR="0058616B">
        <w:rPr>
          <w:lang w:val="ru-RU"/>
        </w:rPr>
        <w:t>следующих</w:t>
      </w:r>
      <w:r w:rsidR="0058616B" w:rsidRPr="0058616B">
        <w:rPr>
          <w:lang w:val="ru-RU"/>
        </w:rPr>
        <w:t xml:space="preserve"> </w:t>
      </w:r>
      <w:r w:rsidR="0058616B">
        <w:rPr>
          <w:lang w:val="ru-RU"/>
        </w:rPr>
        <w:t xml:space="preserve">разделах </w:t>
      </w:r>
      <w:r w:rsidR="001E2435">
        <w:rPr>
          <w:lang w:val="ru-RU"/>
        </w:rPr>
        <w:t>приводятся</w:t>
      </w:r>
      <w:r w:rsidR="0058616B">
        <w:rPr>
          <w:lang w:val="ru-RU"/>
        </w:rPr>
        <w:t xml:space="preserve"> некоторые примеры деятельности МСЭ </w:t>
      </w:r>
      <w:r w:rsidR="001E2435">
        <w:rPr>
          <w:lang w:val="ru-RU"/>
        </w:rPr>
        <w:t>согласно структуре</w:t>
      </w:r>
      <w:r w:rsidR="0058616B">
        <w:rPr>
          <w:lang w:val="ru-RU"/>
        </w:rPr>
        <w:t xml:space="preserve"> ГПК. </w:t>
      </w:r>
    </w:p>
    <w:p w14:paraId="5885C1FC" w14:textId="7297CD3A" w:rsidR="00330D84" w:rsidRPr="001E2435" w:rsidRDefault="00330D84" w:rsidP="00330D84">
      <w:pPr>
        <w:pStyle w:val="Heading1"/>
        <w:rPr>
          <w:lang w:val="ru-RU"/>
        </w:rPr>
      </w:pPr>
      <w:r w:rsidRPr="001E2435">
        <w:rPr>
          <w:lang w:val="ru-RU"/>
        </w:rPr>
        <w:t>3</w:t>
      </w:r>
      <w:r w:rsidRPr="001E2435">
        <w:rPr>
          <w:lang w:val="ru-RU"/>
        </w:rPr>
        <w:tab/>
      </w:r>
      <w:r w:rsidR="0058616B">
        <w:rPr>
          <w:lang w:val="ru-RU"/>
        </w:rPr>
        <w:t>Некоторые</w:t>
      </w:r>
      <w:r w:rsidR="0058616B" w:rsidRPr="001E2435">
        <w:rPr>
          <w:lang w:val="ru-RU"/>
        </w:rPr>
        <w:t xml:space="preserve"> </w:t>
      </w:r>
      <w:r w:rsidR="0058616B">
        <w:rPr>
          <w:lang w:val="ru-RU"/>
        </w:rPr>
        <w:t>примеры</w:t>
      </w:r>
      <w:r w:rsidR="0058616B" w:rsidRPr="001E2435">
        <w:rPr>
          <w:lang w:val="ru-RU"/>
        </w:rPr>
        <w:t xml:space="preserve"> </w:t>
      </w:r>
      <w:r w:rsidR="0058616B">
        <w:rPr>
          <w:lang w:val="ru-RU"/>
        </w:rPr>
        <w:t>деятельности</w:t>
      </w:r>
      <w:r w:rsidR="0058616B" w:rsidRPr="001E2435">
        <w:rPr>
          <w:lang w:val="ru-RU"/>
        </w:rPr>
        <w:t xml:space="preserve"> </w:t>
      </w:r>
      <w:r w:rsidR="0058616B">
        <w:rPr>
          <w:lang w:val="ru-RU"/>
        </w:rPr>
        <w:t>МСЭ</w:t>
      </w:r>
    </w:p>
    <w:p w14:paraId="1E6FC1A8" w14:textId="06B18632" w:rsidR="00330D84" w:rsidRPr="001E2435" w:rsidRDefault="00330D84" w:rsidP="00330D84">
      <w:pPr>
        <w:rPr>
          <w:lang w:val="ru-RU"/>
        </w:rPr>
      </w:pPr>
      <w:r w:rsidRPr="00D351D5">
        <w:rPr>
          <w:b/>
          <w:lang w:val="ru-RU"/>
        </w:rPr>
        <w:t>3.1</w:t>
      </w:r>
      <w:r w:rsidRPr="00D351D5">
        <w:rPr>
          <w:b/>
          <w:lang w:val="ru-RU"/>
        </w:rPr>
        <w:tab/>
      </w:r>
      <w:r w:rsidR="00491931">
        <w:rPr>
          <w:lang w:val="ru-RU"/>
        </w:rPr>
        <w:t>Как</w:t>
      </w:r>
      <w:r w:rsidR="00491931" w:rsidRPr="00D351D5">
        <w:rPr>
          <w:lang w:val="ru-RU"/>
        </w:rPr>
        <w:t xml:space="preserve"> </w:t>
      </w:r>
      <w:r w:rsidR="00491931">
        <w:rPr>
          <w:lang w:val="ru-RU"/>
        </w:rPr>
        <w:t>содействующая</w:t>
      </w:r>
      <w:r w:rsidR="00491931" w:rsidRPr="00D351D5">
        <w:rPr>
          <w:lang w:val="ru-RU"/>
        </w:rPr>
        <w:t xml:space="preserve"> </w:t>
      </w:r>
      <w:r w:rsidR="00491931">
        <w:rPr>
          <w:lang w:val="ru-RU"/>
        </w:rPr>
        <w:t>организация</w:t>
      </w:r>
      <w:r w:rsidR="00491931" w:rsidRPr="00D351D5">
        <w:rPr>
          <w:lang w:val="ru-RU"/>
        </w:rPr>
        <w:t xml:space="preserve"> </w:t>
      </w:r>
      <w:r w:rsidR="00491931" w:rsidRPr="00746CB6">
        <w:rPr>
          <w:bCs/>
          <w:iCs/>
          <w:lang w:val="ru-RU"/>
        </w:rPr>
        <w:t>по</w:t>
      </w:r>
      <w:r w:rsidR="00491931" w:rsidRPr="00D351D5">
        <w:rPr>
          <w:bCs/>
          <w:iCs/>
          <w:lang w:val="ru-RU"/>
        </w:rPr>
        <w:t xml:space="preserve"> </w:t>
      </w:r>
      <w:r w:rsidR="00491931" w:rsidRPr="00746CB6">
        <w:rPr>
          <w:bCs/>
          <w:iCs/>
          <w:lang w:val="ru-RU"/>
        </w:rPr>
        <w:t>Направлению</w:t>
      </w:r>
      <w:r w:rsidR="00491931" w:rsidRPr="00D351D5">
        <w:rPr>
          <w:bCs/>
          <w:iCs/>
          <w:lang w:val="ru-RU"/>
        </w:rPr>
        <w:t xml:space="preserve"> </w:t>
      </w:r>
      <w:r w:rsidR="00491931" w:rsidRPr="00746CB6">
        <w:rPr>
          <w:bCs/>
          <w:iCs/>
          <w:lang w:val="ru-RU"/>
        </w:rPr>
        <w:t>деятельности</w:t>
      </w:r>
      <w:r w:rsidR="00491931" w:rsidRPr="00D351D5">
        <w:rPr>
          <w:bCs/>
          <w:iCs/>
          <w:lang w:val="ru-RU"/>
        </w:rPr>
        <w:t xml:space="preserve"> </w:t>
      </w:r>
      <w:r w:rsidR="00491931" w:rsidRPr="00746CB6">
        <w:rPr>
          <w:bCs/>
          <w:iCs/>
          <w:lang w:val="ru-RU"/>
        </w:rPr>
        <w:t>С</w:t>
      </w:r>
      <w:r w:rsidR="00491931" w:rsidRPr="00D351D5">
        <w:rPr>
          <w:bCs/>
          <w:iCs/>
          <w:lang w:val="ru-RU"/>
        </w:rPr>
        <w:t xml:space="preserve">5 </w:t>
      </w:r>
      <w:r w:rsidR="00491931">
        <w:rPr>
          <w:bCs/>
          <w:iCs/>
          <w:lang w:val="ru-RU"/>
        </w:rPr>
        <w:t>МСЭ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использует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структуру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ГПК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для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объединения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различных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заинтересованных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сторон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в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деле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оказания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странам</w:t>
      </w:r>
      <w:r w:rsidR="00491931" w:rsidRPr="00D351D5">
        <w:rPr>
          <w:bCs/>
          <w:iCs/>
          <w:lang w:val="ru-RU"/>
        </w:rPr>
        <w:t xml:space="preserve"> </w:t>
      </w:r>
      <w:r w:rsidR="00491931">
        <w:rPr>
          <w:bCs/>
          <w:iCs/>
          <w:lang w:val="ru-RU"/>
        </w:rPr>
        <w:t>помощи</w:t>
      </w:r>
      <w:r w:rsidR="00491931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в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преодолении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рисков</w:t>
      </w:r>
      <w:r w:rsidR="00D351D5" w:rsidRPr="00D351D5">
        <w:rPr>
          <w:bCs/>
          <w:iCs/>
          <w:lang w:val="ru-RU"/>
        </w:rPr>
        <w:t xml:space="preserve">, </w:t>
      </w:r>
      <w:r w:rsidR="00D351D5">
        <w:rPr>
          <w:bCs/>
          <w:iCs/>
          <w:lang w:val="ru-RU"/>
        </w:rPr>
        <w:t>связанных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с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ИКТ</w:t>
      </w:r>
      <w:r w:rsidR="00D351D5" w:rsidRPr="00D351D5">
        <w:rPr>
          <w:bCs/>
          <w:iCs/>
          <w:lang w:val="ru-RU"/>
        </w:rPr>
        <w:t xml:space="preserve">, </w:t>
      </w:r>
      <w:r w:rsidR="00D351D5">
        <w:rPr>
          <w:bCs/>
          <w:iCs/>
          <w:lang w:val="ru-RU"/>
        </w:rPr>
        <w:t>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работает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в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тесном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партнерстве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с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другими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организациями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по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линии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всех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своих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секторов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и</w:t>
      </w:r>
      <w:r w:rsidR="00D351D5" w:rsidRPr="00D351D5">
        <w:rPr>
          <w:bCs/>
          <w:iCs/>
          <w:lang w:val="ru-RU"/>
        </w:rPr>
        <w:t xml:space="preserve"> </w:t>
      </w:r>
      <w:r w:rsidR="001E2435">
        <w:rPr>
          <w:bCs/>
          <w:iCs/>
          <w:lang w:val="ru-RU"/>
        </w:rPr>
        <w:t>видов деятельности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над</w:t>
      </w:r>
      <w:r w:rsidR="00D351D5" w:rsidRPr="00D351D5">
        <w:rPr>
          <w:bCs/>
          <w:iCs/>
          <w:lang w:val="ru-RU"/>
        </w:rPr>
        <w:t xml:space="preserve"> </w:t>
      </w:r>
      <w:r w:rsidR="00D351D5">
        <w:rPr>
          <w:bCs/>
          <w:iCs/>
          <w:lang w:val="ru-RU"/>
        </w:rPr>
        <w:t>укреплением</w:t>
      </w:r>
      <w:r w:rsidR="00D351D5" w:rsidRPr="00D351D5">
        <w:rPr>
          <w:bCs/>
          <w:iCs/>
          <w:lang w:val="ru-RU"/>
        </w:rPr>
        <w:t xml:space="preserve"> </w:t>
      </w:r>
      <w:r w:rsidR="00057957">
        <w:rPr>
          <w:bCs/>
          <w:iCs/>
          <w:lang w:val="ru-RU"/>
        </w:rPr>
        <w:t xml:space="preserve">доверия и </w:t>
      </w:r>
      <w:r w:rsidR="00D351D5">
        <w:rPr>
          <w:bCs/>
          <w:iCs/>
          <w:lang w:val="ru-RU"/>
        </w:rPr>
        <w:t xml:space="preserve">уверенности </w:t>
      </w:r>
      <w:r w:rsidR="00057957">
        <w:rPr>
          <w:bCs/>
          <w:iCs/>
          <w:lang w:val="ru-RU"/>
        </w:rPr>
        <w:t xml:space="preserve">при </w:t>
      </w:r>
      <w:r w:rsidR="00D351D5">
        <w:rPr>
          <w:bCs/>
          <w:iCs/>
          <w:lang w:val="ru-RU"/>
        </w:rPr>
        <w:t xml:space="preserve">использовании ИКТ. </w:t>
      </w:r>
    </w:p>
    <w:p w14:paraId="40650D18" w14:textId="51A31508" w:rsidR="00330D84" w:rsidRPr="002A4A19" w:rsidRDefault="00330D84" w:rsidP="00330D84">
      <w:pPr>
        <w:rPr>
          <w:lang w:val="ru-RU"/>
        </w:rPr>
      </w:pPr>
      <w:r w:rsidRPr="005A1756">
        <w:rPr>
          <w:b/>
          <w:bCs/>
          <w:lang w:val="ru-RU"/>
        </w:rPr>
        <w:t>3.2</w:t>
      </w:r>
      <w:r w:rsidRPr="005A1756">
        <w:rPr>
          <w:lang w:val="ru-RU"/>
        </w:rPr>
        <w:tab/>
      </w:r>
      <w:r w:rsidR="005A1756">
        <w:rPr>
          <w:lang w:val="ru-RU"/>
        </w:rPr>
        <w:t>В разделах ниже приводятся примеры деятельности МСЭ по каждому из пяти направлений, при том понимании</w:t>
      </w:r>
      <w:r w:rsidR="005A1756" w:rsidRPr="005A1756">
        <w:rPr>
          <w:lang w:val="ru-RU"/>
        </w:rPr>
        <w:t xml:space="preserve">, </w:t>
      </w:r>
      <w:r w:rsidR="005A1756">
        <w:rPr>
          <w:lang w:val="ru-RU"/>
        </w:rPr>
        <w:t>что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между ними существует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 xml:space="preserve">взаимозависимость. Это сделано для того, чтобы </w:t>
      </w:r>
      <w:r w:rsidR="005A1756">
        <w:rPr>
          <w:lang w:val="ru-RU"/>
        </w:rPr>
        <w:lastRenderedPageBreak/>
        <w:t>да</w:t>
      </w:r>
      <w:r w:rsidR="001E2435">
        <w:rPr>
          <w:lang w:val="ru-RU"/>
        </w:rPr>
        <w:t>ть краткое представление о ряде</w:t>
      </w:r>
      <w:r w:rsidR="005A1756">
        <w:rPr>
          <w:lang w:val="ru-RU"/>
        </w:rPr>
        <w:t xml:space="preserve"> видов деятельности, тогда как более подробные сведения включены в отдельные отчеты, представляемые Совету с 2008 года (см. п. 2.9 выше). </w:t>
      </w:r>
    </w:p>
    <w:p w14:paraId="7FB41AFF" w14:textId="17F6B7F1" w:rsidR="00330D84" w:rsidRPr="002A4A19" w:rsidRDefault="00330D84" w:rsidP="00330D84">
      <w:pPr>
        <w:rPr>
          <w:lang w:val="ru-RU"/>
        </w:rPr>
      </w:pPr>
      <w:r w:rsidRPr="005A1756">
        <w:rPr>
          <w:b/>
          <w:bCs/>
          <w:lang w:val="ru-RU"/>
        </w:rPr>
        <w:t>3.3</w:t>
      </w:r>
      <w:r w:rsidRPr="005A1756">
        <w:rPr>
          <w:lang w:val="ru-RU"/>
        </w:rPr>
        <w:tab/>
      </w:r>
      <w:r w:rsidR="005A1756">
        <w:rPr>
          <w:lang w:val="ru-RU"/>
        </w:rPr>
        <w:t>В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качестве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примера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сквозной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инициативы</w:t>
      </w:r>
      <w:r w:rsidR="005A1756" w:rsidRPr="005A1756">
        <w:rPr>
          <w:lang w:val="ru-RU"/>
        </w:rPr>
        <w:t xml:space="preserve">, </w:t>
      </w:r>
      <w:r w:rsidR="005A1756">
        <w:rPr>
          <w:lang w:val="ru-RU"/>
        </w:rPr>
        <w:t>охватывающей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все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пять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направлений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ГПК</w:t>
      </w:r>
      <w:r w:rsidR="005A1756" w:rsidRPr="005A1756">
        <w:rPr>
          <w:lang w:val="ru-RU"/>
        </w:rPr>
        <w:t xml:space="preserve">, </w:t>
      </w:r>
      <w:r w:rsidR="005A1756">
        <w:rPr>
          <w:lang w:val="ru-RU"/>
        </w:rPr>
        <w:t>в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отдельном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разделе</w:t>
      </w:r>
      <w:r w:rsidR="005A1756" w:rsidRPr="005A1756">
        <w:rPr>
          <w:lang w:val="ru-RU"/>
        </w:rPr>
        <w:t xml:space="preserve"> </w:t>
      </w:r>
      <w:r w:rsidR="005A1756">
        <w:rPr>
          <w:lang w:val="ru-RU"/>
        </w:rPr>
        <w:t>описывается</w:t>
      </w:r>
      <w:r w:rsidR="005A1756" w:rsidRPr="005A1756">
        <w:rPr>
          <w:lang w:val="ru-RU"/>
        </w:rPr>
        <w:t xml:space="preserve"> </w:t>
      </w:r>
      <w:hyperlink r:id="rId32" w:history="1">
        <w:r w:rsidR="005A1756" w:rsidRPr="002A4A19">
          <w:rPr>
            <w:rStyle w:val="Hyperlink"/>
            <w:lang w:val="ru-RU"/>
          </w:rPr>
          <w:t>инициатива "Защита ребенка в онлайновой среде</w:t>
        </w:r>
      </w:hyperlink>
      <w:r w:rsidR="005A1756" w:rsidRPr="005A1756">
        <w:rPr>
          <w:rStyle w:val="Hyperlink"/>
          <w:lang w:val="ru-RU"/>
        </w:rPr>
        <w:t>"</w:t>
      </w:r>
      <w:r w:rsidR="005A1756" w:rsidRPr="005A1756">
        <w:rPr>
          <w:lang w:val="ru-RU"/>
        </w:rPr>
        <w:t>.</w:t>
      </w:r>
      <w:r w:rsidR="005A1756">
        <w:rPr>
          <w:lang w:val="ru-RU"/>
        </w:rPr>
        <w:t xml:space="preserve"> </w:t>
      </w:r>
    </w:p>
    <w:p w14:paraId="3B7C9B34" w14:textId="40CF8DFA" w:rsidR="00330D84" w:rsidRPr="001E2435" w:rsidRDefault="00330D84" w:rsidP="00330D84">
      <w:pPr>
        <w:pStyle w:val="Heading2"/>
        <w:rPr>
          <w:lang w:val="ru-RU"/>
        </w:rPr>
      </w:pPr>
      <w:r w:rsidRPr="001E2435">
        <w:rPr>
          <w:lang w:val="ru-RU"/>
        </w:rPr>
        <w:t>3.4</w:t>
      </w:r>
      <w:r w:rsidRPr="001E2435">
        <w:rPr>
          <w:lang w:val="ru-RU"/>
        </w:rPr>
        <w:tab/>
      </w:r>
      <w:r w:rsidRPr="00330D84">
        <w:rPr>
          <w:lang w:val="ru-RU"/>
        </w:rPr>
        <w:t>Направление</w:t>
      </w:r>
      <w:r w:rsidRPr="001E2435">
        <w:rPr>
          <w:lang w:val="ru-RU"/>
        </w:rPr>
        <w:t xml:space="preserve"> 1</w:t>
      </w:r>
      <w:r w:rsidR="005A1756" w:rsidRPr="001E2435">
        <w:rPr>
          <w:lang w:val="ru-RU"/>
        </w:rPr>
        <w:t xml:space="preserve"> </w:t>
      </w:r>
      <w:r w:rsidR="005A1756">
        <w:rPr>
          <w:lang w:val="ru-RU"/>
        </w:rPr>
        <w:t>ГПК</w:t>
      </w:r>
      <w:r w:rsidRPr="001E2435">
        <w:rPr>
          <w:lang w:val="ru-RU"/>
        </w:rPr>
        <w:t xml:space="preserve">: </w:t>
      </w:r>
      <w:r w:rsidRPr="00330D84">
        <w:rPr>
          <w:lang w:val="ru-RU"/>
        </w:rPr>
        <w:t>Правовые</w:t>
      </w:r>
      <w:r w:rsidRPr="001E2435">
        <w:rPr>
          <w:lang w:val="ru-RU"/>
        </w:rPr>
        <w:t xml:space="preserve"> </w:t>
      </w:r>
      <w:r w:rsidRPr="00330D84">
        <w:rPr>
          <w:lang w:val="ru-RU"/>
        </w:rPr>
        <w:t>меры</w:t>
      </w:r>
    </w:p>
    <w:p w14:paraId="365AE964" w14:textId="3732E859" w:rsidR="00330D84" w:rsidRPr="002A4A19" w:rsidRDefault="00330D84" w:rsidP="00330D84">
      <w:pPr>
        <w:pStyle w:val="enumlev1"/>
        <w:rPr>
          <w:lang w:val="ru-RU"/>
        </w:rPr>
      </w:pPr>
      <w:r>
        <w:t>a</w:t>
      </w:r>
      <w:r w:rsidRPr="00C12DAE">
        <w:rPr>
          <w:lang w:val="ru-RU"/>
        </w:rPr>
        <w:t>)</w:t>
      </w:r>
      <w:r w:rsidRPr="00C12DAE">
        <w:rPr>
          <w:lang w:val="ru-RU"/>
        </w:rPr>
        <w:tab/>
      </w:r>
      <w:r w:rsidR="001E2435">
        <w:rPr>
          <w:lang w:val="ru-RU"/>
        </w:rPr>
        <w:t>Неотъемлемой составляющей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любой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национальной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стратегии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кибербезопасности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является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принятие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соответствующего</w:t>
      </w:r>
      <w:r w:rsidR="005A1756" w:rsidRPr="00C12DAE">
        <w:rPr>
          <w:lang w:val="ru-RU"/>
        </w:rPr>
        <w:t xml:space="preserve"> </w:t>
      </w:r>
      <w:r w:rsidR="001E2435">
        <w:rPr>
          <w:lang w:val="ru-RU"/>
        </w:rPr>
        <w:t>согласующегося</w:t>
      </w:r>
      <w:r w:rsidR="001E2435" w:rsidRPr="00C12DAE">
        <w:rPr>
          <w:lang w:val="ru-RU"/>
        </w:rPr>
        <w:t xml:space="preserve"> </w:t>
      </w:r>
      <w:r w:rsidR="001E2435">
        <w:rPr>
          <w:lang w:val="ru-RU"/>
        </w:rPr>
        <w:t xml:space="preserve">с региональной и международной политикой и практикой </w:t>
      </w:r>
      <w:r w:rsidR="005A1756">
        <w:rPr>
          <w:lang w:val="ru-RU"/>
        </w:rPr>
        <w:t>законодательства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против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ненадлежащего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использования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ИКТ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в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преступных</w:t>
      </w:r>
      <w:r w:rsidR="005A1756" w:rsidRPr="00C12DAE">
        <w:rPr>
          <w:lang w:val="ru-RU"/>
        </w:rPr>
        <w:t xml:space="preserve"> </w:t>
      </w:r>
      <w:r w:rsidR="005A1756">
        <w:rPr>
          <w:lang w:val="ru-RU"/>
        </w:rPr>
        <w:t>целях</w:t>
      </w:r>
      <w:r w:rsidR="00C12DAE">
        <w:rPr>
          <w:lang w:val="ru-RU"/>
        </w:rPr>
        <w:t xml:space="preserve">. </w:t>
      </w:r>
    </w:p>
    <w:p w14:paraId="58B87074" w14:textId="7ACF06CE" w:rsidR="00330D84" w:rsidRPr="00F91D87" w:rsidRDefault="00330D84" w:rsidP="00330D84">
      <w:pPr>
        <w:pStyle w:val="enumlev1"/>
        <w:rPr>
          <w:lang w:val="ru-RU"/>
        </w:rPr>
      </w:pPr>
      <w:r>
        <w:rPr>
          <w:lang w:val="en-US"/>
        </w:rPr>
        <w:t>b</w:t>
      </w:r>
      <w:r w:rsidRPr="00A63C1C">
        <w:rPr>
          <w:lang w:val="ru-RU"/>
        </w:rPr>
        <w:t>)</w:t>
      </w:r>
      <w:r w:rsidRPr="00A63C1C">
        <w:rPr>
          <w:lang w:val="ru-RU"/>
        </w:rPr>
        <w:tab/>
      </w:r>
      <w:r w:rsidR="00A63C1C" w:rsidRPr="00A63C1C">
        <w:rPr>
          <w:lang w:val="ru-RU"/>
        </w:rPr>
        <w:t>В области правовых мер МСЭ тесно с</w:t>
      </w:r>
      <w:r w:rsidR="00C12DAE">
        <w:rPr>
          <w:lang w:val="ru-RU"/>
        </w:rPr>
        <w:t>отрудничает с такими партнерами как УНП ООН</w:t>
      </w:r>
      <w:r w:rsidR="00A63C1C" w:rsidRPr="00A63C1C">
        <w:rPr>
          <w:lang w:val="ru-RU"/>
        </w:rPr>
        <w:t xml:space="preserve"> и с другими экспертами.</w:t>
      </w:r>
      <w:r w:rsidRPr="00A63C1C">
        <w:rPr>
          <w:lang w:val="ru-RU"/>
        </w:rPr>
        <w:t xml:space="preserve"> </w:t>
      </w:r>
      <w:r w:rsidR="00CF4356">
        <w:rPr>
          <w:lang w:val="ru-RU"/>
        </w:rPr>
        <w:t>Союз</w:t>
      </w:r>
      <w:r w:rsidR="00F91D87" w:rsidRPr="00F91D87">
        <w:rPr>
          <w:lang w:val="ru-RU"/>
        </w:rPr>
        <w:t xml:space="preserve"> </w:t>
      </w:r>
      <w:r w:rsidR="001E2435">
        <w:rPr>
          <w:lang w:val="ru-RU"/>
        </w:rPr>
        <w:t xml:space="preserve">также </w:t>
      </w:r>
      <w:r w:rsidR="00CF4356">
        <w:rPr>
          <w:lang w:val="ru-RU"/>
        </w:rPr>
        <w:t>продолжает оказывать</w:t>
      </w:r>
      <w:r w:rsidR="00F91D87" w:rsidRPr="00F91D87">
        <w:rPr>
          <w:lang w:val="ru-RU"/>
        </w:rPr>
        <w:t xml:space="preserve"> Государствам-Членам </w:t>
      </w:r>
      <w:r w:rsidR="00CF4356" w:rsidRPr="00F91D87">
        <w:rPr>
          <w:lang w:val="ru-RU"/>
        </w:rPr>
        <w:t xml:space="preserve">помощь </w:t>
      </w:r>
      <w:r w:rsidR="00F91D87" w:rsidRPr="00F91D87">
        <w:rPr>
          <w:lang w:val="ru-RU"/>
        </w:rPr>
        <w:t xml:space="preserve">в </w:t>
      </w:r>
      <w:r w:rsidR="00CF4356">
        <w:rPr>
          <w:lang w:val="ru-RU"/>
        </w:rPr>
        <w:t xml:space="preserve">расширении их понимания </w:t>
      </w:r>
      <w:r w:rsidR="00F91D87" w:rsidRPr="00F91D87">
        <w:rPr>
          <w:lang w:val="ru-RU"/>
        </w:rPr>
        <w:t xml:space="preserve">правовых аспектов кибербезопасности, используя для этого </w:t>
      </w:r>
      <w:hyperlink r:id="rId33" w:history="1">
        <w:r w:rsidR="00F91D87" w:rsidRPr="00F91D87">
          <w:rPr>
            <w:rStyle w:val="Hyperlink"/>
            <w:lang w:val="ru-RU"/>
          </w:rPr>
          <w:t>ресурсы МСЭ по законодательству в области киберпреступности</w:t>
        </w:r>
      </w:hyperlink>
      <w:r w:rsidR="00F91D87" w:rsidRPr="00F91D87">
        <w:rPr>
          <w:lang w:val="ru-RU"/>
        </w:rPr>
        <w:t xml:space="preserve">, с тем чтобы </w:t>
      </w:r>
      <w:r w:rsidR="00CF4356">
        <w:rPr>
          <w:lang w:val="ru-RU"/>
        </w:rPr>
        <w:t>содействовать</w:t>
      </w:r>
      <w:r w:rsidR="00F91D87" w:rsidRPr="00F91D87">
        <w:rPr>
          <w:lang w:val="ru-RU"/>
        </w:rPr>
        <w:t xml:space="preserve"> </w:t>
      </w:r>
      <w:r w:rsidR="00CF4356">
        <w:rPr>
          <w:lang w:val="ru-RU"/>
        </w:rPr>
        <w:t>согласованию</w:t>
      </w:r>
      <w:r w:rsidR="00F91D87" w:rsidRPr="00F91D87">
        <w:rPr>
          <w:lang w:val="ru-RU"/>
        </w:rPr>
        <w:t xml:space="preserve"> их нормативно-правовых баз</w:t>
      </w:r>
      <w:r w:rsidR="00CF4356">
        <w:rPr>
          <w:lang w:val="ru-RU"/>
        </w:rPr>
        <w:t xml:space="preserve">. </w:t>
      </w:r>
    </w:p>
    <w:p w14:paraId="36BEE4CA" w14:textId="21691209" w:rsidR="00330D84" w:rsidRPr="00384F4E" w:rsidRDefault="00330D84" w:rsidP="00330D84">
      <w:pPr>
        <w:pStyle w:val="Heading2"/>
        <w:rPr>
          <w:lang w:val="ru-RU"/>
        </w:rPr>
      </w:pPr>
      <w:r w:rsidRPr="00384F4E">
        <w:rPr>
          <w:lang w:val="ru-RU"/>
        </w:rPr>
        <w:t>3.5</w:t>
      </w:r>
      <w:r w:rsidRPr="00384F4E">
        <w:rPr>
          <w:lang w:val="ru-RU"/>
        </w:rPr>
        <w:tab/>
      </w:r>
      <w:r w:rsidR="00384F4E" w:rsidRPr="00384F4E">
        <w:rPr>
          <w:lang w:val="ru-RU"/>
        </w:rPr>
        <w:t>Направление 2</w:t>
      </w:r>
      <w:r w:rsidR="00CF4356" w:rsidRPr="00CF4356">
        <w:rPr>
          <w:lang w:val="ru-RU"/>
        </w:rPr>
        <w:t xml:space="preserve"> </w:t>
      </w:r>
      <w:r w:rsidR="00CF4356">
        <w:rPr>
          <w:lang w:val="ru-RU"/>
        </w:rPr>
        <w:t>ГПК</w:t>
      </w:r>
      <w:r w:rsidR="00384F4E" w:rsidRPr="00384F4E">
        <w:rPr>
          <w:lang w:val="ru-RU"/>
        </w:rPr>
        <w:t>: Технические и процедурные меры</w:t>
      </w:r>
    </w:p>
    <w:p w14:paraId="545BDA45" w14:textId="374C5149" w:rsidR="00330D84" w:rsidRPr="002A4A19" w:rsidRDefault="00330D84" w:rsidP="00A63C1C">
      <w:pPr>
        <w:pStyle w:val="enumlev1"/>
        <w:rPr>
          <w:lang w:val="ru-RU"/>
        </w:rPr>
      </w:pPr>
      <w:r w:rsidRPr="00330D84">
        <w:t>a</w:t>
      </w:r>
      <w:r w:rsidR="00A63C1C" w:rsidRPr="00D158D9">
        <w:rPr>
          <w:lang w:val="ru-RU"/>
        </w:rPr>
        <w:t>)</w:t>
      </w:r>
      <w:r w:rsidRPr="00D158D9">
        <w:rPr>
          <w:lang w:val="ru-RU"/>
        </w:rPr>
        <w:tab/>
      </w:r>
      <w:hyperlink r:id="rId34" w:history="1">
        <w:r w:rsidR="00CF4356" w:rsidRPr="002A4A19">
          <w:rPr>
            <w:rStyle w:val="Hyperlink"/>
            <w:lang w:val="ru-RU"/>
          </w:rPr>
          <w:t>Исследовательские комиссии МСЭ</w:t>
        </w:r>
      </w:hyperlink>
      <w:r w:rsidRPr="00D158D9">
        <w:rPr>
          <w:lang w:val="ru-RU"/>
        </w:rPr>
        <w:t xml:space="preserve"> </w:t>
      </w:r>
      <w:r w:rsidR="00D158D9">
        <w:rPr>
          <w:lang w:val="ru-RU"/>
        </w:rPr>
        <w:t>представляют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собой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независимую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глобальную</w:t>
      </w:r>
      <w:r w:rsidR="00D158D9" w:rsidRPr="00D158D9">
        <w:rPr>
          <w:lang w:val="ru-RU"/>
        </w:rPr>
        <w:t xml:space="preserve"> </w:t>
      </w:r>
      <w:r w:rsidR="001E2435">
        <w:rPr>
          <w:lang w:val="ru-RU"/>
        </w:rPr>
        <w:t>платформу, позволяющую</w:t>
      </w:r>
      <w:r w:rsidR="00D158D9" w:rsidRPr="00D158D9">
        <w:rPr>
          <w:lang w:val="ru-RU"/>
        </w:rPr>
        <w:t xml:space="preserve"> </w:t>
      </w:r>
      <w:r w:rsidR="001E2435">
        <w:rPr>
          <w:lang w:val="ru-RU"/>
        </w:rPr>
        <w:t>членам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МСЭ</w:t>
      </w:r>
      <w:r w:rsidR="00D158D9" w:rsidRPr="00D158D9">
        <w:rPr>
          <w:lang w:val="ru-RU"/>
        </w:rPr>
        <w:t xml:space="preserve"> </w:t>
      </w:r>
      <w:r w:rsidR="001E2435">
        <w:rPr>
          <w:lang w:val="ru-RU"/>
        </w:rPr>
        <w:t>соб</w:t>
      </w:r>
      <w:r w:rsidR="00057957">
        <w:rPr>
          <w:lang w:val="ru-RU"/>
        </w:rPr>
        <w:t>и</w:t>
      </w:r>
      <w:r w:rsidR="001E2435">
        <w:rPr>
          <w:lang w:val="ru-RU"/>
        </w:rPr>
        <w:t xml:space="preserve">раться </w:t>
      </w:r>
      <w:r w:rsidR="00D158D9">
        <w:rPr>
          <w:lang w:val="ru-RU"/>
        </w:rPr>
        <w:t>для</w:t>
      </w:r>
      <w:r w:rsidR="001E2435">
        <w:rPr>
          <w:lang w:val="ru-RU"/>
        </w:rPr>
        <w:t xml:space="preserve"> совместной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работы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по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стандартизации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в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области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безопасности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по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ряду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тем</w:t>
      </w:r>
      <w:r w:rsidR="00D158D9" w:rsidRPr="00D158D9">
        <w:rPr>
          <w:lang w:val="ru-RU"/>
        </w:rPr>
        <w:t xml:space="preserve">: </w:t>
      </w:r>
      <w:r w:rsidR="00D158D9">
        <w:rPr>
          <w:lang w:val="ru-RU"/>
        </w:rPr>
        <w:t>архитектура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структура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безопасности</w:t>
      </w:r>
      <w:r w:rsidR="00D158D9" w:rsidRPr="00D158D9">
        <w:rPr>
          <w:lang w:val="ru-RU"/>
        </w:rPr>
        <w:t xml:space="preserve">; </w:t>
      </w:r>
      <w:r w:rsidR="00D158D9">
        <w:rPr>
          <w:lang w:val="ru-RU"/>
        </w:rPr>
        <w:t>безопасность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приложений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услуг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для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существующих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возникающих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технологий</w:t>
      </w:r>
      <w:r w:rsidR="00D158D9" w:rsidRPr="00D158D9">
        <w:rPr>
          <w:lang w:val="ru-RU"/>
        </w:rPr>
        <w:t xml:space="preserve">, </w:t>
      </w:r>
      <w:r w:rsidR="00D158D9">
        <w:rPr>
          <w:lang w:val="ru-RU"/>
        </w:rPr>
        <w:t>таких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как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технологии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распределенного</w:t>
      </w:r>
      <w:r w:rsidR="00D158D9" w:rsidRPr="00D158D9">
        <w:rPr>
          <w:lang w:val="ru-RU"/>
        </w:rPr>
        <w:t xml:space="preserve"> </w:t>
      </w:r>
      <w:r w:rsidR="00D158D9">
        <w:rPr>
          <w:lang w:val="ru-RU"/>
        </w:rPr>
        <w:t>реестра</w:t>
      </w:r>
      <w:r w:rsidR="00D158D9" w:rsidRPr="00D158D9">
        <w:rPr>
          <w:lang w:val="ru-RU"/>
        </w:rPr>
        <w:t xml:space="preserve"> (</w:t>
      </w:r>
      <w:r w:rsidR="00D158D9">
        <w:rPr>
          <w:lang w:val="ru-RU"/>
        </w:rPr>
        <w:t>одним из вариантов применения которых является блокчейн), облачные вычисления, большие данные, искусственный интеллект и машинное обучение, организация сетей с программируемыми параметрами, 5</w:t>
      </w:r>
      <w:r w:rsidR="00D158D9">
        <w:rPr>
          <w:lang w:val="fr-FR"/>
        </w:rPr>
        <w:t>G</w:t>
      </w:r>
      <w:r w:rsidR="00D158D9" w:rsidRPr="00D158D9">
        <w:rPr>
          <w:lang w:val="ru-RU"/>
        </w:rPr>
        <w:t xml:space="preserve">, </w:t>
      </w:r>
      <w:r w:rsidR="002A4A19">
        <w:rPr>
          <w:lang w:val="ru-RU"/>
        </w:rPr>
        <w:t>и</w:t>
      </w:r>
      <w:r w:rsidR="00D158D9">
        <w:rPr>
          <w:lang w:val="ru-RU"/>
        </w:rPr>
        <w:t xml:space="preserve">нтернет вещей, интеллектуальные транспортные системы и </w:t>
      </w:r>
      <w:r w:rsidR="00D158D9" w:rsidRPr="00D158D9">
        <w:rPr>
          <w:lang w:val="ru-RU"/>
        </w:rPr>
        <w:t>"</w:t>
      </w:r>
      <w:r w:rsidR="00D158D9">
        <w:rPr>
          <w:lang w:val="ru-RU"/>
        </w:rPr>
        <w:t>умные</w:t>
      </w:r>
      <w:r w:rsidR="00D158D9" w:rsidRPr="00D158D9">
        <w:rPr>
          <w:lang w:val="ru-RU"/>
        </w:rPr>
        <w:t>"</w:t>
      </w:r>
      <w:r w:rsidR="00D158D9">
        <w:rPr>
          <w:lang w:val="ru-RU"/>
        </w:rPr>
        <w:t xml:space="preserve"> электросети</w:t>
      </w:r>
      <w:r w:rsidR="00782DFD">
        <w:rPr>
          <w:lang w:val="ru-RU"/>
        </w:rPr>
        <w:t xml:space="preserve">; базовые структуры безопасности, такие как </w:t>
      </w:r>
      <w:r w:rsidR="00782DFD">
        <w:rPr>
          <w:lang w:val="fr-FR"/>
        </w:rPr>
        <w:t>PKI</w:t>
      </w:r>
      <w:r w:rsidR="00782DFD" w:rsidRPr="00782DFD">
        <w:rPr>
          <w:lang w:val="ru-RU"/>
        </w:rPr>
        <w:t xml:space="preserve">, </w:t>
      </w:r>
      <w:r w:rsidR="00782DFD">
        <w:rPr>
          <w:lang w:val="ru-RU"/>
        </w:rPr>
        <w:t xml:space="preserve">управление </w:t>
      </w:r>
      <w:r w:rsidR="006C3F2F">
        <w:rPr>
          <w:lang w:val="ru-RU"/>
        </w:rPr>
        <w:t>определением</w:t>
      </w:r>
      <w:r w:rsidR="00782DFD">
        <w:rPr>
          <w:lang w:val="ru-RU"/>
        </w:rPr>
        <w:t xml:space="preserve"> личности и аутентификация; а также кибербезопасность (включая обмен информацией о киберугрозах).</w:t>
      </w:r>
    </w:p>
    <w:p w14:paraId="62D16E71" w14:textId="3477A7D3" w:rsidR="00330D84" w:rsidRPr="002A4A19" w:rsidRDefault="00330D84" w:rsidP="00A63C1C">
      <w:pPr>
        <w:pStyle w:val="enumlev1"/>
        <w:rPr>
          <w:bCs/>
          <w:lang w:val="ru-RU"/>
        </w:rPr>
      </w:pPr>
      <w:r w:rsidRPr="00330D84">
        <w:rPr>
          <w:bCs/>
        </w:rPr>
        <w:t>b</w:t>
      </w:r>
      <w:r w:rsidR="00A63C1C" w:rsidRPr="00782DFD">
        <w:rPr>
          <w:bCs/>
          <w:lang w:val="ru-RU"/>
        </w:rPr>
        <w:t>)</w:t>
      </w:r>
      <w:r w:rsidRPr="00782DFD">
        <w:rPr>
          <w:bCs/>
          <w:lang w:val="ru-RU"/>
        </w:rPr>
        <w:tab/>
      </w:r>
      <w:hyperlink r:id="rId35" w:history="1">
        <w:r w:rsidR="00782DFD" w:rsidRPr="002A4A19">
          <w:rPr>
            <w:rStyle w:val="Hyperlink"/>
            <w:bCs/>
            <w:lang w:val="ru-RU"/>
          </w:rPr>
          <w:t>17-я Исследовательская комиссия МСЭ-</w:t>
        </w:r>
        <w:r w:rsidR="00782DFD" w:rsidRPr="002A4A19">
          <w:rPr>
            <w:rStyle w:val="Hyperlink"/>
            <w:bCs/>
            <w:lang w:val="en-US"/>
          </w:rPr>
          <w:t>T</w:t>
        </w:r>
      </w:hyperlink>
      <w:r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отвечает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за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вопросы укрепления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доверия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и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безопасности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>в</w:t>
      </w:r>
      <w:r w:rsidR="00782DFD" w:rsidRPr="00782DFD">
        <w:rPr>
          <w:bCs/>
          <w:lang w:val="ru-RU"/>
        </w:rPr>
        <w:t xml:space="preserve"> </w:t>
      </w:r>
      <w:r w:rsidR="00782DFD">
        <w:rPr>
          <w:bCs/>
          <w:lang w:val="ru-RU"/>
        </w:rPr>
        <w:t xml:space="preserve">использовании ИКТ. </w:t>
      </w:r>
      <w:r w:rsidR="006C3F2F">
        <w:rPr>
          <w:bCs/>
          <w:lang w:val="ru-RU"/>
        </w:rPr>
        <w:t>К ним относится и исследование ряда технологий с точки зрения кибербезопасности. Это в</w:t>
      </w:r>
      <w:r w:rsidR="00A63C1C" w:rsidRPr="00A63C1C">
        <w:rPr>
          <w:bCs/>
          <w:lang w:val="ru-RU"/>
        </w:rPr>
        <w:t xml:space="preserve">едущая исследовательская комиссия по вопросам безопасности и по вопросам управления определением идентичности (IdM), </w:t>
      </w:r>
      <w:r w:rsidR="006C3F2F">
        <w:rPr>
          <w:bCs/>
          <w:lang w:val="ru-RU"/>
        </w:rPr>
        <w:t xml:space="preserve">которая </w:t>
      </w:r>
      <w:r w:rsidR="00A63C1C" w:rsidRPr="00A63C1C">
        <w:rPr>
          <w:bCs/>
          <w:lang w:val="ru-RU"/>
        </w:rPr>
        <w:t xml:space="preserve">по-прежнему играет </w:t>
      </w:r>
      <w:r w:rsidR="006A4F0D">
        <w:rPr>
          <w:bCs/>
          <w:lang w:val="ru-RU"/>
        </w:rPr>
        <w:t>полезную</w:t>
      </w:r>
      <w:r w:rsidR="00A63C1C" w:rsidRPr="00A63C1C">
        <w:rPr>
          <w:bCs/>
          <w:lang w:val="ru-RU"/>
        </w:rPr>
        <w:t xml:space="preserve"> роль в проведении исследований и стандартизации в области кибербезопасности, борьбы со спамом, IdM, </w:t>
      </w:r>
      <w:r w:rsidR="006C3F2F">
        <w:rPr>
          <w:bCs/>
          <w:lang w:val="ru-RU"/>
        </w:rPr>
        <w:t>инфраструктуры открытых ключей (</w:t>
      </w:r>
      <w:r w:rsidR="00A63C1C" w:rsidRPr="00A63C1C">
        <w:rPr>
          <w:bCs/>
          <w:lang w:val="ru-RU"/>
        </w:rPr>
        <w:t>сертификатов X.509 МСЭ-Т</w:t>
      </w:r>
      <w:r w:rsidR="006C3F2F">
        <w:rPr>
          <w:bCs/>
          <w:lang w:val="ru-RU"/>
        </w:rPr>
        <w:t>)</w:t>
      </w:r>
      <w:r w:rsidR="00A63C1C" w:rsidRPr="00A63C1C">
        <w:rPr>
          <w:bCs/>
          <w:lang w:val="ru-RU"/>
        </w:rPr>
        <w:t>, управления информационной безопасностью, повсеместно распространенных сенсорных сетей, телебиометрии, безопасности подвижной связи, безопасности виртуализации в интересах безопасности облачных вычислений, защиты информации, позволяющей установить личность, а также архитектуры безопасности и безопасности приложений, в сотрудничестве с внешними организациями по разработке стандартов</w:t>
      </w:r>
      <w:r w:rsidRPr="00A63C1C">
        <w:rPr>
          <w:bCs/>
          <w:lang w:val="ru-RU"/>
        </w:rPr>
        <w:t xml:space="preserve">. </w:t>
      </w:r>
      <w:r w:rsidR="006C3F2F">
        <w:rPr>
          <w:bCs/>
          <w:lang w:val="ru-RU"/>
        </w:rPr>
        <w:t xml:space="preserve">На сегодняшний день комиссия разработала более 200 стандартов. В настоящее время Исследовательская комиссия наряду с другими </w:t>
      </w:r>
      <w:r w:rsidR="006A4F0D">
        <w:rPr>
          <w:bCs/>
          <w:lang w:val="ru-RU"/>
        </w:rPr>
        <w:t>темами</w:t>
      </w:r>
      <w:r w:rsidR="006C3F2F">
        <w:rPr>
          <w:bCs/>
          <w:lang w:val="ru-RU"/>
        </w:rPr>
        <w:t xml:space="preserve"> работает над вопросом обеспечения безопасности на квантовой основе и составила Рекомендации Х.1701 – спецификации для </w:t>
      </w:r>
      <w:r w:rsidR="006C3F2F" w:rsidRPr="006C3F2F">
        <w:rPr>
          <w:bCs/>
          <w:lang w:val="ru-RU"/>
        </w:rPr>
        <w:t>"</w:t>
      </w:r>
      <w:r w:rsidR="006C3F2F">
        <w:rPr>
          <w:bCs/>
          <w:lang w:val="ru-RU"/>
        </w:rPr>
        <w:t>Архитектуры</w:t>
      </w:r>
      <w:r w:rsidR="006C3F2F" w:rsidRPr="006C3F2F">
        <w:rPr>
          <w:bCs/>
          <w:lang w:val="ru-RU"/>
        </w:rPr>
        <w:t xml:space="preserve"> </w:t>
      </w:r>
      <w:r w:rsidR="006C3F2F" w:rsidRPr="00A2443E">
        <w:rPr>
          <w:bCs/>
          <w:lang w:val="ru-RU"/>
        </w:rPr>
        <w:t>генератора</w:t>
      </w:r>
      <w:r w:rsidR="006C3F2F" w:rsidRPr="006C3F2F">
        <w:rPr>
          <w:bCs/>
          <w:lang w:val="ru-RU"/>
        </w:rPr>
        <w:t xml:space="preserve"> </w:t>
      </w:r>
      <w:r w:rsidR="006C3F2F" w:rsidRPr="00A2443E">
        <w:rPr>
          <w:bCs/>
          <w:lang w:val="ru-RU"/>
        </w:rPr>
        <w:t>случайных</w:t>
      </w:r>
      <w:r w:rsidR="006C3F2F" w:rsidRPr="006C3F2F">
        <w:rPr>
          <w:bCs/>
          <w:lang w:val="ru-RU"/>
        </w:rPr>
        <w:t xml:space="preserve"> </w:t>
      </w:r>
      <w:r w:rsidR="006C3F2F" w:rsidRPr="00A2443E">
        <w:rPr>
          <w:bCs/>
          <w:lang w:val="ru-RU"/>
        </w:rPr>
        <w:t>чисел</w:t>
      </w:r>
      <w:r w:rsidR="006C3F2F" w:rsidRPr="006C3F2F">
        <w:rPr>
          <w:bCs/>
          <w:lang w:val="ru-RU"/>
        </w:rPr>
        <w:t xml:space="preserve"> </w:t>
      </w:r>
      <w:r w:rsidR="006C3F2F" w:rsidRPr="00A2443E">
        <w:rPr>
          <w:bCs/>
          <w:lang w:val="ru-RU"/>
        </w:rPr>
        <w:t>квантового</w:t>
      </w:r>
      <w:r w:rsidR="006C3F2F" w:rsidRPr="006C3F2F">
        <w:rPr>
          <w:bCs/>
          <w:lang w:val="ru-RU"/>
        </w:rPr>
        <w:t xml:space="preserve"> </w:t>
      </w:r>
      <w:r w:rsidR="006C3F2F" w:rsidRPr="00A2443E">
        <w:rPr>
          <w:bCs/>
          <w:lang w:val="ru-RU"/>
        </w:rPr>
        <w:t>шума</w:t>
      </w:r>
      <w:r w:rsidR="006C3F2F" w:rsidRPr="006C3F2F">
        <w:rPr>
          <w:bCs/>
          <w:lang w:val="ru-RU"/>
        </w:rPr>
        <w:t>"</w:t>
      </w:r>
      <w:r w:rsidR="006C3F2F">
        <w:rPr>
          <w:bCs/>
          <w:lang w:val="ru-RU"/>
        </w:rPr>
        <w:t xml:space="preserve">. </w:t>
      </w:r>
    </w:p>
    <w:p w14:paraId="1786DC0A" w14:textId="73236E49" w:rsidR="00330D84" w:rsidRPr="002A4A19" w:rsidRDefault="00330D84" w:rsidP="00A63C1C">
      <w:pPr>
        <w:pStyle w:val="enumlev1"/>
        <w:rPr>
          <w:bCs/>
          <w:lang w:val="ru-RU"/>
        </w:rPr>
      </w:pPr>
      <w:r w:rsidRPr="00330D84">
        <w:rPr>
          <w:bCs/>
        </w:rPr>
        <w:t>c</w:t>
      </w:r>
      <w:r w:rsidR="00A63C1C" w:rsidRPr="006C3F2F">
        <w:rPr>
          <w:bCs/>
          <w:lang w:val="ru-RU"/>
        </w:rPr>
        <w:t>)</w:t>
      </w:r>
      <w:r w:rsidRPr="006C3F2F">
        <w:rPr>
          <w:bCs/>
          <w:lang w:val="ru-RU"/>
        </w:rPr>
        <w:tab/>
      </w:r>
      <w:r w:rsidR="006C3F2F">
        <w:rPr>
          <w:bCs/>
          <w:lang w:val="ru-RU"/>
        </w:rPr>
        <w:t>Другие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исследовательские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комиссии</w:t>
      </w:r>
      <w:r w:rsidR="006C3F2F" w:rsidRPr="006C3F2F">
        <w:rPr>
          <w:bCs/>
          <w:lang w:val="ru-RU"/>
        </w:rPr>
        <w:t xml:space="preserve">, </w:t>
      </w:r>
      <w:r w:rsidR="006C3F2F">
        <w:rPr>
          <w:bCs/>
          <w:lang w:val="ru-RU"/>
        </w:rPr>
        <w:t>такие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как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ИК</w:t>
      </w:r>
      <w:r w:rsidR="006C3F2F" w:rsidRPr="006C3F2F">
        <w:rPr>
          <w:bCs/>
          <w:lang w:val="ru-RU"/>
        </w:rPr>
        <w:t xml:space="preserve">9, </w:t>
      </w:r>
      <w:r w:rsidR="006C3F2F">
        <w:rPr>
          <w:bCs/>
          <w:lang w:val="ru-RU"/>
        </w:rPr>
        <w:t>ИК</w:t>
      </w:r>
      <w:r w:rsidR="006C3F2F" w:rsidRPr="006C3F2F">
        <w:rPr>
          <w:bCs/>
          <w:lang w:val="ru-RU"/>
        </w:rPr>
        <w:t xml:space="preserve">13, </w:t>
      </w:r>
      <w:r w:rsidR="006C3F2F">
        <w:rPr>
          <w:bCs/>
          <w:lang w:val="ru-RU"/>
        </w:rPr>
        <w:t>ИК</w:t>
      </w:r>
      <w:r w:rsidR="006C3F2F" w:rsidRPr="006C3F2F">
        <w:rPr>
          <w:bCs/>
          <w:lang w:val="ru-RU"/>
        </w:rPr>
        <w:t xml:space="preserve">15 </w:t>
      </w:r>
      <w:r w:rsidR="006C3F2F">
        <w:rPr>
          <w:bCs/>
          <w:lang w:val="ru-RU"/>
        </w:rPr>
        <w:t>и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ИК</w:t>
      </w:r>
      <w:r w:rsidR="006C3F2F" w:rsidRPr="006C3F2F">
        <w:rPr>
          <w:bCs/>
          <w:lang w:val="ru-RU"/>
        </w:rPr>
        <w:t>20 (</w:t>
      </w:r>
      <w:r w:rsidR="006C3F2F" w:rsidRPr="006C3F2F">
        <w:rPr>
          <w:bCs/>
          <w:lang w:val="en-US"/>
        </w:rPr>
        <w:t>IoT</w:t>
      </w:r>
      <w:r w:rsidR="006C3F2F" w:rsidRPr="006C3F2F">
        <w:rPr>
          <w:bCs/>
          <w:lang w:val="ru-RU"/>
        </w:rPr>
        <w:t>)</w:t>
      </w:r>
      <w:r w:rsidR="006A4F0D">
        <w:rPr>
          <w:bCs/>
          <w:lang w:val="ru-RU"/>
        </w:rPr>
        <w:t>,</w:t>
      </w:r>
      <w:r w:rsidR="006C3F2F" w:rsidRPr="006C3F2F">
        <w:rPr>
          <w:bCs/>
          <w:lang w:val="ru-RU"/>
        </w:rPr>
        <w:t xml:space="preserve"> </w:t>
      </w:r>
      <w:r w:rsidR="006C3F2F">
        <w:rPr>
          <w:bCs/>
          <w:lang w:val="ru-RU"/>
        </w:rPr>
        <w:t>также</w:t>
      </w:r>
      <w:r w:rsidR="006C3F2F" w:rsidRPr="006C3F2F">
        <w:rPr>
          <w:bCs/>
          <w:lang w:val="ru-RU"/>
        </w:rPr>
        <w:t xml:space="preserve"> осуществляют разработку стандартов, связанных с безопасностью. </w:t>
      </w:r>
    </w:p>
    <w:p w14:paraId="2BB43032" w14:textId="3CDD7F11" w:rsidR="00330D84" w:rsidRPr="009C7289" w:rsidRDefault="00330D84" w:rsidP="00A63C1C">
      <w:pPr>
        <w:pStyle w:val="enumlev1"/>
        <w:rPr>
          <w:lang w:val="ru-RU"/>
        </w:rPr>
      </w:pPr>
      <w:r w:rsidRPr="00330D84">
        <w:rPr>
          <w:bCs/>
          <w:lang w:val="en-US"/>
        </w:rPr>
        <w:t>d</w:t>
      </w:r>
      <w:r w:rsidR="00A63C1C" w:rsidRPr="009C7289">
        <w:rPr>
          <w:bCs/>
          <w:lang w:val="ru-RU"/>
        </w:rPr>
        <w:t>)</w:t>
      </w:r>
      <w:r w:rsidRPr="009C7289">
        <w:rPr>
          <w:bCs/>
          <w:lang w:val="ru-RU"/>
        </w:rPr>
        <w:tab/>
      </w:r>
      <w:r w:rsidR="006C3F2F">
        <w:rPr>
          <w:bCs/>
          <w:lang w:val="ru-RU"/>
        </w:rPr>
        <w:t xml:space="preserve">Вопросы безопасности и доверия </w:t>
      </w:r>
      <w:r w:rsidR="008B0087">
        <w:rPr>
          <w:bCs/>
          <w:lang w:val="ru-RU"/>
        </w:rPr>
        <w:t>являлись и являются н</w:t>
      </w:r>
      <w:r w:rsidR="006C3F2F">
        <w:rPr>
          <w:bCs/>
          <w:lang w:val="ru-RU"/>
        </w:rPr>
        <w:t xml:space="preserve">еотъемлемой составляющей </w:t>
      </w:r>
      <w:r w:rsidR="008B0087">
        <w:rPr>
          <w:bCs/>
          <w:lang w:val="ru-RU"/>
        </w:rPr>
        <w:t>дискуссий</w:t>
      </w:r>
      <w:r w:rsidR="006C3F2F">
        <w:rPr>
          <w:bCs/>
          <w:lang w:val="ru-RU"/>
        </w:rPr>
        <w:t xml:space="preserve"> во многих существующих и прежних оперативных группах МСЭ-Т</w:t>
      </w:r>
      <w:r w:rsidR="008B0087">
        <w:rPr>
          <w:bCs/>
          <w:lang w:val="ru-RU"/>
        </w:rPr>
        <w:t>, к числу которых относятся:</w:t>
      </w:r>
      <w:r w:rsidR="006C3F2F">
        <w:rPr>
          <w:bCs/>
          <w:lang w:val="ru-RU"/>
        </w:rPr>
        <w:t xml:space="preserve"> </w:t>
      </w:r>
      <w:r w:rsidR="009C7289" w:rsidRPr="009C7289">
        <w:rPr>
          <w:bCs/>
          <w:lang w:val="ru-RU"/>
        </w:rPr>
        <w:t xml:space="preserve">1) </w:t>
      </w:r>
      <w:hyperlink r:id="rId36" w:history="1">
        <w:r w:rsidR="009C7289" w:rsidRPr="009C7289">
          <w:rPr>
            <w:rStyle w:val="Hyperlink"/>
            <w:bCs/>
            <w:i/>
            <w:lang w:val="ru-RU"/>
          </w:rPr>
          <w:t>Оперативная группа МСЭ-Т по машинному обучению для будущих сетей, включая 5G (ОГ-ML5G)</w:t>
        </w:r>
      </w:hyperlink>
      <w:r w:rsidR="009C7289" w:rsidRPr="009C7289">
        <w:rPr>
          <w:bCs/>
          <w:lang w:val="ru-RU"/>
        </w:rPr>
        <w:t xml:space="preserve">, 2) </w:t>
      </w:r>
      <w:hyperlink r:id="rId37" w:history="1">
        <w:r w:rsidR="009C7289" w:rsidRPr="009C7289">
          <w:rPr>
            <w:rStyle w:val="Hyperlink"/>
            <w:bCs/>
            <w:i/>
            <w:lang w:val="ru-RU"/>
          </w:rPr>
          <w:t>Оперативная группа МСЭ-Т "Технологии для Сети-2030 (ОГ-NET-2030)</w:t>
        </w:r>
      </w:hyperlink>
      <w:r w:rsidR="009C7289" w:rsidRPr="009C7289">
        <w:rPr>
          <w:bCs/>
          <w:lang w:val="ru-RU"/>
        </w:rPr>
        <w:t xml:space="preserve">, 3) </w:t>
      </w:r>
      <w:hyperlink r:id="rId38" w:history="1">
        <w:r w:rsidR="009C7289" w:rsidRPr="009C7289">
          <w:rPr>
            <w:rStyle w:val="Hyperlink"/>
            <w:bCs/>
            <w:i/>
            <w:lang w:val="ru-RU"/>
          </w:rPr>
          <w:t xml:space="preserve">Оперативная группа МСЭ-T по искусственному интеллекту для здравоохранения </w:t>
        </w:r>
        <w:r w:rsidR="009C7289" w:rsidRPr="009C7289">
          <w:rPr>
            <w:rStyle w:val="Hyperlink"/>
            <w:bCs/>
            <w:i/>
            <w:lang w:val="ru-RU"/>
          </w:rPr>
          <w:lastRenderedPageBreak/>
          <w:t>(ОГ-AI4H)</w:t>
        </w:r>
      </w:hyperlink>
      <w:r w:rsidR="009C7289" w:rsidRPr="009C7289">
        <w:rPr>
          <w:bCs/>
          <w:lang w:val="ru-RU"/>
        </w:rPr>
        <w:t xml:space="preserve">, 4) </w:t>
      </w:r>
      <w:hyperlink r:id="rId39" w:history="1">
        <w:r w:rsidR="009C7289" w:rsidRPr="009C7289">
          <w:rPr>
            <w:rStyle w:val="Hyperlink"/>
            <w:bCs/>
            <w:i/>
            <w:lang w:val="ru-RU"/>
          </w:rPr>
          <w:t>Оперативная группа МСЭ-Т по мультимедиа в автотранспортных средствах (ОГ-VM)</w:t>
        </w:r>
      </w:hyperlink>
      <w:r w:rsidR="009C7289" w:rsidRPr="009C7289">
        <w:rPr>
          <w:bCs/>
          <w:lang w:val="ru-RU"/>
        </w:rPr>
        <w:t xml:space="preserve">, 5) </w:t>
      </w:r>
      <w:hyperlink r:id="rId40" w:history="1">
        <w:r w:rsidR="009C7289" w:rsidRPr="009C7289">
          <w:rPr>
            <w:rStyle w:val="Hyperlink"/>
            <w:bCs/>
            <w:i/>
            <w:iCs/>
            <w:lang w:val="ru-RU"/>
          </w:rPr>
          <w:t>Оперативная группа МСЭ-Т "ИИ для автономного и ассистированного вождения" (ОГ-AI4AD)</w:t>
        </w:r>
      </w:hyperlink>
      <w:r w:rsidR="009C7289" w:rsidRPr="009C7289">
        <w:rPr>
          <w:bCs/>
          <w:lang w:val="ru-RU"/>
        </w:rPr>
        <w:t xml:space="preserve">, 6) </w:t>
      </w:r>
      <w:hyperlink r:id="rId41" w:history="1">
        <w:r w:rsidR="009C7289" w:rsidRPr="009C7289">
          <w:rPr>
            <w:rStyle w:val="Hyperlink"/>
            <w:bCs/>
            <w:i/>
            <w:lang w:val="ru-RU"/>
          </w:rPr>
          <w:t>Оперативная группа МСЭ-Т по квантовым информационным технологиям для сетей (ОГ-QIT4N)</w:t>
        </w:r>
      </w:hyperlink>
      <w:r w:rsidR="009C7289" w:rsidRPr="009C7289">
        <w:rPr>
          <w:bCs/>
          <w:iCs/>
          <w:lang w:val="ru-RU"/>
        </w:rPr>
        <w:t>.</w:t>
      </w:r>
    </w:p>
    <w:p w14:paraId="3AA9A95C" w14:textId="22133172" w:rsidR="00330D84" w:rsidRPr="009C7289" w:rsidRDefault="00330D84" w:rsidP="00A63C1C">
      <w:pPr>
        <w:pStyle w:val="enumlev1"/>
        <w:rPr>
          <w:lang w:val="ru-RU"/>
        </w:rPr>
      </w:pPr>
      <w:r w:rsidRPr="00330D84">
        <w:t>e</w:t>
      </w:r>
      <w:r w:rsidR="00A63C1C" w:rsidRPr="009C7289">
        <w:rPr>
          <w:lang w:val="ru-RU"/>
        </w:rPr>
        <w:t>)</w:t>
      </w:r>
      <w:r w:rsidRPr="009C7289">
        <w:rPr>
          <w:lang w:val="ru-RU"/>
        </w:rPr>
        <w:tab/>
      </w:r>
      <w:r w:rsidR="009C7289" w:rsidRPr="009C7289">
        <w:rPr>
          <w:lang w:val="ru-RU"/>
        </w:rPr>
        <w:t>Продолжается работа МСЭ-R по стандартизации в области радиосвязи с учетом постоянного развития современных сетей электросвязи. МСЭ-R разработал четкие принципы безопасности для сетей IMT (3G, 4G и 5G) (Рекомендации МСЭ-R M.1078, M.1223, M.1457, M.1645, М.2012 и М.2083). Выпущены также Рекомендации по вопросам безопасности в архитектуре сетевого управления для цифровых спутниковых систем (Рекомендация МСЭ-R S.1250) и по повышению производительности протокола управления передачей по спутниковым сетям (Рекомендация МСЭ-R S.1711).</w:t>
      </w:r>
    </w:p>
    <w:p w14:paraId="214FA327" w14:textId="006247A2" w:rsidR="00656819" w:rsidRPr="00484AFB" w:rsidRDefault="00656819" w:rsidP="00656819">
      <w:pPr>
        <w:pStyle w:val="Heading2"/>
        <w:rPr>
          <w:lang w:val="ru-RU"/>
        </w:rPr>
      </w:pPr>
      <w:r w:rsidRPr="00484AFB">
        <w:rPr>
          <w:lang w:val="ru-RU"/>
        </w:rPr>
        <w:t>3.6</w:t>
      </w:r>
      <w:r w:rsidRPr="00484AFB">
        <w:rPr>
          <w:lang w:val="ru-RU"/>
        </w:rPr>
        <w:tab/>
      </w:r>
      <w:r w:rsidRPr="00656819">
        <w:rPr>
          <w:lang w:val="ru-RU"/>
        </w:rPr>
        <w:t>Направление 3</w:t>
      </w:r>
      <w:r w:rsidR="00037DC7" w:rsidRPr="00037DC7">
        <w:rPr>
          <w:lang w:val="ru-RU"/>
        </w:rPr>
        <w:t xml:space="preserve"> </w:t>
      </w:r>
      <w:r w:rsidR="00037DC7">
        <w:rPr>
          <w:lang w:val="ru-RU"/>
        </w:rPr>
        <w:t>ГПК</w:t>
      </w:r>
      <w:r w:rsidRPr="00656819">
        <w:rPr>
          <w:lang w:val="ru-RU"/>
        </w:rPr>
        <w:t>: Организационные структуры</w:t>
      </w:r>
    </w:p>
    <w:p w14:paraId="5D462984" w14:textId="591E5057" w:rsidR="00656819" w:rsidRPr="00656819" w:rsidRDefault="00656819" w:rsidP="00656819">
      <w:pPr>
        <w:pStyle w:val="enumlev1"/>
        <w:rPr>
          <w:lang w:val="ru-RU"/>
        </w:rPr>
      </w:pPr>
      <w:r w:rsidRPr="00656819">
        <w:rPr>
          <w:lang w:val="en-US"/>
        </w:rPr>
        <w:t>a</w:t>
      </w:r>
      <w:r w:rsidRPr="00656819">
        <w:rPr>
          <w:lang w:val="ru-RU"/>
        </w:rPr>
        <w:t>)</w:t>
      </w:r>
      <w:r w:rsidRPr="00656819">
        <w:rPr>
          <w:b/>
          <w:lang w:val="ru-RU"/>
        </w:rPr>
        <w:tab/>
      </w:r>
      <w:r w:rsidRPr="00656819">
        <w:rPr>
          <w:lang w:val="ru-RU"/>
        </w:rPr>
        <w:t xml:space="preserve">Для уверенной борьбы с киберугрозами и киберинцидентами необходимы эффективные механизмы и институциональные структуры на национальном уровне. Отсутствие таких учреждений и недостаточный национальный потенциал </w:t>
      </w:r>
      <w:r w:rsidR="00037DC7">
        <w:rPr>
          <w:lang w:val="ru-RU"/>
        </w:rPr>
        <w:t>являются настоящей проблемой для эффективного</w:t>
      </w:r>
      <w:r w:rsidRPr="00656819">
        <w:rPr>
          <w:lang w:val="ru-RU"/>
        </w:rPr>
        <w:t xml:space="preserve"> реаг</w:t>
      </w:r>
      <w:r w:rsidR="00037DC7">
        <w:rPr>
          <w:lang w:val="ru-RU"/>
        </w:rPr>
        <w:t>ирования</w:t>
      </w:r>
      <w:r w:rsidRPr="00656819">
        <w:rPr>
          <w:lang w:val="ru-RU"/>
        </w:rPr>
        <w:t xml:space="preserve"> на кибератаки. Важную роль в решении этой проблемы играют национальные группы </w:t>
      </w:r>
      <w:r w:rsidRPr="006A4F0D">
        <w:rPr>
          <w:lang w:val="ru-RU"/>
        </w:rPr>
        <w:t xml:space="preserve">реагирования на компьютерные инциденты (CIRT). </w:t>
      </w:r>
    </w:p>
    <w:p w14:paraId="3B83C763" w14:textId="3F47865A" w:rsidR="00656819" w:rsidRPr="00656819" w:rsidRDefault="00656819" w:rsidP="00656819">
      <w:pPr>
        <w:pStyle w:val="enumlev1"/>
        <w:rPr>
          <w:lang w:val="ru-RU"/>
        </w:rPr>
      </w:pPr>
      <w:r w:rsidRPr="00656819">
        <w:rPr>
          <w:lang w:val="en-US"/>
        </w:rPr>
        <w:t>b</w:t>
      </w:r>
      <w:r w:rsidRPr="00656819">
        <w:rPr>
          <w:lang w:val="ru-RU"/>
        </w:rPr>
        <w:t>)</w:t>
      </w:r>
      <w:r w:rsidRPr="00656819">
        <w:rPr>
          <w:lang w:val="ru-RU"/>
        </w:rPr>
        <w:tab/>
      </w:r>
      <w:bookmarkStart w:id="7" w:name="lt_pId303"/>
      <w:r w:rsidR="00037DC7">
        <w:rPr>
          <w:lang w:val="ru-RU"/>
        </w:rPr>
        <w:t xml:space="preserve">МСЭ </w:t>
      </w:r>
      <w:r w:rsidRPr="00656819">
        <w:rPr>
          <w:lang w:val="ru-RU"/>
        </w:rPr>
        <w:t>ведет ра</w:t>
      </w:r>
      <w:r w:rsidR="00037DC7">
        <w:rPr>
          <w:lang w:val="ru-RU"/>
        </w:rPr>
        <w:t>боту с Государствами-Членами</w:t>
      </w:r>
      <w:r w:rsidRPr="00656819">
        <w:rPr>
          <w:lang w:val="ru-RU"/>
        </w:rPr>
        <w:t xml:space="preserve"> в целях создания потенциала на национальном и региональном уровнях, расширения возможностей и содействия созданию и усовершенствованию работы национальных CIRT. </w:t>
      </w:r>
      <w:r w:rsidR="006A4F0D">
        <w:rPr>
          <w:lang w:val="ru-RU"/>
        </w:rPr>
        <w:t>Союз</w:t>
      </w:r>
      <w:r w:rsidRPr="00656819">
        <w:rPr>
          <w:lang w:val="ru-RU"/>
        </w:rPr>
        <w:t xml:space="preserve"> провел </w:t>
      </w:r>
      <w:r w:rsidR="00037DC7">
        <w:rPr>
          <w:lang w:val="ru-RU"/>
        </w:rPr>
        <w:t>технические оценки</w:t>
      </w:r>
      <w:r w:rsidRPr="00656819">
        <w:rPr>
          <w:lang w:val="ru-RU"/>
        </w:rPr>
        <w:t xml:space="preserve"> </w:t>
      </w:r>
      <w:r w:rsidR="00037DC7">
        <w:rPr>
          <w:lang w:val="ru-RU"/>
        </w:rPr>
        <w:t xml:space="preserve">для определения </w:t>
      </w:r>
      <w:r w:rsidRPr="00656819">
        <w:rPr>
          <w:lang w:val="ru-RU"/>
        </w:rPr>
        <w:t>готовности</w:t>
      </w:r>
      <w:r w:rsidR="00037DC7">
        <w:rPr>
          <w:lang w:val="ru-RU"/>
        </w:rPr>
        <w:t xml:space="preserve"> к </w:t>
      </w:r>
      <w:hyperlink r:id="rId42" w:history="1">
        <w:r w:rsidR="00037DC7" w:rsidRPr="00590DE6">
          <w:rPr>
            <w:rStyle w:val="Hyperlink"/>
            <w:rFonts w:cstheme="minorHAnsi"/>
            <w:szCs w:val="22"/>
            <w:lang w:val="ru-RU"/>
          </w:rPr>
          <w:t xml:space="preserve">созданию </w:t>
        </w:r>
        <w:r w:rsidR="00037DC7" w:rsidRPr="00590DE6">
          <w:rPr>
            <w:rStyle w:val="Hyperlink"/>
            <w:rFonts w:cstheme="minorHAnsi"/>
            <w:szCs w:val="22"/>
          </w:rPr>
          <w:t>CIRT</w:t>
        </w:r>
      </w:hyperlink>
      <w:r w:rsidRPr="00656819">
        <w:rPr>
          <w:lang w:val="ru-RU"/>
        </w:rPr>
        <w:t xml:space="preserve"> </w:t>
      </w:r>
      <w:r w:rsidR="00037DC7">
        <w:rPr>
          <w:lang w:val="ru-RU"/>
        </w:rPr>
        <w:t xml:space="preserve">в 76 странах и участвует в 20 проектах по их созданию; 14 из них </w:t>
      </w:r>
      <w:r w:rsidR="00336E4D">
        <w:rPr>
          <w:lang w:val="ru-RU"/>
        </w:rPr>
        <w:t xml:space="preserve">успешно завершились созданием </w:t>
      </w:r>
      <w:r w:rsidR="006A4F0D">
        <w:rPr>
          <w:lang w:val="ru-RU"/>
        </w:rPr>
        <w:t>полноценно</w:t>
      </w:r>
      <w:r w:rsidR="00336E4D">
        <w:rPr>
          <w:lang w:val="ru-RU"/>
        </w:rPr>
        <w:t xml:space="preserve"> </w:t>
      </w:r>
      <w:r w:rsidR="006A4F0D">
        <w:rPr>
          <w:lang w:val="ru-RU"/>
        </w:rPr>
        <w:t>функционирующих</w:t>
      </w:r>
      <w:r w:rsidR="00336E4D">
        <w:rPr>
          <w:lang w:val="ru-RU"/>
        </w:rPr>
        <w:t xml:space="preserve"> национальных возможностей. Еще большее количество проектов осуществляется или планируется</w:t>
      </w:r>
      <w:r w:rsidR="006A4F0D">
        <w:rPr>
          <w:lang w:val="ru-RU"/>
        </w:rPr>
        <w:t xml:space="preserve"> к осуществлению</w:t>
      </w:r>
      <w:r w:rsidR="00336E4D">
        <w:rPr>
          <w:lang w:val="ru-RU"/>
        </w:rPr>
        <w:t>.</w:t>
      </w:r>
      <w:r w:rsidRPr="00656819">
        <w:rPr>
          <w:lang w:val="ru-RU"/>
        </w:rPr>
        <w:t xml:space="preserve"> </w:t>
      </w:r>
      <w:bookmarkEnd w:id="7"/>
    </w:p>
    <w:p w14:paraId="2B2391B7" w14:textId="3EEEC26E" w:rsidR="00656819" w:rsidRPr="002A4A19" w:rsidRDefault="00656819" w:rsidP="00656819">
      <w:pPr>
        <w:pStyle w:val="enumlev1"/>
        <w:rPr>
          <w:lang w:val="ru-RU"/>
        </w:rPr>
      </w:pPr>
      <w:r w:rsidRPr="00656819">
        <w:rPr>
          <w:lang w:val="en-US"/>
        </w:rPr>
        <w:t>c</w:t>
      </w:r>
      <w:r w:rsidRPr="00E4113A">
        <w:rPr>
          <w:lang w:val="ru-RU"/>
        </w:rPr>
        <w:t>)</w:t>
      </w:r>
      <w:r w:rsidRPr="00E4113A">
        <w:rPr>
          <w:lang w:val="ru-RU"/>
        </w:rPr>
        <w:tab/>
      </w:r>
      <w:r w:rsidR="00336E4D">
        <w:rPr>
          <w:lang w:val="ru-RU"/>
        </w:rPr>
        <w:t>МСЭ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проводит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регулярные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региональные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и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национальные</w:t>
      </w:r>
      <w:r w:rsidR="00336E4D" w:rsidRPr="00E4113A">
        <w:rPr>
          <w:lang w:val="ru-RU"/>
        </w:rPr>
        <w:t xml:space="preserve"> </w:t>
      </w:r>
      <w:r w:rsidR="00336E4D">
        <w:rPr>
          <w:lang w:val="ru-RU"/>
        </w:rPr>
        <w:t>учения</w:t>
      </w:r>
      <w:r w:rsidR="00336E4D" w:rsidRPr="00E4113A">
        <w:rPr>
          <w:lang w:val="ru-RU"/>
        </w:rPr>
        <w:t xml:space="preserve"> – </w:t>
      </w:r>
      <w:hyperlink r:id="rId43" w:history="1">
        <w:r w:rsidR="00336E4D" w:rsidRPr="00590DE6">
          <w:rPr>
            <w:rStyle w:val="Hyperlink"/>
            <w:lang w:val="ru-RU"/>
          </w:rPr>
          <w:t>тренировочные занятия по</w:t>
        </w:r>
        <w:r w:rsidR="006A4F0D" w:rsidRPr="00590DE6">
          <w:rPr>
            <w:rStyle w:val="Hyperlink"/>
            <w:lang w:val="ru-RU"/>
          </w:rPr>
          <w:t xml:space="preserve"> кибербезопасности</w:t>
        </w:r>
      </w:hyperlink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в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целях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укрепления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способности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стран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реагировать на угрозы и расширения тем самым национального и международного сотрудничества Государств-Членов в деле борьбы с киберугрозами и кибератаками. На сегодняшний день МСЭ провел 28 тренировочных занятий по кибербезопасности с участием более 100 стран.</w:t>
      </w:r>
      <w:r w:rsidR="00E4113A" w:rsidRPr="00E4113A">
        <w:rPr>
          <w:lang w:val="ru-RU"/>
        </w:rPr>
        <w:t xml:space="preserve"> </w:t>
      </w:r>
    </w:p>
    <w:p w14:paraId="0E99EB88" w14:textId="5687976C" w:rsidR="00656819" w:rsidRPr="00484AFB" w:rsidRDefault="00656819" w:rsidP="006A75CE">
      <w:pPr>
        <w:pStyle w:val="Heading2"/>
        <w:rPr>
          <w:lang w:val="ru-RU"/>
        </w:rPr>
      </w:pPr>
      <w:r w:rsidRPr="00484AFB">
        <w:rPr>
          <w:lang w:val="ru-RU"/>
        </w:rPr>
        <w:t>3.7</w:t>
      </w:r>
      <w:r w:rsidRPr="00484AFB">
        <w:rPr>
          <w:lang w:val="ru-RU"/>
        </w:rPr>
        <w:tab/>
      </w:r>
      <w:r w:rsidR="006A75CE" w:rsidRPr="006A75CE">
        <w:rPr>
          <w:lang w:val="ru-RU"/>
        </w:rPr>
        <w:t>Направление</w:t>
      </w:r>
      <w:r w:rsidR="006A75CE" w:rsidRPr="00484AFB">
        <w:rPr>
          <w:lang w:val="ru-RU"/>
        </w:rPr>
        <w:t xml:space="preserve"> </w:t>
      </w:r>
      <w:r w:rsidR="00E4113A">
        <w:rPr>
          <w:lang w:val="ru-RU"/>
        </w:rPr>
        <w:t>ГПК</w:t>
      </w:r>
      <w:r w:rsidR="00E4113A" w:rsidRPr="00484AFB">
        <w:rPr>
          <w:lang w:val="ru-RU"/>
        </w:rPr>
        <w:t xml:space="preserve"> </w:t>
      </w:r>
      <w:r w:rsidR="006A75CE" w:rsidRPr="00484AFB">
        <w:rPr>
          <w:lang w:val="ru-RU"/>
        </w:rPr>
        <w:t xml:space="preserve">4: </w:t>
      </w:r>
      <w:r w:rsidR="006A75CE" w:rsidRPr="006A75CE">
        <w:rPr>
          <w:lang w:val="ru-RU"/>
        </w:rPr>
        <w:t>Создание</w:t>
      </w:r>
      <w:r w:rsidR="006A75CE" w:rsidRPr="00484AFB">
        <w:rPr>
          <w:lang w:val="ru-RU"/>
        </w:rPr>
        <w:t xml:space="preserve"> </w:t>
      </w:r>
      <w:r w:rsidR="006A75CE" w:rsidRPr="006A75CE">
        <w:rPr>
          <w:lang w:val="ru-RU"/>
        </w:rPr>
        <w:t>потенциала</w:t>
      </w:r>
    </w:p>
    <w:p w14:paraId="41ED6FE9" w14:textId="384786A5" w:rsidR="00656819" w:rsidRPr="006A75CE" w:rsidRDefault="006A75CE" w:rsidP="006A75CE">
      <w:pPr>
        <w:pStyle w:val="enumlev1"/>
        <w:rPr>
          <w:lang w:val="ru-RU"/>
        </w:rPr>
      </w:pPr>
      <w:r>
        <w:t>a</w:t>
      </w:r>
      <w:r w:rsidRPr="006A75CE">
        <w:rPr>
          <w:lang w:val="ru-RU"/>
        </w:rPr>
        <w:t>)</w:t>
      </w:r>
      <w:r w:rsidR="00656819" w:rsidRPr="006A75CE">
        <w:rPr>
          <w:lang w:val="ru-RU"/>
        </w:rPr>
        <w:tab/>
      </w:r>
      <w:r w:rsidRPr="006A75CE">
        <w:rPr>
          <w:lang w:val="ru-RU"/>
        </w:rPr>
        <w:t xml:space="preserve">МСЭ провел для всех регионов МСЭ </w:t>
      </w:r>
      <w:hyperlink r:id="rId44" w:history="1">
        <w:r w:rsidRPr="006A75CE">
          <w:rPr>
            <w:rStyle w:val="Hyperlink"/>
            <w:lang w:val="ru-RU"/>
          </w:rPr>
          <w:t>региональные форумы по кибербезопасности</w:t>
        </w:r>
      </w:hyperlink>
      <w:r w:rsidRPr="006A75CE">
        <w:rPr>
          <w:lang w:val="ru-RU"/>
        </w:rPr>
        <w:t xml:space="preserve"> с целью создания потенциала для различных программ и видов деятельности БРЭ, а также обеспечения рабочей платформы для сотрудничества на региональном и международном уровнях.</w:t>
      </w:r>
    </w:p>
    <w:p w14:paraId="4CEB1DA1" w14:textId="3DA69ACA" w:rsidR="00656819" w:rsidRPr="002A4A19" w:rsidRDefault="006A75CE" w:rsidP="006A75CE">
      <w:pPr>
        <w:pStyle w:val="enumlev1"/>
        <w:rPr>
          <w:lang w:val="ru-RU"/>
        </w:rPr>
      </w:pPr>
      <w:r>
        <w:rPr>
          <w:lang w:val="en-US"/>
        </w:rPr>
        <w:t>b</w:t>
      </w:r>
      <w:r w:rsidRPr="00E4113A">
        <w:rPr>
          <w:lang w:val="ru-RU"/>
        </w:rPr>
        <w:t>)</w:t>
      </w:r>
      <w:r w:rsidR="00656819" w:rsidRPr="00E4113A">
        <w:rPr>
          <w:lang w:val="ru-RU"/>
        </w:rPr>
        <w:tab/>
      </w:r>
      <w:r w:rsidR="00E4113A">
        <w:rPr>
          <w:lang w:val="ru-RU"/>
        </w:rPr>
        <w:t xml:space="preserve">МСЭ оказывает Государствам-Членам содействие в разработке и усовершенствовании эффективных национальных стратегий кибербезопасности. </w:t>
      </w:r>
      <w:hyperlink r:id="rId45" w:history="1">
        <w:r w:rsidR="00E4113A" w:rsidRPr="002C5B7B">
          <w:rPr>
            <w:rStyle w:val="Hyperlink"/>
            <w:lang w:val="ru-RU"/>
          </w:rPr>
          <w:t>Руководство</w:t>
        </w:r>
        <w:r w:rsidR="00E4113A" w:rsidRPr="00E4113A">
          <w:rPr>
            <w:rStyle w:val="Hyperlink"/>
            <w:lang w:val="ru-RU"/>
          </w:rPr>
          <w:t xml:space="preserve"> </w:t>
        </w:r>
        <w:r w:rsidR="00E4113A" w:rsidRPr="002C5B7B">
          <w:rPr>
            <w:rStyle w:val="Hyperlink"/>
            <w:lang w:val="ru-RU"/>
          </w:rPr>
          <w:t>по</w:t>
        </w:r>
        <w:r w:rsidR="00E4113A" w:rsidRPr="00E4113A">
          <w:rPr>
            <w:rStyle w:val="Hyperlink"/>
            <w:lang w:val="ru-RU"/>
          </w:rPr>
          <w:t xml:space="preserve"> </w:t>
        </w:r>
        <w:r w:rsidR="00E4113A" w:rsidRPr="002C5B7B">
          <w:rPr>
            <w:rStyle w:val="Hyperlink"/>
            <w:lang w:val="ru-RU"/>
          </w:rPr>
          <w:t>разработке</w:t>
        </w:r>
        <w:r w:rsidR="00E4113A" w:rsidRPr="00E4113A">
          <w:rPr>
            <w:rStyle w:val="Hyperlink"/>
            <w:lang w:val="ru-RU"/>
          </w:rPr>
          <w:t xml:space="preserve"> </w:t>
        </w:r>
        <w:r w:rsidR="00E4113A" w:rsidRPr="002C5B7B">
          <w:rPr>
            <w:rStyle w:val="Hyperlink"/>
            <w:lang w:val="ru-RU"/>
          </w:rPr>
          <w:t>национальной</w:t>
        </w:r>
        <w:r w:rsidR="00E4113A" w:rsidRPr="00E4113A">
          <w:rPr>
            <w:rStyle w:val="Hyperlink"/>
            <w:lang w:val="ru-RU"/>
          </w:rPr>
          <w:t xml:space="preserve"> </w:t>
        </w:r>
        <w:r w:rsidR="00E4113A" w:rsidRPr="002C5B7B">
          <w:rPr>
            <w:rStyle w:val="Hyperlink"/>
            <w:lang w:val="ru-RU"/>
          </w:rPr>
          <w:t>стратегии</w:t>
        </w:r>
        <w:r w:rsidR="00E4113A" w:rsidRPr="00E4113A">
          <w:rPr>
            <w:rStyle w:val="Hyperlink"/>
            <w:lang w:val="ru-RU"/>
          </w:rPr>
          <w:t xml:space="preserve"> </w:t>
        </w:r>
        <w:r w:rsidR="00E4113A" w:rsidRPr="002C5B7B">
          <w:rPr>
            <w:rStyle w:val="Hyperlink"/>
            <w:lang w:val="ru-RU"/>
          </w:rPr>
          <w:t>кибербезопасности</w:t>
        </w:r>
        <w:r w:rsidR="00E4113A" w:rsidRPr="00E4113A">
          <w:rPr>
            <w:rStyle w:val="Hyperlink"/>
            <w:lang w:val="ru-RU"/>
          </w:rPr>
          <w:t xml:space="preserve"> (</w:t>
        </w:r>
        <w:r w:rsidR="00E4113A" w:rsidRPr="002C5B7B">
          <w:rPr>
            <w:rStyle w:val="Hyperlink"/>
            <w:lang w:val="en-US"/>
          </w:rPr>
          <w:t>NCS</w:t>
        </w:r>
        <w:r w:rsidR="00E4113A" w:rsidRPr="00E4113A">
          <w:rPr>
            <w:rStyle w:val="Hyperlink"/>
            <w:lang w:val="ru-RU"/>
          </w:rPr>
          <w:t>)</w:t>
        </w:r>
      </w:hyperlink>
      <w:r w:rsidR="00E4113A" w:rsidRPr="00E4113A">
        <w:rPr>
          <w:lang w:val="ru-RU"/>
        </w:rPr>
        <w:t xml:space="preserve">, разработанное </w:t>
      </w:r>
      <w:r w:rsidR="00E4113A">
        <w:rPr>
          <w:lang w:val="ru-RU"/>
        </w:rPr>
        <w:t xml:space="preserve">в рамках многостороннего процесса сотрудничества, представляет собой </w:t>
      </w:r>
      <w:r w:rsidR="006A4F0D">
        <w:rPr>
          <w:lang w:val="ru-RU"/>
        </w:rPr>
        <w:t>полезное</w:t>
      </w:r>
      <w:r w:rsidR="00E4113A">
        <w:rPr>
          <w:lang w:val="ru-RU"/>
        </w:rPr>
        <w:t xml:space="preserve"> практическое руководство и функциональный комплекс инструментов, который применяется странами во всех регионах при разработке и усовершенствовании </w:t>
      </w:r>
      <w:r w:rsidR="006A4F0D">
        <w:rPr>
          <w:lang w:val="ru-RU"/>
        </w:rPr>
        <w:t>национальных</w:t>
      </w:r>
      <w:r w:rsidR="00E4113A">
        <w:rPr>
          <w:lang w:val="ru-RU"/>
        </w:rPr>
        <w:t xml:space="preserve"> стратегий кибербезопасности. С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момента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е</w:t>
      </w:r>
      <w:r w:rsidR="00057957">
        <w:rPr>
          <w:lang w:val="ru-RU"/>
        </w:rPr>
        <w:t>го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публикации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в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сентябре</w:t>
      </w:r>
      <w:r w:rsidR="00E4113A" w:rsidRPr="00E4113A">
        <w:rPr>
          <w:lang w:val="ru-RU"/>
        </w:rPr>
        <w:t xml:space="preserve"> 2018 </w:t>
      </w:r>
      <w:r w:rsidR="00E4113A">
        <w:rPr>
          <w:lang w:val="ru-RU"/>
        </w:rPr>
        <w:t>года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национальные и региональные семинары-практикумы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были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организованы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более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>чем</w:t>
      </w:r>
      <w:r w:rsidR="00E4113A" w:rsidRPr="00E4113A">
        <w:rPr>
          <w:lang w:val="ru-RU"/>
        </w:rPr>
        <w:t xml:space="preserve"> </w:t>
      </w:r>
      <w:r w:rsidR="00E4113A">
        <w:rPr>
          <w:lang w:val="ru-RU"/>
        </w:rPr>
        <w:t xml:space="preserve">в </w:t>
      </w:r>
      <w:r w:rsidR="00E4113A" w:rsidRPr="00E4113A">
        <w:rPr>
          <w:lang w:val="ru-RU"/>
        </w:rPr>
        <w:t xml:space="preserve">20 </w:t>
      </w:r>
      <w:r w:rsidR="00E4113A">
        <w:rPr>
          <w:lang w:val="ru-RU"/>
        </w:rPr>
        <w:t xml:space="preserve">странах, причем трем странам была оказана непосредственная помощь в разработке и пересмотре национальных стратегий кибербезопасности </w:t>
      </w:r>
      <w:r w:rsidR="006A4F0D">
        <w:rPr>
          <w:lang w:val="ru-RU"/>
        </w:rPr>
        <w:t>на основании Руководства</w:t>
      </w:r>
      <w:r w:rsidR="00E4113A">
        <w:rPr>
          <w:lang w:val="ru-RU"/>
        </w:rPr>
        <w:t xml:space="preserve">. </w:t>
      </w:r>
    </w:p>
    <w:p w14:paraId="72DC771C" w14:textId="69A118BD" w:rsidR="00656819" w:rsidRPr="002A4A19" w:rsidRDefault="00656819" w:rsidP="006A75CE">
      <w:pPr>
        <w:pStyle w:val="enumlev1"/>
        <w:rPr>
          <w:lang w:val="ru-RU"/>
        </w:rPr>
      </w:pPr>
      <w:r w:rsidRPr="00656819">
        <w:t>c</w:t>
      </w:r>
      <w:r w:rsidR="006A75CE" w:rsidRPr="00155675">
        <w:rPr>
          <w:lang w:val="ru-RU"/>
        </w:rPr>
        <w:t>)</w:t>
      </w:r>
      <w:r w:rsidRPr="00155675">
        <w:rPr>
          <w:lang w:val="ru-RU"/>
        </w:rPr>
        <w:tab/>
      </w:r>
      <w:r w:rsidR="00137851">
        <w:rPr>
          <w:lang w:val="ru-RU"/>
        </w:rPr>
        <w:t>МСЭ</w:t>
      </w:r>
      <w:r w:rsidR="00137851" w:rsidRPr="00155675">
        <w:rPr>
          <w:lang w:val="ru-RU"/>
        </w:rPr>
        <w:t xml:space="preserve"> </w:t>
      </w:r>
      <w:r w:rsidR="00137851">
        <w:rPr>
          <w:lang w:val="ru-RU"/>
        </w:rPr>
        <w:t>учредил</w:t>
      </w:r>
      <w:r w:rsidR="00137851" w:rsidRPr="00155675">
        <w:rPr>
          <w:lang w:val="ru-RU"/>
        </w:rPr>
        <w:t xml:space="preserve"> </w:t>
      </w:r>
      <w:hyperlink r:id="rId46" w:history="1">
        <w:r w:rsidR="00137851" w:rsidRPr="00590DE6">
          <w:rPr>
            <w:rStyle w:val="Hyperlink"/>
            <w:lang w:val="ru-RU"/>
          </w:rPr>
          <w:t>Глобальный индекс кибербезопасности</w:t>
        </w:r>
      </w:hyperlink>
      <w:r w:rsidR="00137851" w:rsidRPr="00155675">
        <w:rPr>
          <w:lang w:val="ru-RU"/>
        </w:rPr>
        <w:t xml:space="preserve"> (</w:t>
      </w:r>
      <w:r w:rsidR="00137851" w:rsidRPr="00656819">
        <w:rPr>
          <w:lang w:val="en-US"/>
        </w:rPr>
        <w:t>GCI</w:t>
      </w:r>
      <w:r w:rsidR="00137851" w:rsidRPr="00155675">
        <w:rPr>
          <w:lang w:val="ru-RU"/>
        </w:rPr>
        <w:t xml:space="preserve">), </w:t>
      </w:r>
      <w:r w:rsidR="00137851">
        <w:rPr>
          <w:lang w:val="ru-RU"/>
        </w:rPr>
        <w:t>который</w:t>
      </w:r>
      <w:r w:rsidR="00137851" w:rsidRPr="00155675">
        <w:rPr>
          <w:lang w:val="ru-RU"/>
        </w:rPr>
        <w:t xml:space="preserve"> </w:t>
      </w:r>
      <w:r w:rsidR="00137851">
        <w:rPr>
          <w:lang w:val="ru-RU"/>
        </w:rPr>
        <w:t>является</w:t>
      </w:r>
      <w:r w:rsidR="00137851" w:rsidRPr="00155675">
        <w:rPr>
          <w:lang w:val="ru-RU"/>
        </w:rPr>
        <w:t xml:space="preserve"> </w:t>
      </w:r>
      <w:r w:rsidR="006A4F0D">
        <w:rPr>
          <w:lang w:val="ru-RU"/>
        </w:rPr>
        <w:t>надежным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 xml:space="preserve">средством оценки степени выполнения странами обязательств в области кибербезопасности </w:t>
      </w:r>
      <w:r w:rsidR="00155675">
        <w:rPr>
          <w:lang w:val="ru-RU"/>
        </w:rPr>
        <w:lastRenderedPageBreak/>
        <w:t xml:space="preserve">на глобальном уровне, для повышения осведомленности о важности и различных аспектов данного вопроса. </w:t>
      </w:r>
      <w:r w:rsidR="006A4F0D">
        <w:rPr>
          <w:lang w:val="ru-RU"/>
        </w:rPr>
        <w:t>Уровень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развития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или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участия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каждой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страны</w:t>
      </w:r>
      <w:r w:rsidR="00155675" w:rsidRPr="00155675">
        <w:rPr>
          <w:lang w:val="ru-RU"/>
        </w:rPr>
        <w:t xml:space="preserve"> </w:t>
      </w:r>
      <w:r w:rsidR="006A4F0D">
        <w:rPr>
          <w:lang w:val="ru-RU"/>
        </w:rPr>
        <w:t xml:space="preserve">оценивается </w:t>
      </w:r>
      <w:r w:rsidR="00155675">
        <w:rPr>
          <w:lang w:val="ru-RU"/>
        </w:rPr>
        <w:t>по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пяти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 xml:space="preserve">направлениям ГПК, которая </w:t>
      </w:r>
      <w:r w:rsidR="006A4F0D">
        <w:rPr>
          <w:lang w:val="ru-RU"/>
        </w:rPr>
        <w:t>служит</w:t>
      </w:r>
      <w:r w:rsidR="00155675">
        <w:rPr>
          <w:lang w:val="ru-RU"/>
        </w:rPr>
        <w:t xml:space="preserve"> общей базой и рамочной основой инициативы. </w:t>
      </w:r>
      <w:r w:rsidR="00155675">
        <w:rPr>
          <w:lang w:val="en-US"/>
        </w:rPr>
        <w:t>GCI</w:t>
      </w:r>
      <w:r w:rsidR="00155675" w:rsidRPr="00155675">
        <w:rPr>
          <w:lang w:val="ru-RU"/>
        </w:rPr>
        <w:t xml:space="preserve">, </w:t>
      </w:r>
      <w:r w:rsidR="00155675">
        <w:rPr>
          <w:lang w:val="ru-RU"/>
        </w:rPr>
        <w:t>опирающийся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на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многосторонний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подход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и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инициативу</w:t>
      </w:r>
      <w:r w:rsidR="00155675" w:rsidRPr="00155675">
        <w:rPr>
          <w:lang w:val="ru-RU"/>
        </w:rPr>
        <w:t xml:space="preserve">, </w:t>
      </w:r>
      <w:r w:rsidR="00155675">
        <w:rPr>
          <w:lang w:val="ru-RU"/>
        </w:rPr>
        <w:t xml:space="preserve">задействует </w:t>
      </w:r>
      <w:r w:rsidR="002E4DFD">
        <w:rPr>
          <w:lang w:val="ru-RU"/>
        </w:rPr>
        <w:t>потенциал</w:t>
      </w:r>
      <w:r w:rsidR="00155675">
        <w:rPr>
          <w:lang w:val="ru-RU"/>
        </w:rPr>
        <w:t xml:space="preserve"> и экспертные знания различных организаций в целях улучшения качества обследования, поощрения международного сотрудничества и обмена знаниями по этой теме. В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настоящее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время</w:t>
      </w:r>
      <w:r w:rsidR="00155675" w:rsidRPr="00155675">
        <w:rPr>
          <w:lang w:val="ru-RU"/>
        </w:rPr>
        <w:t xml:space="preserve"> реализуется четвертая версия обследования на основе глобального индекса кибербезопасности.</w:t>
      </w:r>
    </w:p>
    <w:p w14:paraId="082F28B6" w14:textId="02EBCAE3" w:rsidR="007E6196" w:rsidRPr="00484AFB" w:rsidRDefault="007E6196" w:rsidP="007E6196">
      <w:pPr>
        <w:pStyle w:val="Heading2"/>
        <w:rPr>
          <w:lang w:val="ru-RU"/>
        </w:rPr>
      </w:pPr>
      <w:r w:rsidRPr="00484AFB">
        <w:rPr>
          <w:lang w:val="ru-RU"/>
        </w:rPr>
        <w:t>3.8</w:t>
      </w:r>
      <w:r w:rsidRPr="00484AFB">
        <w:rPr>
          <w:lang w:val="ru-RU"/>
        </w:rPr>
        <w:tab/>
      </w:r>
      <w:r w:rsidRPr="007E6196">
        <w:rPr>
          <w:lang w:val="ru-RU"/>
        </w:rPr>
        <w:t>Направление</w:t>
      </w:r>
      <w:r w:rsidRPr="00484AFB">
        <w:rPr>
          <w:lang w:val="ru-RU"/>
        </w:rPr>
        <w:t xml:space="preserve"> 5</w:t>
      </w:r>
      <w:r w:rsidR="00155675" w:rsidRPr="00155675">
        <w:rPr>
          <w:lang w:val="ru-RU"/>
        </w:rPr>
        <w:t xml:space="preserve"> </w:t>
      </w:r>
      <w:r w:rsidR="00155675">
        <w:rPr>
          <w:lang w:val="ru-RU"/>
        </w:rPr>
        <w:t>ГПК</w:t>
      </w:r>
      <w:r w:rsidRPr="00484AFB">
        <w:rPr>
          <w:lang w:val="ru-RU"/>
        </w:rPr>
        <w:t xml:space="preserve">: </w:t>
      </w:r>
      <w:r w:rsidRPr="007E6196">
        <w:rPr>
          <w:lang w:val="ru-RU"/>
        </w:rPr>
        <w:t>Международное</w:t>
      </w:r>
      <w:r w:rsidRPr="00484AFB">
        <w:rPr>
          <w:lang w:val="ru-RU"/>
        </w:rPr>
        <w:t xml:space="preserve"> </w:t>
      </w:r>
      <w:r w:rsidRPr="007E6196">
        <w:rPr>
          <w:lang w:val="ru-RU"/>
        </w:rPr>
        <w:t>сотрудничество</w:t>
      </w:r>
    </w:p>
    <w:p w14:paraId="143988CA" w14:textId="50EBAFDA" w:rsidR="007E6196" w:rsidRPr="00100F02" w:rsidRDefault="007E6196" w:rsidP="007E6196">
      <w:pPr>
        <w:pStyle w:val="enumlev1"/>
        <w:rPr>
          <w:lang w:val="ru-RU"/>
        </w:rPr>
      </w:pPr>
      <w:r>
        <w:t>a</w:t>
      </w:r>
      <w:r w:rsidRPr="00100F02">
        <w:rPr>
          <w:lang w:val="ru-RU"/>
        </w:rPr>
        <w:t>)</w:t>
      </w:r>
      <w:r w:rsidRPr="00100F02">
        <w:rPr>
          <w:lang w:val="ru-RU"/>
        </w:rPr>
        <w:tab/>
      </w:r>
      <w:r w:rsidR="00100F02" w:rsidRPr="00100F02">
        <w:rPr>
          <w:lang w:val="ru-RU"/>
        </w:rPr>
        <w:t xml:space="preserve">ГПК основана на международном сотрудничестве и </w:t>
      </w:r>
      <w:r w:rsidR="00155675">
        <w:rPr>
          <w:lang w:val="ru-RU"/>
        </w:rPr>
        <w:t>направлена на</w:t>
      </w:r>
      <w:r w:rsidR="00100F02" w:rsidRPr="00100F02">
        <w:rPr>
          <w:lang w:val="ru-RU"/>
        </w:rPr>
        <w:t xml:space="preserve"> </w:t>
      </w:r>
      <w:r w:rsidR="00155675">
        <w:rPr>
          <w:lang w:val="ru-RU"/>
        </w:rPr>
        <w:t>объединение</w:t>
      </w:r>
      <w:r w:rsidR="00100F02" w:rsidRPr="00100F02">
        <w:rPr>
          <w:lang w:val="ru-RU"/>
        </w:rPr>
        <w:t xml:space="preserve"> </w:t>
      </w:r>
      <w:r w:rsidR="0036276D">
        <w:rPr>
          <w:lang w:val="ru-RU"/>
        </w:rPr>
        <w:t xml:space="preserve">усилий </w:t>
      </w:r>
      <w:r w:rsidR="00100F02" w:rsidRPr="00100F02">
        <w:rPr>
          <w:lang w:val="ru-RU"/>
        </w:rPr>
        <w:t>всех соответствующих заинтересованных сторон в целях укрепления доверия и безопасности при использовании ИКТ</w:t>
      </w:r>
      <w:r w:rsidRPr="00100F02">
        <w:rPr>
          <w:lang w:val="ru-RU"/>
        </w:rPr>
        <w:t>.</w:t>
      </w:r>
    </w:p>
    <w:p w14:paraId="7E416979" w14:textId="2B006A3B" w:rsidR="007E6196" w:rsidRPr="002A4A19" w:rsidRDefault="007E6196" w:rsidP="007E6196">
      <w:pPr>
        <w:pStyle w:val="enumlev1"/>
        <w:rPr>
          <w:b/>
          <w:lang w:val="ru-RU"/>
        </w:rPr>
      </w:pPr>
      <w:r>
        <w:t>b</w:t>
      </w:r>
      <w:r w:rsidRPr="00F91D87">
        <w:rPr>
          <w:lang w:val="ru-RU"/>
        </w:rPr>
        <w:t>)</w:t>
      </w:r>
      <w:r w:rsidRPr="00F91D87">
        <w:rPr>
          <w:lang w:val="ru-RU"/>
        </w:rPr>
        <w:tab/>
      </w:r>
      <w:r w:rsidR="00F91D87" w:rsidRPr="00F91D87">
        <w:rPr>
          <w:lang w:val="ru-RU"/>
        </w:rPr>
        <w:t xml:space="preserve">МСЭ </w:t>
      </w:r>
      <w:r w:rsidR="0036276D">
        <w:rPr>
          <w:lang w:val="ru-RU"/>
        </w:rPr>
        <w:t>продолжает развивать и поддерживать</w:t>
      </w:r>
      <w:r w:rsidR="00F91D87" w:rsidRPr="00F91D87">
        <w:rPr>
          <w:lang w:val="ru-RU"/>
        </w:rPr>
        <w:t xml:space="preserve"> отношения и </w:t>
      </w:r>
      <w:r w:rsidR="00F91D87" w:rsidRPr="00057957">
        <w:rPr>
          <w:lang w:val="ru-RU"/>
        </w:rPr>
        <w:t>партнерские связи</w:t>
      </w:r>
      <w:r w:rsidR="00F91D87" w:rsidRPr="00F91D87">
        <w:rPr>
          <w:lang w:val="ru-RU"/>
        </w:rPr>
        <w:t xml:space="preserve"> с различными региональными/международными организациями и инициативами, в том чис</w:t>
      </w:r>
      <w:r w:rsidR="0036276D">
        <w:rPr>
          <w:lang w:val="ru-RU"/>
        </w:rPr>
        <w:t xml:space="preserve">ле со Всемирным экономическим форумом (ВЭФ), </w:t>
      </w:r>
      <w:r w:rsidR="00F91D87" w:rsidRPr="00F91D87">
        <w:rPr>
          <w:lang w:val="ru-RU"/>
        </w:rPr>
        <w:t xml:space="preserve">Инициативой Содружества по борьбе с киберпреступностью, ENISA, Интерполом, ЭКОВАС, Всемирным банком, FIRST и региональными ассоциациями CSIRT/CERT, такими как </w:t>
      </w:r>
      <w:r w:rsidR="00F91D87">
        <w:rPr>
          <w:lang w:val="ru-RU"/>
        </w:rPr>
        <w:t>AP CERT, AFRICA CERT и OIC CERT</w:t>
      </w:r>
      <w:r w:rsidRPr="00F91D87">
        <w:rPr>
          <w:lang w:val="ru-RU"/>
        </w:rPr>
        <w:t xml:space="preserve">. </w:t>
      </w:r>
      <w:r w:rsidR="0036276D">
        <w:rPr>
          <w:lang w:val="ru-RU"/>
        </w:rPr>
        <w:t xml:space="preserve">Эти партнерские связи способствуют расширению многостороннего сотрудничества в видах деятельности, общих для всех направлений ГПК. </w:t>
      </w:r>
    </w:p>
    <w:p w14:paraId="2E783AB9" w14:textId="0C4A7A7A" w:rsidR="007E6196" w:rsidRPr="002A4A19" w:rsidRDefault="007E6196" w:rsidP="007E6196">
      <w:pPr>
        <w:pStyle w:val="enumlev1"/>
        <w:rPr>
          <w:lang w:val="ru-RU"/>
        </w:rPr>
      </w:pPr>
      <w:r w:rsidRPr="007E6196">
        <w:t>c</w:t>
      </w:r>
      <w:r w:rsidRPr="0036276D">
        <w:rPr>
          <w:lang w:val="ru-RU"/>
        </w:rPr>
        <w:t>)</w:t>
      </w:r>
      <w:r w:rsidRPr="0036276D">
        <w:rPr>
          <w:lang w:val="ru-RU"/>
        </w:rPr>
        <w:tab/>
      </w:r>
      <w:r w:rsidR="0036276D">
        <w:rPr>
          <w:lang w:val="ru-RU"/>
        </w:rPr>
        <w:t>Как</w:t>
      </w:r>
      <w:r w:rsidR="0036276D" w:rsidRPr="0036276D">
        <w:rPr>
          <w:lang w:val="ru-RU"/>
        </w:rPr>
        <w:t xml:space="preserve"> </w:t>
      </w:r>
      <w:r w:rsidR="0036276D">
        <w:rPr>
          <w:lang w:val="ru-RU"/>
        </w:rPr>
        <w:t>содействующая</w:t>
      </w:r>
      <w:r w:rsidR="0036276D" w:rsidRPr="0036276D">
        <w:rPr>
          <w:lang w:val="ru-RU"/>
        </w:rPr>
        <w:t xml:space="preserve"> </w:t>
      </w:r>
      <w:r w:rsidR="0036276D">
        <w:rPr>
          <w:lang w:val="ru-RU"/>
        </w:rPr>
        <w:t>организация</w:t>
      </w:r>
      <w:r w:rsidR="0036276D" w:rsidRPr="0036276D">
        <w:rPr>
          <w:lang w:val="ru-RU"/>
        </w:rPr>
        <w:t xml:space="preserve"> </w:t>
      </w:r>
      <w:r w:rsidR="0036276D" w:rsidRPr="00746CB6">
        <w:rPr>
          <w:bCs/>
          <w:iCs/>
          <w:lang w:val="ru-RU"/>
        </w:rPr>
        <w:t>по</w:t>
      </w:r>
      <w:r w:rsidR="0036276D" w:rsidRPr="0036276D">
        <w:rPr>
          <w:bCs/>
          <w:iCs/>
          <w:lang w:val="ru-RU"/>
        </w:rPr>
        <w:t xml:space="preserve"> </w:t>
      </w:r>
      <w:r w:rsidR="0036276D" w:rsidRPr="00746CB6">
        <w:rPr>
          <w:bCs/>
          <w:iCs/>
          <w:lang w:val="ru-RU"/>
        </w:rPr>
        <w:t>Направлению</w:t>
      </w:r>
      <w:r w:rsidR="0036276D" w:rsidRPr="0036276D">
        <w:rPr>
          <w:bCs/>
          <w:iCs/>
          <w:lang w:val="ru-RU"/>
        </w:rPr>
        <w:t xml:space="preserve"> </w:t>
      </w:r>
      <w:r w:rsidR="0036276D" w:rsidRPr="00746CB6">
        <w:rPr>
          <w:bCs/>
          <w:iCs/>
          <w:lang w:val="ru-RU"/>
        </w:rPr>
        <w:t>деятельности</w:t>
      </w:r>
      <w:r w:rsidR="0036276D" w:rsidRPr="0036276D">
        <w:rPr>
          <w:bCs/>
          <w:iCs/>
          <w:lang w:val="ru-RU"/>
        </w:rPr>
        <w:t xml:space="preserve"> </w:t>
      </w:r>
      <w:r w:rsidR="0036276D" w:rsidRPr="00746CB6">
        <w:rPr>
          <w:bCs/>
          <w:iCs/>
          <w:lang w:val="ru-RU"/>
        </w:rPr>
        <w:t>С</w:t>
      </w:r>
      <w:r w:rsidR="0036276D" w:rsidRPr="0036276D">
        <w:rPr>
          <w:bCs/>
          <w:iCs/>
          <w:lang w:val="ru-RU"/>
        </w:rPr>
        <w:t xml:space="preserve">5 </w:t>
      </w:r>
      <w:r w:rsidR="0036276D">
        <w:rPr>
          <w:bCs/>
          <w:iCs/>
          <w:lang w:val="ru-RU"/>
        </w:rPr>
        <w:t>ВВУИО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МСЭ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использует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возможности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процесса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ВВУИО</w:t>
      </w:r>
      <w:r w:rsidR="0036276D" w:rsidRPr="0036276D">
        <w:rPr>
          <w:bCs/>
          <w:iCs/>
          <w:lang w:val="ru-RU"/>
        </w:rPr>
        <w:t xml:space="preserve">, </w:t>
      </w:r>
      <w:r w:rsidR="0036276D">
        <w:rPr>
          <w:bCs/>
          <w:iCs/>
          <w:lang w:val="ru-RU"/>
        </w:rPr>
        <w:t>включая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ежегодный</w:t>
      </w:r>
      <w:r w:rsidR="0036276D" w:rsidRPr="0036276D">
        <w:rPr>
          <w:bCs/>
          <w:iCs/>
          <w:lang w:val="ru-RU"/>
        </w:rPr>
        <w:t xml:space="preserve"> </w:t>
      </w:r>
      <w:r w:rsidR="00057957">
        <w:rPr>
          <w:bCs/>
          <w:iCs/>
          <w:lang w:val="ru-RU"/>
        </w:rPr>
        <w:t>Форум</w:t>
      </w:r>
      <w:r w:rsidR="00057957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 xml:space="preserve">ВВУИО, для содействия развитию многостороннего диалога. Каждый год в рамках </w:t>
      </w:r>
      <w:hyperlink r:id="rId47" w:history="1">
        <w:r w:rsidR="0036276D" w:rsidRPr="00590DE6">
          <w:rPr>
            <w:rStyle w:val="Hyperlink"/>
            <w:lang w:val="ru-RU"/>
          </w:rPr>
          <w:t>Форума ВВУИО</w:t>
        </w:r>
      </w:hyperlink>
      <w:r w:rsidR="0036276D">
        <w:rPr>
          <w:bCs/>
          <w:iCs/>
          <w:lang w:val="ru-RU"/>
        </w:rPr>
        <w:t xml:space="preserve"> МСЭ</w:t>
      </w:r>
      <w:r w:rsidR="0036276D" w:rsidRPr="0036276D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организует</w:t>
      </w:r>
      <w:r w:rsidR="0036276D" w:rsidRPr="0036276D">
        <w:rPr>
          <w:bCs/>
          <w:iCs/>
          <w:lang w:val="ru-RU"/>
        </w:rPr>
        <w:t xml:space="preserve"> </w:t>
      </w:r>
      <w:r w:rsidR="002E4DFD">
        <w:rPr>
          <w:bCs/>
          <w:iCs/>
          <w:lang w:val="ru-RU"/>
        </w:rPr>
        <w:t>проведение Диалогов высокого уровня, собраний</w:t>
      </w:r>
      <w:r w:rsidR="0036276D">
        <w:rPr>
          <w:bCs/>
          <w:iCs/>
          <w:lang w:val="ru-RU"/>
        </w:rPr>
        <w:t xml:space="preserve"> содействующих организаций по Направлению С</w:t>
      </w:r>
      <w:r w:rsidR="0036276D" w:rsidRPr="002A4A19">
        <w:rPr>
          <w:bCs/>
          <w:iCs/>
          <w:lang w:val="ru-RU"/>
        </w:rPr>
        <w:t xml:space="preserve">5, </w:t>
      </w:r>
      <w:r w:rsidR="0036276D">
        <w:rPr>
          <w:bCs/>
          <w:iCs/>
          <w:lang w:val="ru-RU"/>
        </w:rPr>
        <w:t>а</w:t>
      </w:r>
      <w:r w:rsidR="0036276D" w:rsidRPr="002A4A19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также</w:t>
      </w:r>
      <w:r w:rsidR="0036276D" w:rsidRPr="002A4A19">
        <w:rPr>
          <w:bCs/>
          <w:iCs/>
          <w:lang w:val="ru-RU"/>
        </w:rPr>
        <w:t xml:space="preserve"> </w:t>
      </w:r>
      <w:r w:rsidR="002E4DFD">
        <w:rPr>
          <w:bCs/>
          <w:iCs/>
          <w:lang w:val="ru-RU"/>
        </w:rPr>
        <w:t>тематических</w:t>
      </w:r>
      <w:r w:rsidR="0036276D" w:rsidRPr="002A4A19">
        <w:rPr>
          <w:bCs/>
          <w:iCs/>
          <w:lang w:val="ru-RU"/>
        </w:rPr>
        <w:t xml:space="preserve"> </w:t>
      </w:r>
      <w:r w:rsidR="002E4DFD">
        <w:rPr>
          <w:bCs/>
          <w:iCs/>
          <w:lang w:val="ru-RU"/>
        </w:rPr>
        <w:t>семинаров</w:t>
      </w:r>
      <w:r w:rsidR="0036276D" w:rsidRPr="002A4A19">
        <w:rPr>
          <w:bCs/>
          <w:iCs/>
          <w:lang w:val="ru-RU"/>
        </w:rPr>
        <w:t>-</w:t>
      </w:r>
      <w:r w:rsidR="002E4DFD">
        <w:rPr>
          <w:bCs/>
          <w:iCs/>
          <w:lang w:val="ru-RU"/>
        </w:rPr>
        <w:t>практикумов</w:t>
      </w:r>
      <w:r w:rsidR="0036276D" w:rsidRPr="002A4A19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по</w:t>
      </w:r>
      <w:r w:rsidR="0036276D" w:rsidRPr="002A4A19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вопросам</w:t>
      </w:r>
      <w:r w:rsidR="0036276D" w:rsidRPr="002A4A19">
        <w:rPr>
          <w:bCs/>
          <w:iCs/>
          <w:lang w:val="ru-RU"/>
        </w:rPr>
        <w:t xml:space="preserve"> </w:t>
      </w:r>
      <w:r w:rsidR="0036276D">
        <w:rPr>
          <w:bCs/>
          <w:iCs/>
          <w:lang w:val="ru-RU"/>
        </w:rPr>
        <w:t>кибербезопасности</w:t>
      </w:r>
      <w:r w:rsidR="0036276D" w:rsidRPr="002A4A19">
        <w:rPr>
          <w:bCs/>
          <w:iCs/>
          <w:lang w:val="ru-RU"/>
        </w:rPr>
        <w:t xml:space="preserve">. </w:t>
      </w:r>
    </w:p>
    <w:p w14:paraId="1A549EA9" w14:textId="04D5F6D4" w:rsidR="00100F02" w:rsidRPr="002E4DFD" w:rsidRDefault="00100F02" w:rsidP="00100F02">
      <w:pPr>
        <w:pStyle w:val="enumlev1"/>
        <w:rPr>
          <w:lang w:val="ru-RU"/>
        </w:rPr>
      </w:pPr>
      <w:r w:rsidRPr="00100F02">
        <w:rPr>
          <w:bCs/>
          <w:lang w:val="en-US"/>
        </w:rPr>
        <w:t>d</w:t>
      </w:r>
      <w:r w:rsidRPr="00100F02">
        <w:rPr>
          <w:bCs/>
          <w:lang w:val="ru-RU"/>
        </w:rPr>
        <w:t>)</w:t>
      </w:r>
      <w:r w:rsidRPr="00100F02">
        <w:rPr>
          <w:lang w:val="ru-RU"/>
        </w:rPr>
        <w:tab/>
      </w:r>
      <w:r w:rsidR="0036276D">
        <w:rPr>
          <w:lang w:val="ru-RU"/>
        </w:rPr>
        <w:t xml:space="preserve">С учетом </w:t>
      </w:r>
      <w:r w:rsidR="00EB63EF">
        <w:rPr>
          <w:lang w:val="ru-RU"/>
        </w:rPr>
        <w:t>большого значения</w:t>
      </w:r>
      <w:r w:rsidR="0036276D">
        <w:rPr>
          <w:lang w:val="ru-RU"/>
        </w:rPr>
        <w:t xml:space="preserve"> </w:t>
      </w:r>
      <w:r w:rsidR="002E4DFD">
        <w:rPr>
          <w:lang w:val="ru-RU"/>
        </w:rPr>
        <w:t>работы</w:t>
      </w:r>
      <w:r w:rsidR="0036276D">
        <w:rPr>
          <w:lang w:val="ru-RU"/>
        </w:rPr>
        <w:t xml:space="preserve"> по</w:t>
      </w:r>
      <w:r w:rsidRPr="00100F02">
        <w:rPr>
          <w:lang w:val="ru-RU"/>
        </w:rPr>
        <w:t xml:space="preserve"> формированию в рамках ООН общего понимания нужд и потребностей, связанных с надлежащей организацией программ и инициатив, которые будут служить эффективным подспорьем для усилий, прилагаемых </w:t>
      </w:r>
      <w:r w:rsidR="0036276D">
        <w:rPr>
          <w:lang w:val="ru-RU"/>
        </w:rPr>
        <w:t>всеми заинтересованными сторонами, в</w:t>
      </w:r>
      <w:r w:rsidRPr="00100F02">
        <w:rPr>
          <w:lang w:val="ru-RU"/>
        </w:rPr>
        <w:t xml:space="preserve"> 2010 году был сделан первый важный шаг на пути к улучшению внутренней координации между учреждениями ООН при оказании содействия государствам-членам в вопросах кибербезопасности. </w:t>
      </w:r>
      <w:r w:rsidR="00EB63EF">
        <w:rPr>
          <w:lang w:val="ru-RU"/>
        </w:rPr>
        <w:t xml:space="preserve">По просьбе </w:t>
      </w:r>
      <w:r w:rsidR="00EB63EF" w:rsidRPr="00EB63EF">
        <w:rPr>
          <w:lang w:val="ru-RU"/>
        </w:rPr>
        <w:t xml:space="preserve">Координационного совета </w:t>
      </w:r>
      <w:r w:rsidR="00EB63EF">
        <w:rPr>
          <w:lang w:val="ru-RU"/>
        </w:rPr>
        <w:t xml:space="preserve">руководителей системы ООН (КРС) </w:t>
      </w:r>
      <w:r w:rsidRPr="00100F02">
        <w:rPr>
          <w:lang w:val="ru-RU"/>
        </w:rPr>
        <w:t xml:space="preserve">МСЭ и УНП ООН в сотрудничестве с 33 другими учреждениями ООН в течение двух лет вели работу по созданию общей структуры ООН по кибербезопасности и киберпреступности, которая была утверждена </w:t>
      </w:r>
      <w:r w:rsidR="00EB63EF">
        <w:rPr>
          <w:lang w:val="ru-RU"/>
        </w:rPr>
        <w:t>КСР</w:t>
      </w:r>
      <w:r w:rsidRPr="00100F02">
        <w:rPr>
          <w:lang w:val="ru-RU"/>
        </w:rPr>
        <w:t xml:space="preserve"> в ноябре 2013 года. </w:t>
      </w:r>
      <w:r w:rsidR="00EB63EF">
        <w:rPr>
          <w:lang w:val="ru-RU"/>
        </w:rPr>
        <w:t>С тех пор МСЭ продолжает вносить свой вклад в осуществление различных инициатив</w:t>
      </w:r>
      <w:r w:rsidR="002E4DFD">
        <w:rPr>
          <w:lang w:val="ru-RU"/>
        </w:rPr>
        <w:t xml:space="preserve"> в этой сфере</w:t>
      </w:r>
      <w:r w:rsidR="00EB63EF">
        <w:rPr>
          <w:lang w:val="ru-RU"/>
        </w:rPr>
        <w:t xml:space="preserve">, нацеленных на улучшение внутренней координации и сотрудничества в системе ООН. </w:t>
      </w:r>
    </w:p>
    <w:p w14:paraId="352DC337" w14:textId="294524AE" w:rsidR="00100F02" w:rsidRPr="00A05C87" w:rsidRDefault="00100F02" w:rsidP="00100F02">
      <w:pPr>
        <w:pStyle w:val="Heading2"/>
        <w:rPr>
          <w:lang w:val="ru-RU"/>
        </w:rPr>
      </w:pPr>
      <w:r w:rsidRPr="00A05C87">
        <w:rPr>
          <w:lang w:val="ru-RU"/>
        </w:rPr>
        <w:t>3.9</w:t>
      </w:r>
      <w:r w:rsidRPr="00A05C87">
        <w:rPr>
          <w:lang w:val="ru-RU"/>
        </w:rPr>
        <w:tab/>
      </w:r>
      <w:r w:rsidR="0082669E">
        <w:rPr>
          <w:lang w:val="ru-RU"/>
        </w:rPr>
        <w:t>Инициатива</w:t>
      </w:r>
      <w:r w:rsidR="0082669E" w:rsidRPr="00A05C87">
        <w:rPr>
          <w:lang w:val="ru-RU"/>
        </w:rPr>
        <w:t xml:space="preserve"> "Защ</w:t>
      </w:r>
      <w:r w:rsidR="00A05C87">
        <w:rPr>
          <w:lang w:val="ru-RU"/>
        </w:rPr>
        <w:t>ита ребенка в онлайновой среде"</w:t>
      </w:r>
    </w:p>
    <w:p w14:paraId="37A6DAE4" w14:textId="65347F6A" w:rsidR="00100F02" w:rsidRPr="00A05C87" w:rsidRDefault="00100F02" w:rsidP="00100F02">
      <w:pPr>
        <w:pStyle w:val="enumlev1"/>
        <w:rPr>
          <w:lang w:val="ru-RU"/>
        </w:rPr>
      </w:pPr>
      <w:r w:rsidRPr="00100F02">
        <w:t>a</w:t>
      </w:r>
      <w:r w:rsidRPr="0082669E">
        <w:rPr>
          <w:lang w:val="ru-RU"/>
        </w:rPr>
        <w:t>)</w:t>
      </w:r>
      <w:r w:rsidRPr="0082669E">
        <w:rPr>
          <w:lang w:val="ru-RU"/>
        </w:rPr>
        <w:tab/>
      </w:r>
      <w:r w:rsidR="0082669E">
        <w:rPr>
          <w:lang w:val="ru-RU"/>
        </w:rPr>
        <w:t>МСЭ</w:t>
      </w:r>
      <w:r w:rsidR="0082669E" w:rsidRPr="0082669E">
        <w:rPr>
          <w:lang w:val="ru-RU"/>
        </w:rPr>
        <w:t xml:space="preserve"> </w:t>
      </w:r>
      <w:r w:rsidR="00A05C87">
        <w:rPr>
          <w:lang w:val="ru-RU"/>
        </w:rPr>
        <w:t>приступил к реализации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инициативы</w:t>
      </w:r>
      <w:r w:rsidR="0082669E" w:rsidRPr="0082669E">
        <w:rPr>
          <w:lang w:val="ru-RU"/>
        </w:rPr>
        <w:t xml:space="preserve"> </w:t>
      </w:r>
      <w:r w:rsidR="0082669E" w:rsidRPr="0082669E">
        <w:rPr>
          <w:rStyle w:val="Hyperlink"/>
          <w:lang w:val="ru-RU"/>
        </w:rPr>
        <w:t>"</w:t>
      </w:r>
      <w:hyperlink r:id="rId48" w:history="1">
        <w:r w:rsidR="0082669E" w:rsidRPr="00590DE6">
          <w:rPr>
            <w:rStyle w:val="Hyperlink"/>
            <w:lang w:val="ru-RU"/>
          </w:rPr>
          <w:t>Защита ребенка в онлайновой среде</w:t>
        </w:r>
      </w:hyperlink>
      <w:r w:rsidR="0082669E" w:rsidRPr="0082669E">
        <w:rPr>
          <w:rStyle w:val="Hyperlink"/>
          <w:lang w:val="ru-RU"/>
        </w:rPr>
        <w:t>"</w:t>
      </w:r>
      <w:r w:rsidR="0082669E" w:rsidRPr="0082669E">
        <w:rPr>
          <w:lang w:val="ru-RU"/>
        </w:rPr>
        <w:t xml:space="preserve"> как многостороннего </w:t>
      </w:r>
      <w:r w:rsidR="00A05C87">
        <w:rPr>
          <w:lang w:val="ru-RU"/>
        </w:rPr>
        <w:t>мероприятия</w:t>
      </w:r>
      <w:r w:rsidR="0082669E" w:rsidRPr="0082669E">
        <w:rPr>
          <w:lang w:val="ru-RU"/>
        </w:rPr>
        <w:t xml:space="preserve"> в рамках ГПК. </w:t>
      </w:r>
      <w:r w:rsidR="0082669E">
        <w:rPr>
          <w:lang w:val="ru-RU"/>
        </w:rPr>
        <w:t>Инициатива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объединяет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партнеров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из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всех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секторов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 xml:space="preserve">глобального сообщества для разработки стратегий кибербезопасности и содействия формированию безопасной онлайновой среды для детей во всем мире. </w:t>
      </w:r>
    </w:p>
    <w:p w14:paraId="1728225D" w14:textId="4759B2B0" w:rsidR="00100F02" w:rsidRPr="002A4A19" w:rsidRDefault="00100F02" w:rsidP="00100F02">
      <w:pPr>
        <w:pStyle w:val="enumlev1"/>
        <w:rPr>
          <w:lang w:val="ru-RU"/>
        </w:rPr>
      </w:pPr>
      <w:r w:rsidRPr="00100F02">
        <w:t>b</w:t>
      </w:r>
      <w:r w:rsidRPr="0082669E">
        <w:rPr>
          <w:lang w:val="ru-RU"/>
        </w:rPr>
        <w:t>)</w:t>
      </w:r>
      <w:r w:rsidRPr="0082669E">
        <w:rPr>
          <w:lang w:val="ru-RU"/>
        </w:rPr>
        <w:tab/>
      </w:r>
      <w:r w:rsidR="0082669E">
        <w:rPr>
          <w:lang w:val="ru-RU"/>
        </w:rPr>
        <w:t>Ключевыми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задачами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СОР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являются</w:t>
      </w:r>
      <w:r w:rsidR="0082669E" w:rsidRPr="0082669E">
        <w:rPr>
          <w:lang w:val="ru-RU"/>
        </w:rPr>
        <w:t xml:space="preserve">: </w:t>
      </w:r>
      <w:r w:rsidR="0082669E">
        <w:rPr>
          <w:lang w:val="ru-RU"/>
        </w:rPr>
        <w:t>а</w:t>
      </w:r>
      <w:r w:rsidR="0082669E" w:rsidRPr="0082669E">
        <w:rPr>
          <w:lang w:val="ru-RU"/>
        </w:rPr>
        <w:t xml:space="preserve">) </w:t>
      </w:r>
      <w:r w:rsidR="0082669E">
        <w:rPr>
          <w:lang w:val="ru-RU"/>
        </w:rPr>
        <w:t>определение</w:t>
      </w:r>
      <w:r w:rsidR="0082669E" w:rsidRPr="0082669E">
        <w:rPr>
          <w:lang w:val="ru-RU"/>
        </w:rPr>
        <w:t xml:space="preserve"> рисков и уязвимости детей в киберпространстве; </w:t>
      </w:r>
      <w:r w:rsidR="0082669E" w:rsidRPr="0082669E">
        <w:rPr>
          <w:lang w:val="en-US"/>
        </w:rPr>
        <w:t>b</w:t>
      </w:r>
      <w:r w:rsidR="0082669E" w:rsidRPr="0082669E">
        <w:rPr>
          <w:lang w:val="ru-RU"/>
        </w:rPr>
        <w:t xml:space="preserve">) </w:t>
      </w:r>
      <w:r w:rsidR="0082669E">
        <w:rPr>
          <w:lang w:val="ru-RU"/>
        </w:rPr>
        <w:t>расширение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осведомленности</w:t>
      </w:r>
      <w:r w:rsidR="0082669E" w:rsidRPr="0082669E">
        <w:rPr>
          <w:lang w:val="ru-RU"/>
        </w:rPr>
        <w:t xml:space="preserve">; </w:t>
      </w:r>
      <w:r w:rsidR="0082669E">
        <w:rPr>
          <w:lang w:val="ru-RU"/>
        </w:rPr>
        <w:t>с</w:t>
      </w:r>
      <w:r w:rsidR="0082669E" w:rsidRPr="0082669E">
        <w:rPr>
          <w:lang w:val="ru-RU"/>
        </w:rPr>
        <w:t xml:space="preserve">) </w:t>
      </w:r>
      <w:r w:rsidR="0082669E">
        <w:rPr>
          <w:lang w:val="ru-RU"/>
        </w:rPr>
        <w:t>разработка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практических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инструментов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для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содействия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в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минимизации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рисков</w:t>
      </w:r>
      <w:r w:rsidR="0082669E" w:rsidRPr="0082669E">
        <w:rPr>
          <w:lang w:val="ru-RU"/>
        </w:rPr>
        <w:t xml:space="preserve">; </w:t>
      </w:r>
      <w:r w:rsidR="0082669E">
        <w:rPr>
          <w:lang w:val="ru-RU"/>
        </w:rPr>
        <w:t>и</w:t>
      </w:r>
      <w:r w:rsidR="0082669E" w:rsidRPr="0082669E">
        <w:rPr>
          <w:lang w:val="ru-RU"/>
        </w:rPr>
        <w:t xml:space="preserve"> </w:t>
      </w:r>
      <w:r w:rsidR="0082669E" w:rsidRPr="0082669E">
        <w:t>d</w:t>
      </w:r>
      <w:r w:rsidR="0082669E" w:rsidRPr="0082669E">
        <w:rPr>
          <w:lang w:val="ru-RU"/>
        </w:rPr>
        <w:t xml:space="preserve">) </w:t>
      </w:r>
      <w:r w:rsidR="0082669E">
        <w:rPr>
          <w:lang w:val="ru-RU"/>
        </w:rPr>
        <w:t>обмен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>знаниями</w:t>
      </w:r>
      <w:r w:rsidR="0082669E" w:rsidRPr="0082669E">
        <w:rPr>
          <w:lang w:val="ru-RU"/>
        </w:rPr>
        <w:t xml:space="preserve"> </w:t>
      </w:r>
      <w:r w:rsidR="0082669E">
        <w:rPr>
          <w:lang w:val="ru-RU"/>
        </w:rPr>
        <w:t xml:space="preserve">и опытом. </w:t>
      </w:r>
    </w:p>
    <w:p w14:paraId="79BB12D6" w14:textId="6AA5E6C0" w:rsidR="00100F02" w:rsidRPr="00A05C87" w:rsidRDefault="00100F02" w:rsidP="00100F02">
      <w:pPr>
        <w:pStyle w:val="enumlev1"/>
        <w:rPr>
          <w:lang w:val="ru-RU"/>
        </w:rPr>
      </w:pPr>
      <w:r w:rsidRPr="00100F02">
        <w:t>c</w:t>
      </w:r>
      <w:r w:rsidRPr="00A05C87">
        <w:rPr>
          <w:lang w:val="ru-RU"/>
        </w:rPr>
        <w:t>)</w:t>
      </w:r>
      <w:r w:rsidRPr="00A05C87">
        <w:rPr>
          <w:lang w:val="ru-RU"/>
        </w:rPr>
        <w:tab/>
      </w:r>
      <w:r w:rsidRPr="00100F02">
        <w:t>COP</w:t>
      </w:r>
      <w:r w:rsidRPr="00A05C87">
        <w:rPr>
          <w:lang w:val="ru-RU"/>
        </w:rPr>
        <w:t xml:space="preserve"> </w:t>
      </w:r>
      <w:r w:rsidR="00D05094">
        <w:rPr>
          <w:lang w:val="ru-RU"/>
        </w:rPr>
        <w:t>осуществляется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в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рамках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целостного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подхода</w:t>
      </w:r>
      <w:r w:rsidR="00D05094" w:rsidRPr="00A05C87">
        <w:rPr>
          <w:lang w:val="ru-RU"/>
        </w:rPr>
        <w:t xml:space="preserve">, направленного на </w:t>
      </w:r>
      <w:r w:rsidR="00A05C87">
        <w:rPr>
          <w:lang w:val="ru-RU"/>
        </w:rPr>
        <w:t>поощрение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безопасности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ребенка</w:t>
      </w:r>
      <w:r w:rsidR="00057957" w:rsidRPr="00057957">
        <w:rPr>
          <w:lang w:val="ru-RU"/>
        </w:rPr>
        <w:t xml:space="preserve"> </w:t>
      </w:r>
      <w:r w:rsidR="00057957">
        <w:rPr>
          <w:lang w:val="ru-RU"/>
        </w:rPr>
        <w:t>в онлайновой среде</w:t>
      </w:r>
      <w:r w:rsidR="00D05094" w:rsidRPr="00A05C87">
        <w:rPr>
          <w:lang w:val="ru-RU"/>
        </w:rPr>
        <w:t xml:space="preserve">, </w:t>
      </w:r>
      <w:r w:rsidR="00D05094">
        <w:rPr>
          <w:lang w:val="ru-RU"/>
        </w:rPr>
        <w:t>разработку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стратегий</w:t>
      </w:r>
      <w:r w:rsidR="00D05094" w:rsidRPr="00A05C87">
        <w:rPr>
          <w:lang w:val="ru-RU"/>
        </w:rPr>
        <w:t xml:space="preserve">, </w:t>
      </w:r>
      <w:r w:rsidR="00D05094">
        <w:rPr>
          <w:lang w:val="ru-RU"/>
        </w:rPr>
        <w:t>охватывающих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пять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направлений</w:t>
      </w:r>
      <w:r w:rsidR="00D05094" w:rsidRPr="00A05C87">
        <w:rPr>
          <w:lang w:val="ru-RU"/>
        </w:rPr>
        <w:t xml:space="preserve"> </w:t>
      </w:r>
      <w:r w:rsidR="00D05094">
        <w:rPr>
          <w:lang w:val="ru-RU"/>
        </w:rPr>
        <w:t>ГПК</w:t>
      </w:r>
      <w:r w:rsidR="00A05C87" w:rsidRPr="00A05C87">
        <w:rPr>
          <w:lang w:val="ru-RU"/>
        </w:rPr>
        <w:t>:</w:t>
      </w:r>
    </w:p>
    <w:p w14:paraId="23C13770" w14:textId="13C58C6E" w:rsidR="002D2F57" w:rsidRPr="00590DE6" w:rsidRDefault="00100F02" w:rsidP="00100F02">
      <w:pPr>
        <w:pStyle w:val="enumlev2"/>
        <w:rPr>
          <w:lang w:val="ru-RU"/>
        </w:rPr>
      </w:pPr>
      <w:r>
        <w:rPr>
          <w:b/>
          <w:bCs/>
          <w:lang w:val="ru-RU"/>
        </w:rPr>
        <w:lastRenderedPageBreak/>
        <w:t>•</w:t>
      </w:r>
      <w:r>
        <w:rPr>
          <w:b/>
          <w:bCs/>
          <w:lang w:val="ru-RU"/>
        </w:rPr>
        <w:tab/>
      </w:r>
      <w:r w:rsidRPr="00100F02">
        <w:rPr>
          <w:b/>
          <w:bCs/>
          <w:lang w:val="ru-RU"/>
        </w:rPr>
        <w:t>Правовые меры</w:t>
      </w:r>
      <w:r w:rsidRPr="00100F02">
        <w:rPr>
          <w:bCs/>
          <w:lang w:val="ru-RU"/>
        </w:rPr>
        <w:t xml:space="preserve">: </w:t>
      </w:r>
      <w:r w:rsidRPr="00100F02">
        <w:rPr>
          <w:lang w:val="ru-RU"/>
        </w:rPr>
        <w:t>Важнейшим инструментом содействия формированию благоприятной и безопасной онлайновой среды для детей и молодежи является комплексная основа закона. В рамках COP отслеживаются подходы, которые принимают разные страны, имеющие разные правовые системы, и выпускаются руководящие указания в помощь Государствам-Членам при достижении поставленных ими целей</w:t>
      </w:r>
      <w:r w:rsidRPr="00590DE6">
        <w:rPr>
          <w:lang w:val="ru-RU"/>
        </w:rPr>
        <w:t>.</w:t>
      </w:r>
    </w:p>
    <w:p w14:paraId="1722E5BA" w14:textId="0EC614EC" w:rsidR="00100F02" w:rsidRDefault="00100F02" w:rsidP="00100F02">
      <w:pPr>
        <w:pStyle w:val="enumlev2"/>
        <w:rPr>
          <w:lang w:val="ru-RU"/>
        </w:rPr>
      </w:pPr>
      <w:bookmarkStart w:id="8" w:name="bookmark2"/>
      <w:r w:rsidRPr="00100F02">
        <w:rPr>
          <w:b/>
          <w:bCs/>
          <w:lang w:val="ru-RU"/>
        </w:rPr>
        <w:t>•</w:t>
      </w:r>
      <w:r w:rsidRPr="00100F02">
        <w:rPr>
          <w:b/>
          <w:bCs/>
          <w:lang w:val="ru-RU"/>
        </w:rPr>
        <w:tab/>
        <w:t>Технические и процедурные меры</w:t>
      </w:r>
      <w:bookmarkEnd w:id="8"/>
      <w:r w:rsidRPr="00100F02">
        <w:rPr>
          <w:bCs/>
          <w:lang w:val="ru-RU"/>
        </w:rPr>
        <w:t>:</w:t>
      </w:r>
      <w:r w:rsidRPr="00590DE6">
        <w:rPr>
          <w:lang w:val="ru-RU"/>
        </w:rPr>
        <w:t xml:space="preserve"> </w:t>
      </w:r>
      <w:r w:rsidRPr="00100F02">
        <w:rPr>
          <w:lang w:val="ru-RU"/>
        </w:rPr>
        <w:t xml:space="preserve">В рамках COP разрабатываются </w:t>
      </w:r>
      <w:r w:rsidR="00D05094">
        <w:rPr>
          <w:lang w:val="ru-RU"/>
        </w:rPr>
        <w:t>ключевые рекомендации и стандарты</w:t>
      </w:r>
      <w:r w:rsidRPr="00100F02">
        <w:rPr>
          <w:lang w:val="ru-RU"/>
        </w:rPr>
        <w:t xml:space="preserve"> в поддержку защиты ребенка в онлайновой среде всеми основными заинтересованными сторонами.</w:t>
      </w:r>
    </w:p>
    <w:p w14:paraId="616030A8" w14:textId="0AD97292" w:rsidR="00100F02" w:rsidRDefault="00100F02" w:rsidP="00100F02">
      <w:pPr>
        <w:pStyle w:val="enumlev2"/>
        <w:rPr>
          <w:lang w:val="ru-RU"/>
        </w:rPr>
      </w:pPr>
      <w:r w:rsidRPr="00100F02">
        <w:rPr>
          <w:b/>
          <w:bCs/>
          <w:lang w:val="ru-RU"/>
        </w:rPr>
        <w:t>•</w:t>
      </w:r>
      <w:r w:rsidRPr="00100F02">
        <w:rPr>
          <w:b/>
          <w:bCs/>
          <w:lang w:val="ru-RU"/>
        </w:rPr>
        <w:tab/>
        <w:t>Организационные структуры</w:t>
      </w:r>
      <w:r w:rsidRPr="00100F02">
        <w:rPr>
          <w:bCs/>
          <w:lang w:val="ru-RU"/>
        </w:rPr>
        <w:t>:</w:t>
      </w:r>
      <w:r w:rsidRPr="00590DE6">
        <w:rPr>
          <w:lang w:val="ru-RU"/>
        </w:rPr>
        <w:t xml:space="preserve"> </w:t>
      </w:r>
      <w:r w:rsidRPr="00100F02">
        <w:rPr>
          <w:lang w:val="ru-RU"/>
        </w:rPr>
        <w:t xml:space="preserve">COP </w:t>
      </w:r>
      <w:r w:rsidR="00A05C87">
        <w:rPr>
          <w:lang w:val="ru-RU"/>
        </w:rPr>
        <w:t>содействует</w:t>
      </w:r>
      <w:r w:rsidRPr="00100F02">
        <w:rPr>
          <w:lang w:val="ru-RU"/>
        </w:rPr>
        <w:t xml:space="preserve"> формированию типовых национальных структ</w:t>
      </w:r>
      <w:r w:rsidR="00A05C87">
        <w:rPr>
          <w:lang w:val="ru-RU"/>
        </w:rPr>
        <w:t>ур, которые будут способствовать обеспечению</w:t>
      </w:r>
      <w:r w:rsidRPr="00100F02">
        <w:rPr>
          <w:lang w:val="ru-RU"/>
        </w:rPr>
        <w:t xml:space="preserve"> благоприятной онлайновой среды для детей и молодежи. В рамках COP поощряется создание отделений COP на национ</w:t>
      </w:r>
      <w:r w:rsidR="00A05C87">
        <w:rPr>
          <w:lang w:val="ru-RU"/>
        </w:rPr>
        <w:t xml:space="preserve">альном уровне и разрабатывается набор </w:t>
      </w:r>
      <w:r w:rsidRPr="00100F02">
        <w:rPr>
          <w:lang w:val="ru-RU"/>
        </w:rPr>
        <w:t xml:space="preserve">показателей для </w:t>
      </w:r>
      <w:r w:rsidR="00A05C87">
        <w:rPr>
          <w:lang w:val="ru-RU"/>
        </w:rPr>
        <w:t>оценки</w:t>
      </w:r>
      <w:r w:rsidRPr="00100F02">
        <w:rPr>
          <w:lang w:val="ru-RU"/>
        </w:rPr>
        <w:t xml:space="preserve"> хода реализации инициатив по защите ребенка в онлайновой среде на всемирном, региональном и национальном уровнях.</w:t>
      </w:r>
    </w:p>
    <w:p w14:paraId="4CFBCC92" w14:textId="5CAF453C" w:rsidR="00100F02" w:rsidRDefault="00100F02" w:rsidP="00100F02">
      <w:pPr>
        <w:pStyle w:val="enumlev2"/>
        <w:rPr>
          <w:lang w:val="ru-RU"/>
        </w:rPr>
      </w:pPr>
      <w:r w:rsidRPr="00100F02">
        <w:rPr>
          <w:b/>
          <w:bCs/>
          <w:lang w:val="ru-RU"/>
        </w:rPr>
        <w:t>•</w:t>
      </w:r>
      <w:r w:rsidRPr="00100F02">
        <w:rPr>
          <w:b/>
          <w:bCs/>
          <w:lang w:val="ru-RU"/>
        </w:rPr>
        <w:tab/>
        <w:t>Создание потенциала</w:t>
      </w:r>
      <w:r w:rsidRPr="00100F02">
        <w:rPr>
          <w:bCs/>
          <w:lang w:val="ru-RU"/>
        </w:rPr>
        <w:t>:</w:t>
      </w:r>
      <w:r w:rsidRPr="00590DE6">
        <w:rPr>
          <w:lang w:val="ru-RU"/>
        </w:rPr>
        <w:t xml:space="preserve"> </w:t>
      </w:r>
      <w:r w:rsidR="00A05C87">
        <w:rPr>
          <w:lang w:val="ru-RU"/>
        </w:rPr>
        <w:t>В рамках СОР оказывается содействие странам</w:t>
      </w:r>
      <w:r w:rsidRPr="00100F02">
        <w:rPr>
          <w:lang w:val="ru-RU"/>
        </w:rPr>
        <w:t xml:space="preserve"> в </w:t>
      </w:r>
      <w:r w:rsidR="00A05C87">
        <w:rPr>
          <w:lang w:val="ru-RU"/>
        </w:rPr>
        <w:t>развертывании национальных структур СОР</w:t>
      </w:r>
      <w:r w:rsidRPr="00100F02">
        <w:rPr>
          <w:lang w:val="ru-RU"/>
        </w:rPr>
        <w:t xml:space="preserve"> и организуются стратегические мероприятия на региональном и глобальном уровнях в поддержку этих процессов. </w:t>
      </w:r>
    </w:p>
    <w:p w14:paraId="445C6CA6" w14:textId="54D21DBB" w:rsidR="00100F02" w:rsidRDefault="00100F02" w:rsidP="00100F02">
      <w:pPr>
        <w:pStyle w:val="enumlev2"/>
        <w:rPr>
          <w:lang w:val="ru-RU"/>
        </w:rPr>
      </w:pPr>
      <w:r w:rsidRPr="00100F02">
        <w:rPr>
          <w:b/>
          <w:bCs/>
          <w:lang w:val="ru-RU"/>
        </w:rPr>
        <w:t>•</w:t>
      </w:r>
      <w:r w:rsidRPr="00100F02">
        <w:rPr>
          <w:b/>
          <w:bCs/>
          <w:lang w:val="ru-RU"/>
        </w:rPr>
        <w:tab/>
        <w:t>Международное сотрудничество</w:t>
      </w:r>
      <w:r w:rsidR="003D2BA5">
        <w:rPr>
          <w:bCs/>
          <w:lang w:val="ru-RU"/>
        </w:rPr>
        <w:t>:</w:t>
      </w:r>
      <w:r w:rsidRPr="00100F02">
        <w:rPr>
          <w:lang w:val="ru-RU"/>
        </w:rPr>
        <w:t xml:space="preserve"> COP направлена на </w:t>
      </w:r>
      <w:r w:rsidR="00F52EDA">
        <w:rPr>
          <w:lang w:val="ru-RU"/>
        </w:rPr>
        <w:t>поощрение</w:t>
      </w:r>
      <w:r w:rsidRPr="00100F02">
        <w:rPr>
          <w:lang w:val="ru-RU"/>
        </w:rPr>
        <w:t xml:space="preserve"> глобальной культуры "Цифрового гражданства" и </w:t>
      </w:r>
      <w:r w:rsidR="00F52EDA">
        <w:rPr>
          <w:lang w:val="ru-RU"/>
        </w:rPr>
        <w:t>стимулирование</w:t>
      </w:r>
      <w:r w:rsidRPr="00100F02">
        <w:rPr>
          <w:lang w:val="ru-RU"/>
        </w:rPr>
        <w:t xml:space="preserve"> заключения соглашений о сотрудничестве для </w:t>
      </w:r>
      <w:r w:rsidR="00F52EDA">
        <w:rPr>
          <w:lang w:val="ru-RU"/>
        </w:rPr>
        <w:t>обмена информацией</w:t>
      </w:r>
      <w:r w:rsidRPr="00100F02">
        <w:rPr>
          <w:lang w:val="ru-RU"/>
        </w:rPr>
        <w:t xml:space="preserve"> в целях устранения или смягчения рисков, которым подвергаются дети и молодые люди в онлайновой среде.</w:t>
      </w:r>
    </w:p>
    <w:p w14:paraId="3EFA5885" w14:textId="41555C95" w:rsidR="00963B6A" w:rsidRPr="00103FFB" w:rsidRDefault="00963B6A" w:rsidP="00963B6A">
      <w:pPr>
        <w:pStyle w:val="enumlev1"/>
        <w:rPr>
          <w:lang w:val="ru-RU"/>
        </w:rPr>
      </w:pPr>
      <w:r w:rsidRPr="00963B6A">
        <w:t>d</w:t>
      </w:r>
      <w:r w:rsidRPr="00D05094">
        <w:rPr>
          <w:lang w:val="ru-RU"/>
        </w:rPr>
        <w:t>)</w:t>
      </w:r>
      <w:r w:rsidRPr="00D05094">
        <w:rPr>
          <w:lang w:val="ru-RU"/>
        </w:rPr>
        <w:tab/>
      </w:r>
      <w:r w:rsidR="00F52EDA">
        <w:rPr>
          <w:lang w:val="ru-RU"/>
        </w:rPr>
        <w:t>П</w:t>
      </w:r>
      <w:r w:rsidR="00D05094">
        <w:rPr>
          <w:lang w:val="ru-RU"/>
        </w:rPr>
        <w:t>о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различным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направлениям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ГПК</w:t>
      </w:r>
      <w:r w:rsidR="00F52EDA" w:rsidRPr="00F52EDA">
        <w:rPr>
          <w:lang w:val="ru-RU"/>
        </w:rPr>
        <w:t xml:space="preserve"> </w:t>
      </w:r>
      <w:r w:rsidR="00F52EDA">
        <w:rPr>
          <w:lang w:val="ru-RU"/>
        </w:rPr>
        <w:t>осуществляется целый</w:t>
      </w:r>
      <w:r w:rsidR="00F52EDA" w:rsidRPr="00D05094">
        <w:rPr>
          <w:lang w:val="ru-RU"/>
        </w:rPr>
        <w:t xml:space="preserve"> </w:t>
      </w:r>
      <w:r w:rsidR="00F52EDA">
        <w:rPr>
          <w:lang w:val="ru-RU"/>
        </w:rPr>
        <w:t>ряд</w:t>
      </w:r>
      <w:r w:rsidR="00F52EDA" w:rsidRPr="00D05094">
        <w:rPr>
          <w:lang w:val="ru-RU"/>
        </w:rPr>
        <w:t xml:space="preserve"> </w:t>
      </w:r>
      <w:r w:rsidR="00F52EDA">
        <w:rPr>
          <w:lang w:val="ru-RU"/>
        </w:rPr>
        <w:t>видов</w:t>
      </w:r>
      <w:r w:rsidR="00F52EDA" w:rsidRPr="00D05094">
        <w:rPr>
          <w:lang w:val="ru-RU"/>
        </w:rPr>
        <w:t xml:space="preserve"> </w:t>
      </w:r>
      <w:r w:rsidR="00F52EDA">
        <w:rPr>
          <w:lang w:val="ru-RU"/>
        </w:rPr>
        <w:t>деятельности</w:t>
      </w:r>
      <w:r w:rsidR="00D05094" w:rsidRPr="00D05094">
        <w:rPr>
          <w:lang w:val="ru-RU"/>
        </w:rPr>
        <w:t xml:space="preserve">; </w:t>
      </w:r>
      <w:r w:rsidR="00F52EDA">
        <w:rPr>
          <w:lang w:val="ru-RU"/>
        </w:rPr>
        <w:t xml:space="preserve">с момента </w:t>
      </w:r>
      <w:r w:rsidR="00057957">
        <w:rPr>
          <w:lang w:val="ru-RU"/>
        </w:rPr>
        <w:t>объявления об</w:t>
      </w:r>
      <w:r w:rsidR="00F52EDA">
        <w:rPr>
          <w:lang w:val="ru-RU"/>
        </w:rPr>
        <w:t xml:space="preserve"> инициатив</w:t>
      </w:r>
      <w:r w:rsidR="00057957">
        <w:rPr>
          <w:lang w:val="ru-RU"/>
        </w:rPr>
        <w:t>е</w:t>
      </w:r>
      <w:r w:rsidR="00F52EDA">
        <w:rPr>
          <w:lang w:val="ru-RU"/>
        </w:rPr>
        <w:t xml:space="preserve"> </w:t>
      </w:r>
      <w:r w:rsidR="00D05094">
        <w:rPr>
          <w:lang w:val="ru-RU"/>
        </w:rPr>
        <w:t>подробная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информация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о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них</w:t>
      </w:r>
      <w:r w:rsidR="00D05094" w:rsidRPr="00D05094">
        <w:rPr>
          <w:lang w:val="ru-RU"/>
        </w:rPr>
        <w:t xml:space="preserve"> </w:t>
      </w:r>
      <w:r w:rsidR="00F52EDA">
        <w:rPr>
          <w:lang w:val="ru-RU"/>
        </w:rPr>
        <w:t>размещается</w:t>
      </w:r>
      <w:r w:rsidR="00D05094" w:rsidRPr="00D05094">
        <w:rPr>
          <w:lang w:val="ru-RU"/>
        </w:rPr>
        <w:t xml:space="preserve"> </w:t>
      </w:r>
      <w:r w:rsidR="00D05094">
        <w:rPr>
          <w:lang w:val="ru-RU"/>
        </w:rPr>
        <w:t>на</w:t>
      </w:r>
      <w:r w:rsidR="00D05094" w:rsidRPr="00D05094">
        <w:rPr>
          <w:lang w:val="ru-RU"/>
        </w:rPr>
        <w:t xml:space="preserve"> </w:t>
      </w:r>
      <w:hyperlink r:id="rId49" w:history="1">
        <w:r w:rsidR="00D05094" w:rsidRPr="00590DE6">
          <w:rPr>
            <w:rStyle w:val="Hyperlink"/>
            <w:lang w:val="ru-RU"/>
          </w:rPr>
          <w:t>вебсайте С</w:t>
        </w:r>
        <w:r w:rsidR="00D05094" w:rsidRPr="00590DE6">
          <w:rPr>
            <w:rStyle w:val="Hyperlink"/>
          </w:rPr>
          <w:t>OP</w:t>
        </w:r>
      </w:hyperlink>
      <w:r w:rsidR="00D05094" w:rsidRPr="00D05094">
        <w:rPr>
          <w:lang w:val="ru-RU"/>
        </w:rPr>
        <w:t xml:space="preserve">, а также </w:t>
      </w:r>
      <w:r w:rsidR="00D05094">
        <w:rPr>
          <w:lang w:val="ru-RU"/>
        </w:rPr>
        <w:t>включается в ежегодные отчеты</w:t>
      </w:r>
      <w:r w:rsidR="00D05094" w:rsidRPr="00D05094">
        <w:rPr>
          <w:lang w:val="ru-RU"/>
        </w:rPr>
        <w:t xml:space="preserve"> Совету</w:t>
      </w:r>
      <w:r w:rsidR="00D05094">
        <w:rPr>
          <w:lang w:val="ru-RU"/>
        </w:rPr>
        <w:t xml:space="preserve">. К этим видам деятельности относятся разработка инструментов и ресурсов, таких как руководящие указания для детей, родителей и педагогов, представителей отрасли и директивных органов. </w:t>
      </w:r>
      <w:r w:rsidR="00103FFB" w:rsidRPr="00103FFB">
        <w:rPr>
          <w:lang w:val="ru-RU"/>
        </w:rPr>
        <w:t xml:space="preserve">Многосторонняя группа экспертов, в состав которой входят более 50 организаций и отдельных специалистов, приступила к пересмотру </w:t>
      </w:r>
      <w:hyperlink r:id="rId50" w:history="1">
        <w:r w:rsidR="00103FFB" w:rsidRPr="00103FFB">
          <w:rPr>
            <w:rStyle w:val="Hyperlink"/>
            <w:lang w:val="ru-RU"/>
          </w:rPr>
          <w:t>Руководящих указаний по защите ребенка в онлайновой среде</w:t>
        </w:r>
      </w:hyperlink>
      <w:r w:rsidR="00103FFB" w:rsidRPr="00103FFB">
        <w:rPr>
          <w:lang w:val="ru-RU"/>
        </w:rPr>
        <w:t>, впервые изданных в 2009 году.</w:t>
      </w:r>
    </w:p>
    <w:p w14:paraId="2BD69786" w14:textId="77777777" w:rsidR="00467907" w:rsidRPr="00467907" w:rsidRDefault="00467907" w:rsidP="00467907">
      <w:pPr>
        <w:spacing w:before="720"/>
        <w:jc w:val="center"/>
        <w:rPr>
          <w:lang w:val="ru-RU"/>
        </w:rPr>
      </w:pPr>
      <w:r w:rsidRPr="00467907">
        <w:rPr>
          <w:lang w:val="ru-RU"/>
        </w:rPr>
        <w:t>_______________</w:t>
      </w:r>
    </w:p>
    <w:sectPr w:rsidR="00467907" w:rsidRPr="00467907" w:rsidSect="00CF629C">
      <w:headerReference w:type="default" r:id="rId51"/>
      <w:footerReference w:type="default" r:id="rId52"/>
      <w:footerReference w:type="first" r:id="rId5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6FA0" w14:textId="77777777" w:rsidR="002A4A19" w:rsidRDefault="002A4A19">
      <w:r>
        <w:separator/>
      </w:r>
    </w:p>
  </w:endnote>
  <w:endnote w:type="continuationSeparator" w:id="0">
    <w:p w14:paraId="1D43ECEB" w14:textId="77777777" w:rsidR="002A4A19" w:rsidRDefault="002A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1CD8B521" w:rsidR="002A4A19" w:rsidRPr="000E5E36" w:rsidRDefault="002A4A19" w:rsidP="009B0BAE">
    <w:pPr>
      <w:pStyle w:val="Footer"/>
      <w:rPr>
        <w:color w:val="D9D9D9" w:themeColor="background1" w:themeShade="D9"/>
        <w:sz w:val="18"/>
        <w:szCs w:val="18"/>
      </w:rPr>
    </w:pPr>
    <w:r w:rsidRPr="000E5E36">
      <w:rPr>
        <w:color w:val="D9D9D9" w:themeColor="background1" w:themeShade="D9"/>
      </w:rPr>
      <w:fldChar w:fldCharType="begin"/>
    </w:r>
    <w:r w:rsidRPr="000E5E36">
      <w:rPr>
        <w:color w:val="D9D9D9" w:themeColor="background1" w:themeShade="D9"/>
      </w:rPr>
      <w:instrText xml:space="preserve"> FILENAME \p  \* MERGEFORMAT </w:instrText>
    </w:r>
    <w:r w:rsidRPr="000E5E36">
      <w:rPr>
        <w:color w:val="D9D9D9" w:themeColor="background1" w:themeShade="D9"/>
      </w:rPr>
      <w:fldChar w:fldCharType="separate"/>
    </w:r>
    <w:r w:rsidRPr="000E5E36">
      <w:rPr>
        <w:color w:val="D9D9D9" w:themeColor="background1" w:themeShade="D9"/>
      </w:rPr>
      <w:t>P:\RUS\SG\CONSEIL\C20\000\036R.docx</w:t>
    </w:r>
    <w:r w:rsidRPr="000E5E36">
      <w:rPr>
        <w:color w:val="D9D9D9" w:themeColor="background1" w:themeShade="D9"/>
        <w:lang w:val="en-US"/>
      </w:rPr>
      <w:fldChar w:fldCharType="end"/>
    </w:r>
    <w:r w:rsidRPr="000E5E36">
      <w:rPr>
        <w:color w:val="D9D9D9" w:themeColor="background1" w:themeShade="D9"/>
      </w:rPr>
      <w:t xml:space="preserve"> (467344)</w:t>
    </w:r>
    <w:r w:rsidRPr="000E5E36">
      <w:rPr>
        <w:color w:val="D9D9D9" w:themeColor="background1" w:themeShade="D9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661986B7" w:rsidR="002A4A19" w:rsidRPr="00484AFB" w:rsidRDefault="002A4A19" w:rsidP="000E5E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68CD" w14:textId="77777777" w:rsidR="002A4A19" w:rsidRDefault="002A4A19">
      <w:r>
        <w:t>____________________</w:t>
      </w:r>
    </w:p>
  </w:footnote>
  <w:footnote w:type="continuationSeparator" w:id="0">
    <w:p w14:paraId="5A697214" w14:textId="77777777" w:rsidR="002A4A19" w:rsidRDefault="002A4A19">
      <w:r>
        <w:continuationSeparator/>
      </w:r>
    </w:p>
  </w:footnote>
  <w:footnote w:id="1">
    <w:p w14:paraId="4793AE8C" w14:textId="6E39CE78" w:rsidR="00094DB2" w:rsidRPr="00094DB2" w:rsidRDefault="00094DB2">
      <w:pPr>
        <w:pStyle w:val="FootnoteText"/>
        <w:rPr>
          <w:lang w:val="ru-RU"/>
        </w:rPr>
      </w:pPr>
      <w:r w:rsidRPr="00094DB2">
        <w:rPr>
          <w:rStyle w:val="FootnoteReference"/>
          <w:lang w:val="ru-RU"/>
        </w:rPr>
        <w:t>1</w:t>
      </w:r>
      <w:r w:rsidRPr="00094DB2">
        <w:rPr>
          <w:lang w:val="ru-RU"/>
        </w:rPr>
        <w:t xml:space="preserve"> </w:t>
      </w:r>
      <w:r>
        <w:rPr>
          <w:lang w:val="ru-RU"/>
        </w:rPr>
        <w:tab/>
      </w:r>
      <w:r w:rsidRPr="004162B9">
        <w:rPr>
          <w:lang w:val="ru-RU"/>
        </w:rPr>
        <w:t>Протокол семнадцатого пленарного заседания Полномочной конференции, Дубай, четверг, 15 ноября 2018 года</w:t>
      </w:r>
      <w:r>
        <w:rPr>
          <w:lang w:val="ru-RU"/>
        </w:rPr>
        <w:t>.</w:t>
      </w:r>
    </w:p>
  </w:footnote>
  <w:footnote w:id="2">
    <w:p w14:paraId="047DF496" w14:textId="58DC0F82" w:rsidR="00094DB2" w:rsidRPr="00094DB2" w:rsidRDefault="00094DB2">
      <w:pPr>
        <w:pStyle w:val="FootnoteText"/>
        <w:rPr>
          <w:lang w:val="ru-RU"/>
        </w:rPr>
      </w:pPr>
      <w:r w:rsidRPr="00094DB2">
        <w:rPr>
          <w:rStyle w:val="FootnoteReference"/>
          <w:lang w:val="ru-RU"/>
        </w:rPr>
        <w:t>2</w:t>
      </w:r>
      <w:r w:rsidRPr="00094DB2">
        <w:rPr>
          <w:lang w:val="ru-RU"/>
        </w:rPr>
        <w:t xml:space="preserve"> </w:t>
      </w:r>
      <w:r>
        <w:rPr>
          <w:lang w:val="ru-RU"/>
        </w:rPr>
        <w:tab/>
      </w:r>
      <w:r w:rsidRPr="004162B9">
        <w:rPr>
          <w:lang w:val="ru-RU"/>
        </w:rPr>
        <w:t xml:space="preserve">Передача Отчета бывшего председателя Группы экспертов высокого уровня по ГПК (C19/58), МСЭ, 8 мая 2019 года, </w:t>
      </w:r>
      <w:r w:rsidR="000E5E36">
        <w:fldChar w:fldCharType="begin"/>
      </w:r>
      <w:r w:rsidR="000E5E36" w:rsidRPr="000E5E36">
        <w:rPr>
          <w:lang w:val="ru-RU"/>
        </w:rPr>
        <w:instrText xml:space="preserve"> </w:instrText>
      </w:r>
      <w:r w:rsidR="000E5E36">
        <w:instrText>HYPERLINK</w:instrText>
      </w:r>
      <w:r w:rsidR="000E5E36" w:rsidRPr="000E5E36">
        <w:rPr>
          <w:lang w:val="ru-RU"/>
        </w:rPr>
        <w:instrText xml:space="preserve"> "</w:instrText>
      </w:r>
      <w:r w:rsidR="000E5E36">
        <w:instrText>https</w:instrText>
      </w:r>
      <w:r w:rsidR="000E5E36" w:rsidRPr="000E5E36">
        <w:rPr>
          <w:lang w:val="ru-RU"/>
        </w:rPr>
        <w:instrText>://</w:instrText>
      </w:r>
      <w:r w:rsidR="000E5E36">
        <w:instrText>www</w:instrText>
      </w:r>
      <w:r w:rsidR="000E5E36" w:rsidRPr="000E5E36">
        <w:rPr>
          <w:lang w:val="ru-RU"/>
        </w:rPr>
        <w:instrText>.</w:instrText>
      </w:r>
      <w:r w:rsidR="000E5E36">
        <w:instrText>itu</w:instrText>
      </w:r>
      <w:r w:rsidR="000E5E36" w:rsidRPr="000E5E36">
        <w:rPr>
          <w:lang w:val="ru-RU"/>
        </w:rPr>
        <w:instrText>.</w:instrText>
      </w:r>
      <w:r w:rsidR="000E5E36">
        <w:instrText>int</w:instrText>
      </w:r>
      <w:r w:rsidR="000E5E36" w:rsidRPr="000E5E36">
        <w:rPr>
          <w:lang w:val="ru-RU"/>
        </w:rPr>
        <w:instrText>/</w:instrText>
      </w:r>
      <w:r w:rsidR="000E5E36">
        <w:instrText>md</w:instrText>
      </w:r>
      <w:r w:rsidR="000E5E36" w:rsidRPr="000E5E36">
        <w:rPr>
          <w:lang w:val="ru-RU"/>
        </w:rPr>
        <w:instrText>/</w:instrText>
      </w:r>
      <w:r w:rsidR="000E5E36">
        <w:instrText>S</w:instrText>
      </w:r>
      <w:r w:rsidR="000E5E36" w:rsidRPr="000E5E36">
        <w:rPr>
          <w:lang w:val="ru-RU"/>
        </w:rPr>
        <w:instrText>19-</w:instrText>
      </w:r>
      <w:r w:rsidR="000E5E36">
        <w:instrText>CL</w:instrText>
      </w:r>
      <w:r w:rsidR="000E5E36" w:rsidRPr="000E5E36">
        <w:rPr>
          <w:lang w:val="ru-RU"/>
        </w:rPr>
        <w:instrText>-</w:instrText>
      </w:r>
      <w:r w:rsidR="000E5E36">
        <w:instrText>C</w:instrText>
      </w:r>
      <w:r w:rsidR="000E5E36" w:rsidRPr="000E5E36">
        <w:rPr>
          <w:lang w:val="ru-RU"/>
        </w:rPr>
        <w:instrText>-0058/</w:instrText>
      </w:r>
      <w:r w:rsidR="000E5E36">
        <w:instrText>en</w:instrText>
      </w:r>
      <w:r w:rsidR="000E5E36" w:rsidRPr="000E5E36">
        <w:rPr>
          <w:lang w:val="ru-RU"/>
        </w:rPr>
        <w:instrText xml:space="preserve">" </w:instrText>
      </w:r>
      <w:r w:rsidR="000E5E36">
        <w:fldChar w:fldCharType="separate"/>
      </w:r>
      <w:r w:rsidRPr="004162B9">
        <w:rPr>
          <w:rStyle w:val="Hyperlink"/>
          <w:rFonts w:asciiTheme="minorHAnsi" w:hAnsiTheme="minorHAnsi" w:cstheme="minorHAnsi"/>
          <w:lang w:val="ru-RU"/>
        </w:rPr>
        <w:t>https://www.itu.int/md/S19-CL-C-0058/en</w:t>
      </w:r>
      <w:r w:rsidR="000E5E36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4162B9">
        <w:rPr>
          <w:lang w:val="ru-RU"/>
        </w:rPr>
        <w:t>.</w:t>
      </w:r>
    </w:p>
  </w:footnote>
  <w:footnote w:id="3">
    <w:p w14:paraId="6D991760" w14:textId="37D3264B" w:rsidR="00094DB2" w:rsidRPr="00094DB2" w:rsidRDefault="00094DB2">
      <w:pPr>
        <w:pStyle w:val="FootnoteText"/>
        <w:rPr>
          <w:lang w:val="ru-RU"/>
        </w:rPr>
      </w:pPr>
      <w:r w:rsidRPr="00094DB2">
        <w:rPr>
          <w:rStyle w:val="FootnoteReference"/>
          <w:lang w:val="ru-RU"/>
        </w:rPr>
        <w:t>3</w:t>
      </w:r>
      <w:r w:rsidRPr="00094DB2">
        <w:rPr>
          <w:lang w:val="ru-RU"/>
        </w:rPr>
        <w:t xml:space="preserve"> </w:t>
      </w:r>
      <w:r w:rsidRPr="004162B9">
        <w:rPr>
          <w:lang w:val="ru-RU"/>
        </w:rPr>
        <w:t xml:space="preserve">Краткий отчет о шестом пленарном заседании (C19/117), МСЭ, 20 июня 2019 года, </w:t>
      </w:r>
      <w:r w:rsidR="000E5E36">
        <w:fldChar w:fldCharType="begin"/>
      </w:r>
      <w:r w:rsidR="000E5E36" w:rsidRPr="000E5E36">
        <w:rPr>
          <w:lang w:val="ru-RU"/>
        </w:rPr>
        <w:instrText xml:space="preserve"> </w:instrText>
      </w:r>
      <w:r w:rsidR="000E5E36">
        <w:instrText>HYPERLINK</w:instrText>
      </w:r>
      <w:r w:rsidR="000E5E36" w:rsidRPr="000E5E36">
        <w:rPr>
          <w:lang w:val="ru-RU"/>
        </w:rPr>
        <w:instrText xml:space="preserve"> "</w:instrText>
      </w:r>
      <w:r w:rsidR="000E5E36">
        <w:instrText>https</w:instrText>
      </w:r>
      <w:r w:rsidR="000E5E36" w:rsidRPr="000E5E36">
        <w:rPr>
          <w:lang w:val="ru-RU"/>
        </w:rPr>
        <w:instrText>://</w:instrText>
      </w:r>
      <w:r w:rsidR="000E5E36">
        <w:instrText>www</w:instrText>
      </w:r>
      <w:r w:rsidR="000E5E36" w:rsidRPr="000E5E36">
        <w:rPr>
          <w:lang w:val="ru-RU"/>
        </w:rPr>
        <w:instrText>.</w:instrText>
      </w:r>
      <w:r w:rsidR="000E5E36">
        <w:instrText>itu</w:instrText>
      </w:r>
      <w:r w:rsidR="000E5E36" w:rsidRPr="000E5E36">
        <w:rPr>
          <w:lang w:val="ru-RU"/>
        </w:rPr>
        <w:instrText>.</w:instrText>
      </w:r>
      <w:r w:rsidR="000E5E36">
        <w:instrText>int</w:instrText>
      </w:r>
      <w:r w:rsidR="000E5E36" w:rsidRPr="000E5E36">
        <w:rPr>
          <w:lang w:val="ru-RU"/>
        </w:rPr>
        <w:instrText>/</w:instrText>
      </w:r>
      <w:r w:rsidR="000E5E36">
        <w:instrText>md</w:instrText>
      </w:r>
      <w:r w:rsidR="000E5E36" w:rsidRPr="000E5E36">
        <w:rPr>
          <w:lang w:val="ru-RU"/>
        </w:rPr>
        <w:instrText>/</w:instrText>
      </w:r>
      <w:r w:rsidR="000E5E36">
        <w:instrText>S</w:instrText>
      </w:r>
      <w:r w:rsidR="000E5E36" w:rsidRPr="000E5E36">
        <w:rPr>
          <w:lang w:val="ru-RU"/>
        </w:rPr>
        <w:instrText>19-</w:instrText>
      </w:r>
      <w:r w:rsidR="000E5E36">
        <w:instrText>CL</w:instrText>
      </w:r>
      <w:r w:rsidR="000E5E36" w:rsidRPr="000E5E36">
        <w:rPr>
          <w:lang w:val="ru-RU"/>
        </w:rPr>
        <w:instrText>-</w:instrText>
      </w:r>
      <w:r w:rsidR="000E5E36">
        <w:instrText>C</w:instrText>
      </w:r>
      <w:r w:rsidR="000E5E36" w:rsidRPr="000E5E36">
        <w:rPr>
          <w:lang w:val="ru-RU"/>
        </w:rPr>
        <w:instrText>-0117/</w:instrText>
      </w:r>
      <w:r w:rsidR="000E5E36">
        <w:instrText>en</w:instrText>
      </w:r>
      <w:r w:rsidR="000E5E36" w:rsidRPr="000E5E36">
        <w:rPr>
          <w:lang w:val="ru-RU"/>
        </w:rPr>
        <w:instrText xml:space="preserve">" </w:instrText>
      </w:r>
      <w:r w:rsidR="000E5E36">
        <w:fldChar w:fldCharType="separate"/>
      </w:r>
      <w:r w:rsidRPr="004162B9">
        <w:rPr>
          <w:rStyle w:val="Hyperlink"/>
          <w:rFonts w:asciiTheme="minorHAnsi" w:hAnsiTheme="minorHAnsi" w:cstheme="minorHAnsi"/>
          <w:spacing w:val="-2"/>
          <w:lang w:val="ru-RU"/>
        </w:rPr>
        <w:t>https://www.itu.int/md/S19-CL-C-0117/en</w:t>
      </w:r>
      <w:r w:rsidR="000E5E36">
        <w:rPr>
          <w:rStyle w:val="Hyperlink"/>
          <w:rFonts w:asciiTheme="minorHAnsi" w:hAnsiTheme="minorHAnsi" w:cstheme="minorHAnsi"/>
          <w:spacing w:val="-2"/>
          <w:lang w:val="ru-RU"/>
        </w:rPr>
        <w:fldChar w:fldCharType="end"/>
      </w:r>
      <w:r w:rsidRPr="004162B9">
        <w:rPr>
          <w:lang w:val="ru-RU"/>
        </w:rPr>
        <w:t>.</w:t>
      </w:r>
    </w:p>
  </w:footnote>
  <w:footnote w:id="4">
    <w:p w14:paraId="58A17354" w14:textId="1CAFED3F" w:rsidR="00094DB2" w:rsidRPr="00094DB2" w:rsidRDefault="00094DB2">
      <w:pPr>
        <w:pStyle w:val="FootnoteText"/>
        <w:rPr>
          <w:lang w:val="ru-RU"/>
        </w:rPr>
      </w:pPr>
      <w:r w:rsidRPr="00094DB2">
        <w:rPr>
          <w:rStyle w:val="FootnoteReference"/>
          <w:lang w:val="ru-RU"/>
        </w:rPr>
        <w:t>4</w:t>
      </w:r>
      <w:r w:rsidRPr="00094DB2">
        <w:rPr>
          <w:lang w:val="ru-RU"/>
        </w:rPr>
        <w:t xml:space="preserve"> </w:t>
      </w:r>
      <w:r>
        <w:rPr>
          <w:lang w:val="ru-RU"/>
        </w:rPr>
        <w:tab/>
        <w:t>Размещено</w:t>
      </w:r>
      <w:r w:rsidRPr="005A34C6">
        <w:rPr>
          <w:lang w:val="ru-RU"/>
        </w:rPr>
        <w:t xml:space="preserve"> </w:t>
      </w:r>
      <w:r>
        <w:rPr>
          <w:lang w:val="ru-RU"/>
        </w:rPr>
        <w:t>в</w:t>
      </w:r>
      <w:r w:rsidRPr="005A34C6">
        <w:rPr>
          <w:lang w:val="ru-RU"/>
        </w:rPr>
        <w:t xml:space="preserve"> </w:t>
      </w:r>
      <w:r>
        <w:rPr>
          <w:lang w:val="ru-RU"/>
        </w:rPr>
        <w:t>онлайновом</w:t>
      </w:r>
      <w:r w:rsidRPr="005A34C6">
        <w:rPr>
          <w:lang w:val="ru-RU"/>
        </w:rPr>
        <w:t xml:space="preserve"> </w:t>
      </w:r>
      <w:r>
        <w:rPr>
          <w:lang w:val="ru-RU"/>
        </w:rPr>
        <w:t>доступе</w:t>
      </w:r>
      <w:r w:rsidRPr="005A34C6">
        <w:rPr>
          <w:lang w:val="ru-RU"/>
        </w:rPr>
        <w:t xml:space="preserve"> </w:t>
      </w:r>
      <w:r>
        <w:rPr>
          <w:lang w:val="ru-RU"/>
        </w:rPr>
        <w:t xml:space="preserve">для открытых консультаций с заинтересованными сторонами ВВУИО по адресу: </w:t>
      </w:r>
      <w:r w:rsidR="000E5E36">
        <w:fldChar w:fldCharType="begin"/>
      </w:r>
      <w:r w:rsidR="000E5E36" w:rsidRPr="000E5E36">
        <w:rPr>
          <w:lang w:val="ru-RU"/>
        </w:rPr>
        <w:instrText xml:space="preserve"> </w:instrText>
      </w:r>
      <w:r w:rsidR="000E5E36">
        <w:instrText>HYPERLINK</w:instrText>
      </w:r>
      <w:r w:rsidR="000E5E36" w:rsidRPr="000E5E36">
        <w:rPr>
          <w:lang w:val="ru-RU"/>
        </w:rPr>
        <w:instrText xml:space="preserve"> "</w:instrText>
      </w:r>
      <w:r w:rsidR="000E5E36">
        <w:instrText>https</w:instrText>
      </w:r>
      <w:r w:rsidR="000E5E36" w:rsidRPr="000E5E36">
        <w:rPr>
          <w:lang w:val="ru-RU"/>
        </w:rPr>
        <w:instrText>://</w:instrText>
      </w:r>
      <w:r w:rsidR="000E5E36">
        <w:instrText>www</w:instrText>
      </w:r>
      <w:r w:rsidR="000E5E36" w:rsidRPr="000E5E36">
        <w:rPr>
          <w:lang w:val="ru-RU"/>
        </w:rPr>
        <w:instrText>.</w:instrText>
      </w:r>
      <w:r w:rsidR="000E5E36">
        <w:instrText>itu</w:instrText>
      </w:r>
      <w:r w:rsidR="000E5E36" w:rsidRPr="000E5E36">
        <w:rPr>
          <w:lang w:val="ru-RU"/>
        </w:rPr>
        <w:instrText>.</w:instrText>
      </w:r>
      <w:r w:rsidR="000E5E36">
        <w:instrText>int</w:instrText>
      </w:r>
      <w:r w:rsidR="000E5E36" w:rsidRPr="000E5E36">
        <w:rPr>
          <w:lang w:val="ru-RU"/>
        </w:rPr>
        <w:instrText>/</w:instrText>
      </w:r>
      <w:r w:rsidR="000E5E36">
        <w:instrText>en</w:instrText>
      </w:r>
      <w:r w:rsidR="000E5E36" w:rsidRPr="000E5E36">
        <w:rPr>
          <w:lang w:val="ru-RU"/>
        </w:rPr>
        <w:instrText>/</w:instrText>
      </w:r>
      <w:r w:rsidR="000E5E36">
        <w:instrText>action</w:instrText>
      </w:r>
      <w:r w:rsidR="000E5E36" w:rsidRPr="000E5E36">
        <w:rPr>
          <w:lang w:val="ru-RU"/>
        </w:rPr>
        <w:instrText>/</w:instrText>
      </w:r>
      <w:r w:rsidR="000E5E36">
        <w:instrText>cybersecurity</w:instrText>
      </w:r>
      <w:r w:rsidR="000E5E36" w:rsidRPr="000E5E36">
        <w:rPr>
          <w:lang w:val="ru-RU"/>
        </w:rPr>
        <w:instrText>/</w:instrText>
      </w:r>
      <w:r w:rsidR="000E5E36">
        <w:instrText>Pages</w:instrText>
      </w:r>
      <w:r w:rsidR="000E5E36" w:rsidRPr="000E5E36">
        <w:rPr>
          <w:lang w:val="ru-RU"/>
        </w:rPr>
        <w:instrText>/</w:instrText>
      </w:r>
      <w:r w:rsidR="000E5E36">
        <w:instrText>gca</w:instrText>
      </w:r>
      <w:r w:rsidR="000E5E36" w:rsidRPr="000E5E36">
        <w:rPr>
          <w:lang w:val="ru-RU"/>
        </w:rPr>
        <w:instrText>-</w:instrText>
      </w:r>
      <w:r w:rsidR="000E5E36">
        <w:instrText>guidelines</w:instrText>
      </w:r>
      <w:r w:rsidR="000E5E36" w:rsidRPr="000E5E36">
        <w:rPr>
          <w:lang w:val="ru-RU"/>
        </w:rPr>
        <w:instrText>.</w:instrText>
      </w:r>
      <w:r w:rsidR="000E5E36">
        <w:instrText>aspx</w:instrText>
      </w:r>
      <w:r w:rsidR="000E5E36" w:rsidRPr="000E5E36">
        <w:rPr>
          <w:lang w:val="ru-RU"/>
        </w:rPr>
        <w:instrText xml:space="preserve">" </w:instrText>
      </w:r>
      <w:r w:rsidR="000E5E36">
        <w:fldChar w:fldCharType="separate"/>
      </w:r>
      <w:r w:rsidRPr="00026D6C">
        <w:rPr>
          <w:rStyle w:val="Hyperlink"/>
          <w:lang w:val="en-US"/>
        </w:rPr>
        <w:t>https</w:t>
      </w:r>
      <w:r w:rsidRPr="006856B0">
        <w:rPr>
          <w:rStyle w:val="Hyperlink"/>
          <w:lang w:val="ru-RU"/>
        </w:rPr>
        <w:t>://</w:t>
      </w:r>
      <w:r w:rsidRPr="00026D6C">
        <w:rPr>
          <w:rStyle w:val="Hyperlink"/>
          <w:lang w:val="en-US"/>
        </w:rPr>
        <w:t>www</w:t>
      </w:r>
      <w:r w:rsidRPr="006856B0">
        <w:rPr>
          <w:rStyle w:val="Hyperlink"/>
          <w:lang w:val="ru-RU"/>
        </w:rPr>
        <w:t>.</w:t>
      </w:r>
      <w:r w:rsidRPr="00026D6C">
        <w:rPr>
          <w:rStyle w:val="Hyperlink"/>
          <w:lang w:val="en-US"/>
        </w:rPr>
        <w:t>itu</w:t>
      </w:r>
      <w:r w:rsidRPr="006856B0">
        <w:rPr>
          <w:rStyle w:val="Hyperlink"/>
          <w:lang w:val="ru-RU"/>
        </w:rPr>
        <w:t>.</w:t>
      </w:r>
      <w:r w:rsidRPr="00026D6C">
        <w:rPr>
          <w:rStyle w:val="Hyperlink"/>
          <w:lang w:val="en-US"/>
        </w:rPr>
        <w:t>int</w:t>
      </w:r>
      <w:r w:rsidRPr="006856B0">
        <w:rPr>
          <w:rStyle w:val="Hyperlink"/>
          <w:lang w:val="ru-RU"/>
        </w:rPr>
        <w:t>/</w:t>
      </w:r>
      <w:r w:rsidRPr="00026D6C">
        <w:rPr>
          <w:rStyle w:val="Hyperlink"/>
          <w:lang w:val="en-US"/>
        </w:rPr>
        <w:t>en</w:t>
      </w:r>
      <w:r w:rsidRPr="006856B0">
        <w:rPr>
          <w:rStyle w:val="Hyperlink"/>
          <w:lang w:val="ru-RU"/>
        </w:rPr>
        <w:t>/</w:t>
      </w:r>
      <w:r w:rsidRPr="00026D6C">
        <w:rPr>
          <w:rStyle w:val="Hyperlink"/>
          <w:lang w:val="en-US"/>
        </w:rPr>
        <w:t>action</w:t>
      </w:r>
      <w:r w:rsidRPr="006856B0">
        <w:rPr>
          <w:rStyle w:val="Hyperlink"/>
          <w:lang w:val="ru-RU"/>
        </w:rPr>
        <w:t>/</w:t>
      </w:r>
      <w:r w:rsidRPr="00026D6C">
        <w:rPr>
          <w:rStyle w:val="Hyperlink"/>
          <w:lang w:val="en-US"/>
        </w:rPr>
        <w:t>cybersecurity</w:t>
      </w:r>
      <w:r w:rsidRPr="006856B0">
        <w:rPr>
          <w:rStyle w:val="Hyperlink"/>
          <w:lang w:val="ru-RU"/>
        </w:rPr>
        <w:t>/</w:t>
      </w:r>
      <w:r w:rsidRPr="00026D6C">
        <w:rPr>
          <w:rStyle w:val="Hyperlink"/>
          <w:lang w:val="en-US"/>
        </w:rPr>
        <w:t>Pages</w:t>
      </w:r>
      <w:r w:rsidRPr="006856B0">
        <w:rPr>
          <w:rStyle w:val="Hyperlink"/>
          <w:lang w:val="ru-RU"/>
        </w:rPr>
        <w:t>/</w:t>
      </w:r>
      <w:r w:rsidRPr="00026D6C">
        <w:rPr>
          <w:rStyle w:val="Hyperlink"/>
          <w:lang w:val="en-US"/>
        </w:rPr>
        <w:t>gca</w:t>
      </w:r>
      <w:r w:rsidRPr="006856B0">
        <w:rPr>
          <w:rStyle w:val="Hyperlink"/>
          <w:lang w:val="ru-RU"/>
        </w:rPr>
        <w:t>-</w:t>
      </w:r>
      <w:r w:rsidRPr="00026D6C">
        <w:rPr>
          <w:rStyle w:val="Hyperlink"/>
          <w:lang w:val="en-US"/>
        </w:rPr>
        <w:t>guidelines</w:t>
      </w:r>
      <w:r w:rsidRPr="006856B0">
        <w:rPr>
          <w:rStyle w:val="Hyperlink"/>
          <w:lang w:val="ru-RU"/>
        </w:rPr>
        <w:t>.</w:t>
      </w:r>
      <w:r w:rsidRPr="00026D6C">
        <w:rPr>
          <w:rStyle w:val="Hyperlink"/>
          <w:lang w:val="en-US"/>
        </w:rPr>
        <w:t>aspx</w:t>
      </w:r>
      <w:r w:rsidR="000E5E36">
        <w:rPr>
          <w:rStyle w:val="Hyperlink"/>
          <w:lang w:val="en-US"/>
        </w:rPr>
        <w:fldChar w:fldCharType="end"/>
      </w:r>
      <w:r w:rsidRPr="006856B0">
        <w:rPr>
          <w:lang w:val="ru-RU"/>
        </w:rPr>
        <w:t>.</w:t>
      </w:r>
    </w:p>
  </w:footnote>
  <w:footnote w:id="5">
    <w:p w14:paraId="6517A980" w14:textId="0953AD93" w:rsidR="00094DB2" w:rsidRPr="00094DB2" w:rsidRDefault="00094DB2">
      <w:pPr>
        <w:pStyle w:val="FootnoteText"/>
        <w:rPr>
          <w:lang w:val="ru-RU"/>
        </w:rPr>
      </w:pPr>
      <w:r w:rsidRPr="00094DB2">
        <w:rPr>
          <w:rStyle w:val="FootnoteReference"/>
          <w:lang w:val="ru-RU"/>
        </w:rPr>
        <w:t>5</w:t>
      </w:r>
      <w:r w:rsidRPr="00094DB2">
        <w:rPr>
          <w:lang w:val="ru-RU"/>
        </w:rPr>
        <w:t xml:space="preserve"> </w:t>
      </w:r>
      <w:r w:rsidRPr="00094DB2">
        <w:rPr>
          <w:lang w:val="ru-RU"/>
        </w:rPr>
        <w:tab/>
      </w:r>
      <w:r>
        <w:rPr>
          <w:lang w:val="ru-RU"/>
        </w:rPr>
        <w:t>С</w:t>
      </w:r>
      <w:r w:rsidRPr="00063216">
        <w:rPr>
          <w:lang w:val="ru-RU"/>
        </w:rPr>
        <w:t>удь</w:t>
      </w:r>
      <w:r>
        <w:rPr>
          <w:lang w:val="ru-RU"/>
        </w:rPr>
        <w:t>я</w:t>
      </w:r>
      <w:r w:rsidRPr="00063216">
        <w:rPr>
          <w:lang w:val="ru-RU"/>
        </w:rPr>
        <w:t xml:space="preserve"> Штайн Шольберг</w:t>
      </w:r>
      <w:r w:rsidRPr="002A4A19">
        <w:rPr>
          <w:lang w:val="ru-RU"/>
        </w:rPr>
        <w:t xml:space="preserve">: </w:t>
      </w:r>
      <w:r>
        <w:rPr>
          <w:lang w:val="ru-RU"/>
        </w:rPr>
        <w:t xml:space="preserve">Отчет Председателя </w:t>
      </w:r>
      <w:r>
        <w:rPr>
          <w:lang w:val="en-US"/>
        </w:rPr>
        <w:t>HLEG</w:t>
      </w:r>
      <w:r w:rsidRPr="002A4A19">
        <w:rPr>
          <w:lang w:val="ru-RU"/>
        </w:rPr>
        <w:t xml:space="preserve">: </w:t>
      </w:r>
      <w:r w:rsidR="000E5E36">
        <w:fldChar w:fldCharType="begin"/>
      </w:r>
      <w:r w:rsidR="000E5E36" w:rsidRPr="000E5E36">
        <w:rPr>
          <w:lang w:val="ru-RU"/>
        </w:rPr>
        <w:instrText xml:space="preserve"> </w:instrText>
      </w:r>
      <w:r w:rsidR="000E5E36">
        <w:instrText>HYPERLINK</w:instrText>
      </w:r>
      <w:r w:rsidR="000E5E36" w:rsidRPr="000E5E36">
        <w:rPr>
          <w:lang w:val="ru-RU"/>
        </w:rPr>
        <w:instrText xml:space="preserve"> "</w:instrText>
      </w:r>
      <w:r w:rsidR="000E5E36">
        <w:instrText>https</w:instrText>
      </w:r>
      <w:r w:rsidR="000E5E36" w:rsidRPr="000E5E36">
        <w:rPr>
          <w:lang w:val="ru-RU"/>
        </w:rPr>
        <w:instrText>://</w:instrText>
      </w:r>
      <w:r w:rsidR="000E5E36">
        <w:instrText>www</w:instrText>
      </w:r>
      <w:r w:rsidR="000E5E36" w:rsidRPr="000E5E36">
        <w:rPr>
          <w:lang w:val="ru-RU"/>
        </w:rPr>
        <w:instrText>.</w:instrText>
      </w:r>
      <w:r w:rsidR="000E5E36">
        <w:instrText>itu</w:instrText>
      </w:r>
      <w:r w:rsidR="000E5E36" w:rsidRPr="000E5E36">
        <w:rPr>
          <w:lang w:val="ru-RU"/>
        </w:rPr>
        <w:instrText>.</w:instrText>
      </w:r>
      <w:r w:rsidR="000E5E36">
        <w:instrText>int</w:instrText>
      </w:r>
      <w:r w:rsidR="000E5E36" w:rsidRPr="000E5E36">
        <w:rPr>
          <w:lang w:val="ru-RU"/>
        </w:rPr>
        <w:instrText>/</w:instrText>
      </w:r>
      <w:r w:rsidR="000E5E36">
        <w:instrText>en</w:instrText>
      </w:r>
      <w:r w:rsidR="000E5E36" w:rsidRPr="000E5E36">
        <w:rPr>
          <w:lang w:val="ru-RU"/>
        </w:rPr>
        <w:instrText>/</w:instrText>
      </w:r>
      <w:r w:rsidR="000E5E36">
        <w:instrText>action</w:instrText>
      </w:r>
      <w:r w:rsidR="000E5E36" w:rsidRPr="000E5E36">
        <w:rPr>
          <w:lang w:val="ru-RU"/>
        </w:rPr>
        <w:instrText>/</w:instrText>
      </w:r>
      <w:r w:rsidR="000E5E36">
        <w:instrText>cybersecurity</w:instrText>
      </w:r>
      <w:r w:rsidR="000E5E36" w:rsidRPr="000E5E36">
        <w:rPr>
          <w:lang w:val="ru-RU"/>
        </w:rPr>
        <w:instrText>/</w:instrText>
      </w:r>
      <w:r w:rsidR="000E5E36">
        <w:instrText>Pages</w:instrText>
      </w:r>
      <w:r w:rsidR="000E5E36" w:rsidRPr="000E5E36">
        <w:rPr>
          <w:lang w:val="ru-RU"/>
        </w:rPr>
        <w:instrText>/</w:instrText>
      </w:r>
      <w:r w:rsidR="000E5E36">
        <w:instrText>gca</w:instrText>
      </w:r>
      <w:r w:rsidR="000E5E36" w:rsidRPr="000E5E36">
        <w:rPr>
          <w:lang w:val="ru-RU"/>
        </w:rPr>
        <w:instrText>.</w:instrText>
      </w:r>
      <w:r w:rsidR="000E5E36">
        <w:instrText>aspx</w:instrText>
      </w:r>
      <w:r w:rsidR="000E5E36" w:rsidRPr="000E5E36">
        <w:rPr>
          <w:lang w:val="ru-RU"/>
        </w:rPr>
        <w:instrText xml:space="preserve">" </w:instrText>
      </w:r>
      <w:r w:rsidR="000E5E36">
        <w:fldChar w:fldCharType="separate"/>
      </w:r>
      <w:r w:rsidRPr="0006160B">
        <w:rPr>
          <w:rStyle w:val="Hyperlink"/>
          <w:rFonts w:asciiTheme="minorHAnsi" w:hAnsiTheme="minorHAnsi" w:cstheme="minorHAnsi"/>
        </w:rPr>
        <w:t>https</w:t>
      </w:r>
      <w:r w:rsidRPr="002A4A19">
        <w:rPr>
          <w:rStyle w:val="Hyperlink"/>
          <w:rFonts w:asciiTheme="minorHAnsi" w:hAnsiTheme="minorHAnsi" w:cstheme="minorHAnsi"/>
          <w:lang w:val="ru-RU"/>
        </w:rPr>
        <w:t>://</w:t>
      </w:r>
      <w:r w:rsidRPr="0006160B">
        <w:rPr>
          <w:rStyle w:val="Hyperlink"/>
          <w:rFonts w:asciiTheme="minorHAnsi" w:hAnsiTheme="minorHAnsi" w:cstheme="minorHAnsi"/>
        </w:rPr>
        <w:t>www</w:t>
      </w:r>
      <w:r w:rsidRPr="002A4A19">
        <w:rPr>
          <w:rStyle w:val="Hyperlink"/>
          <w:rFonts w:asciiTheme="minorHAnsi" w:hAnsiTheme="minorHAnsi" w:cstheme="minorHAnsi"/>
          <w:lang w:val="ru-RU"/>
        </w:rPr>
        <w:t>.</w:t>
      </w:r>
      <w:r w:rsidRPr="0006160B">
        <w:rPr>
          <w:rStyle w:val="Hyperlink"/>
          <w:rFonts w:asciiTheme="minorHAnsi" w:hAnsiTheme="minorHAnsi" w:cstheme="minorHAnsi"/>
        </w:rPr>
        <w:t>itu</w:t>
      </w:r>
      <w:r w:rsidRPr="002A4A19">
        <w:rPr>
          <w:rStyle w:val="Hyperlink"/>
          <w:rFonts w:asciiTheme="minorHAnsi" w:hAnsiTheme="minorHAnsi" w:cstheme="minorHAnsi"/>
          <w:lang w:val="ru-RU"/>
        </w:rPr>
        <w:t>.</w:t>
      </w:r>
      <w:r w:rsidRPr="0006160B">
        <w:rPr>
          <w:rStyle w:val="Hyperlink"/>
          <w:rFonts w:asciiTheme="minorHAnsi" w:hAnsiTheme="minorHAnsi" w:cstheme="minorHAnsi"/>
        </w:rPr>
        <w:t>int</w:t>
      </w:r>
      <w:r w:rsidRPr="002A4A19">
        <w:rPr>
          <w:rStyle w:val="Hyperlink"/>
          <w:rFonts w:asciiTheme="minorHAnsi" w:hAnsiTheme="minorHAnsi" w:cstheme="minorHAnsi"/>
          <w:lang w:val="ru-RU"/>
        </w:rPr>
        <w:t>/</w:t>
      </w:r>
      <w:r w:rsidRPr="0006160B">
        <w:rPr>
          <w:rStyle w:val="Hyperlink"/>
          <w:rFonts w:asciiTheme="minorHAnsi" w:hAnsiTheme="minorHAnsi" w:cstheme="minorHAnsi"/>
        </w:rPr>
        <w:t>en</w:t>
      </w:r>
      <w:r w:rsidRPr="002A4A19">
        <w:rPr>
          <w:rStyle w:val="Hyperlink"/>
          <w:rFonts w:asciiTheme="minorHAnsi" w:hAnsiTheme="minorHAnsi" w:cstheme="minorHAnsi"/>
          <w:lang w:val="ru-RU"/>
        </w:rPr>
        <w:t>/</w:t>
      </w:r>
      <w:r w:rsidRPr="0006160B">
        <w:rPr>
          <w:rStyle w:val="Hyperlink"/>
          <w:rFonts w:asciiTheme="minorHAnsi" w:hAnsiTheme="minorHAnsi" w:cstheme="minorHAnsi"/>
        </w:rPr>
        <w:t>action</w:t>
      </w:r>
      <w:r w:rsidRPr="002A4A19">
        <w:rPr>
          <w:rStyle w:val="Hyperlink"/>
          <w:rFonts w:asciiTheme="minorHAnsi" w:hAnsiTheme="minorHAnsi" w:cstheme="minorHAnsi"/>
          <w:lang w:val="ru-RU"/>
        </w:rPr>
        <w:t>/</w:t>
      </w:r>
      <w:r w:rsidRPr="0006160B">
        <w:rPr>
          <w:rStyle w:val="Hyperlink"/>
          <w:rFonts w:asciiTheme="minorHAnsi" w:hAnsiTheme="minorHAnsi" w:cstheme="minorHAnsi"/>
        </w:rPr>
        <w:t>cybersecurity</w:t>
      </w:r>
      <w:r w:rsidRPr="002A4A19">
        <w:rPr>
          <w:rStyle w:val="Hyperlink"/>
          <w:rFonts w:asciiTheme="minorHAnsi" w:hAnsiTheme="minorHAnsi" w:cstheme="minorHAnsi"/>
          <w:lang w:val="ru-RU"/>
        </w:rPr>
        <w:t>/</w:t>
      </w:r>
      <w:r w:rsidRPr="0006160B">
        <w:rPr>
          <w:rStyle w:val="Hyperlink"/>
          <w:rFonts w:asciiTheme="minorHAnsi" w:hAnsiTheme="minorHAnsi" w:cstheme="minorHAnsi"/>
        </w:rPr>
        <w:t>Pages</w:t>
      </w:r>
      <w:r w:rsidRPr="002A4A19">
        <w:rPr>
          <w:rStyle w:val="Hyperlink"/>
          <w:rFonts w:asciiTheme="minorHAnsi" w:hAnsiTheme="minorHAnsi" w:cstheme="minorHAnsi"/>
          <w:lang w:val="ru-RU"/>
        </w:rPr>
        <w:t>/</w:t>
      </w:r>
      <w:r w:rsidRPr="0006160B">
        <w:rPr>
          <w:rStyle w:val="Hyperlink"/>
          <w:rFonts w:asciiTheme="minorHAnsi" w:hAnsiTheme="minorHAnsi" w:cstheme="minorHAnsi"/>
        </w:rPr>
        <w:t>gca</w:t>
      </w:r>
      <w:r w:rsidRPr="002A4A19">
        <w:rPr>
          <w:rStyle w:val="Hyperlink"/>
          <w:rFonts w:asciiTheme="minorHAnsi" w:hAnsiTheme="minorHAnsi" w:cstheme="minorHAnsi"/>
          <w:lang w:val="ru-RU"/>
        </w:rPr>
        <w:t>.</w:t>
      </w:r>
      <w:r w:rsidRPr="0006160B">
        <w:rPr>
          <w:rStyle w:val="Hyperlink"/>
          <w:rFonts w:asciiTheme="minorHAnsi" w:hAnsiTheme="minorHAnsi" w:cstheme="minorHAnsi"/>
        </w:rPr>
        <w:t>aspx</w:t>
      </w:r>
      <w:r w:rsidR="000E5E36">
        <w:rPr>
          <w:rStyle w:val="Hyperlink"/>
          <w:rFonts w:asciiTheme="minorHAnsi" w:hAnsiTheme="minorHAnsi" w:cstheme="minorHAnsi"/>
        </w:rPr>
        <w:fldChar w:fldCharType="end"/>
      </w:r>
      <w:r w:rsidRPr="002A4A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4133BEAC" w:rsidR="002A4A19" w:rsidRDefault="002A4A19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71A9E69" w14:textId="2C853616" w:rsidR="002A4A19" w:rsidRDefault="002A4A19" w:rsidP="005B3DEC">
    <w:pPr>
      <w:pStyle w:val="Header"/>
      <w:spacing w:after="480"/>
    </w:pPr>
    <w:r>
      <w:t>C20/36-R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26D6C"/>
    <w:rsid w:val="00037DC7"/>
    <w:rsid w:val="000569B4"/>
    <w:rsid w:val="00057957"/>
    <w:rsid w:val="00063216"/>
    <w:rsid w:val="00080E82"/>
    <w:rsid w:val="00094DB2"/>
    <w:rsid w:val="000C53BE"/>
    <w:rsid w:val="000E568E"/>
    <w:rsid w:val="000E5E36"/>
    <w:rsid w:val="00100F02"/>
    <w:rsid w:val="00103FFB"/>
    <w:rsid w:val="00137851"/>
    <w:rsid w:val="0014734F"/>
    <w:rsid w:val="00155675"/>
    <w:rsid w:val="0015710D"/>
    <w:rsid w:val="00163A32"/>
    <w:rsid w:val="00166483"/>
    <w:rsid w:val="00192B41"/>
    <w:rsid w:val="001B7B09"/>
    <w:rsid w:val="001D637A"/>
    <w:rsid w:val="001E2435"/>
    <w:rsid w:val="001E6719"/>
    <w:rsid w:val="00225368"/>
    <w:rsid w:val="00227FF0"/>
    <w:rsid w:val="00291EB6"/>
    <w:rsid w:val="002A01D0"/>
    <w:rsid w:val="002A4A19"/>
    <w:rsid w:val="002C5B7B"/>
    <w:rsid w:val="002D2F57"/>
    <w:rsid w:val="002D48C5"/>
    <w:rsid w:val="002E4DFD"/>
    <w:rsid w:val="00330D84"/>
    <w:rsid w:val="00336E4D"/>
    <w:rsid w:val="0036276D"/>
    <w:rsid w:val="00384F4E"/>
    <w:rsid w:val="003D2BA5"/>
    <w:rsid w:val="003F099E"/>
    <w:rsid w:val="003F235E"/>
    <w:rsid w:val="004023E0"/>
    <w:rsid w:val="00403DD8"/>
    <w:rsid w:val="004302E5"/>
    <w:rsid w:val="00442515"/>
    <w:rsid w:val="0045686C"/>
    <w:rsid w:val="00467907"/>
    <w:rsid w:val="00484AFB"/>
    <w:rsid w:val="004918C4"/>
    <w:rsid w:val="00491931"/>
    <w:rsid w:val="00497703"/>
    <w:rsid w:val="004A0374"/>
    <w:rsid w:val="004A16BF"/>
    <w:rsid w:val="004A45B5"/>
    <w:rsid w:val="004D0129"/>
    <w:rsid w:val="004D57E1"/>
    <w:rsid w:val="0052662D"/>
    <w:rsid w:val="0058616B"/>
    <w:rsid w:val="00590DE6"/>
    <w:rsid w:val="005A1756"/>
    <w:rsid w:val="005A34C6"/>
    <w:rsid w:val="005A64D5"/>
    <w:rsid w:val="005B3DEC"/>
    <w:rsid w:val="005C380E"/>
    <w:rsid w:val="005D21A9"/>
    <w:rsid w:val="00601994"/>
    <w:rsid w:val="00656819"/>
    <w:rsid w:val="006856B0"/>
    <w:rsid w:val="006A4F0D"/>
    <w:rsid w:val="006A75CE"/>
    <w:rsid w:val="006C3F2F"/>
    <w:rsid w:val="006E2D42"/>
    <w:rsid w:val="00703676"/>
    <w:rsid w:val="00707304"/>
    <w:rsid w:val="00732269"/>
    <w:rsid w:val="00746CB6"/>
    <w:rsid w:val="00782DFD"/>
    <w:rsid w:val="00785ABD"/>
    <w:rsid w:val="007A2DD4"/>
    <w:rsid w:val="007D38B5"/>
    <w:rsid w:val="007E6196"/>
    <w:rsid w:val="007E7EA0"/>
    <w:rsid w:val="00807255"/>
    <w:rsid w:val="0081023E"/>
    <w:rsid w:val="008173AA"/>
    <w:rsid w:val="0082669E"/>
    <w:rsid w:val="00840A14"/>
    <w:rsid w:val="00881406"/>
    <w:rsid w:val="008B0087"/>
    <w:rsid w:val="008B62B4"/>
    <w:rsid w:val="008C200A"/>
    <w:rsid w:val="008D2D7B"/>
    <w:rsid w:val="008E0737"/>
    <w:rsid w:val="008F7C2C"/>
    <w:rsid w:val="00912B04"/>
    <w:rsid w:val="00940E96"/>
    <w:rsid w:val="0094512F"/>
    <w:rsid w:val="00963B6A"/>
    <w:rsid w:val="009B0BAE"/>
    <w:rsid w:val="009C1C89"/>
    <w:rsid w:val="009C7289"/>
    <w:rsid w:val="009F3448"/>
    <w:rsid w:val="00A01CF9"/>
    <w:rsid w:val="00A05C87"/>
    <w:rsid w:val="00A2443E"/>
    <w:rsid w:val="00A63C1C"/>
    <w:rsid w:val="00A71773"/>
    <w:rsid w:val="00A90A2E"/>
    <w:rsid w:val="00AB5FCD"/>
    <w:rsid w:val="00AE2C85"/>
    <w:rsid w:val="00B12A37"/>
    <w:rsid w:val="00B63EF2"/>
    <w:rsid w:val="00B7547D"/>
    <w:rsid w:val="00BA05B9"/>
    <w:rsid w:val="00BA7D89"/>
    <w:rsid w:val="00BC0D39"/>
    <w:rsid w:val="00BC7BC0"/>
    <w:rsid w:val="00BD57B7"/>
    <w:rsid w:val="00BE63E2"/>
    <w:rsid w:val="00C12DAE"/>
    <w:rsid w:val="00CD2009"/>
    <w:rsid w:val="00CF4356"/>
    <w:rsid w:val="00CF629C"/>
    <w:rsid w:val="00D05094"/>
    <w:rsid w:val="00D158D9"/>
    <w:rsid w:val="00D351D5"/>
    <w:rsid w:val="00D92EEA"/>
    <w:rsid w:val="00DA5D4E"/>
    <w:rsid w:val="00E176BA"/>
    <w:rsid w:val="00E4113A"/>
    <w:rsid w:val="00E423EC"/>
    <w:rsid w:val="00E55121"/>
    <w:rsid w:val="00E64289"/>
    <w:rsid w:val="00EB4FCB"/>
    <w:rsid w:val="00EB63EF"/>
    <w:rsid w:val="00EC6BC5"/>
    <w:rsid w:val="00F35898"/>
    <w:rsid w:val="00F5225B"/>
    <w:rsid w:val="00F52EDA"/>
    <w:rsid w:val="00F56AE7"/>
    <w:rsid w:val="00F91D8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48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action/cybersecurity/Pages/gca.aspx" TargetMode="External"/><Relationship Id="rId18" Type="http://schemas.openxmlformats.org/officeDocument/2006/relationships/hyperlink" Target="https://www.itu.int/en/action/cybersecurity/Pages/gca.aspx" TargetMode="External"/><Relationship Id="rId26" Type="http://schemas.openxmlformats.org/officeDocument/2006/relationships/hyperlink" Target="https://www.itu.int/md/S15-CL-C-0018/en" TargetMode="External"/><Relationship Id="rId39" Type="http://schemas.openxmlformats.org/officeDocument/2006/relationships/hyperlink" Target="https://www.itu.int/en/ITU-T/focusgroups/vm/Pages/default.aspx" TargetMode="External"/><Relationship Id="rId21" Type="http://schemas.openxmlformats.org/officeDocument/2006/relationships/hyperlink" Target="https://www.itu.int/md/S10-CL-C-0012/en" TargetMode="External"/><Relationship Id="rId34" Type="http://schemas.openxmlformats.org/officeDocument/2006/relationships/hyperlink" Target="https://www.itu.int/ru/mediacentre/backgrounders/Pages/itu-study-groups.aspx" TargetMode="External"/><Relationship Id="rId42" Type="http://schemas.openxmlformats.org/officeDocument/2006/relationships/hyperlink" Target="https://www.itu.int/en/ITU-D/Cybersecurity/Pages/national-CIRT.aspx" TargetMode="External"/><Relationship Id="rId47" Type="http://schemas.openxmlformats.org/officeDocument/2006/relationships/hyperlink" Target="https://www.itu.int/net4/wsis/forum/2019/ru" TargetMode="External"/><Relationship Id="rId50" Type="http://schemas.openxmlformats.org/officeDocument/2006/relationships/hyperlink" Target="https://www.itu.int/en/cop/Pages/guidelines.aspx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action/cybersecurity/Pages/gca.aspx" TargetMode="External"/><Relationship Id="rId29" Type="http://schemas.openxmlformats.org/officeDocument/2006/relationships/hyperlink" Target="https://www.itu.int/md/S18-CL-C-0018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13-CL-C-0023/en" TargetMode="External"/><Relationship Id="rId32" Type="http://schemas.openxmlformats.org/officeDocument/2006/relationships/hyperlink" Target="https://www.itu.int/en/cop/Pages/default.aspx" TargetMode="External"/><Relationship Id="rId37" Type="http://schemas.openxmlformats.org/officeDocument/2006/relationships/hyperlink" Target="https://www.itu.int/en/ITU-T/focusgroups/net2030/Pages/default.aspx" TargetMode="External"/><Relationship Id="rId40" Type="http://schemas.openxmlformats.org/officeDocument/2006/relationships/hyperlink" Target="https://www.itu.int/en/ITU-T/focusgroups/ai4ad/Pages/default.aspx" TargetMode="External"/><Relationship Id="rId45" Type="http://schemas.openxmlformats.org/officeDocument/2006/relationships/hyperlink" Target="https://www.itu.int/dms_pub/itu-d/opb/str/D-STR-CYB_GUIDE.01-2018-PDF-R.pdf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08-CL-C-0033/en" TargetMode="External"/><Relationship Id="rId31" Type="http://schemas.openxmlformats.org/officeDocument/2006/relationships/hyperlink" Target="https://www.itu.int/md/S20-CL-C-0018/en" TargetMode="External"/><Relationship Id="rId44" Type="http://schemas.openxmlformats.org/officeDocument/2006/relationships/hyperlink" Target="http://www.itu.int/en/ITU-D/Cybersecurity/Pages/Events.aspx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L-C-0117/en" TargetMode="External"/><Relationship Id="rId22" Type="http://schemas.openxmlformats.org/officeDocument/2006/relationships/hyperlink" Target="https://www.itu.int/md/S11-CL-C-0054/en" TargetMode="External"/><Relationship Id="rId27" Type="http://schemas.openxmlformats.org/officeDocument/2006/relationships/hyperlink" Target="https://www.itu.int/md/S16-CL-C-0018/en" TargetMode="External"/><Relationship Id="rId30" Type="http://schemas.openxmlformats.org/officeDocument/2006/relationships/hyperlink" Target="https://www.itu.int/md/S19-CL-C-0018/en" TargetMode="External"/><Relationship Id="rId35" Type="http://schemas.openxmlformats.org/officeDocument/2006/relationships/hyperlink" Target="https://www.itu.int/ru/ITU-T/studygroups/2013-2016/17/Pages/default.aspx" TargetMode="External"/><Relationship Id="rId43" Type="http://schemas.openxmlformats.org/officeDocument/2006/relationships/hyperlink" Target="https://www.itu.int/en/ITU-D/Cybersecurity/Pages/cyberdrills.aspx" TargetMode="External"/><Relationship Id="rId48" Type="http://schemas.openxmlformats.org/officeDocument/2006/relationships/hyperlink" Target="https://www.itu.int/en/ITU-D/Cybersecurity/Pages/COP.aspx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action/cybersecurity/Pages/gca.aspx" TargetMode="External"/><Relationship Id="rId17" Type="http://schemas.openxmlformats.org/officeDocument/2006/relationships/hyperlink" Target="https://www.itu.int/md/S20-CL-C-0065/en" TargetMode="External"/><Relationship Id="rId25" Type="http://schemas.openxmlformats.org/officeDocument/2006/relationships/hyperlink" Target="https://www.itu.int/md/S14-CL-C-0023/en" TargetMode="External"/><Relationship Id="rId33" Type="http://schemas.openxmlformats.org/officeDocument/2006/relationships/hyperlink" Target="http://www.itu.int/en/ITU-D/Cybersecurity/Pages/Legal-Measures.aspx" TargetMode="External"/><Relationship Id="rId38" Type="http://schemas.openxmlformats.org/officeDocument/2006/relationships/hyperlink" Target="https://www.itu.int/en/ITU-T/focusgroups/ai4h" TargetMode="External"/><Relationship Id="rId46" Type="http://schemas.openxmlformats.org/officeDocument/2006/relationships/hyperlink" Target="https://www.itu.int/en/ITU-D/Cybersecurity/Pages/global-cybersecurity-index.aspx" TargetMode="External"/><Relationship Id="rId20" Type="http://schemas.openxmlformats.org/officeDocument/2006/relationships/hyperlink" Target="https://www.itu.int/md/S09-CL-C-0050/en" TargetMode="External"/><Relationship Id="rId41" Type="http://schemas.openxmlformats.org/officeDocument/2006/relationships/hyperlink" Target="https://www.itu.int/en/ITU-T/focusgroups/qit4n/Pages/default.asp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S19-CL-C-0058/en" TargetMode="External"/><Relationship Id="rId23" Type="http://schemas.openxmlformats.org/officeDocument/2006/relationships/hyperlink" Target="https://www.itu.int/md/S12-CL-C-0029/en" TargetMode="External"/><Relationship Id="rId28" Type="http://schemas.openxmlformats.org/officeDocument/2006/relationships/hyperlink" Target="https://www.itu.int/md/S17-CL-C-0018/en" TargetMode="External"/><Relationship Id="rId36" Type="http://schemas.openxmlformats.org/officeDocument/2006/relationships/hyperlink" Target="https://www.itu.int/en/ITU-T/focusgroups/ml5g/Pages/default.aspx" TargetMode="External"/><Relationship Id="rId49" Type="http://schemas.openxmlformats.org/officeDocument/2006/relationships/hyperlink" Target="https://www.itu.int/en/ITU-D/Cybersecurity/Pages/COP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8370-A9E1-4E8D-BDD7-A27210EB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8912E-8379-492A-973B-62A47C602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2AAB2-2865-4F33-A7F9-8F4DC3E0F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57FA9C-FAB1-43B7-AEB9-29CF81A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7</Pages>
  <Words>2470</Words>
  <Characters>20015</Characters>
  <Application>Microsoft Office Word</Application>
  <DocSecurity>4</DocSecurity>
  <Lines>166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22441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how ITU is currently utilizing the GCA framework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2020-06-02T10:32:00Z</dcterms:created>
  <dcterms:modified xsi:type="dcterms:W3CDTF">2020-06-02T10:32:00Z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