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7A4EFE" w14:paraId="55EB5BC7" w14:textId="77777777">
        <w:trPr>
          <w:cantSplit/>
        </w:trPr>
        <w:tc>
          <w:tcPr>
            <w:tcW w:w="6912" w:type="dxa"/>
          </w:tcPr>
          <w:p w14:paraId="6FC1D779" w14:textId="77777777" w:rsidR="00093EEB" w:rsidRPr="007A4EFE" w:rsidRDefault="00093EEB" w:rsidP="00C2727F">
            <w:pPr>
              <w:spacing w:before="360"/>
              <w:rPr>
                <w:szCs w:val="24"/>
              </w:rPr>
            </w:pPr>
            <w:bookmarkStart w:id="0" w:name="dc06"/>
            <w:bookmarkStart w:id="1" w:name="dbluepink" w:colFirst="0" w:colLast="0"/>
            <w:bookmarkEnd w:id="0"/>
            <w:r w:rsidRPr="007A4EFE">
              <w:rPr>
                <w:b/>
                <w:bCs/>
                <w:sz w:val="30"/>
                <w:szCs w:val="30"/>
              </w:rPr>
              <w:t>Consejo 20</w:t>
            </w:r>
            <w:r w:rsidR="007955DA" w:rsidRPr="007A4EFE">
              <w:rPr>
                <w:b/>
                <w:bCs/>
                <w:sz w:val="30"/>
                <w:szCs w:val="30"/>
              </w:rPr>
              <w:t>20</w:t>
            </w:r>
            <w:r w:rsidRPr="007A4EFE">
              <w:rPr>
                <w:b/>
                <w:bCs/>
                <w:sz w:val="26"/>
                <w:szCs w:val="26"/>
              </w:rPr>
              <w:br/>
            </w:r>
            <w:r w:rsidRPr="007A4EFE">
              <w:rPr>
                <w:b/>
                <w:bCs/>
                <w:szCs w:val="24"/>
              </w:rPr>
              <w:t xml:space="preserve">Ginebra, </w:t>
            </w:r>
            <w:r w:rsidR="007955DA" w:rsidRPr="007A4EFE">
              <w:rPr>
                <w:b/>
                <w:bCs/>
                <w:szCs w:val="24"/>
              </w:rPr>
              <w:t>9</w:t>
            </w:r>
            <w:r w:rsidRPr="007A4EFE">
              <w:rPr>
                <w:b/>
                <w:bCs/>
                <w:szCs w:val="24"/>
              </w:rPr>
              <w:t>-</w:t>
            </w:r>
            <w:r w:rsidR="007955DA" w:rsidRPr="007A4EFE">
              <w:rPr>
                <w:b/>
                <w:bCs/>
                <w:szCs w:val="24"/>
              </w:rPr>
              <w:t>19</w:t>
            </w:r>
            <w:r w:rsidRPr="007A4EFE">
              <w:rPr>
                <w:b/>
                <w:bCs/>
                <w:szCs w:val="24"/>
              </w:rPr>
              <w:t xml:space="preserve"> de </w:t>
            </w:r>
            <w:r w:rsidR="00C2727F" w:rsidRPr="007A4EFE">
              <w:rPr>
                <w:b/>
                <w:bCs/>
                <w:szCs w:val="24"/>
              </w:rPr>
              <w:t>junio</w:t>
            </w:r>
            <w:r w:rsidRPr="007A4EFE">
              <w:rPr>
                <w:b/>
                <w:bCs/>
                <w:szCs w:val="24"/>
              </w:rPr>
              <w:t xml:space="preserve"> de 20</w:t>
            </w:r>
            <w:r w:rsidR="007955DA" w:rsidRPr="007A4EFE">
              <w:rPr>
                <w:b/>
                <w:bCs/>
                <w:szCs w:val="24"/>
              </w:rPr>
              <w:t>20</w:t>
            </w:r>
          </w:p>
        </w:tc>
        <w:tc>
          <w:tcPr>
            <w:tcW w:w="3261" w:type="dxa"/>
          </w:tcPr>
          <w:p w14:paraId="7A742CE6" w14:textId="77777777" w:rsidR="00093EEB" w:rsidRPr="007A4EFE" w:rsidRDefault="007955DA" w:rsidP="007955DA">
            <w:pPr>
              <w:spacing w:before="0"/>
              <w:rPr>
                <w:szCs w:val="24"/>
              </w:rPr>
            </w:pPr>
            <w:bookmarkStart w:id="2" w:name="ditulogo"/>
            <w:bookmarkEnd w:id="2"/>
            <w:r w:rsidRPr="007A4EFE">
              <w:rPr>
                <w:noProof/>
              </w:rPr>
              <w:drawing>
                <wp:inline distT="0" distB="0" distL="0" distR="0" wp14:anchorId="5E2896BB" wp14:editId="562B78E5">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093EEB" w:rsidRPr="007A4EFE" w14:paraId="6FE52D0D" w14:textId="77777777">
        <w:trPr>
          <w:cantSplit/>
          <w:trHeight w:val="20"/>
        </w:trPr>
        <w:tc>
          <w:tcPr>
            <w:tcW w:w="10173" w:type="dxa"/>
            <w:gridSpan w:val="2"/>
            <w:tcBorders>
              <w:bottom w:val="single" w:sz="12" w:space="0" w:color="auto"/>
            </w:tcBorders>
          </w:tcPr>
          <w:p w14:paraId="412CD49C" w14:textId="77777777" w:rsidR="00093EEB" w:rsidRPr="007A4EFE" w:rsidRDefault="00093EEB">
            <w:pPr>
              <w:spacing w:before="0"/>
              <w:rPr>
                <w:b/>
                <w:bCs/>
                <w:szCs w:val="24"/>
              </w:rPr>
            </w:pPr>
          </w:p>
        </w:tc>
      </w:tr>
      <w:tr w:rsidR="00093EEB" w:rsidRPr="007A4EFE" w14:paraId="4804ACC9" w14:textId="77777777">
        <w:trPr>
          <w:cantSplit/>
          <w:trHeight w:val="20"/>
        </w:trPr>
        <w:tc>
          <w:tcPr>
            <w:tcW w:w="6912" w:type="dxa"/>
            <w:tcBorders>
              <w:top w:val="single" w:sz="12" w:space="0" w:color="auto"/>
            </w:tcBorders>
          </w:tcPr>
          <w:p w14:paraId="45FE3765" w14:textId="77777777" w:rsidR="00093EEB" w:rsidRPr="007A4EFE"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449FF848" w14:textId="77777777" w:rsidR="00093EEB" w:rsidRPr="007A4EFE" w:rsidRDefault="00093EEB">
            <w:pPr>
              <w:spacing w:before="0"/>
              <w:rPr>
                <w:b/>
                <w:bCs/>
                <w:szCs w:val="24"/>
              </w:rPr>
            </w:pPr>
          </w:p>
        </w:tc>
      </w:tr>
      <w:tr w:rsidR="00093EEB" w:rsidRPr="007A4EFE" w14:paraId="3ACD8692" w14:textId="77777777">
        <w:trPr>
          <w:cantSplit/>
          <w:trHeight w:val="20"/>
        </w:trPr>
        <w:tc>
          <w:tcPr>
            <w:tcW w:w="6912" w:type="dxa"/>
            <w:shd w:val="clear" w:color="auto" w:fill="auto"/>
          </w:tcPr>
          <w:p w14:paraId="7665718F" w14:textId="77777777" w:rsidR="00093EEB" w:rsidRPr="007A4EFE" w:rsidRDefault="00E54062">
            <w:pPr>
              <w:tabs>
                <w:tab w:val="clear" w:pos="2268"/>
                <w:tab w:val="left" w:pos="1560"/>
                <w:tab w:val="left" w:pos="2269"/>
                <w:tab w:val="left" w:pos="3544"/>
                <w:tab w:val="left" w:pos="3969"/>
              </w:tabs>
              <w:spacing w:before="0" w:line="240" w:lineRule="atLeast"/>
              <w:rPr>
                <w:rFonts w:cs="Times"/>
                <w:b/>
                <w:szCs w:val="24"/>
              </w:rPr>
            </w:pPr>
            <w:bookmarkStart w:id="3" w:name="dnum" w:colFirst="1" w:colLast="1"/>
            <w:bookmarkStart w:id="4" w:name="dmeeting" w:colFirst="0" w:colLast="0"/>
            <w:r w:rsidRPr="007A4EFE">
              <w:rPr>
                <w:rFonts w:cs="Times"/>
                <w:b/>
                <w:szCs w:val="24"/>
              </w:rPr>
              <w:t>Punto del orden del día: PL 1.3</w:t>
            </w:r>
          </w:p>
        </w:tc>
        <w:tc>
          <w:tcPr>
            <w:tcW w:w="3261" w:type="dxa"/>
          </w:tcPr>
          <w:p w14:paraId="2CC27349" w14:textId="77777777" w:rsidR="00093EEB" w:rsidRPr="007A4EFE" w:rsidRDefault="00093EEB" w:rsidP="00E54062">
            <w:pPr>
              <w:spacing w:before="0"/>
              <w:rPr>
                <w:b/>
                <w:bCs/>
                <w:szCs w:val="24"/>
              </w:rPr>
            </w:pPr>
            <w:r w:rsidRPr="007A4EFE">
              <w:rPr>
                <w:b/>
                <w:bCs/>
                <w:szCs w:val="24"/>
              </w:rPr>
              <w:t>Documento C</w:t>
            </w:r>
            <w:r w:rsidR="007955DA" w:rsidRPr="007A4EFE">
              <w:rPr>
                <w:b/>
                <w:bCs/>
                <w:szCs w:val="24"/>
              </w:rPr>
              <w:t>20</w:t>
            </w:r>
            <w:r w:rsidRPr="007A4EFE">
              <w:rPr>
                <w:b/>
                <w:bCs/>
                <w:szCs w:val="24"/>
              </w:rPr>
              <w:t>/</w:t>
            </w:r>
            <w:r w:rsidR="00E54062" w:rsidRPr="007A4EFE">
              <w:rPr>
                <w:b/>
                <w:bCs/>
                <w:szCs w:val="24"/>
              </w:rPr>
              <w:t>33</w:t>
            </w:r>
            <w:r w:rsidRPr="007A4EFE">
              <w:rPr>
                <w:b/>
                <w:bCs/>
                <w:szCs w:val="24"/>
              </w:rPr>
              <w:t>-S</w:t>
            </w:r>
          </w:p>
        </w:tc>
      </w:tr>
      <w:tr w:rsidR="00093EEB" w:rsidRPr="007A4EFE" w14:paraId="59A7D546" w14:textId="77777777">
        <w:trPr>
          <w:cantSplit/>
          <w:trHeight w:val="20"/>
        </w:trPr>
        <w:tc>
          <w:tcPr>
            <w:tcW w:w="6912" w:type="dxa"/>
            <w:shd w:val="clear" w:color="auto" w:fill="auto"/>
          </w:tcPr>
          <w:p w14:paraId="79B05AB7" w14:textId="77777777" w:rsidR="00093EEB" w:rsidRPr="007A4EFE" w:rsidRDefault="00093EEB">
            <w:pPr>
              <w:shd w:val="solid" w:color="FFFFFF" w:fill="FFFFFF"/>
              <w:spacing w:before="0"/>
              <w:rPr>
                <w:smallCaps/>
                <w:szCs w:val="24"/>
              </w:rPr>
            </w:pPr>
            <w:bookmarkStart w:id="5" w:name="ddate" w:colFirst="1" w:colLast="1"/>
            <w:bookmarkEnd w:id="3"/>
            <w:bookmarkEnd w:id="4"/>
          </w:p>
        </w:tc>
        <w:tc>
          <w:tcPr>
            <w:tcW w:w="3261" w:type="dxa"/>
          </w:tcPr>
          <w:p w14:paraId="7D9509D9" w14:textId="77777777" w:rsidR="00093EEB" w:rsidRPr="007A4EFE" w:rsidRDefault="00E54062" w:rsidP="00E54062">
            <w:pPr>
              <w:spacing w:before="0"/>
              <w:rPr>
                <w:b/>
                <w:bCs/>
                <w:szCs w:val="24"/>
              </w:rPr>
            </w:pPr>
            <w:r w:rsidRPr="007A4EFE">
              <w:rPr>
                <w:b/>
                <w:bCs/>
                <w:szCs w:val="24"/>
              </w:rPr>
              <w:t>30 de marzo</w:t>
            </w:r>
            <w:r w:rsidR="00093EEB" w:rsidRPr="007A4EFE">
              <w:rPr>
                <w:b/>
                <w:bCs/>
                <w:szCs w:val="24"/>
              </w:rPr>
              <w:t xml:space="preserve"> de 20</w:t>
            </w:r>
            <w:r w:rsidR="007955DA" w:rsidRPr="007A4EFE">
              <w:rPr>
                <w:b/>
                <w:bCs/>
                <w:szCs w:val="24"/>
              </w:rPr>
              <w:t>20</w:t>
            </w:r>
          </w:p>
        </w:tc>
      </w:tr>
      <w:tr w:rsidR="00093EEB" w:rsidRPr="007A4EFE" w14:paraId="7AB39E14" w14:textId="77777777">
        <w:trPr>
          <w:cantSplit/>
          <w:trHeight w:val="20"/>
        </w:trPr>
        <w:tc>
          <w:tcPr>
            <w:tcW w:w="6912" w:type="dxa"/>
            <w:shd w:val="clear" w:color="auto" w:fill="auto"/>
          </w:tcPr>
          <w:p w14:paraId="16ADB99F" w14:textId="77777777" w:rsidR="00093EEB" w:rsidRPr="007A4EFE" w:rsidRDefault="00093EEB">
            <w:pPr>
              <w:shd w:val="solid" w:color="FFFFFF" w:fill="FFFFFF"/>
              <w:spacing w:before="0"/>
              <w:rPr>
                <w:smallCaps/>
                <w:szCs w:val="24"/>
              </w:rPr>
            </w:pPr>
            <w:bookmarkStart w:id="6" w:name="dorlang" w:colFirst="1" w:colLast="1"/>
            <w:bookmarkEnd w:id="5"/>
          </w:p>
        </w:tc>
        <w:tc>
          <w:tcPr>
            <w:tcW w:w="3261" w:type="dxa"/>
          </w:tcPr>
          <w:p w14:paraId="21B6BE6A" w14:textId="77777777" w:rsidR="00093EEB" w:rsidRPr="007A4EFE" w:rsidRDefault="00093EEB" w:rsidP="00093EEB">
            <w:pPr>
              <w:spacing w:before="0"/>
              <w:rPr>
                <w:b/>
                <w:bCs/>
                <w:szCs w:val="24"/>
              </w:rPr>
            </w:pPr>
            <w:r w:rsidRPr="007A4EFE">
              <w:rPr>
                <w:b/>
                <w:bCs/>
                <w:szCs w:val="24"/>
              </w:rPr>
              <w:t>Original: inglés</w:t>
            </w:r>
          </w:p>
        </w:tc>
      </w:tr>
      <w:tr w:rsidR="00093EEB" w:rsidRPr="007A4EFE" w14:paraId="23BAA6D3" w14:textId="77777777">
        <w:trPr>
          <w:cantSplit/>
        </w:trPr>
        <w:tc>
          <w:tcPr>
            <w:tcW w:w="10173" w:type="dxa"/>
            <w:gridSpan w:val="2"/>
          </w:tcPr>
          <w:p w14:paraId="57C46099" w14:textId="77777777" w:rsidR="00093EEB" w:rsidRPr="007A4EFE" w:rsidRDefault="00E54062">
            <w:pPr>
              <w:pStyle w:val="Source"/>
            </w:pPr>
            <w:bookmarkStart w:id="7" w:name="dsource" w:colFirst="0" w:colLast="0"/>
            <w:bookmarkEnd w:id="1"/>
            <w:bookmarkEnd w:id="6"/>
            <w:r w:rsidRPr="007A4EFE">
              <w:t>Informe del Secretario General</w:t>
            </w:r>
          </w:p>
        </w:tc>
      </w:tr>
      <w:tr w:rsidR="00093EEB" w:rsidRPr="007A4EFE" w14:paraId="445D6D8C" w14:textId="77777777">
        <w:trPr>
          <w:cantSplit/>
        </w:trPr>
        <w:tc>
          <w:tcPr>
            <w:tcW w:w="10173" w:type="dxa"/>
            <w:gridSpan w:val="2"/>
          </w:tcPr>
          <w:p w14:paraId="4A9EACF1" w14:textId="77777777" w:rsidR="00093EEB" w:rsidRPr="007A4EFE" w:rsidRDefault="00E54062">
            <w:pPr>
              <w:pStyle w:val="Title1"/>
            </w:pPr>
            <w:bookmarkStart w:id="8" w:name="dtitle1" w:colFirst="0" w:colLast="0"/>
            <w:bookmarkStart w:id="9" w:name="_Hlk41564056"/>
            <w:bookmarkEnd w:id="7"/>
            <w:r w:rsidRPr="007A4EFE">
              <w:t>ACTIVIDADES DE LA UIT EN EL ÁMBITO DE INTERNET:</w:t>
            </w:r>
            <w:r w:rsidRPr="007A4EFE">
              <w:br/>
              <w:t>REsOLUCIONES 101, 102, 133, 180 y 206</w:t>
            </w:r>
            <w:bookmarkEnd w:id="9"/>
          </w:p>
        </w:tc>
      </w:tr>
      <w:bookmarkEnd w:id="8"/>
    </w:tbl>
    <w:p w14:paraId="4F405F16" w14:textId="77777777" w:rsidR="00093EEB" w:rsidRPr="007A4EFE" w:rsidRDefault="00093EEB"/>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093EEB" w:rsidRPr="007A4EFE" w14:paraId="7B041C9A" w14:textId="77777777">
        <w:trPr>
          <w:trHeight w:val="3372"/>
        </w:trPr>
        <w:tc>
          <w:tcPr>
            <w:tcW w:w="8080" w:type="dxa"/>
            <w:tcBorders>
              <w:top w:val="single" w:sz="12" w:space="0" w:color="auto"/>
              <w:left w:val="single" w:sz="12" w:space="0" w:color="auto"/>
              <w:bottom w:val="single" w:sz="12" w:space="0" w:color="auto"/>
              <w:right w:val="single" w:sz="12" w:space="0" w:color="auto"/>
            </w:tcBorders>
          </w:tcPr>
          <w:p w14:paraId="738CB6EA" w14:textId="77777777" w:rsidR="00093EEB" w:rsidRPr="007A4EFE" w:rsidRDefault="00093EEB">
            <w:pPr>
              <w:pStyle w:val="Headingb"/>
            </w:pPr>
            <w:r w:rsidRPr="007A4EFE">
              <w:t>Resumen</w:t>
            </w:r>
          </w:p>
          <w:p w14:paraId="78522CBC" w14:textId="77777777" w:rsidR="00093EEB" w:rsidRPr="007A4EFE" w:rsidRDefault="00E54062">
            <w:r w:rsidRPr="007A4EFE">
              <w:t xml:space="preserve">En el presente Informe se resumen las actividades realizadas por la UIT respecto de la Resolución 101 (Rev. Dubái, 2018): </w:t>
            </w:r>
            <w:r w:rsidR="00D75F66" w:rsidRPr="007A4EFE">
              <w:t>"</w:t>
            </w:r>
            <w:r w:rsidRPr="007A4EFE">
              <w:t>Redes basadas en el protocolo Internet</w:t>
            </w:r>
            <w:r w:rsidR="00D75F66" w:rsidRPr="007A4EFE">
              <w:t>"</w:t>
            </w:r>
            <w:r w:rsidRPr="007A4EFE">
              <w:t xml:space="preserve">, la Resolución 102 (Rev. Dubái, 2018): </w:t>
            </w:r>
            <w:r w:rsidR="00D75F66" w:rsidRPr="007A4EFE">
              <w:t>"</w:t>
            </w:r>
            <w:r w:rsidRPr="007A4EFE">
              <w:t>Función de la UIT con respecto a las cuestiones de política pública internacional relacionadas con Internet y la gestión de los recursos de Internet, incluidos los nombres de dominio y las direcciones</w:t>
            </w:r>
            <w:r w:rsidR="00D75F66" w:rsidRPr="007A4EFE">
              <w:t>"</w:t>
            </w:r>
            <w:r w:rsidRPr="007A4EFE">
              <w:t xml:space="preserve">, la Resolución 133 (Rev. Dubái, 2018): </w:t>
            </w:r>
            <w:r w:rsidR="00D75F66" w:rsidRPr="007A4EFE">
              <w:t>"</w:t>
            </w:r>
            <w:r w:rsidRPr="007A4EFE">
              <w:t>Función de las Administraciones de los Estados Miembros en la gestión de los nombres de dominio internacionalizados (plurilingües)</w:t>
            </w:r>
            <w:r w:rsidR="00D75F66" w:rsidRPr="007A4EFE">
              <w:t>"</w:t>
            </w:r>
            <w:r w:rsidRPr="007A4EFE">
              <w:t xml:space="preserve">, la Resolución 180 (Rev. Dubái, 2018): </w:t>
            </w:r>
            <w:r w:rsidR="00D75F66" w:rsidRPr="007A4EFE">
              <w:t>"</w:t>
            </w:r>
            <w:r w:rsidRPr="007A4EFE">
              <w:t>Facilitar la transición de IPv4 a IPv6</w:t>
            </w:r>
            <w:r w:rsidR="00D75F66" w:rsidRPr="007A4EFE">
              <w:t>"</w:t>
            </w:r>
            <w:r w:rsidRPr="007A4EFE">
              <w:t xml:space="preserve"> de la Conferencia de Plenipotenciarios (PP) y la Resolución 206 (Dubái, 2018) </w:t>
            </w:r>
            <w:r w:rsidR="00D75F66" w:rsidRPr="007A4EFE">
              <w:t>"</w:t>
            </w:r>
            <w:r w:rsidRPr="007A4EFE">
              <w:t>OTT</w:t>
            </w:r>
            <w:r w:rsidR="00D75F66" w:rsidRPr="007A4EFE">
              <w:t>"</w:t>
            </w:r>
            <w:r w:rsidRPr="007A4EFE">
              <w:t>.</w:t>
            </w:r>
          </w:p>
          <w:p w14:paraId="038B20B6" w14:textId="77777777" w:rsidR="00093EEB" w:rsidRPr="007A4EFE" w:rsidRDefault="00093EEB">
            <w:pPr>
              <w:pStyle w:val="Headingb"/>
            </w:pPr>
            <w:r w:rsidRPr="007A4EFE">
              <w:t>Acción solicitada</w:t>
            </w:r>
          </w:p>
          <w:p w14:paraId="0B7295B3" w14:textId="77777777" w:rsidR="00093EEB" w:rsidRPr="007A4EFE" w:rsidRDefault="00E54062">
            <w:r w:rsidRPr="007A4EFE">
              <w:t xml:space="preserve">Se invita al Consejo a </w:t>
            </w:r>
            <w:r w:rsidRPr="007A4EFE">
              <w:rPr>
                <w:b/>
                <w:bCs/>
              </w:rPr>
              <w:t>tomar nota</w:t>
            </w:r>
            <w:r w:rsidRPr="007A4EFE">
              <w:t xml:space="preserve"> del presente Informe. Se invita asimismo al Consejo a </w:t>
            </w:r>
            <w:r w:rsidRPr="007A4EFE">
              <w:rPr>
                <w:b/>
                <w:bCs/>
              </w:rPr>
              <w:t>refrendar</w:t>
            </w:r>
            <w:r w:rsidRPr="007A4EFE">
              <w:t xml:space="preserve"> la transmisión del informe, junto con la compilación de opiniones de los Estados Miembros del Consejo y los correspondientes resúmenes de los debates y la nota de presentación, al Secretario General de las Naciones Unidas.</w:t>
            </w:r>
          </w:p>
          <w:p w14:paraId="45E5B49E" w14:textId="77777777" w:rsidR="00093EEB" w:rsidRPr="007A4EFE" w:rsidRDefault="00093EEB">
            <w:pPr>
              <w:pStyle w:val="Table"/>
              <w:keepNext w:val="0"/>
              <w:spacing w:before="0" w:after="0"/>
              <w:rPr>
                <w:caps w:val="0"/>
                <w:sz w:val="22"/>
                <w:lang w:val="es-ES_tradnl"/>
              </w:rPr>
            </w:pPr>
            <w:r w:rsidRPr="007A4EFE">
              <w:rPr>
                <w:caps w:val="0"/>
                <w:sz w:val="22"/>
                <w:lang w:val="es-ES_tradnl"/>
              </w:rPr>
              <w:t>____________</w:t>
            </w:r>
          </w:p>
          <w:p w14:paraId="184EDAE8" w14:textId="77777777" w:rsidR="00093EEB" w:rsidRPr="007A4EFE" w:rsidRDefault="00093EEB">
            <w:pPr>
              <w:pStyle w:val="Headingb"/>
            </w:pPr>
            <w:r w:rsidRPr="007A4EFE">
              <w:t>Referencia</w:t>
            </w:r>
            <w:r w:rsidR="00E54062" w:rsidRPr="007A4EFE">
              <w:t>s</w:t>
            </w:r>
          </w:p>
          <w:p w14:paraId="2430B107" w14:textId="77777777" w:rsidR="00093EEB" w:rsidRPr="007A4EFE" w:rsidRDefault="00E54062" w:rsidP="007A4EFE">
            <w:pPr>
              <w:spacing w:after="120"/>
              <w:rPr>
                <w:i/>
                <w:iCs/>
              </w:rPr>
            </w:pPr>
            <w:r w:rsidRPr="007A4EFE">
              <w:rPr>
                <w:i/>
                <w:iCs/>
              </w:rPr>
              <w:t xml:space="preserve">Resoluciones </w:t>
            </w:r>
            <w:hyperlink r:id="rId11" w:history="1">
              <w:r w:rsidRPr="007A4EFE">
                <w:rPr>
                  <w:rStyle w:val="Hyperlink"/>
                  <w:i/>
                  <w:iCs/>
                </w:rPr>
                <w:t>101</w:t>
              </w:r>
            </w:hyperlink>
            <w:r w:rsidRPr="007A4EFE">
              <w:rPr>
                <w:i/>
                <w:iCs/>
              </w:rPr>
              <w:t xml:space="preserve">, </w:t>
            </w:r>
            <w:hyperlink r:id="rId12" w:history="1">
              <w:r w:rsidRPr="007A4EFE">
                <w:rPr>
                  <w:rStyle w:val="Hyperlink"/>
                  <w:i/>
                  <w:iCs/>
                </w:rPr>
                <w:t>102</w:t>
              </w:r>
            </w:hyperlink>
            <w:r w:rsidRPr="007A4EFE">
              <w:rPr>
                <w:i/>
                <w:iCs/>
              </w:rPr>
              <w:t xml:space="preserve">, </w:t>
            </w:r>
            <w:hyperlink r:id="rId13" w:history="1">
              <w:r w:rsidRPr="007A4EFE">
                <w:rPr>
                  <w:rStyle w:val="Hyperlink"/>
                  <w:i/>
                  <w:iCs/>
                </w:rPr>
                <w:t>133</w:t>
              </w:r>
            </w:hyperlink>
            <w:r w:rsidRPr="007A4EFE">
              <w:rPr>
                <w:i/>
                <w:iCs/>
              </w:rPr>
              <w:t xml:space="preserve">, </w:t>
            </w:r>
            <w:hyperlink r:id="rId14" w:history="1">
              <w:r w:rsidRPr="007A4EFE">
                <w:rPr>
                  <w:rStyle w:val="Hyperlink"/>
                  <w:i/>
                  <w:iCs/>
                </w:rPr>
                <w:t>180</w:t>
              </w:r>
            </w:hyperlink>
            <w:r w:rsidRPr="007A4EFE">
              <w:rPr>
                <w:i/>
                <w:iCs/>
              </w:rPr>
              <w:t xml:space="preserve"> (Rev. Dubái, 2018), Resolución </w:t>
            </w:r>
            <w:hyperlink r:id="rId15" w:history="1">
              <w:r w:rsidRPr="007A4EFE">
                <w:rPr>
                  <w:rStyle w:val="Hyperlink"/>
                  <w:i/>
                  <w:iCs/>
                </w:rPr>
                <w:t>206</w:t>
              </w:r>
            </w:hyperlink>
            <w:r w:rsidRPr="007A4EFE">
              <w:rPr>
                <w:i/>
                <w:iCs/>
              </w:rPr>
              <w:t xml:space="preserve"> (Dubái, 2018) de la Conferencia de Plenipotenciarios; Resoluciones </w:t>
            </w:r>
            <w:hyperlink r:id="rId16" w:history="1">
              <w:r w:rsidRPr="007A4EFE">
                <w:rPr>
                  <w:rStyle w:val="Hyperlink"/>
                  <w:i/>
                  <w:iCs/>
                </w:rPr>
                <w:t>1305</w:t>
              </w:r>
            </w:hyperlink>
            <w:r w:rsidRPr="007A4EFE">
              <w:rPr>
                <w:i/>
                <w:iCs/>
              </w:rPr>
              <w:t xml:space="preserve"> (2009), </w:t>
            </w:r>
            <w:hyperlink r:id="rId17" w:history="1">
              <w:r w:rsidRPr="007A4EFE">
                <w:rPr>
                  <w:rStyle w:val="Hyperlink"/>
                  <w:i/>
                  <w:iCs/>
                </w:rPr>
                <w:t>1336</w:t>
              </w:r>
            </w:hyperlink>
            <w:r w:rsidRPr="007A4EFE">
              <w:rPr>
                <w:i/>
                <w:iCs/>
              </w:rPr>
              <w:t xml:space="preserve"> (</w:t>
            </w:r>
            <w:r w:rsidR="007A4EFE" w:rsidRPr="007A4EFE">
              <w:rPr>
                <w:i/>
                <w:iCs/>
              </w:rPr>
              <w:t xml:space="preserve">modificada en </w:t>
            </w:r>
            <w:r w:rsidRPr="007A4EFE">
              <w:rPr>
                <w:i/>
                <w:iCs/>
              </w:rPr>
              <w:t xml:space="preserve">2015), </w:t>
            </w:r>
            <w:hyperlink r:id="rId18" w:history="1">
              <w:r w:rsidRPr="007A4EFE">
                <w:rPr>
                  <w:rStyle w:val="Hyperlink"/>
                  <w:i/>
                  <w:iCs/>
                </w:rPr>
                <w:t>1344</w:t>
              </w:r>
            </w:hyperlink>
            <w:r w:rsidRPr="007A4EFE">
              <w:rPr>
                <w:i/>
                <w:iCs/>
              </w:rPr>
              <w:t xml:space="preserve"> (mod</w:t>
            </w:r>
            <w:r w:rsidR="007A4EFE" w:rsidRPr="007A4EFE">
              <w:rPr>
                <w:i/>
                <w:iCs/>
              </w:rPr>
              <w:t>ificada en</w:t>
            </w:r>
            <w:r w:rsidRPr="007A4EFE">
              <w:rPr>
                <w:i/>
                <w:iCs/>
              </w:rPr>
              <w:t xml:space="preserve"> 2015) del Consejo; Resoluciones </w:t>
            </w:r>
            <w:hyperlink r:id="rId19" w:history="1">
              <w:r w:rsidRPr="007A4EFE">
                <w:rPr>
                  <w:rStyle w:val="Hyperlink"/>
                  <w:i/>
                  <w:iCs/>
                </w:rPr>
                <w:t>47</w:t>
              </w:r>
            </w:hyperlink>
            <w:r w:rsidRPr="007A4EFE">
              <w:rPr>
                <w:i/>
                <w:iCs/>
              </w:rPr>
              <w:t xml:space="preserve">, </w:t>
            </w:r>
            <w:hyperlink r:id="rId20" w:history="1">
              <w:r w:rsidRPr="007A4EFE">
                <w:rPr>
                  <w:rStyle w:val="Hyperlink"/>
                  <w:i/>
                  <w:iCs/>
                </w:rPr>
                <w:t>48</w:t>
              </w:r>
            </w:hyperlink>
            <w:r w:rsidRPr="007A4EFE">
              <w:rPr>
                <w:i/>
                <w:iCs/>
              </w:rPr>
              <w:t xml:space="preserve"> (Rev. Dubái, 2012), </w:t>
            </w:r>
            <w:hyperlink r:id="rId21" w:history="1">
              <w:r w:rsidRPr="007A4EFE">
                <w:rPr>
                  <w:rStyle w:val="Hyperlink"/>
                  <w:i/>
                  <w:iCs/>
                </w:rPr>
                <w:t>49</w:t>
              </w:r>
            </w:hyperlink>
            <w:r w:rsidRPr="007A4EFE">
              <w:rPr>
                <w:i/>
                <w:iCs/>
              </w:rPr>
              <w:t xml:space="preserve">, </w:t>
            </w:r>
            <w:hyperlink r:id="rId22" w:history="1">
              <w:r w:rsidRPr="007A4EFE">
                <w:rPr>
                  <w:rStyle w:val="Hyperlink"/>
                  <w:i/>
                  <w:iCs/>
                </w:rPr>
                <w:t>50</w:t>
              </w:r>
            </w:hyperlink>
            <w:r w:rsidRPr="007A4EFE">
              <w:rPr>
                <w:i/>
                <w:iCs/>
              </w:rPr>
              <w:t xml:space="preserve">, </w:t>
            </w:r>
            <w:hyperlink r:id="rId23" w:history="1">
              <w:r w:rsidRPr="007A4EFE">
                <w:rPr>
                  <w:rStyle w:val="Hyperlink"/>
                  <w:i/>
                  <w:iCs/>
                </w:rPr>
                <w:t>52</w:t>
              </w:r>
            </w:hyperlink>
            <w:r w:rsidRPr="007A4EFE">
              <w:rPr>
                <w:i/>
                <w:iCs/>
              </w:rPr>
              <w:t xml:space="preserve"> (Rev. Hammamet, 2016), </w:t>
            </w:r>
            <w:hyperlink r:id="rId24" w:history="1">
              <w:r w:rsidRPr="007A4EFE">
                <w:rPr>
                  <w:rStyle w:val="Hyperlink"/>
                  <w:i/>
                  <w:iCs/>
                </w:rPr>
                <w:t>58</w:t>
              </w:r>
            </w:hyperlink>
            <w:r w:rsidRPr="007A4EFE">
              <w:rPr>
                <w:i/>
                <w:iCs/>
              </w:rPr>
              <w:t xml:space="preserve">, </w:t>
            </w:r>
            <w:hyperlink r:id="rId25" w:history="1">
              <w:r w:rsidRPr="007A4EFE">
                <w:rPr>
                  <w:rStyle w:val="Hyperlink"/>
                  <w:i/>
                  <w:iCs/>
                </w:rPr>
                <w:t>60</w:t>
              </w:r>
            </w:hyperlink>
            <w:r w:rsidRPr="007A4EFE">
              <w:rPr>
                <w:i/>
                <w:iCs/>
              </w:rPr>
              <w:t xml:space="preserve"> (Rev.</w:t>
            </w:r>
            <w:r w:rsidR="007A4EFE" w:rsidRPr="007A4EFE">
              <w:rPr>
                <w:i/>
                <w:iCs/>
              </w:rPr>
              <w:t> </w:t>
            </w:r>
            <w:r w:rsidRPr="007A4EFE">
              <w:rPr>
                <w:i/>
                <w:iCs/>
              </w:rPr>
              <w:t xml:space="preserve">Dubái, 2012), </w:t>
            </w:r>
            <w:hyperlink r:id="rId26" w:history="1">
              <w:r w:rsidRPr="007A4EFE">
                <w:rPr>
                  <w:rStyle w:val="Hyperlink"/>
                  <w:i/>
                  <w:iCs/>
                </w:rPr>
                <w:t>64</w:t>
              </w:r>
            </w:hyperlink>
            <w:r w:rsidRPr="007A4EFE">
              <w:rPr>
                <w:i/>
                <w:iCs/>
              </w:rPr>
              <w:t xml:space="preserve">, </w:t>
            </w:r>
            <w:hyperlink r:id="rId27" w:history="1">
              <w:r w:rsidRPr="007A4EFE">
                <w:rPr>
                  <w:rStyle w:val="Hyperlink"/>
                  <w:i/>
                  <w:iCs/>
                </w:rPr>
                <w:t>69</w:t>
              </w:r>
            </w:hyperlink>
            <w:r w:rsidRPr="007A4EFE">
              <w:rPr>
                <w:i/>
                <w:iCs/>
              </w:rPr>
              <w:t xml:space="preserve">, </w:t>
            </w:r>
            <w:hyperlink r:id="rId28" w:history="1">
              <w:r w:rsidRPr="007A4EFE">
                <w:rPr>
                  <w:rStyle w:val="Hyperlink"/>
                  <w:i/>
                  <w:iCs/>
                </w:rPr>
                <w:t>75</w:t>
              </w:r>
            </w:hyperlink>
            <w:r w:rsidRPr="007A4EFE">
              <w:rPr>
                <w:i/>
                <w:iCs/>
              </w:rPr>
              <w:t xml:space="preserve"> (Rev. Hammamet, 2016), </w:t>
            </w:r>
            <w:hyperlink r:id="rId29" w:history="1">
              <w:r w:rsidRPr="007A4EFE">
                <w:rPr>
                  <w:rStyle w:val="Hyperlink"/>
                  <w:i/>
                  <w:iCs/>
                </w:rPr>
                <w:t>98</w:t>
              </w:r>
            </w:hyperlink>
            <w:r w:rsidRPr="007A4EFE">
              <w:rPr>
                <w:i/>
                <w:iCs/>
              </w:rPr>
              <w:t xml:space="preserve"> (Hammamet, 2016) de la AMNT; </w:t>
            </w:r>
            <w:hyperlink r:id="rId30" w:history="1">
              <w:r w:rsidRPr="007A4EFE">
                <w:rPr>
                  <w:rStyle w:val="Hyperlink"/>
                  <w:i/>
                  <w:iCs/>
                </w:rPr>
                <w:t>Objetivo 3/Producto 3.3 del Plan de Acción de Buenos Aires de la CMDT-17</w:t>
              </w:r>
            </w:hyperlink>
            <w:r w:rsidRPr="007A4EFE">
              <w:rPr>
                <w:i/>
                <w:iCs/>
              </w:rPr>
              <w:t xml:space="preserve">, Resoluciones </w:t>
            </w:r>
            <w:hyperlink r:id="rId31" w:history="1">
              <w:r w:rsidRPr="007A4EFE">
                <w:rPr>
                  <w:rStyle w:val="Hyperlink"/>
                  <w:i/>
                  <w:iCs/>
                </w:rPr>
                <w:t>20</w:t>
              </w:r>
            </w:hyperlink>
            <w:r w:rsidRPr="007A4EFE">
              <w:rPr>
                <w:i/>
                <w:iCs/>
              </w:rPr>
              <w:t xml:space="preserve">, </w:t>
            </w:r>
            <w:hyperlink r:id="rId32" w:history="1">
              <w:r w:rsidRPr="007A4EFE">
                <w:rPr>
                  <w:rStyle w:val="Hyperlink"/>
                  <w:i/>
                  <w:iCs/>
                </w:rPr>
                <w:t>30</w:t>
              </w:r>
            </w:hyperlink>
            <w:r w:rsidRPr="007A4EFE">
              <w:rPr>
                <w:i/>
                <w:iCs/>
              </w:rPr>
              <w:t xml:space="preserve">, </w:t>
            </w:r>
            <w:hyperlink r:id="rId33" w:history="1">
              <w:r w:rsidRPr="007A4EFE">
                <w:rPr>
                  <w:rStyle w:val="Hyperlink"/>
                  <w:i/>
                  <w:iCs/>
                </w:rPr>
                <w:t>63</w:t>
              </w:r>
            </w:hyperlink>
            <w:r w:rsidRPr="007A4EFE">
              <w:rPr>
                <w:i/>
                <w:iCs/>
              </w:rPr>
              <w:t xml:space="preserve"> (Rev. Buenos Aires, 2017) y </w:t>
            </w:r>
            <w:hyperlink r:id="rId34" w:history="1">
              <w:r w:rsidRPr="007A4EFE">
                <w:rPr>
                  <w:rStyle w:val="Hyperlink"/>
                  <w:i/>
                  <w:iCs/>
                </w:rPr>
                <w:t>45</w:t>
              </w:r>
            </w:hyperlink>
            <w:r w:rsidRPr="007A4EFE">
              <w:rPr>
                <w:i/>
                <w:iCs/>
              </w:rPr>
              <w:t xml:space="preserve"> (Rev. Dubái, 2014) de la CMDT; Documentos </w:t>
            </w:r>
            <w:hyperlink r:id="rId35" w:history="1">
              <w:r w:rsidRPr="007A4EFE">
                <w:rPr>
                  <w:rStyle w:val="Hyperlink"/>
                  <w:i/>
                  <w:iCs/>
                </w:rPr>
                <w:t>C16/33</w:t>
              </w:r>
            </w:hyperlink>
            <w:r w:rsidRPr="007A4EFE">
              <w:rPr>
                <w:i/>
                <w:iCs/>
              </w:rPr>
              <w:t xml:space="preserve">, </w:t>
            </w:r>
            <w:hyperlink r:id="rId36" w:history="1">
              <w:r w:rsidRPr="007A4EFE">
                <w:rPr>
                  <w:rStyle w:val="Hyperlink"/>
                  <w:i/>
                  <w:iCs/>
                </w:rPr>
                <w:t>C17/33</w:t>
              </w:r>
            </w:hyperlink>
            <w:r w:rsidRPr="007A4EFE">
              <w:rPr>
                <w:i/>
                <w:iCs/>
              </w:rPr>
              <w:t xml:space="preserve">, </w:t>
            </w:r>
            <w:hyperlink r:id="rId37" w:history="1">
              <w:r w:rsidRPr="007A4EFE">
                <w:rPr>
                  <w:rStyle w:val="Hyperlink"/>
                  <w:i/>
                  <w:iCs/>
                </w:rPr>
                <w:t>C18/33</w:t>
              </w:r>
            </w:hyperlink>
            <w:r w:rsidRPr="007A4EFE">
              <w:rPr>
                <w:i/>
                <w:iCs/>
              </w:rPr>
              <w:t xml:space="preserve"> </w:t>
            </w:r>
            <w:r w:rsidRPr="00BA36B0">
              <w:rPr>
                <w:i/>
                <w:iCs/>
              </w:rPr>
              <w:t xml:space="preserve">y </w:t>
            </w:r>
            <w:hyperlink r:id="rId38" w:history="1">
              <w:r w:rsidRPr="00BA36B0">
                <w:rPr>
                  <w:rStyle w:val="Hyperlink"/>
                  <w:i/>
                  <w:iCs/>
                </w:rPr>
                <w:t>C19/33</w:t>
              </w:r>
            </w:hyperlink>
            <w:r w:rsidRPr="007A4EFE">
              <w:rPr>
                <w:i/>
                <w:iCs/>
              </w:rPr>
              <w:t xml:space="preserve"> del Consejo.</w:t>
            </w:r>
          </w:p>
        </w:tc>
      </w:tr>
    </w:tbl>
    <w:p w14:paraId="67CA2F96" w14:textId="77777777" w:rsidR="007955DA" w:rsidRPr="007A4EFE" w:rsidRDefault="007955DA" w:rsidP="000B0D00"/>
    <w:p w14:paraId="52908035" w14:textId="77777777" w:rsidR="00E54062" w:rsidRPr="007A4EFE" w:rsidRDefault="00E54062" w:rsidP="00E54062">
      <w:pPr>
        <w:pStyle w:val="Heading1"/>
        <w:tabs>
          <w:tab w:val="clear" w:pos="2268"/>
          <w:tab w:val="clear" w:pos="2835"/>
          <w:tab w:val="center" w:pos="4819"/>
        </w:tabs>
      </w:pPr>
      <w:r w:rsidRPr="007A4EFE">
        <w:lastRenderedPageBreak/>
        <w:t>1</w:t>
      </w:r>
      <w:r w:rsidRPr="007A4EFE">
        <w:tab/>
      </w:r>
      <w:proofErr w:type="gramStart"/>
      <w:r w:rsidRPr="007A4EFE">
        <w:t>Introducción</w:t>
      </w:r>
      <w:proofErr w:type="gramEnd"/>
    </w:p>
    <w:p w14:paraId="0C934E9E" w14:textId="77777777" w:rsidR="00E54062" w:rsidRPr="007A4EFE" w:rsidRDefault="00E54062" w:rsidP="00E54062">
      <w:r w:rsidRPr="007A4EFE">
        <w:t>En el presente Informe se describen las actividades de la UIT relativas a las Resoluciones 101, 102, 133, 180 y 206 de la Conferencia de Plenipotenciarios realizadas durante el periodo considerado, es decir, desde la reunión de 2019 del Consejo hasta la fecha</w:t>
      </w:r>
      <w:r w:rsidRPr="007A4EFE">
        <w:rPr>
          <w:rStyle w:val="FootnoteReference"/>
        </w:rPr>
        <w:footnoteReference w:id="1"/>
      </w:r>
      <w:r w:rsidRPr="007A4EFE">
        <w:t xml:space="preserve">. </w:t>
      </w:r>
    </w:p>
    <w:p w14:paraId="0A3BC351" w14:textId="77777777" w:rsidR="00E54062" w:rsidRPr="007A4EFE" w:rsidRDefault="00E54062" w:rsidP="00E54062">
      <w:pPr>
        <w:pStyle w:val="Heading1"/>
        <w:tabs>
          <w:tab w:val="clear" w:pos="2268"/>
          <w:tab w:val="clear" w:pos="2835"/>
          <w:tab w:val="center" w:pos="4819"/>
        </w:tabs>
      </w:pPr>
      <w:r w:rsidRPr="007A4EFE">
        <w:t>2</w:t>
      </w:r>
      <w:r w:rsidRPr="007A4EFE">
        <w:tab/>
      </w:r>
      <w:proofErr w:type="gramStart"/>
      <w:r w:rsidRPr="007A4EFE">
        <w:t>Actividades</w:t>
      </w:r>
      <w:proofErr w:type="gramEnd"/>
      <w:r w:rsidRPr="007A4EFE">
        <w:t xml:space="preserve"> relacionadas con las redes con protocolo Internet (IP), el desarrollo de redes de la próxima generación (NGN) y la Internet del futuro, incluidas las dificultades en materia de política y reglamentación</w:t>
      </w:r>
    </w:p>
    <w:p w14:paraId="31C0AB94" w14:textId="77777777" w:rsidR="00E54062" w:rsidRPr="007A4EFE" w:rsidRDefault="00E54062" w:rsidP="00E54062">
      <w:bookmarkStart w:id="10" w:name="a353677d2-7347-4cd3-8301-15d8ee365aeb"/>
      <w:bookmarkEnd w:id="10"/>
      <w:r w:rsidRPr="00BA36B0">
        <w:rPr>
          <w:b/>
        </w:rPr>
        <w:t>2.1</w:t>
      </w:r>
      <w:r w:rsidRPr="007A4EFE">
        <w:tab/>
        <w:t xml:space="preserve">Entre el 17 de agosto de 2019 y el 31 de marzo de 2020 se han aprobado más de 190 </w:t>
      </w:r>
      <w:hyperlink r:id="rId39" w:history="1">
        <w:r w:rsidRPr="007A4EFE">
          <w:rPr>
            <w:rStyle w:val="Hyperlink"/>
          </w:rPr>
          <w:t>Recomendaciones</w:t>
        </w:r>
      </w:hyperlink>
      <w:r w:rsidRPr="007A4EFE">
        <w:t xml:space="preserve"> UIT-T nuevas y revisadas y otros textos.</w:t>
      </w:r>
    </w:p>
    <w:p w14:paraId="47832C99" w14:textId="77777777" w:rsidR="00E54062" w:rsidRPr="007A4EFE" w:rsidRDefault="00E54062" w:rsidP="00E54062">
      <w:r w:rsidRPr="00BA36B0">
        <w:rPr>
          <w:b/>
        </w:rPr>
        <w:t>2.2</w:t>
      </w:r>
      <w:r w:rsidRPr="007A4EFE">
        <w:tab/>
        <w:t xml:space="preserve">La colaboración en el ámbito del vídeo entre la CEI, la ISO y la UIT sigue adelante con miras a la elaboración del nuevo </w:t>
      </w:r>
      <w:hyperlink r:id="rId40" w:history="1">
        <w:r w:rsidRPr="00BA36B0">
          <w:rPr>
            <w:rStyle w:val="Hyperlink"/>
            <w:i/>
          </w:rPr>
          <w:t>proyecto de codificación de vídeo versátil</w:t>
        </w:r>
      </w:hyperlink>
      <w:r w:rsidRPr="007A4EFE">
        <w:t>. También prosiguen los trabajos para mejorar la gestión, el almacenamiento y la entrega de vídeo por redes IP.</w:t>
      </w:r>
    </w:p>
    <w:p w14:paraId="0E52CFA3" w14:textId="77777777" w:rsidR="00E54062" w:rsidRPr="007A4EFE" w:rsidRDefault="00E54062" w:rsidP="00E54062">
      <w:r w:rsidRPr="007A4EFE">
        <w:t>2.2.1</w:t>
      </w:r>
      <w:r w:rsidRPr="007A4EFE">
        <w:tab/>
        <w:t xml:space="preserve">LA CE 16 del UIT-T aprobó seis Recomendaciones: </w:t>
      </w:r>
      <w:hyperlink r:id="rId41" w:history="1">
        <w:r w:rsidRPr="007A4EFE">
          <w:rPr>
            <w:rStyle w:val="Hyperlink"/>
          </w:rPr>
          <w:t xml:space="preserve">UIT-T H.626 (V2) </w:t>
        </w:r>
        <w:r w:rsidR="00D75F66" w:rsidRPr="007A4EFE">
          <w:rPr>
            <w:rStyle w:val="Hyperlink"/>
          </w:rPr>
          <w:t>"</w:t>
        </w:r>
        <w:r w:rsidRPr="007A4EFE">
          <w:rPr>
            <w:rStyle w:val="Hyperlink"/>
          </w:rPr>
          <w:t>Requisitos de arquitectura para los servicios de videovigilancia</w:t>
        </w:r>
        <w:r w:rsidR="00D75F66" w:rsidRPr="007A4EFE">
          <w:rPr>
            <w:rStyle w:val="Hyperlink"/>
          </w:rPr>
          <w:t>"</w:t>
        </w:r>
      </w:hyperlink>
      <w:r w:rsidRPr="007A4EFE">
        <w:t xml:space="preserve">, </w:t>
      </w:r>
      <w:hyperlink r:id="rId42" w:history="1">
        <w:r w:rsidRPr="007A4EFE">
          <w:rPr>
            <w:rStyle w:val="Hyperlink"/>
          </w:rPr>
          <w:t xml:space="preserve">UIT-T F.743 (V2) </w:t>
        </w:r>
        <w:r w:rsidR="00D75F66" w:rsidRPr="007A4EFE">
          <w:rPr>
            <w:rStyle w:val="Hyperlink"/>
          </w:rPr>
          <w:t>"</w:t>
        </w:r>
        <w:r w:rsidRPr="007A4EFE">
          <w:rPr>
            <w:rStyle w:val="Hyperlink"/>
          </w:rPr>
          <w:t>Requisitos y descripción del servicio de videovigilancia</w:t>
        </w:r>
        <w:r w:rsidR="00D75F66" w:rsidRPr="007A4EFE">
          <w:rPr>
            <w:rStyle w:val="Hyperlink"/>
          </w:rPr>
          <w:t>"</w:t>
        </w:r>
      </w:hyperlink>
      <w:r w:rsidRPr="007A4EFE">
        <w:t xml:space="preserve">, </w:t>
      </w:r>
      <w:hyperlink r:id="rId43" w:history="1">
        <w:r w:rsidRPr="007A4EFE">
          <w:rPr>
            <w:rStyle w:val="Hyperlink"/>
          </w:rPr>
          <w:t xml:space="preserve">UIT-T F.743.10 </w:t>
        </w:r>
        <w:r w:rsidR="00D75F66" w:rsidRPr="007A4EFE">
          <w:rPr>
            <w:rStyle w:val="Hyperlink"/>
          </w:rPr>
          <w:t>"</w:t>
        </w:r>
        <w:r w:rsidRPr="007A4EFE">
          <w:rPr>
            <w:rStyle w:val="Hyperlink"/>
          </w:rPr>
          <w:t>Requisitos para las redes móviles de entrega de contenidos habilitadas para la computación periférica</w:t>
        </w:r>
        <w:r w:rsidR="00D75F66" w:rsidRPr="007A4EFE">
          <w:rPr>
            <w:rStyle w:val="Hyperlink"/>
          </w:rPr>
          <w:t>"</w:t>
        </w:r>
      </w:hyperlink>
      <w:r w:rsidRPr="007A4EFE">
        <w:t xml:space="preserve">, </w:t>
      </w:r>
      <w:hyperlink r:id="rId44" w:history="1">
        <w:r w:rsidRPr="007A4EFE">
          <w:rPr>
            <w:rStyle w:val="Hyperlink"/>
          </w:rPr>
          <w:t xml:space="preserve">UIT-T H.644.2 </w:t>
        </w:r>
        <w:r w:rsidR="00D75F66" w:rsidRPr="007A4EFE">
          <w:rPr>
            <w:rStyle w:val="Hyperlink"/>
          </w:rPr>
          <w:t>"</w:t>
        </w:r>
        <w:r w:rsidRPr="007A4EFE">
          <w:rPr>
            <w:rStyle w:val="Hyperlink"/>
          </w:rPr>
          <w:t>Red de entrega de contenido virtual: Virtualización de la red</w:t>
        </w:r>
        <w:r w:rsidR="00D75F66" w:rsidRPr="007A4EFE">
          <w:rPr>
            <w:rStyle w:val="Hyperlink"/>
          </w:rPr>
          <w:t>"</w:t>
        </w:r>
      </w:hyperlink>
      <w:r w:rsidRPr="007A4EFE">
        <w:t xml:space="preserve">, </w:t>
      </w:r>
      <w:hyperlink r:id="rId45" w:history="1">
        <w:r w:rsidRPr="007A4EFE">
          <w:rPr>
            <w:rStyle w:val="Hyperlink"/>
          </w:rPr>
          <w:t xml:space="preserve">UIT-T H.753 </w:t>
        </w:r>
        <w:r w:rsidR="00D75F66" w:rsidRPr="007A4EFE">
          <w:rPr>
            <w:rStyle w:val="Hyperlink"/>
          </w:rPr>
          <w:t>"</w:t>
        </w:r>
        <w:r w:rsidRPr="007A4EFE">
          <w:rPr>
            <w:rStyle w:val="Hyperlink"/>
          </w:rPr>
          <w:t>Metadatos basados en escenas para los servicios de TVIP</w:t>
        </w:r>
        <w:r w:rsidR="00D75F66" w:rsidRPr="007A4EFE">
          <w:rPr>
            <w:rStyle w:val="Hyperlink"/>
          </w:rPr>
          <w:t>"</w:t>
        </w:r>
      </w:hyperlink>
      <w:r w:rsidRPr="007A4EFE">
        <w:t xml:space="preserve">, y </w:t>
      </w:r>
      <w:hyperlink r:id="rId46" w:history="1">
        <w:r w:rsidRPr="007A4EFE">
          <w:rPr>
            <w:rStyle w:val="Hyperlink"/>
          </w:rPr>
          <w:t xml:space="preserve">UIT-T H.764 (V2) (revisada) </w:t>
        </w:r>
        <w:r w:rsidR="00D75F66" w:rsidRPr="007A4EFE">
          <w:rPr>
            <w:rStyle w:val="Hyperlink"/>
          </w:rPr>
          <w:t>"</w:t>
        </w:r>
        <w:r w:rsidRPr="007A4EFE">
          <w:rPr>
            <w:rStyle w:val="Hyperlink"/>
          </w:rPr>
          <w:t>Lenguaje de guion mejorado para servicios de TVIP</w:t>
        </w:r>
        <w:r w:rsidR="00D75F66" w:rsidRPr="007A4EFE">
          <w:rPr>
            <w:rStyle w:val="Hyperlink"/>
          </w:rPr>
          <w:t>"</w:t>
        </w:r>
      </w:hyperlink>
      <w:r w:rsidRPr="007A4EFE">
        <w:t>.</w:t>
      </w:r>
    </w:p>
    <w:p w14:paraId="19F462D4" w14:textId="77777777" w:rsidR="00E54062" w:rsidRPr="007A4EFE" w:rsidRDefault="00E54062" w:rsidP="00E54062">
      <w:pPr>
        <w:rPr>
          <w:szCs w:val="24"/>
        </w:rPr>
      </w:pPr>
      <w:r w:rsidRPr="00BA36B0">
        <w:rPr>
          <w:b/>
        </w:rPr>
        <w:t>2.3</w:t>
      </w:r>
      <w:r w:rsidRPr="007A4EFE">
        <w:tab/>
        <w:t xml:space="preserve">En relación con las IMT-2020, la CE 13 del UIT-T acordó el Suplemento 55 a la serie UIT-T Y.3170 </w:t>
      </w:r>
      <w:r w:rsidR="00D75F66" w:rsidRPr="007A4EFE">
        <w:t>"</w:t>
      </w:r>
      <w:hyperlink r:id="rId47" w:history="1">
        <w:r w:rsidRPr="007A4EFE">
          <w:rPr>
            <w:rStyle w:val="Hyperlink"/>
            <w:i/>
            <w:iCs/>
          </w:rPr>
          <w:t>Machine learning in future networks including IMT-2020: use cases</w:t>
        </w:r>
      </w:hyperlink>
      <w:r w:rsidR="00D75F66" w:rsidRPr="007A4EFE">
        <w:t>"</w:t>
      </w:r>
      <w:r w:rsidRPr="007A4EFE">
        <w:t xml:space="preserve"> y aprobó siete Recomendaciones UIT-T: UIT-T Y.2775 </w:t>
      </w:r>
      <w:r w:rsidR="00D75F66" w:rsidRPr="007A4EFE">
        <w:t>"</w:t>
      </w:r>
      <w:hyperlink r:id="rId48" w:history="1">
        <w:r w:rsidRPr="007A4EFE">
          <w:rPr>
            <w:rStyle w:val="Hyperlink"/>
            <w:i/>
            <w:iCs/>
          </w:rPr>
          <w:t>Functional architecture of deep packet inspection for future networks</w:t>
        </w:r>
      </w:hyperlink>
      <w:r w:rsidR="00D75F66" w:rsidRPr="007A4EFE">
        <w:t>"</w:t>
      </w:r>
      <w:r w:rsidRPr="007A4EFE">
        <w:t xml:space="preserve">, UIT-T Y.3108 </w:t>
      </w:r>
      <w:r w:rsidR="00D75F66" w:rsidRPr="007A4EFE">
        <w:t>"</w:t>
      </w:r>
      <w:hyperlink r:id="rId49" w:history="1">
        <w:r w:rsidRPr="007A4EFE">
          <w:rPr>
            <w:rStyle w:val="Hyperlink"/>
            <w:i/>
            <w:iCs/>
          </w:rPr>
          <w:t>Capability exposure function in the IMT-2020 networks</w:t>
        </w:r>
      </w:hyperlink>
      <w:r w:rsidR="00D75F66" w:rsidRPr="007A4EFE">
        <w:t>"</w:t>
      </w:r>
      <w:r w:rsidRPr="007A4EFE">
        <w:t xml:space="preserve">, UIT-T </w:t>
      </w:r>
      <w:r w:rsidR="00DA68AF">
        <w:t>Y.</w:t>
      </w:r>
      <w:r w:rsidRPr="007A4EFE">
        <w:t xml:space="preserve">3132 </w:t>
      </w:r>
      <w:r w:rsidR="00D75F66" w:rsidRPr="007A4EFE">
        <w:t>"</w:t>
      </w:r>
      <w:hyperlink r:id="rId50" w:history="1">
        <w:r w:rsidRPr="007A4EFE">
          <w:rPr>
            <w:rStyle w:val="Hyperlink"/>
            <w:i/>
            <w:iCs/>
          </w:rPr>
          <w:t>Mobility management for fixed mobile convergence in IMT-2020 networks</w:t>
        </w:r>
      </w:hyperlink>
      <w:r w:rsidR="00D75F66" w:rsidRPr="007A4EFE">
        <w:t>"</w:t>
      </w:r>
      <w:r w:rsidRPr="007A4EFE">
        <w:t xml:space="preserve">, UIT-T Y.3133 </w:t>
      </w:r>
      <w:r w:rsidR="00D75F66" w:rsidRPr="007A4EFE">
        <w:t>"</w:t>
      </w:r>
      <w:hyperlink r:id="rId51" w:history="1">
        <w:r w:rsidRPr="007A4EFE">
          <w:rPr>
            <w:rStyle w:val="Hyperlink"/>
            <w:i/>
            <w:iCs/>
          </w:rPr>
          <w:t>Capability Exposure enhancement for supporting FMC in IMT-2020 networks</w:t>
        </w:r>
      </w:hyperlink>
      <w:r w:rsidR="00D75F66" w:rsidRPr="007A4EFE">
        <w:t>"</w:t>
      </w:r>
      <w:r w:rsidRPr="007A4EFE">
        <w:t xml:space="preserve">, UIT-T Y.3153 </w:t>
      </w:r>
      <w:r w:rsidR="00D75F66" w:rsidRPr="007A4EFE">
        <w:t>"</w:t>
      </w:r>
      <w:hyperlink r:id="rId52" w:history="1">
        <w:r w:rsidRPr="007A4EFE">
          <w:rPr>
            <w:rStyle w:val="Hyperlink"/>
            <w:i/>
            <w:iCs/>
          </w:rPr>
          <w:t>Network slice orchestration and management for providing network services to 3rd party in the IMT-2020 network</w:t>
        </w:r>
      </w:hyperlink>
      <w:r w:rsidR="00D75F66" w:rsidRPr="007A4EFE">
        <w:t>"</w:t>
      </w:r>
      <w:r w:rsidRPr="007A4EFE">
        <w:t xml:space="preserve">, UIT-T Y.3173 </w:t>
      </w:r>
      <w:r w:rsidR="00D75F66" w:rsidRPr="007A4EFE">
        <w:t>"</w:t>
      </w:r>
      <w:hyperlink r:id="rId53" w:history="1">
        <w:r w:rsidRPr="007A4EFE">
          <w:rPr>
            <w:rStyle w:val="Hyperlink"/>
            <w:i/>
            <w:iCs/>
          </w:rPr>
          <w:t>Framework for evaluating intelligence levels of future networks including IMT-2020</w:t>
        </w:r>
      </w:hyperlink>
      <w:r w:rsidR="00D75F66" w:rsidRPr="007A4EFE">
        <w:t>"</w:t>
      </w:r>
      <w:r w:rsidRPr="007A4EFE">
        <w:t xml:space="preserve"> y UIT-T Y.3174 </w:t>
      </w:r>
      <w:r w:rsidR="00D75F66" w:rsidRPr="007A4EFE">
        <w:t>"</w:t>
      </w:r>
      <w:hyperlink r:id="rId54" w:history="1">
        <w:r w:rsidRPr="007A4EFE">
          <w:rPr>
            <w:rStyle w:val="Hyperlink"/>
            <w:i/>
            <w:iCs/>
            <w:szCs w:val="24"/>
          </w:rPr>
          <w:t>Framework for data handling to enable machine learning in future networks including IMT-2020</w:t>
        </w:r>
      </w:hyperlink>
      <w:r w:rsidR="00D75F66" w:rsidRPr="007A4EFE">
        <w:rPr>
          <w:szCs w:val="24"/>
        </w:rPr>
        <w:t>"</w:t>
      </w:r>
      <w:r w:rsidRPr="007A4EFE">
        <w:rPr>
          <w:szCs w:val="24"/>
        </w:rPr>
        <w:t>.</w:t>
      </w:r>
    </w:p>
    <w:p w14:paraId="4F8024D9" w14:textId="77777777" w:rsidR="00E54062" w:rsidRPr="004A1E54" w:rsidRDefault="00E54062" w:rsidP="00E54062">
      <w:pPr>
        <w:rPr>
          <w:lang w:val="en-US"/>
        </w:rPr>
      </w:pPr>
      <w:r w:rsidRPr="00BA36B0">
        <w:rPr>
          <w:b/>
        </w:rPr>
        <w:t>2.4</w:t>
      </w:r>
      <w:r w:rsidRPr="007A4EFE">
        <w:rPr>
          <w:szCs w:val="24"/>
        </w:rPr>
        <w:tab/>
        <w:t xml:space="preserve">En lo que respecta a Internet de las </w:t>
      </w:r>
      <w:r w:rsidR="00DA68AF">
        <w:rPr>
          <w:szCs w:val="24"/>
        </w:rPr>
        <w:t>c</w:t>
      </w:r>
      <w:r w:rsidRPr="007A4EFE">
        <w:rPr>
          <w:szCs w:val="24"/>
        </w:rPr>
        <w:t xml:space="preserve">osas, la CE 20 del UIT-T aprobó 13 Recomendaciones: </w:t>
      </w:r>
      <w:hyperlink r:id="rId55" w:history="1">
        <w:r w:rsidRPr="007A4EFE">
          <w:rPr>
            <w:rStyle w:val="Hyperlink"/>
            <w:rFonts w:asciiTheme="minorHAnsi" w:hAnsiTheme="minorHAnsi" w:cstheme="minorHAnsi"/>
            <w:bCs/>
            <w:iCs/>
            <w:szCs w:val="24"/>
          </w:rPr>
          <w:t>UIT-T Y.4208</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IoT requirements for support of edge computing</w:t>
        </w:r>
        <w:r w:rsidR="00D75F66" w:rsidRPr="007A4EFE">
          <w:rPr>
            <w:rStyle w:val="Hyperlink"/>
            <w:rFonts w:asciiTheme="minorHAnsi" w:hAnsiTheme="minorHAnsi" w:cstheme="minorHAnsi"/>
            <w:bCs/>
            <w:i/>
            <w:szCs w:val="24"/>
          </w:rPr>
          <w:t>"</w:t>
        </w:r>
      </w:hyperlink>
      <w:r w:rsidRPr="007A4EFE">
        <w:rPr>
          <w:i/>
          <w:szCs w:val="24"/>
        </w:rPr>
        <w:t xml:space="preserve">, </w:t>
      </w:r>
      <w:hyperlink r:id="rId56" w:history="1">
        <w:r w:rsidRPr="007A4EFE">
          <w:rPr>
            <w:rStyle w:val="Hyperlink"/>
            <w:rFonts w:asciiTheme="minorHAnsi" w:hAnsiTheme="minorHAnsi" w:cstheme="minorHAnsi"/>
            <w:bCs/>
            <w:iCs/>
            <w:szCs w:val="24"/>
          </w:rPr>
          <w:t>UIT-T Y.4556</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Requisitos y arquitectura funcional de la comunidad residencial inteligentes</w:t>
        </w:r>
        <w:r w:rsidR="00D75F66" w:rsidRPr="007A4EFE">
          <w:rPr>
            <w:rStyle w:val="Hyperlink"/>
            <w:rFonts w:asciiTheme="minorHAnsi" w:hAnsiTheme="minorHAnsi" w:cstheme="minorHAnsi"/>
            <w:bCs/>
            <w:i/>
            <w:szCs w:val="24"/>
          </w:rPr>
          <w:t>"</w:t>
        </w:r>
      </w:hyperlink>
      <w:r w:rsidRPr="007A4EFE">
        <w:rPr>
          <w:szCs w:val="24"/>
        </w:rPr>
        <w:t xml:space="preserve">, </w:t>
      </w:r>
      <w:hyperlink r:id="rId57" w:history="1">
        <w:r w:rsidRPr="007A4EFE">
          <w:rPr>
            <w:rStyle w:val="Hyperlink"/>
            <w:rFonts w:asciiTheme="minorHAnsi" w:hAnsiTheme="minorHAnsi" w:cstheme="minorHAnsi"/>
            <w:bCs/>
            <w:iCs/>
            <w:szCs w:val="24"/>
          </w:rPr>
          <w:t>UIT-T Y.4459</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Digital entity architecture for IoT interoperability</w:t>
        </w:r>
        <w:r w:rsidR="00D75F66" w:rsidRPr="007A4EFE">
          <w:rPr>
            <w:rStyle w:val="Hyperlink"/>
            <w:rFonts w:asciiTheme="minorHAnsi" w:hAnsiTheme="minorHAnsi" w:cstheme="minorHAnsi"/>
            <w:bCs/>
            <w:i/>
            <w:szCs w:val="24"/>
          </w:rPr>
          <w:t>"</w:t>
        </w:r>
      </w:hyperlink>
      <w:r w:rsidRPr="007A4EFE">
        <w:rPr>
          <w:szCs w:val="24"/>
        </w:rPr>
        <w:t>,</w:t>
      </w:r>
      <w:r w:rsidRPr="007A4EFE">
        <w:rPr>
          <w:i/>
          <w:szCs w:val="24"/>
        </w:rPr>
        <w:t xml:space="preserve"> </w:t>
      </w:r>
      <w:hyperlink r:id="rId58" w:history="1">
        <w:r w:rsidRPr="007A4EFE">
          <w:rPr>
            <w:rStyle w:val="Hyperlink"/>
            <w:rFonts w:asciiTheme="minorHAnsi" w:hAnsiTheme="minorHAnsi" w:cstheme="minorHAnsi"/>
            <w:bCs/>
            <w:iCs/>
            <w:szCs w:val="24"/>
          </w:rPr>
          <w:t xml:space="preserve">UIT-T Y.4461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Framework of open data in smart cities</w:t>
        </w:r>
        <w:r w:rsidR="00D75F66" w:rsidRPr="007A4EFE">
          <w:rPr>
            <w:rStyle w:val="Hyperlink"/>
            <w:rFonts w:asciiTheme="minorHAnsi" w:hAnsiTheme="minorHAnsi" w:cstheme="minorHAnsi"/>
            <w:bCs/>
            <w:i/>
            <w:szCs w:val="24"/>
          </w:rPr>
          <w:t>"</w:t>
        </w:r>
      </w:hyperlink>
      <w:r w:rsidRPr="007A4EFE">
        <w:rPr>
          <w:i/>
          <w:szCs w:val="24"/>
        </w:rPr>
        <w:t xml:space="preserve">, </w:t>
      </w:r>
      <w:hyperlink r:id="rId59" w:history="1">
        <w:r w:rsidRPr="007A4EFE">
          <w:rPr>
            <w:rStyle w:val="Hyperlink"/>
            <w:rFonts w:asciiTheme="minorHAnsi" w:hAnsiTheme="minorHAnsi" w:cstheme="minorHAnsi"/>
            <w:bCs/>
            <w:szCs w:val="24"/>
          </w:rPr>
          <w:t>UIT-T Y.4462</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Requisitos y arquitectura funcional del servicio de correlación de identidad abierta de la IoT</w:t>
        </w:r>
        <w:r w:rsidR="00D75F66" w:rsidRPr="007A4EFE">
          <w:rPr>
            <w:rStyle w:val="Hyperlink"/>
            <w:rFonts w:asciiTheme="minorHAnsi" w:hAnsiTheme="minorHAnsi" w:cstheme="minorHAnsi"/>
            <w:bCs/>
            <w:i/>
            <w:szCs w:val="24"/>
          </w:rPr>
          <w:t>"</w:t>
        </w:r>
      </w:hyperlink>
      <w:r w:rsidRPr="007A4EFE">
        <w:rPr>
          <w:szCs w:val="24"/>
        </w:rPr>
        <w:t xml:space="preserve">, </w:t>
      </w:r>
      <w:hyperlink r:id="rId60" w:history="1">
        <w:r w:rsidRPr="007A4EFE">
          <w:rPr>
            <w:rStyle w:val="Hyperlink"/>
            <w:rFonts w:asciiTheme="minorHAnsi" w:hAnsiTheme="minorHAnsi" w:cstheme="minorHAnsi"/>
            <w:bCs/>
            <w:szCs w:val="24"/>
          </w:rPr>
          <w:t>UIT-T Y.4463</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Framework of delegation service for IoT devices</w:t>
        </w:r>
        <w:r w:rsidR="00D75F66" w:rsidRPr="007A4EFE">
          <w:rPr>
            <w:rStyle w:val="Hyperlink"/>
            <w:rFonts w:asciiTheme="minorHAnsi" w:hAnsiTheme="minorHAnsi" w:cstheme="minorHAnsi"/>
            <w:bCs/>
            <w:i/>
            <w:szCs w:val="24"/>
          </w:rPr>
          <w:t>"</w:t>
        </w:r>
      </w:hyperlink>
      <w:r w:rsidRPr="007A4EFE">
        <w:rPr>
          <w:i/>
          <w:szCs w:val="24"/>
        </w:rPr>
        <w:t>,</w:t>
      </w:r>
      <w:r w:rsidRPr="007A4EFE">
        <w:rPr>
          <w:szCs w:val="24"/>
        </w:rPr>
        <w:t xml:space="preserve"> </w:t>
      </w:r>
      <w:hyperlink r:id="rId61" w:history="1">
        <w:r w:rsidRPr="007A4EFE">
          <w:rPr>
            <w:rStyle w:val="Hyperlink"/>
            <w:rFonts w:asciiTheme="minorHAnsi" w:hAnsiTheme="minorHAnsi" w:cstheme="minorHAnsi"/>
            <w:bCs/>
            <w:szCs w:val="24"/>
          </w:rPr>
          <w:t>UIT-T Y.4464</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Framework of blockchain of things as decentralized service platform</w:t>
        </w:r>
        <w:r w:rsidR="00D75F66" w:rsidRPr="007A4EFE">
          <w:rPr>
            <w:rStyle w:val="Hyperlink"/>
            <w:rFonts w:asciiTheme="minorHAnsi" w:hAnsiTheme="minorHAnsi" w:cstheme="minorHAnsi"/>
            <w:bCs/>
            <w:i/>
            <w:szCs w:val="24"/>
          </w:rPr>
          <w:t>"</w:t>
        </w:r>
      </w:hyperlink>
      <w:r w:rsidRPr="007A4EFE">
        <w:rPr>
          <w:szCs w:val="24"/>
        </w:rPr>
        <w:t xml:space="preserve">, </w:t>
      </w:r>
      <w:hyperlink r:id="rId62" w:history="1">
        <w:r w:rsidRPr="007A4EFE">
          <w:rPr>
            <w:rStyle w:val="Hyperlink"/>
            <w:rFonts w:asciiTheme="minorHAnsi" w:hAnsiTheme="minorHAnsi" w:cstheme="minorHAnsi"/>
            <w:bCs/>
            <w:iCs/>
            <w:szCs w:val="24"/>
          </w:rPr>
          <w:t>UIT-T Y.4465</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Framework of IoT Services based on Visible Light Communications</w:t>
        </w:r>
        <w:r w:rsidR="00D75F66" w:rsidRPr="007A4EFE">
          <w:rPr>
            <w:rStyle w:val="Hyperlink"/>
            <w:rFonts w:asciiTheme="minorHAnsi" w:hAnsiTheme="minorHAnsi" w:cstheme="minorHAnsi"/>
            <w:bCs/>
            <w:i/>
            <w:szCs w:val="24"/>
          </w:rPr>
          <w:t>"</w:t>
        </w:r>
      </w:hyperlink>
      <w:r w:rsidRPr="007A4EFE">
        <w:rPr>
          <w:szCs w:val="24"/>
        </w:rPr>
        <w:t xml:space="preserve">, </w:t>
      </w:r>
      <w:hyperlink r:id="rId63" w:history="1">
        <w:r w:rsidRPr="007A4EFE">
          <w:rPr>
            <w:rStyle w:val="Hyperlink"/>
            <w:rFonts w:asciiTheme="minorHAnsi" w:hAnsiTheme="minorHAnsi" w:cstheme="minorHAnsi"/>
            <w:bCs/>
            <w:szCs w:val="24"/>
          </w:rPr>
          <w:t>UIT-T Y.4466</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Framework of smart greenhouse service</w:t>
        </w:r>
        <w:r w:rsidR="00D75F66" w:rsidRPr="007A4EFE">
          <w:rPr>
            <w:rStyle w:val="Hyperlink"/>
            <w:rFonts w:asciiTheme="minorHAnsi" w:hAnsiTheme="minorHAnsi" w:cstheme="minorHAnsi"/>
            <w:bCs/>
            <w:i/>
            <w:szCs w:val="24"/>
          </w:rPr>
          <w:t>"</w:t>
        </w:r>
      </w:hyperlink>
      <w:r w:rsidRPr="007A4EFE">
        <w:rPr>
          <w:i/>
          <w:szCs w:val="24"/>
        </w:rPr>
        <w:t xml:space="preserve">, </w:t>
      </w:r>
      <w:hyperlink r:id="rId64" w:history="1">
        <w:r w:rsidRPr="007A4EFE">
          <w:rPr>
            <w:rStyle w:val="Hyperlink"/>
            <w:rFonts w:asciiTheme="minorHAnsi" w:hAnsiTheme="minorHAnsi" w:cstheme="minorHAnsi"/>
            <w:bCs/>
            <w:szCs w:val="24"/>
          </w:rPr>
          <w:t>UIT-T Y.4467</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Minimum set of data structure for automotive emergency response system</w:t>
        </w:r>
        <w:r w:rsidR="00D75F66" w:rsidRPr="007A4EFE">
          <w:rPr>
            <w:rStyle w:val="Hyperlink"/>
            <w:rFonts w:asciiTheme="minorHAnsi" w:hAnsiTheme="minorHAnsi" w:cstheme="minorHAnsi"/>
            <w:bCs/>
            <w:i/>
            <w:szCs w:val="24"/>
          </w:rPr>
          <w:t>"</w:t>
        </w:r>
      </w:hyperlink>
      <w:r w:rsidRPr="007A4EFE">
        <w:rPr>
          <w:i/>
          <w:szCs w:val="24"/>
        </w:rPr>
        <w:t xml:space="preserve">, </w:t>
      </w:r>
      <w:hyperlink r:id="rId65" w:history="1">
        <w:r w:rsidRPr="007A4EFE">
          <w:rPr>
            <w:rStyle w:val="Hyperlink"/>
            <w:rFonts w:asciiTheme="minorHAnsi" w:hAnsiTheme="minorHAnsi" w:cstheme="minorHAnsi"/>
            <w:bCs/>
            <w:iCs/>
            <w:szCs w:val="24"/>
          </w:rPr>
          <w:t>UIT-T Y.4468</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Minimum set of data transfer protocol for automotive emergency response system</w:t>
        </w:r>
        <w:r w:rsidR="00D75F66" w:rsidRPr="007A4EFE">
          <w:rPr>
            <w:rStyle w:val="Hyperlink"/>
            <w:rFonts w:asciiTheme="minorHAnsi" w:hAnsiTheme="minorHAnsi" w:cstheme="minorHAnsi"/>
            <w:bCs/>
            <w:i/>
            <w:szCs w:val="24"/>
          </w:rPr>
          <w:t>"</w:t>
        </w:r>
      </w:hyperlink>
      <w:r w:rsidRPr="007A4EFE">
        <w:rPr>
          <w:i/>
          <w:szCs w:val="24"/>
        </w:rPr>
        <w:t xml:space="preserve">, </w:t>
      </w:r>
      <w:hyperlink r:id="rId66" w:history="1">
        <w:r w:rsidRPr="007A4EFE">
          <w:rPr>
            <w:rStyle w:val="Hyperlink"/>
            <w:rFonts w:asciiTheme="minorHAnsi" w:hAnsiTheme="minorHAnsi" w:cstheme="minorHAnsi"/>
            <w:bCs/>
            <w:szCs w:val="24"/>
          </w:rPr>
          <w:t>UIT-T Y.4807</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 xml:space="preserve">Agility by design for Telecommunications/ICT Systems Security used in the Internet of </w:t>
        </w:r>
        <w:r w:rsidRPr="007A4EFE">
          <w:rPr>
            <w:rStyle w:val="Hyperlink"/>
            <w:rFonts w:asciiTheme="minorHAnsi" w:hAnsiTheme="minorHAnsi" w:cstheme="minorHAnsi"/>
            <w:bCs/>
            <w:i/>
            <w:szCs w:val="24"/>
          </w:rPr>
          <w:lastRenderedPageBreak/>
          <w:t>Things</w:t>
        </w:r>
        <w:r w:rsidR="00D75F66" w:rsidRPr="007A4EFE">
          <w:rPr>
            <w:rStyle w:val="Hyperlink"/>
            <w:rFonts w:asciiTheme="minorHAnsi" w:hAnsiTheme="minorHAnsi" w:cstheme="minorHAnsi"/>
            <w:bCs/>
            <w:i/>
            <w:szCs w:val="24"/>
          </w:rPr>
          <w:t>"</w:t>
        </w:r>
      </w:hyperlink>
      <w:r w:rsidRPr="007A4EFE">
        <w:rPr>
          <w:i/>
          <w:szCs w:val="24"/>
        </w:rPr>
        <w:t>,</w:t>
      </w:r>
      <w:r w:rsidRPr="007A4EFE">
        <w:rPr>
          <w:szCs w:val="24"/>
        </w:rPr>
        <w:t xml:space="preserve"> y </w:t>
      </w:r>
      <w:hyperlink r:id="rId67" w:history="1">
        <w:r w:rsidRPr="007A4EFE">
          <w:rPr>
            <w:rStyle w:val="Hyperlink"/>
            <w:rFonts w:asciiTheme="minorHAnsi" w:hAnsiTheme="minorHAnsi" w:cstheme="minorHAnsi"/>
            <w:bCs/>
            <w:iCs/>
            <w:szCs w:val="24"/>
          </w:rPr>
          <w:t>UIT-T Y.4904</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Smart sustainable cities maturity model</w:t>
        </w:r>
        <w:r w:rsidR="00D75F66" w:rsidRPr="007A4EFE">
          <w:rPr>
            <w:rStyle w:val="Hyperlink"/>
            <w:rFonts w:asciiTheme="minorHAnsi" w:hAnsiTheme="minorHAnsi" w:cstheme="minorHAnsi"/>
            <w:bCs/>
            <w:i/>
            <w:szCs w:val="24"/>
          </w:rPr>
          <w:t>"</w:t>
        </w:r>
        <w:r w:rsidRPr="007A4EFE">
          <w:rPr>
            <w:szCs w:val="24"/>
          </w:rPr>
          <w:t>.</w:t>
        </w:r>
      </w:hyperlink>
      <w:r w:rsidRPr="007A4EFE">
        <w:t xml:space="preserve"> </w:t>
      </w:r>
      <w:r w:rsidRPr="004A1E54">
        <w:rPr>
          <w:lang w:val="en-US"/>
        </w:rPr>
        <w:t xml:space="preserve">La CE 20 </w:t>
      </w:r>
      <w:proofErr w:type="spellStart"/>
      <w:r w:rsidRPr="004A1E54">
        <w:rPr>
          <w:lang w:val="en-US"/>
        </w:rPr>
        <w:t>también</w:t>
      </w:r>
      <w:proofErr w:type="spellEnd"/>
      <w:r w:rsidRPr="004A1E54">
        <w:rPr>
          <w:lang w:val="en-US"/>
        </w:rPr>
        <w:t xml:space="preserve"> </w:t>
      </w:r>
      <w:proofErr w:type="spellStart"/>
      <w:r w:rsidRPr="004A1E54">
        <w:rPr>
          <w:lang w:val="en-US"/>
        </w:rPr>
        <w:t>consintió</w:t>
      </w:r>
      <w:proofErr w:type="spellEnd"/>
      <w:r w:rsidRPr="004A1E54">
        <w:rPr>
          <w:lang w:val="en-US"/>
        </w:rPr>
        <w:t xml:space="preserve"> dos </w:t>
      </w:r>
      <w:proofErr w:type="spellStart"/>
      <w:r w:rsidRPr="004A1E54">
        <w:rPr>
          <w:lang w:val="en-US"/>
        </w:rPr>
        <w:t>proyectos</w:t>
      </w:r>
      <w:proofErr w:type="spellEnd"/>
      <w:r w:rsidRPr="004A1E54">
        <w:rPr>
          <w:lang w:val="en-US"/>
        </w:rPr>
        <w:t xml:space="preserve"> de </w:t>
      </w:r>
      <w:proofErr w:type="spellStart"/>
      <w:r w:rsidRPr="004A1E54">
        <w:rPr>
          <w:lang w:val="en-US"/>
        </w:rPr>
        <w:t>Recomendación</w:t>
      </w:r>
      <w:proofErr w:type="spellEnd"/>
      <w:r w:rsidRPr="004A1E54">
        <w:rPr>
          <w:lang w:val="en-US"/>
        </w:rPr>
        <w:t xml:space="preserve"> (bajo </w:t>
      </w:r>
      <w:proofErr w:type="spellStart"/>
      <w:r w:rsidRPr="004A1E54">
        <w:rPr>
          <w:lang w:val="en-US"/>
        </w:rPr>
        <w:t>aprobación</w:t>
      </w:r>
      <w:proofErr w:type="spellEnd"/>
      <w:r w:rsidRPr="004A1E54">
        <w:rPr>
          <w:lang w:val="en-US"/>
        </w:rPr>
        <w:t xml:space="preserve">): </w:t>
      </w:r>
      <w:r w:rsidRPr="004A1E54">
        <w:rPr>
          <w:iCs/>
          <w:lang w:val="en-US"/>
        </w:rPr>
        <w:t>UIT-T Y.4209</w:t>
      </w:r>
      <w:r w:rsidRPr="004A1E54">
        <w:rPr>
          <w:i/>
          <w:lang w:val="en-US"/>
        </w:rPr>
        <w:t xml:space="preserve"> </w:t>
      </w:r>
      <w:r w:rsidR="00D75F66" w:rsidRPr="004A1E54">
        <w:rPr>
          <w:i/>
          <w:lang w:val="en-US"/>
        </w:rPr>
        <w:t>"</w:t>
      </w:r>
      <w:r w:rsidRPr="004A1E54">
        <w:rPr>
          <w:i/>
          <w:lang w:val="en-US"/>
        </w:rPr>
        <w:t>Requirements for interoperation of the smart port with the smart city</w:t>
      </w:r>
      <w:r w:rsidR="00D75F66" w:rsidRPr="004A1E54">
        <w:rPr>
          <w:i/>
          <w:lang w:val="en-US"/>
        </w:rPr>
        <w:t>"</w:t>
      </w:r>
      <w:r w:rsidRPr="004A1E54">
        <w:rPr>
          <w:lang w:val="en-US"/>
        </w:rPr>
        <w:t>, y UIT-T Y.4903/L.1603 (</w:t>
      </w:r>
      <w:proofErr w:type="spellStart"/>
      <w:r w:rsidRPr="004A1E54">
        <w:rPr>
          <w:lang w:val="en-US"/>
        </w:rPr>
        <w:t>revisada</w:t>
      </w:r>
      <w:proofErr w:type="spellEnd"/>
      <w:r w:rsidRPr="004A1E54">
        <w:rPr>
          <w:lang w:val="en-US"/>
        </w:rPr>
        <w:t>)</w:t>
      </w:r>
      <w:r w:rsidRPr="004A1E54">
        <w:rPr>
          <w:i/>
          <w:lang w:val="en-US"/>
        </w:rPr>
        <w:t xml:space="preserve"> </w:t>
      </w:r>
      <w:r w:rsidR="00D75F66" w:rsidRPr="004A1E54">
        <w:rPr>
          <w:i/>
          <w:lang w:val="en-US"/>
        </w:rPr>
        <w:t>"</w:t>
      </w:r>
      <w:r w:rsidRPr="004A1E54">
        <w:rPr>
          <w:i/>
          <w:lang w:val="en-US"/>
        </w:rPr>
        <w:t>Key performance indicators for smart sustainable cities to assess the achievement of the Sustainable Development Goals</w:t>
      </w:r>
      <w:r w:rsidR="00D75F66" w:rsidRPr="004A1E54">
        <w:rPr>
          <w:i/>
          <w:lang w:val="en-US"/>
        </w:rPr>
        <w:t>"</w:t>
      </w:r>
      <w:r w:rsidRPr="004A1E54">
        <w:rPr>
          <w:lang w:val="en-US"/>
        </w:rPr>
        <w:t>.</w:t>
      </w:r>
    </w:p>
    <w:p w14:paraId="02127DC4" w14:textId="77777777" w:rsidR="00E54062" w:rsidRPr="007A4EFE" w:rsidRDefault="00E54062" w:rsidP="00E54062">
      <w:r w:rsidRPr="007A4EFE">
        <w:t>2.4.1</w:t>
      </w:r>
      <w:r w:rsidRPr="007A4EFE">
        <w:tab/>
        <w:t xml:space="preserve">Está acelerándose la normalización de las especificaciones de pruebas de Internet de las </w:t>
      </w:r>
      <w:r w:rsidR="004A1E54">
        <w:t>c</w:t>
      </w:r>
      <w:r w:rsidRPr="007A4EFE">
        <w:t>osas (IoT), apoyándose en la creciente colaboración del UIT-T y oneM2M.</w:t>
      </w:r>
    </w:p>
    <w:p w14:paraId="1A6F6F05" w14:textId="77777777" w:rsidR="00E54062" w:rsidRPr="007A4EFE" w:rsidRDefault="00E54062" w:rsidP="00E54062">
      <w:r w:rsidRPr="007A4EFE">
        <w:t>2.4.2</w:t>
      </w:r>
      <w:r w:rsidRPr="007A4EFE">
        <w:tab/>
        <w:t xml:space="preserve">Más de cien ciudades de todo el mundo están midiendo sus avances utilizando los </w:t>
      </w:r>
      <w:r w:rsidR="00D75F66" w:rsidRPr="007A4EFE">
        <w:t>"</w:t>
      </w:r>
      <w:r w:rsidRPr="007A4EFE">
        <w:rPr>
          <w:i/>
        </w:rPr>
        <w:t>Indicadores fundamentales de rendimiento relacionados con las ciudades inteligentes y sostenibles</w:t>
      </w:r>
      <w:r w:rsidR="00D75F66" w:rsidRPr="007A4EFE">
        <w:t>"</w:t>
      </w:r>
      <w:r w:rsidRPr="007A4EFE">
        <w:t xml:space="preserve"> basados en las normas de la UIT promovidas por la iniciativa U4SSC.</w:t>
      </w:r>
    </w:p>
    <w:p w14:paraId="4002C9BE" w14:textId="77777777" w:rsidR="00E54062" w:rsidRPr="007A4EFE" w:rsidRDefault="00E54062" w:rsidP="00E54062">
      <w:r w:rsidRPr="007A4EFE">
        <w:t>2.4.3</w:t>
      </w:r>
      <w:r w:rsidRPr="007A4EFE">
        <w:tab/>
        <w:t xml:space="preserve">La CE 20 prosiguió la coordinación en relación con la IoT en su JCA-IoT y CI+I. La CE 20 está colaborando con ANSI, GSMA, IEEE, CEI, ISO, CEN/CENELEC/ETSI, ISO, oneM2M sobre los requisitos y el marco de capacidad de la medición de los servicios públicos de suministro inteligentes, y con ETSI MEC, ECC, IIC, oneM2M, e ISO/IEC JTC1 SC41 sobre el proyecto de Recomendación UIT-T </w:t>
      </w:r>
      <w:r w:rsidR="00D75F66" w:rsidRPr="007A4EFE">
        <w:rPr>
          <w:i/>
        </w:rPr>
        <w:t>"</w:t>
      </w:r>
      <w:r w:rsidRPr="007A4EFE">
        <w:rPr>
          <w:i/>
        </w:rPr>
        <w:t>IoT requirements for support of edge computing</w:t>
      </w:r>
      <w:r w:rsidR="00D75F66" w:rsidRPr="007A4EFE">
        <w:rPr>
          <w:i/>
        </w:rPr>
        <w:t>"</w:t>
      </w:r>
      <w:r w:rsidRPr="007A4EFE">
        <w:t xml:space="preserve">, con el IETF sobre el uso de nombre de esquema URI </w:t>
      </w:r>
      <w:r w:rsidR="00D75F66" w:rsidRPr="007A4EFE">
        <w:t>"</w:t>
      </w:r>
      <w:r w:rsidRPr="007A4EFE">
        <w:t>ppk</w:t>
      </w:r>
      <w:r w:rsidR="00D75F66" w:rsidRPr="007A4EFE">
        <w:t>"</w:t>
      </w:r>
      <w:r w:rsidRPr="007A4EFE">
        <w:t xml:space="preserve"> en Y.dec-IoT-arch, con oneM2M sobre el proyecto de nueva Recomendación UIT-T </w:t>
      </w:r>
      <w:r w:rsidRPr="00C81F06">
        <w:t>Y.oneM2M.SEC.SOL</w:t>
      </w:r>
      <w:r w:rsidRPr="007A4EFE">
        <w:rPr>
          <w:i/>
        </w:rPr>
        <w:t xml:space="preserve"> </w:t>
      </w:r>
      <w:r w:rsidR="00D75F66" w:rsidRPr="007A4EFE">
        <w:rPr>
          <w:i/>
        </w:rPr>
        <w:t>"</w:t>
      </w:r>
      <w:r w:rsidRPr="007A4EFE">
        <w:rPr>
          <w:i/>
        </w:rPr>
        <w:t>oneM2M Security Solutions</w:t>
      </w:r>
      <w:r w:rsidR="00D75F66" w:rsidRPr="007A4EFE">
        <w:rPr>
          <w:i/>
        </w:rPr>
        <w:t>"</w:t>
      </w:r>
      <w:r w:rsidRPr="007A4EFE">
        <w:t>, y con W3C sobre los identificadores de datos (DID) descentralizados.</w:t>
      </w:r>
    </w:p>
    <w:p w14:paraId="46024DF9" w14:textId="77777777" w:rsidR="00E54062" w:rsidRPr="007A4EFE" w:rsidRDefault="00E54062" w:rsidP="00E54062">
      <w:pPr>
        <w:rPr>
          <w:bCs/>
          <w:szCs w:val="24"/>
        </w:rPr>
      </w:pPr>
      <w:r w:rsidRPr="007A4EFE">
        <w:rPr>
          <w:b/>
          <w:bCs/>
        </w:rPr>
        <w:t>2.5</w:t>
      </w:r>
      <w:r w:rsidRPr="007A4EFE">
        <w:tab/>
      </w:r>
      <w:r w:rsidRPr="007A4EFE">
        <w:rPr>
          <w:szCs w:val="24"/>
        </w:rPr>
        <w:t>LA CE 12 del UIT-T aprobó tres Recomendaciones UIT-T</w:t>
      </w:r>
      <w:r w:rsidRPr="007A4EFE">
        <w:rPr>
          <w:bCs/>
          <w:iCs/>
          <w:szCs w:val="24"/>
        </w:rPr>
        <w:t>:</w:t>
      </w:r>
      <w:r w:rsidRPr="007A4EFE">
        <w:rPr>
          <w:bCs/>
          <w:i/>
          <w:szCs w:val="24"/>
        </w:rPr>
        <w:t xml:space="preserve"> </w:t>
      </w:r>
      <w:hyperlink r:id="rId68" w:history="1">
        <w:r w:rsidRPr="007A4EFE">
          <w:rPr>
            <w:rStyle w:val="Hyperlink"/>
            <w:rFonts w:asciiTheme="minorHAnsi" w:hAnsiTheme="minorHAnsi" w:cstheme="minorHAnsi"/>
            <w:bCs/>
            <w:iCs/>
            <w:szCs w:val="24"/>
          </w:rPr>
          <w:t>UIT-T Y.1540 (revisada)</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Internet protocol data communication service - IP packet transfer and availability performance parameters</w:t>
        </w:r>
        <w:r w:rsidR="00D75F66" w:rsidRPr="007A4EFE">
          <w:rPr>
            <w:rStyle w:val="Hyperlink"/>
            <w:rFonts w:asciiTheme="minorHAnsi" w:hAnsiTheme="minorHAnsi" w:cstheme="minorHAnsi"/>
            <w:bCs/>
            <w:i/>
            <w:szCs w:val="24"/>
          </w:rPr>
          <w:t>"</w:t>
        </w:r>
      </w:hyperlink>
      <w:r w:rsidRPr="007A4EFE">
        <w:rPr>
          <w:bCs/>
          <w:i/>
          <w:szCs w:val="24"/>
        </w:rPr>
        <w:t xml:space="preserve">, </w:t>
      </w:r>
      <w:hyperlink r:id="rId69" w:history="1">
        <w:r w:rsidRPr="007A4EFE">
          <w:rPr>
            <w:rStyle w:val="Hyperlink"/>
            <w:rFonts w:asciiTheme="minorHAnsi" w:hAnsiTheme="minorHAnsi" w:cstheme="minorHAnsi"/>
            <w:bCs/>
            <w:iCs/>
            <w:szCs w:val="24"/>
          </w:rPr>
          <w:t>UIT-T Y.1540 Enm.1</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Internet protocol data communication service - IP packet transfer and availability performance parameters - Amendment 1 - Amendment 1: New Annex B – Additional search algorithm for IP-based capacity parameters and methods of measurement</w:t>
        </w:r>
        <w:r w:rsidR="00D75F66" w:rsidRPr="007A4EFE">
          <w:rPr>
            <w:rStyle w:val="Hyperlink"/>
            <w:rFonts w:asciiTheme="minorHAnsi" w:hAnsiTheme="minorHAnsi" w:cstheme="minorHAnsi"/>
            <w:bCs/>
            <w:i/>
            <w:szCs w:val="24"/>
          </w:rPr>
          <w:t>"</w:t>
        </w:r>
      </w:hyperlink>
      <w:r w:rsidRPr="007A4EFE">
        <w:rPr>
          <w:bCs/>
          <w:i/>
          <w:szCs w:val="24"/>
        </w:rPr>
        <w:t xml:space="preserve">, </w:t>
      </w:r>
      <w:r w:rsidRPr="007A4EFE">
        <w:rPr>
          <w:bCs/>
          <w:iCs/>
          <w:szCs w:val="24"/>
        </w:rPr>
        <w:t xml:space="preserve">y </w:t>
      </w:r>
      <w:hyperlink r:id="rId70" w:history="1">
        <w:r w:rsidRPr="007A4EFE">
          <w:rPr>
            <w:rStyle w:val="Hyperlink"/>
            <w:rFonts w:asciiTheme="minorHAnsi" w:hAnsiTheme="minorHAnsi" w:cstheme="minorHAnsi"/>
            <w:bCs/>
            <w:iCs/>
            <w:szCs w:val="24"/>
          </w:rPr>
          <w:t>UIT-T E.475</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Guidelines for Intelligent Network Analytics and Diagnostics</w:t>
        </w:r>
        <w:r w:rsidR="00D75F66" w:rsidRPr="007A4EFE">
          <w:rPr>
            <w:rStyle w:val="Hyperlink"/>
            <w:rFonts w:asciiTheme="minorHAnsi" w:hAnsiTheme="minorHAnsi" w:cstheme="minorHAnsi"/>
            <w:bCs/>
            <w:i/>
            <w:szCs w:val="24"/>
          </w:rPr>
          <w:t>"</w:t>
        </w:r>
      </w:hyperlink>
      <w:r w:rsidRPr="007A4EFE">
        <w:rPr>
          <w:bCs/>
          <w:szCs w:val="24"/>
        </w:rPr>
        <w:t>. La CE 12 también aprobó una serie de normas (</w:t>
      </w:r>
      <w:r w:rsidRPr="007A4EFE">
        <w:rPr>
          <w:bCs/>
          <w:i/>
          <w:iCs/>
          <w:szCs w:val="24"/>
        </w:rPr>
        <w:t>UIT-</w:t>
      </w:r>
      <w:r w:rsidRPr="007A4EFE">
        <w:rPr>
          <w:bCs/>
          <w:i/>
          <w:szCs w:val="24"/>
        </w:rPr>
        <w:t>T P.1204 series</w:t>
      </w:r>
      <w:r w:rsidRPr="007A4EFE">
        <w:rPr>
          <w:bCs/>
          <w:szCs w:val="24"/>
        </w:rPr>
        <w:t xml:space="preserve">), y sigue colaborando y armonizando sus trabajos </w:t>
      </w:r>
      <w:r w:rsidR="008874B5">
        <w:rPr>
          <w:bCs/>
          <w:szCs w:val="24"/>
        </w:rPr>
        <w:t>c</w:t>
      </w:r>
      <w:r w:rsidRPr="007A4EFE">
        <w:rPr>
          <w:bCs/>
          <w:szCs w:val="24"/>
        </w:rPr>
        <w:t>on el grupo de trabajo de IETF IPPM; ETSI TC STQ; y BBF.</w:t>
      </w:r>
    </w:p>
    <w:p w14:paraId="61761C07" w14:textId="77777777" w:rsidR="00E54062" w:rsidRPr="007A4EFE" w:rsidRDefault="00E54062" w:rsidP="00E54062">
      <w:r w:rsidRPr="007A4EFE">
        <w:rPr>
          <w:b/>
        </w:rPr>
        <w:t>2.6</w:t>
      </w:r>
      <w:r w:rsidRPr="007A4EFE">
        <w:tab/>
      </w:r>
      <w:r w:rsidRPr="007A4EFE">
        <w:rPr>
          <w:spacing w:val="-2"/>
        </w:rPr>
        <w:t xml:space="preserve">La CE 11 del UIT-T aprobó </w:t>
      </w:r>
      <w:r w:rsidRPr="007A4EFE">
        <w:rPr>
          <w:spacing w:val="-2"/>
          <w:szCs w:val="24"/>
        </w:rPr>
        <w:t xml:space="preserve">el </w:t>
      </w:r>
      <w:hyperlink r:id="rId71" w:history="1">
        <w:r w:rsidRPr="007A4EFE">
          <w:rPr>
            <w:rStyle w:val="Hyperlink"/>
            <w:rFonts w:asciiTheme="minorHAnsi" w:hAnsiTheme="minorHAnsi" w:cstheme="minorHAnsi"/>
            <w:bCs/>
            <w:iCs/>
            <w:szCs w:val="24"/>
          </w:rPr>
          <w:t>UIT-T Q.Supplement 71</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Testing methodologies of Internet related performance measurements including e2e bit rate within the fixed and mobile operator’s networks</w:t>
        </w:r>
        <w:r w:rsidR="00D75F66" w:rsidRPr="007A4EFE">
          <w:rPr>
            <w:rStyle w:val="Hyperlink"/>
            <w:rFonts w:asciiTheme="minorHAnsi" w:hAnsiTheme="minorHAnsi" w:cstheme="minorHAnsi"/>
            <w:bCs/>
            <w:i/>
            <w:szCs w:val="24"/>
          </w:rPr>
          <w:t>"</w:t>
        </w:r>
      </w:hyperlink>
      <w:r w:rsidRPr="007A4EFE">
        <w:rPr>
          <w:szCs w:val="24"/>
        </w:rPr>
        <w:t xml:space="preserve"> y la directriz </w:t>
      </w:r>
      <w:r w:rsidRPr="007A4EFE">
        <w:rPr>
          <w:i/>
          <w:szCs w:val="24"/>
        </w:rPr>
        <w:t xml:space="preserve">ITU-T Guideline-TEST_UE/MS </w:t>
      </w:r>
      <w:r w:rsidR="00D75F66" w:rsidRPr="007A4EFE">
        <w:rPr>
          <w:i/>
          <w:szCs w:val="24"/>
        </w:rPr>
        <w:t>"</w:t>
      </w:r>
      <w:r w:rsidRPr="007A4EFE">
        <w:rPr>
          <w:i/>
          <w:szCs w:val="24"/>
        </w:rPr>
        <w:t>Guideline for general test procedure and specification for measurements of the LTE, 3G/2G user Equipment/mobile stations (UE/MS) for over-the-air performance testing</w:t>
      </w:r>
      <w:r w:rsidR="00260B7F">
        <w:rPr>
          <w:i/>
          <w:szCs w:val="24"/>
        </w:rPr>
        <w:t>"</w:t>
      </w:r>
      <w:r w:rsidRPr="007A4EFE">
        <w:rPr>
          <w:szCs w:val="24"/>
        </w:rPr>
        <w:t xml:space="preserve">. </w:t>
      </w:r>
      <w:r w:rsidRPr="008874B5">
        <w:rPr>
          <w:szCs w:val="24"/>
          <w:lang w:val="en-US"/>
        </w:rPr>
        <w:t>La CE</w:t>
      </w:r>
      <w:r w:rsidR="007A4EFE" w:rsidRPr="008874B5">
        <w:rPr>
          <w:szCs w:val="24"/>
          <w:lang w:val="en-US"/>
        </w:rPr>
        <w:t xml:space="preserve"> </w:t>
      </w:r>
      <w:r w:rsidRPr="008874B5">
        <w:rPr>
          <w:szCs w:val="24"/>
          <w:lang w:val="en-US"/>
        </w:rPr>
        <w:t xml:space="preserve">11 </w:t>
      </w:r>
      <w:proofErr w:type="spellStart"/>
      <w:r w:rsidRPr="008874B5">
        <w:rPr>
          <w:szCs w:val="24"/>
          <w:lang w:val="en-US"/>
        </w:rPr>
        <w:t>aprobó</w:t>
      </w:r>
      <w:proofErr w:type="spellEnd"/>
      <w:r w:rsidRPr="008874B5">
        <w:rPr>
          <w:szCs w:val="24"/>
          <w:lang w:val="en-US"/>
        </w:rPr>
        <w:t xml:space="preserve"> </w:t>
      </w:r>
      <w:proofErr w:type="spellStart"/>
      <w:r w:rsidRPr="008874B5">
        <w:rPr>
          <w:szCs w:val="24"/>
          <w:lang w:val="en-US"/>
        </w:rPr>
        <w:t>cuatro</w:t>
      </w:r>
      <w:proofErr w:type="spellEnd"/>
      <w:r w:rsidRPr="008874B5">
        <w:rPr>
          <w:szCs w:val="24"/>
          <w:lang w:val="en-US"/>
        </w:rPr>
        <w:t xml:space="preserve"> </w:t>
      </w:r>
      <w:proofErr w:type="spellStart"/>
      <w:r w:rsidRPr="008874B5">
        <w:rPr>
          <w:szCs w:val="24"/>
          <w:lang w:val="en-US"/>
        </w:rPr>
        <w:t>Recomendaciones</w:t>
      </w:r>
      <w:proofErr w:type="spellEnd"/>
      <w:r w:rsidRPr="008874B5">
        <w:rPr>
          <w:szCs w:val="24"/>
          <w:lang w:val="en-US"/>
        </w:rPr>
        <w:t xml:space="preserve"> UIT-T: </w:t>
      </w:r>
      <w:hyperlink r:id="rId72" w:history="1">
        <w:r w:rsidRPr="008874B5">
          <w:rPr>
            <w:rStyle w:val="Hyperlink"/>
            <w:rFonts w:asciiTheme="minorHAnsi" w:hAnsiTheme="minorHAnsi" w:cstheme="minorHAnsi"/>
            <w:bCs/>
            <w:iCs/>
            <w:szCs w:val="24"/>
            <w:lang w:val="en-US"/>
          </w:rPr>
          <w:t>UIT-T Q.3055</w:t>
        </w:r>
        <w:r w:rsidRPr="008874B5">
          <w:rPr>
            <w:rStyle w:val="Hyperlink"/>
            <w:rFonts w:asciiTheme="minorHAnsi" w:hAnsiTheme="minorHAnsi" w:cstheme="minorHAnsi"/>
            <w:bCs/>
            <w:i/>
            <w:szCs w:val="24"/>
            <w:lang w:val="en-US"/>
          </w:rPr>
          <w:t xml:space="preserve"> </w:t>
        </w:r>
        <w:r w:rsidR="00D75F66" w:rsidRPr="008874B5">
          <w:rPr>
            <w:rStyle w:val="Hyperlink"/>
            <w:rFonts w:asciiTheme="minorHAnsi" w:hAnsiTheme="minorHAnsi" w:cstheme="minorHAnsi"/>
            <w:bCs/>
            <w:i/>
            <w:szCs w:val="24"/>
            <w:lang w:val="en-US"/>
          </w:rPr>
          <w:t>"</w:t>
        </w:r>
        <w:proofErr w:type="spellStart"/>
        <w:r w:rsidRPr="008874B5">
          <w:rPr>
            <w:rStyle w:val="Hyperlink"/>
            <w:rFonts w:asciiTheme="minorHAnsi" w:hAnsiTheme="minorHAnsi" w:cstheme="minorHAnsi"/>
            <w:bCs/>
            <w:i/>
            <w:szCs w:val="24"/>
            <w:lang w:val="en-US"/>
          </w:rPr>
          <w:t>Signalling</w:t>
        </w:r>
        <w:proofErr w:type="spellEnd"/>
        <w:r w:rsidRPr="008874B5">
          <w:rPr>
            <w:rStyle w:val="Hyperlink"/>
            <w:rFonts w:asciiTheme="minorHAnsi" w:hAnsiTheme="minorHAnsi" w:cstheme="minorHAnsi"/>
            <w:bCs/>
            <w:i/>
            <w:szCs w:val="24"/>
            <w:lang w:val="en-US"/>
          </w:rPr>
          <w:t xml:space="preserve"> protocol for Heterogeneous IoT gateways</w:t>
        </w:r>
        <w:r w:rsidR="00D75F66" w:rsidRPr="008874B5">
          <w:rPr>
            <w:rStyle w:val="Hyperlink"/>
            <w:rFonts w:asciiTheme="minorHAnsi" w:hAnsiTheme="minorHAnsi" w:cstheme="minorHAnsi"/>
            <w:bCs/>
            <w:i/>
            <w:szCs w:val="24"/>
            <w:lang w:val="en-US"/>
          </w:rPr>
          <w:t>"</w:t>
        </w:r>
      </w:hyperlink>
      <w:r w:rsidRPr="008874B5">
        <w:rPr>
          <w:i/>
          <w:szCs w:val="24"/>
          <w:lang w:val="en-US"/>
        </w:rPr>
        <w:t xml:space="preserve">, </w:t>
      </w:r>
      <w:hyperlink r:id="rId73" w:history="1">
        <w:r w:rsidRPr="008874B5">
          <w:rPr>
            <w:rStyle w:val="Hyperlink"/>
            <w:rFonts w:asciiTheme="minorHAnsi" w:hAnsiTheme="minorHAnsi" w:cstheme="minorHAnsi"/>
            <w:bCs/>
            <w:iCs/>
            <w:szCs w:val="24"/>
            <w:lang w:val="en-US"/>
          </w:rPr>
          <w:t>UIT-T Q.3644</w:t>
        </w:r>
        <w:r w:rsidRPr="008874B5">
          <w:rPr>
            <w:rStyle w:val="Hyperlink"/>
            <w:rFonts w:asciiTheme="minorHAnsi" w:hAnsiTheme="minorHAnsi" w:cstheme="minorHAnsi"/>
            <w:bCs/>
            <w:i/>
            <w:szCs w:val="24"/>
            <w:lang w:val="en-US"/>
          </w:rPr>
          <w:t xml:space="preserve"> </w:t>
        </w:r>
        <w:r w:rsidR="00D75F66" w:rsidRPr="008874B5">
          <w:rPr>
            <w:rStyle w:val="Hyperlink"/>
            <w:rFonts w:asciiTheme="minorHAnsi" w:hAnsiTheme="minorHAnsi" w:cstheme="minorHAnsi"/>
            <w:bCs/>
            <w:i/>
            <w:szCs w:val="24"/>
            <w:lang w:val="en-US"/>
          </w:rPr>
          <w:t>"</w:t>
        </w:r>
        <w:r w:rsidRPr="008874B5">
          <w:rPr>
            <w:rStyle w:val="Hyperlink"/>
            <w:rFonts w:asciiTheme="minorHAnsi" w:hAnsiTheme="minorHAnsi" w:cstheme="minorHAnsi"/>
            <w:bCs/>
            <w:i/>
            <w:szCs w:val="24"/>
            <w:lang w:val="en-US"/>
          </w:rPr>
          <w:t xml:space="preserve">Requirements for </w:t>
        </w:r>
        <w:proofErr w:type="spellStart"/>
        <w:r w:rsidRPr="008874B5">
          <w:rPr>
            <w:rStyle w:val="Hyperlink"/>
            <w:rFonts w:asciiTheme="minorHAnsi" w:hAnsiTheme="minorHAnsi" w:cstheme="minorHAnsi"/>
            <w:bCs/>
            <w:i/>
            <w:szCs w:val="24"/>
            <w:lang w:val="en-US"/>
          </w:rPr>
          <w:t>signalling</w:t>
        </w:r>
        <w:proofErr w:type="spellEnd"/>
        <w:r w:rsidRPr="008874B5">
          <w:rPr>
            <w:rStyle w:val="Hyperlink"/>
            <w:rFonts w:asciiTheme="minorHAnsi" w:hAnsiTheme="minorHAnsi" w:cstheme="minorHAnsi"/>
            <w:bCs/>
            <w:i/>
            <w:szCs w:val="24"/>
            <w:lang w:val="en-US"/>
          </w:rPr>
          <w:t xml:space="preserve"> network analyses and optimization in VoLTE</w:t>
        </w:r>
        <w:r w:rsidR="00D75F66" w:rsidRPr="008874B5">
          <w:rPr>
            <w:rStyle w:val="Hyperlink"/>
            <w:rFonts w:asciiTheme="minorHAnsi" w:hAnsiTheme="minorHAnsi" w:cstheme="minorHAnsi"/>
            <w:bCs/>
            <w:i/>
            <w:szCs w:val="24"/>
            <w:lang w:val="en-US"/>
          </w:rPr>
          <w:t>"</w:t>
        </w:r>
      </w:hyperlink>
      <w:r w:rsidRPr="008874B5">
        <w:rPr>
          <w:iCs/>
          <w:szCs w:val="24"/>
          <w:lang w:val="en-US"/>
        </w:rPr>
        <w:t xml:space="preserve">, </w:t>
      </w:r>
      <w:hyperlink r:id="rId74" w:history="1">
        <w:r w:rsidRPr="008874B5">
          <w:rPr>
            <w:rStyle w:val="Hyperlink"/>
            <w:rFonts w:asciiTheme="minorHAnsi" w:hAnsiTheme="minorHAnsi" w:cstheme="minorHAnsi"/>
            <w:bCs/>
            <w:iCs/>
            <w:szCs w:val="24"/>
            <w:lang w:val="en-US"/>
          </w:rPr>
          <w:t xml:space="preserve">UIT-T Q.3056 </w:t>
        </w:r>
        <w:r w:rsidR="00D75F66" w:rsidRPr="008874B5">
          <w:rPr>
            <w:rStyle w:val="Hyperlink"/>
            <w:rFonts w:asciiTheme="minorHAnsi" w:hAnsiTheme="minorHAnsi" w:cstheme="minorHAnsi"/>
            <w:bCs/>
            <w:i/>
            <w:szCs w:val="24"/>
            <w:lang w:val="en-US"/>
          </w:rPr>
          <w:t>"</w:t>
        </w:r>
        <w:proofErr w:type="spellStart"/>
        <w:r w:rsidRPr="008874B5">
          <w:rPr>
            <w:rStyle w:val="Hyperlink"/>
            <w:rFonts w:asciiTheme="minorHAnsi" w:hAnsiTheme="minorHAnsi" w:cstheme="minorHAnsi"/>
            <w:bCs/>
            <w:i/>
            <w:szCs w:val="24"/>
            <w:lang w:val="en-US"/>
          </w:rPr>
          <w:t>Signalling</w:t>
        </w:r>
        <w:proofErr w:type="spellEnd"/>
        <w:r w:rsidRPr="008874B5">
          <w:rPr>
            <w:rStyle w:val="Hyperlink"/>
            <w:rFonts w:asciiTheme="minorHAnsi" w:hAnsiTheme="minorHAnsi" w:cstheme="minorHAnsi"/>
            <w:bCs/>
            <w:i/>
            <w:szCs w:val="24"/>
            <w:lang w:val="en-US"/>
          </w:rPr>
          <w:t xml:space="preserve"> procedures of the probes to be used for remote testing of network parameters</w:t>
        </w:r>
        <w:r w:rsidR="00D75F66" w:rsidRPr="008874B5">
          <w:rPr>
            <w:rStyle w:val="Hyperlink"/>
            <w:rFonts w:asciiTheme="minorHAnsi" w:hAnsiTheme="minorHAnsi" w:cstheme="minorHAnsi"/>
            <w:bCs/>
            <w:i/>
            <w:szCs w:val="24"/>
            <w:lang w:val="en-US"/>
          </w:rPr>
          <w:t>"</w:t>
        </w:r>
      </w:hyperlink>
      <w:r w:rsidRPr="008874B5">
        <w:rPr>
          <w:szCs w:val="24"/>
          <w:lang w:val="en-US"/>
        </w:rPr>
        <w:t xml:space="preserve">, </w:t>
      </w:r>
      <w:r w:rsidR="008874B5" w:rsidRPr="008874B5">
        <w:rPr>
          <w:szCs w:val="24"/>
          <w:lang w:val="en-US"/>
        </w:rPr>
        <w:t>y</w:t>
      </w:r>
      <w:r w:rsidRPr="008874B5">
        <w:rPr>
          <w:szCs w:val="24"/>
          <w:lang w:val="en-US"/>
        </w:rPr>
        <w:t xml:space="preserve"> </w:t>
      </w:r>
      <w:hyperlink r:id="rId75" w:history="1">
        <w:r w:rsidRPr="008874B5">
          <w:rPr>
            <w:rStyle w:val="Hyperlink"/>
            <w:rFonts w:asciiTheme="minorHAnsi" w:hAnsiTheme="minorHAnsi" w:cstheme="minorHAnsi"/>
            <w:bCs/>
            <w:szCs w:val="24"/>
            <w:lang w:val="en-US"/>
          </w:rPr>
          <w:t>UIT-T Q.3916</w:t>
        </w:r>
        <w:r w:rsidRPr="008874B5">
          <w:rPr>
            <w:rStyle w:val="Hyperlink"/>
            <w:rFonts w:asciiTheme="minorHAnsi" w:hAnsiTheme="minorHAnsi" w:cstheme="minorHAnsi"/>
            <w:bCs/>
            <w:i/>
            <w:szCs w:val="24"/>
            <w:lang w:val="en-US"/>
          </w:rPr>
          <w:t xml:space="preserve"> </w:t>
        </w:r>
        <w:r w:rsidR="00D75F66" w:rsidRPr="008874B5">
          <w:rPr>
            <w:rStyle w:val="Hyperlink"/>
            <w:rFonts w:asciiTheme="minorHAnsi" w:hAnsiTheme="minorHAnsi" w:cstheme="minorHAnsi"/>
            <w:bCs/>
            <w:i/>
            <w:szCs w:val="24"/>
            <w:lang w:val="en-US"/>
          </w:rPr>
          <w:t>"</w:t>
        </w:r>
        <w:proofErr w:type="spellStart"/>
        <w:r w:rsidRPr="008874B5">
          <w:rPr>
            <w:rStyle w:val="Hyperlink"/>
            <w:rFonts w:asciiTheme="minorHAnsi" w:hAnsiTheme="minorHAnsi" w:cstheme="minorHAnsi"/>
            <w:bCs/>
            <w:i/>
            <w:szCs w:val="24"/>
            <w:lang w:val="en-US"/>
          </w:rPr>
          <w:t>Signalling</w:t>
        </w:r>
        <w:proofErr w:type="spellEnd"/>
        <w:r w:rsidRPr="008874B5">
          <w:rPr>
            <w:rStyle w:val="Hyperlink"/>
            <w:rFonts w:asciiTheme="minorHAnsi" w:hAnsiTheme="minorHAnsi" w:cstheme="minorHAnsi"/>
            <w:bCs/>
            <w:i/>
            <w:szCs w:val="24"/>
            <w:lang w:val="en-US"/>
          </w:rPr>
          <w:t xml:space="preserve"> requirements and architecture for the Internet service quality monitoring system</w:t>
        </w:r>
        <w:r w:rsidR="00D75F66" w:rsidRPr="008874B5">
          <w:rPr>
            <w:rStyle w:val="Hyperlink"/>
            <w:rFonts w:asciiTheme="minorHAnsi" w:hAnsiTheme="minorHAnsi" w:cstheme="minorHAnsi"/>
            <w:bCs/>
            <w:i/>
            <w:szCs w:val="24"/>
            <w:lang w:val="en-US"/>
          </w:rPr>
          <w:t>"</w:t>
        </w:r>
      </w:hyperlink>
      <w:r w:rsidRPr="008874B5">
        <w:rPr>
          <w:szCs w:val="24"/>
          <w:lang w:val="en-US"/>
        </w:rPr>
        <w:t xml:space="preserve">. </w:t>
      </w:r>
      <w:r w:rsidRPr="007A4EFE">
        <w:rPr>
          <w:szCs w:val="24"/>
        </w:rPr>
        <w:t>L</w:t>
      </w:r>
      <w:r w:rsidRPr="007A4EFE">
        <w:t xml:space="preserve">a CE 11 coordinó con IETF SFC sobre recientes acontecimientos relacionados con el SFC en la C4/11, con IETF ippm sobre el UIT-T </w:t>
      </w:r>
      <w:proofErr w:type="gramStart"/>
      <w:r w:rsidRPr="007A4EFE">
        <w:t>Q.Suppl</w:t>
      </w:r>
      <w:proofErr w:type="gramEnd"/>
      <w:r w:rsidRPr="007A4EFE">
        <w:t>.71, y con RIPE NCC sobre UIT-T Q.3916.</w:t>
      </w:r>
    </w:p>
    <w:p w14:paraId="0B1E18D4" w14:textId="77777777" w:rsidR="00E54062" w:rsidRPr="007A4EFE" w:rsidRDefault="00E54062" w:rsidP="00E54062">
      <w:r w:rsidRPr="007A4EFE">
        <w:rPr>
          <w:b/>
        </w:rPr>
        <w:t>2.7</w:t>
      </w:r>
      <w:r w:rsidRPr="007A4EFE">
        <w:tab/>
        <w:t xml:space="preserve">La CE 9 del UIT-T aprobó la </w:t>
      </w:r>
      <w:hyperlink r:id="rId76" w:history="1">
        <w:r w:rsidRPr="007A4EFE">
          <w:rPr>
            <w:rStyle w:val="Hyperlink"/>
            <w:rFonts w:asciiTheme="minorHAnsi" w:hAnsiTheme="minorHAnsi" w:cstheme="minorHAnsi"/>
            <w:bCs/>
            <w:iCs/>
            <w:szCs w:val="24"/>
          </w:rPr>
          <w:t>Recomendación UIT-T J.1600</w:t>
        </w:r>
        <w:r w:rsidRPr="007A4EFE">
          <w:rPr>
            <w:rStyle w:val="Hyperlink"/>
            <w:rFonts w:asciiTheme="minorHAnsi" w:hAnsiTheme="minorHAnsi" w:cstheme="minorHAnsi"/>
            <w:bCs/>
            <w:i/>
            <w:szCs w:val="24"/>
          </w:rPr>
          <w:t xml:space="preserve"> </w:t>
        </w:r>
        <w:r w:rsidR="00D75F66" w:rsidRPr="007A4EFE">
          <w:rPr>
            <w:rStyle w:val="Hyperlink"/>
            <w:rFonts w:asciiTheme="minorHAnsi" w:hAnsiTheme="minorHAnsi" w:cstheme="minorHAnsi"/>
            <w:bCs/>
            <w:i/>
            <w:szCs w:val="24"/>
          </w:rPr>
          <w:t>"</w:t>
        </w:r>
        <w:r w:rsidRPr="007A4EFE">
          <w:rPr>
            <w:rStyle w:val="Hyperlink"/>
            <w:rFonts w:asciiTheme="minorHAnsi" w:hAnsiTheme="minorHAnsi" w:cstheme="minorHAnsi"/>
            <w:bCs/>
            <w:i/>
            <w:szCs w:val="24"/>
          </w:rPr>
          <w:t>Premium Cable Network Platform (PCNP) – Framework</w:t>
        </w:r>
        <w:r w:rsidR="00D75F66" w:rsidRPr="007A4EFE">
          <w:rPr>
            <w:rStyle w:val="Hyperlink"/>
            <w:rFonts w:asciiTheme="minorHAnsi" w:hAnsiTheme="minorHAnsi" w:cstheme="minorHAnsi"/>
            <w:bCs/>
            <w:i/>
            <w:szCs w:val="24"/>
          </w:rPr>
          <w:t>"</w:t>
        </w:r>
      </w:hyperlink>
      <w:r w:rsidRPr="007A4EFE">
        <w:t>.</w:t>
      </w:r>
    </w:p>
    <w:p w14:paraId="1CAB4027" w14:textId="77777777" w:rsidR="00E54062" w:rsidRPr="007A4EFE" w:rsidRDefault="00E54062" w:rsidP="00E54062">
      <w:pPr>
        <w:rPr>
          <w:bCs/>
        </w:rPr>
      </w:pPr>
      <w:r w:rsidRPr="007A4EFE">
        <w:rPr>
          <w:b/>
          <w:bCs/>
        </w:rPr>
        <w:t>2.8</w:t>
      </w:r>
      <w:r w:rsidRPr="007A4EFE">
        <w:tab/>
        <w:t>La CE 15 del UIT-T está elaborando Recomendaciones en colaboración con varias organizaciones tales como la CEI</w:t>
      </w:r>
      <w:r w:rsidRPr="007A4EFE">
        <w:rPr>
          <w:bCs/>
        </w:rPr>
        <w:t>, IETF, IEEE, Broadband Forum, MEF, ETSI, 3GPP, OIF y ONF.</w:t>
      </w:r>
    </w:p>
    <w:p w14:paraId="70C8E86A" w14:textId="77777777" w:rsidR="00E54062" w:rsidRPr="007A4EFE" w:rsidRDefault="00E54062" w:rsidP="00E54062">
      <w:pPr>
        <w:rPr>
          <w:i/>
        </w:rPr>
      </w:pPr>
      <w:r w:rsidRPr="007A4EFE">
        <w:rPr>
          <w:b/>
        </w:rPr>
        <w:t>2.9</w:t>
      </w:r>
      <w:r w:rsidRPr="007A4EFE">
        <w:tab/>
        <w:t xml:space="preserve">La CE 2 del UIT-T consintió el proyecto de Recomendación UIT-T </w:t>
      </w:r>
      <w:r w:rsidRPr="007A4EFE">
        <w:rPr>
          <w:iCs/>
        </w:rPr>
        <w:t>M.3041</w:t>
      </w:r>
      <w:r w:rsidRPr="007A4EFE">
        <w:rPr>
          <w:i/>
        </w:rPr>
        <w:t xml:space="preserve"> </w:t>
      </w:r>
      <w:r w:rsidR="00D75F66" w:rsidRPr="007A4EFE">
        <w:rPr>
          <w:i/>
        </w:rPr>
        <w:t>"</w:t>
      </w:r>
      <w:r w:rsidRPr="007A4EFE">
        <w:rPr>
          <w:i/>
        </w:rPr>
        <w:t>Framework of smart operation, management and maintenance</w:t>
      </w:r>
      <w:r w:rsidR="00D75F66" w:rsidRPr="007A4EFE">
        <w:rPr>
          <w:i/>
        </w:rPr>
        <w:t>"</w:t>
      </w:r>
      <w:r w:rsidRPr="007A4EFE">
        <w:t xml:space="preserve"> (en fase de aprobación).</w:t>
      </w:r>
    </w:p>
    <w:p w14:paraId="668918F3" w14:textId="77777777" w:rsidR="00E54062" w:rsidRPr="007A4EFE" w:rsidRDefault="00E54062" w:rsidP="00E54062">
      <w:r w:rsidRPr="007A4EFE">
        <w:rPr>
          <w:b/>
        </w:rPr>
        <w:t>2.10</w:t>
      </w:r>
      <w:r w:rsidRPr="007A4EFE">
        <w:tab/>
        <w:t>Se facilita información sobre las actividades de la CE</w:t>
      </w:r>
      <w:r w:rsidR="007A4EFE">
        <w:t xml:space="preserve"> </w:t>
      </w:r>
      <w:r w:rsidRPr="007A4EFE">
        <w:t xml:space="preserve">17 del UIT-T en el </w:t>
      </w:r>
      <w:hyperlink r:id="rId77" w:history="1">
        <w:r w:rsidRPr="007A4EFE">
          <w:rPr>
            <w:rStyle w:val="Hyperlink"/>
            <w:rFonts w:asciiTheme="minorHAnsi" w:hAnsiTheme="minorHAnsi" w:cstheme="minorHAnsi"/>
            <w:bCs/>
            <w:szCs w:val="24"/>
          </w:rPr>
          <w:t>Documento C20/18</w:t>
        </w:r>
      </w:hyperlink>
      <w:r w:rsidRPr="007A4EFE">
        <w:t xml:space="preserve"> del Consejo.</w:t>
      </w:r>
    </w:p>
    <w:p w14:paraId="348F1897" w14:textId="77777777" w:rsidR="00E54062" w:rsidRPr="007A4EFE" w:rsidRDefault="00E54062" w:rsidP="00E54062">
      <w:pPr>
        <w:rPr>
          <w:b/>
          <w:szCs w:val="24"/>
        </w:rPr>
      </w:pPr>
      <w:r w:rsidRPr="007A4EFE">
        <w:rPr>
          <w:b/>
          <w:szCs w:val="24"/>
        </w:rPr>
        <w:lastRenderedPageBreak/>
        <w:t>2.11</w:t>
      </w:r>
      <w:r w:rsidRPr="007A4EFE">
        <w:rPr>
          <w:szCs w:val="24"/>
        </w:rPr>
        <w:tab/>
        <w:t xml:space="preserve">Varios Grupos Temáticos del UIT-T están estudiando tecnologías emergentes y su posible repercusión sobre la labor de normalización de la UIT. En la actualidad, </w:t>
      </w:r>
      <w:hyperlink r:id="rId78" w:history="1">
        <w:r w:rsidRPr="007A4EFE">
          <w:rPr>
            <w:rStyle w:val="Hyperlink"/>
            <w:rFonts w:asciiTheme="minorHAnsi" w:hAnsiTheme="minorHAnsi" w:cstheme="minorHAnsi"/>
            <w:bCs/>
            <w:szCs w:val="24"/>
          </w:rPr>
          <w:t>están activos siete Grupos Temáticos del UIT-T</w:t>
        </w:r>
      </w:hyperlink>
      <w:r w:rsidRPr="007A4EFE">
        <w:rPr>
          <w:szCs w:val="24"/>
        </w:rPr>
        <w:t>:</w:t>
      </w:r>
      <w:r w:rsidR="008874B5">
        <w:rPr>
          <w:szCs w:val="24"/>
        </w:rPr>
        <w:t xml:space="preserve"> </w:t>
      </w:r>
      <w:r w:rsidRPr="007A4EFE">
        <w:rPr>
          <w:szCs w:val="24"/>
        </w:rPr>
        <w:t xml:space="preserve">1) </w:t>
      </w:r>
      <w:hyperlink r:id="rId79" w:history="1">
        <w:r w:rsidRPr="007A4EFE">
          <w:rPr>
            <w:rStyle w:val="Hyperlink"/>
            <w:rFonts w:asciiTheme="minorHAnsi" w:hAnsiTheme="minorHAnsi" w:cstheme="minorHAnsi"/>
            <w:i/>
            <w:szCs w:val="24"/>
          </w:rPr>
          <w:t>Grupo Temático del UIT-T sobre aprendizaje automático para las redes futuras, 5G inclusive (FG ML5G)</w:t>
        </w:r>
      </w:hyperlink>
      <w:r w:rsidRPr="007A4EFE" w:rsidDel="008B3228">
        <w:rPr>
          <w:szCs w:val="24"/>
        </w:rPr>
        <w:t xml:space="preserve"> </w:t>
      </w:r>
      <w:r w:rsidRPr="007A4EFE">
        <w:rPr>
          <w:szCs w:val="24"/>
        </w:rPr>
        <w:t xml:space="preserve">2) </w:t>
      </w:r>
      <w:hyperlink r:id="rId80" w:history="1">
        <w:r w:rsidRPr="007A4EFE">
          <w:rPr>
            <w:rStyle w:val="Hyperlink"/>
            <w:rFonts w:asciiTheme="minorHAnsi" w:hAnsiTheme="minorHAnsi" w:cstheme="minorHAnsi"/>
            <w:i/>
            <w:szCs w:val="24"/>
          </w:rPr>
          <w:t>Grupo Temático del UIT-T sobre Tecnologías para la Red 2030 (GT NET-2030)</w:t>
        </w:r>
      </w:hyperlink>
      <w:r w:rsidR="008874B5">
        <w:rPr>
          <w:szCs w:val="24"/>
        </w:rPr>
        <w:t xml:space="preserve"> </w:t>
      </w:r>
      <w:r w:rsidRPr="007A4EFE">
        <w:rPr>
          <w:szCs w:val="24"/>
        </w:rPr>
        <w:t xml:space="preserve">3) </w:t>
      </w:r>
      <w:hyperlink r:id="rId81" w:history="1">
        <w:r w:rsidRPr="007A4EFE">
          <w:rPr>
            <w:rStyle w:val="Hyperlink"/>
            <w:rFonts w:asciiTheme="minorHAnsi" w:hAnsiTheme="minorHAnsi" w:cstheme="minorHAnsi"/>
            <w:i/>
            <w:szCs w:val="24"/>
          </w:rPr>
          <w:t>Grupo Temático del UIT-T sobre Inteligencia artificial para la salud (FG AI4H)</w:t>
        </w:r>
      </w:hyperlink>
      <w:r w:rsidRPr="007A4EFE" w:rsidDel="008B3228">
        <w:rPr>
          <w:szCs w:val="24"/>
        </w:rPr>
        <w:t xml:space="preserve"> </w:t>
      </w:r>
      <w:r w:rsidRPr="007A4EFE">
        <w:rPr>
          <w:szCs w:val="24"/>
        </w:rPr>
        <w:t>4)</w:t>
      </w:r>
      <w:r w:rsidR="008874B5">
        <w:rPr>
          <w:szCs w:val="24"/>
        </w:rPr>
        <w:t> </w:t>
      </w:r>
      <w:hyperlink r:id="rId82" w:history="1">
        <w:r w:rsidRPr="007A4EFE">
          <w:rPr>
            <w:rStyle w:val="Hyperlink"/>
            <w:rFonts w:asciiTheme="minorHAnsi" w:hAnsiTheme="minorHAnsi" w:cstheme="minorHAnsi"/>
            <w:i/>
            <w:szCs w:val="24"/>
          </w:rPr>
          <w:t>Grupo Temático del UIT-T sobre multimedios en vehículos (FG VM</w:t>
        </w:r>
      </w:hyperlink>
      <w:r w:rsidRPr="007A4EFE">
        <w:rPr>
          <w:i/>
          <w:szCs w:val="24"/>
        </w:rPr>
        <w:t>)</w:t>
      </w:r>
      <w:r w:rsidR="008874B5">
        <w:rPr>
          <w:szCs w:val="24"/>
        </w:rPr>
        <w:t xml:space="preserve"> </w:t>
      </w:r>
      <w:r w:rsidRPr="007A4EFE">
        <w:rPr>
          <w:szCs w:val="24"/>
        </w:rPr>
        <w:t xml:space="preserve">5) </w:t>
      </w:r>
      <w:hyperlink r:id="rId83" w:history="1">
        <w:r w:rsidRPr="007A4EFE">
          <w:rPr>
            <w:rStyle w:val="Hyperlink"/>
            <w:rFonts w:cstheme="minorHAnsi"/>
            <w:i/>
            <w:spacing w:val="2"/>
            <w:szCs w:val="24"/>
          </w:rPr>
          <w:t xml:space="preserve">Grupo Temático del UIT-T sobre </w:t>
        </w:r>
        <w:r w:rsidR="00D75F66" w:rsidRPr="007A4EFE">
          <w:rPr>
            <w:rStyle w:val="Hyperlink"/>
            <w:rFonts w:cstheme="minorHAnsi"/>
            <w:i/>
            <w:spacing w:val="2"/>
            <w:szCs w:val="24"/>
          </w:rPr>
          <w:t>"</w:t>
        </w:r>
        <w:r w:rsidRPr="007A4EFE">
          <w:rPr>
            <w:rStyle w:val="Hyperlink"/>
            <w:rFonts w:cstheme="minorHAnsi"/>
            <w:i/>
            <w:spacing w:val="2"/>
            <w:szCs w:val="24"/>
          </w:rPr>
          <w:t>Eficiencia energética para inteligencia artificial y otras tecnologías emergentes</w:t>
        </w:r>
        <w:r w:rsidR="00D75F66" w:rsidRPr="007A4EFE">
          <w:rPr>
            <w:rStyle w:val="Hyperlink"/>
            <w:rFonts w:cstheme="minorHAnsi"/>
            <w:i/>
            <w:spacing w:val="2"/>
            <w:szCs w:val="24"/>
          </w:rPr>
          <w:t>"</w:t>
        </w:r>
      </w:hyperlink>
      <w:r w:rsidRPr="007A4EFE">
        <w:rPr>
          <w:spacing w:val="2"/>
          <w:szCs w:val="24"/>
        </w:rPr>
        <w:t xml:space="preserve"> (F</w:t>
      </w:r>
      <w:r w:rsidR="008874B5">
        <w:rPr>
          <w:spacing w:val="4"/>
          <w:szCs w:val="24"/>
        </w:rPr>
        <w:t>G</w:t>
      </w:r>
      <w:r w:rsidR="008874B5">
        <w:rPr>
          <w:spacing w:val="4"/>
          <w:szCs w:val="24"/>
        </w:rPr>
        <w:noBreakHyphen/>
        <w:t xml:space="preserve">AI4EE) </w:t>
      </w:r>
      <w:r w:rsidRPr="007A4EFE">
        <w:rPr>
          <w:spacing w:val="4"/>
          <w:szCs w:val="24"/>
        </w:rPr>
        <w:t xml:space="preserve">6) </w:t>
      </w:r>
      <w:hyperlink r:id="rId84" w:history="1">
        <w:r w:rsidRPr="007A4EFE">
          <w:rPr>
            <w:rStyle w:val="Hyperlink"/>
            <w:rFonts w:cstheme="minorHAnsi"/>
            <w:i/>
            <w:spacing w:val="4"/>
            <w:szCs w:val="24"/>
          </w:rPr>
          <w:t>Grupo Temático del UIT-T sobre IA para la conducción autónoma y asistida</w:t>
        </w:r>
        <w:r w:rsidR="00D75F66" w:rsidRPr="007A4EFE">
          <w:rPr>
            <w:rStyle w:val="Hyperlink"/>
            <w:rFonts w:cstheme="minorHAnsi"/>
            <w:i/>
            <w:spacing w:val="4"/>
            <w:szCs w:val="24"/>
          </w:rPr>
          <w:t>"</w:t>
        </w:r>
      </w:hyperlink>
      <w:r w:rsidR="008874B5">
        <w:rPr>
          <w:szCs w:val="24"/>
        </w:rPr>
        <w:t xml:space="preserve"> (FG</w:t>
      </w:r>
      <w:r w:rsidR="008874B5">
        <w:rPr>
          <w:szCs w:val="24"/>
        </w:rPr>
        <w:noBreakHyphen/>
        <w:t xml:space="preserve">AI4AD) </w:t>
      </w:r>
      <w:r w:rsidRPr="007A4EFE">
        <w:rPr>
          <w:szCs w:val="24"/>
        </w:rPr>
        <w:t xml:space="preserve">7) </w:t>
      </w:r>
      <w:hyperlink r:id="rId85" w:history="1">
        <w:r w:rsidRPr="007A4EFE">
          <w:rPr>
            <w:rStyle w:val="Hyperlink"/>
            <w:rFonts w:cstheme="minorHAnsi"/>
            <w:i/>
            <w:spacing w:val="4"/>
            <w:szCs w:val="24"/>
          </w:rPr>
          <w:t>Grupo Temático del UIT-T sobre tecnología de la información cuántica para redes</w:t>
        </w:r>
        <w:r w:rsidR="00D75F66" w:rsidRPr="007A4EFE">
          <w:rPr>
            <w:rStyle w:val="Hyperlink"/>
            <w:rFonts w:cstheme="minorHAnsi"/>
            <w:i/>
            <w:spacing w:val="4"/>
            <w:szCs w:val="24"/>
          </w:rPr>
          <w:t>"</w:t>
        </w:r>
        <w:r w:rsidRPr="007A4EFE">
          <w:rPr>
            <w:rStyle w:val="Hyperlink"/>
            <w:rFonts w:cstheme="minorHAnsi"/>
            <w:i/>
            <w:spacing w:val="4"/>
            <w:szCs w:val="24"/>
          </w:rPr>
          <w:t xml:space="preserve"> (FG-QIT4N)</w:t>
        </w:r>
      </w:hyperlink>
      <w:r w:rsidRPr="007A4EFE">
        <w:rPr>
          <w:szCs w:val="24"/>
        </w:rPr>
        <w:t>.</w:t>
      </w:r>
    </w:p>
    <w:p w14:paraId="70AF2B6C" w14:textId="77777777" w:rsidR="00E54062" w:rsidRPr="007A4EFE" w:rsidRDefault="00E54062" w:rsidP="00E54062">
      <w:pPr>
        <w:rPr>
          <w:szCs w:val="24"/>
        </w:rPr>
      </w:pPr>
      <w:r w:rsidRPr="007A4EFE">
        <w:rPr>
          <w:b/>
          <w:szCs w:val="24"/>
        </w:rPr>
        <w:t>2.</w:t>
      </w:r>
      <w:r w:rsidRPr="007A4EFE">
        <w:rPr>
          <w:b/>
          <w:bCs/>
          <w:szCs w:val="24"/>
        </w:rPr>
        <w:t>12</w:t>
      </w:r>
      <w:r w:rsidRPr="007A4EFE">
        <w:rPr>
          <w:szCs w:val="24"/>
        </w:rPr>
        <w:tab/>
        <w:t xml:space="preserve">LA TSB no ha recibido información relativa a incidentes denunciados en lo que atañe a la </w:t>
      </w:r>
      <w:hyperlink r:id="rId86" w:history="1">
        <w:r w:rsidRPr="007A4EFE">
          <w:rPr>
            <w:rStyle w:val="Hyperlink"/>
            <w:rFonts w:asciiTheme="minorHAnsi" w:hAnsiTheme="minorHAnsi" w:cstheme="minorHAnsi"/>
            <w:szCs w:val="24"/>
          </w:rPr>
          <w:t>Resolución 69 de la AMNT</w:t>
        </w:r>
      </w:hyperlink>
      <w:r w:rsidRPr="007A4EFE">
        <w:rPr>
          <w:szCs w:val="24"/>
        </w:rPr>
        <w:t>.</w:t>
      </w:r>
    </w:p>
    <w:p w14:paraId="0B21D4E2" w14:textId="77777777" w:rsidR="00E54062" w:rsidRPr="007A4EFE" w:rsidRDefault="00E54062" w:rsidP="00E54062">
      <w:bookmarkStart w:id="11" w:name="_Hlk500492095"/>
      <w:r w:rsidRPr="007A4EFE">
        <w:rPr>
          <w:b/>
          <w:szCs w:val="24"/>
        </w:rPr>
        <w:t>2.</w:t>
      </w:r>
      <w:r w:rsidRPr="007A4EFE">
        <w:rPr>
          <w:b/>
          <w:bCs/>
          <w:szCs w:val="24"/>
        </w:rPr>
        <w:t>13</w:t>
      </w:r>
      <w:r w:rsidRPr="007A4EFE">
        <w:rPr>
          <w:szCs w:val="24"/>
        </w:rPr>
        <w:tab/>
        <w:t xml:space="preserve">La CE 1 y la CE 2 del UIT-D concluyeron su </w:t>
      </w:r>
      <w:hyperlink r:id="rId87" w:history="1">
        <w:r w:rsidRPr="007A4EFE">
          <w:rPr>
            <w:rStyle w:val="Hyperlink"/>
            <w:rFonts w:asciiTheme="minorHAnsi" w:hAnsiTheme="minorHAnsi" w:cstheme="minorHAnsi"/>
            <w:szCs w:val="24"/>
          </w:rPr>
          <w:t>periodo de estudios 2014-2017</w:t>
        </w:r>
      </w:hyperlink>
      <w:r w:rsidRPr="007A4EFE">
        <w:rPr>
          <w:szCs w:val="24"/>
        </w:rPr>
        <w:t xml:space="preserve"> y publicaron diversos informes y directrices relacionados con Internet (véanse los informes de la </w:t>
      </w:r>
      <w:hyperlink r:id="rId88" w:history="1">
        <w:r w:rsidRPr="007A4EFE">
          <w:rPr>
            <w:rStyle w:val="Hyperlink"/>
            <w:rFonts w:asciiTheme="minorHAnsi" w:hAnsiTheme="minorHAnsi" w:cstheme="minorHAnsi"/>
            <w:szCs w:val="24"/>
          </w:rPr>
          <w:t>CE 1 del UIT-D</w:t>
        </w:r>
      </w:hyperlink>
      <w:r w:rsidRPr="007A4EFE">
        <w:rPr>
          <w:szCs w:val="24"/>
        </w:rPr>
        <w:t xml:space="preserve"> y la </w:t>
      </w:r>
      <w:hyperlink r:id="rId89" w:history="1">
        <w:r w:rsidRPr="007A4EFE">
          <w:rPr>
            <w:rStyle w:val="Hyperlink"/>
            <w:rFonts w:asciiTheme="minorHAnsi" w:hAnsiTheme="minorHAnsi" w:cstheme="minorHAnsi"/>
            <w:szCs w:val="24"/>
          </w:rPr>
          <w:t>CE 2 del UIT-D</w:t>
        </w:r>
      </w:hyperlink>
      <w:r w:rsidRPr="007A4EFE">
        <w:rPr>
          <w:szCs w:val="24"/>
        </w:rPr>
        <w:t>). Se sigue trabajando en cuestiones relacionadas con el IP, como la interconexión de las</w:t>
      </w:r>
      <w:r w:rsidRPr="007A4EFE">
        <w:t xml:space="preserve"> NGN, la VoIP, los servicios en la nube y las estrategias, políticas y tecnologías para el despliegue de la banda ancha. Las Comisiones de Estudio estudiarán la transición de la banda estrecha a las redes de banda ancha de </w:t>
      </w:r>
      <w:proofErr w:type="gramStart"/>
      <w:r w:rsidRPr="007A4EFE">
        <w:t>alta velocidad y alta calidad</w:t>
      </w:r>
      <w:proofErr w:type="gramEnd"/>
      <w:r w:rsidRPr="007A4EFE">
        <w:t xml:space="preserve"> (incluida la transición a las redes IMT-2020), teniendo en cuenta las características de interconexión e interoperabilidad. La C1/1 está trabajando en las </w:t>
      </w:r>
      <w:r w:rsidR="00D75F66" w:rsidRPr="007A4EFE">
        <w:t>"</w:t>
      </w:r>
      <w:r w:rsidRPr="007A4EFE">
        <w:t>Estrategias y políticas para el despliegue de la banda ancha en los países en desarrollo</w:t>
      </w:r>
      <w:r w:rsidR="00D75F66" w:rsidRPr="007A4EFE">
        <w:t>"</w:t>
      </w:r>
      <w:r w:rsidRPr="007A4EFE">
        <w:t xml:space="preserve"> (fusión de las anteriores C1/1 y C2/1). Las Cuestiones 4/1, 5/1 y 1/2 continúan su labor haciendo hincapié en la necesidad de emplear las TIC para un desarrollo social y económico sostenible.</w:t>
      </w:r>
    </w:p>
    <w:bookmarkEnd w:id="11"/>
    <w:p w14:paraId="2BF0A550" w14:textId="77777777" w:rsidR="00E54062" w:rsidRPr="007A4EFE" w:rsidRDefault="00E54062" w:rsidP="00E54062">
      <w:r w:rsidRPr="007A4EFE">
        <w:rPr>
          <w:b/>
        </w:rPr>
        <w:t>2.</w:t>
      </w:r>
      <w:r w:rsidRPr="007A4EFE">
        <w:rPr>
          <w:b/>
          <w:bCs/>
        </w:rPr>
        <w:t>14</w:t>
      </w:r>
      <w:r w:rsidRPr="007A4EFE">
        <w:tab/>
        <w:t>La BDT sigue implementando la conectividad inalámbrica de banda ancha de Internet y desarrollando aplicaciones de TIC para proporcionar acceso digital gratuito o de bajo costo a escuelas y hospitales, así como a poblaciones desatendidas de zonas rurales y distantes en determinados países como Burundi, Burkina Faso, Djibouti, Lesotho, Malí, Rwanda, Eswatini, Antigua y Barbuda y San Kitts y Nevis, etc.</w:t>
      </w:r>
    </w:p>
    <w:p w14:paraId="4A02C547" w14:textId="77777777" w:rsidR="00E54062" w:rsidRPr="007A4EFE" w:rsidRDefault="00E54062" w:rsidP="00E54062">
      <w:r w:rsidRPr="007A4EFE">
        <w:rPr>
          <w:b/>
        </w:rPr>
        <w:t>2.</w:t>
      </w:r>
      <w:r w:rsidRPr="007A4EFE">
        <w:rPr>
          <w:b/>
          <w:bCs/>
        </w:rPr>
        <w:t>15</w:t>
      </w:r>
      <w:r w:rsidRPr="007A4EFE">
        <w:tab/>
        <w:t xml:space="preserve">El UIT-R aprobó la Recomendación UIT-R M.2083-0 </w:t>
      </w:r>
      <w:r w:rsidR="00D75F66" w:rsidRPr="007A4EFE">
        <w:t>"</w:t>
      </w:r>
      <w:r w:rsidRPr="007A4EFE">
        <w:t>Concepción de las IMT – Marco y objetivos generales del futuro desarrollo de las IMT para 2020 y en adelante</w:t>
      </w:r>
      <w:r w:rsidR="00D75F66" w:rsidRPr="007A4EFE">
        <w:t>"</w:t>
      </w:r>
      <w:r w:rsidRPr="007A4EFE">
        <w:t xml:space="preserve">, las Resoluciones UIT-R 65 </w:t>
      </w:r>
      <w:r w:rsidR="00D75F66" w:rsidRPr="007A4EFE">
        <w:t>"</w:t>
      </w:r>
      <w:r w:rsidRPr="007A4EFE">
        <w:t>Principios para el futuro desarrollo de las IMT para 2020 y años posteriores</w:t>
      </w:r>
      <w:r w:rsidR="00D75F66" w:rsidRPr="007A4EFE">
        <w:t>"</w:t>
      </w:r>
      <w:r w:rsidRPr="007A4EFE">
        <w:t xml:space="preserve"> y UIT-R 66 </w:t>
      </w:r>
      <w:r w:rsidR="00D75F66" w:rsidRPr="007A4EFE">
        <w:t>"</w:t>
      </w:r>
      <w:r w:rsidRPr="007A4EFE">
        <w:t>Estudios relativos a sistemas y aplicaciones inalámbricos para el desarrollo de la Internet de las cosas</w:t>
      </w:r>
      <w:r w:rsidR="00D75F66" w:rsidRPr="007A4EFE">
        <w:t>"</w:t>
      </w:r>
      <w:r w:rsidRPr="007A4EFE">
        <w:t xml:space="preserve">, y los Informes UIT-R M.2440-0 </w:t>
      </w:r>
      <w:r w:rsidR="00D75F66" w:rsidRPr="007A4EFE">
        <w:t>"</w:t>
      </w:r>
      <w:r w:rsidRPr="007A4EFE">
        <w:t>Utilización de la componente terrenal de las telecomunicaciones móviles internacionales (IMT) para las comunicaciones de tipo máquina en banda estrecha y banda ancha</w:t>
      </w:r>
      <w:r w:rsidR="00D75F66" w:rsidRPr="007A4EFE">
        <w:t>"</w:t>
      </w:r>
      <w:r w:rsidRPr="007A4EFE">
        <w:t xml:space="preserve">, UIT-R M.2441-0 </w:t>
      </w:r>
      <w:r w:rsidR="00D75F66" w:rsidRPr="007A4EFE">
        <w:t>"</w:t>
      </w:r>
      <w:r w:rsidRPr="007A4EFE">
        <w:t>Utilización emergente de la componente terrenal de las telecomunicaciones móviles internacionales (IMT)</w:t>
      </w:r>
      <w:r w:rsidR="00D75F66" w:rsidRPr="007A4EFE">
        <w:t>"</w:t>
      </w:r>
      <w:r w:rsidRPr="007A4EFE">
        <w:t xml:space="preserve">, UIT-R M.2460-0 </w:t>
      </w:r>
      <w:r w:rsidR="00D75F66" w:rsidRPr="007A4EFE">
        <w:t>"</w:t>
      </w:r>
      <w:r w:rsidRPr="007A4EFE">
        <w:t>Elementos clave para la integración de sistemas de satélite en las tecnologías de acceso de la próxima generación</w:t>
      </w:r>
      <w:r w:rsidR="00D75F66" w:rsidRPr="007A4EFE">
        <w:t>"</w:t>
      </w:r>
      <w:r w:rsidRPr="007A4EFE">
        <w:t xml:space="preserve"> y UIT-R M.2480-0 </w:t>
      </w:r>
      <w:r w:rsidR="00D75F66" w:rsidRPr="007A4EFE">
        <w:t>"</w:t>
      </w:r>
      <w:r w:rsidRPr="007A4EFE">
        <w:t>Enfoques nacionales de algunos países respecto de la implementación de sistemas IMT terrenales en bandas identificadas para las IMT</w:t>
      </w:r>
      <w:r w:rsidR="00D75F66" w:rsidRPr="007A4EFE">
        <w:t>"</w:t>
      </w:r>
      <w:r w:rsidRPr="007A4EFE">
        <w:t>.</w:t>
      </w:r>
    </w:p>
    <w:p w14:paraId="67571F1D" w14:textId="77777777" w:rsidR="00E54062" w:rsidRPr="007A4EFE" w:rsidRDefault="00E54062" w:rsidP="00E54062">
      <w:r w:rsidRPr="007A4EFE">
        <w:rPr>
          <w:b/>
        </w:rPr>
        <w:t>2.</w:t>
      </w:r>
      <w:r w:rsidRPr="007A4EFE">
        <w:rPr>
          <w:b/>
          <w:bCs/>
        </w:rPr>
        <w:t>16</w:t>
      </w:r>
      <w:r w:rsidRPr="007A4EFE">
        <w:tab/>
        <w:t>La UIT sigue trabajando en cooperación con la Corporation for National Research Initiatives (CNRI) y la Fundación DONA sobre la utilización de la arquitectura de objeto digital (DOA) –una arquitectura avanzada para la gestión de la información– con el fin de utilizar sus características de gestión de objetos digitales avanzadas en la UIT y otros organismos de las Naciones Unidas interesados.</w:t>
      </w:r>
    </w:p>
    <w:p w14:paraId="14519213" w14:textId="77777777" w:rsidR="00E54062" w:rsidRPr="007A4EFE" w:rsidRDefault="00E54062" w:rsidP="00E54062">
      <w:pPr>
        <w:rPr>
          <w:rFonts w:asciiTheme="minorHAnsi" w:hAnsiTheme="minorHAnsi" w:cstheme="minorHAnsi"/>
          <w:b/>
          <w:sz w:val="22"/>
          <w:szCs w:val="22"/>
        </w:rPr>
      </w:pPr>
      <w:r w:rsidRPr="007A4EFE">
        <w:rPr>
          <w:rFonts w:asciiTheme="minorHAnsi" w:hAnsiTheme="minorHAnsi" w:cstheme="minorHAnsi"/>
          <w:b/>
          <w:szCs w:val="24"/>
        </w:rPr>
        <w:lastRenderedPageBreak/>
        <w:t>2.17</w:t>
      </w:r>
      <w:r w:rsidRPr="007A4EFE">
        <w:rPr>
          <w:rFonts w:asciiTheme="minorHAnsi" w:hAnsiTheme="minorHAnsi" w:cstheme="minorHAnsi"/>
          <w:szCs w:val="24"/>
        </w:rPr>
        <w:tab/>
        <w:t xml:space="preserve">Se impartieron diversas formaciones a través de la </w:t>
      </w:r>
      <w:hyperlink r:id="rId90" w:history="1">
        <w:r w:rsidRPr="007A4EFE">
          <w:rPr>
            <w:rStyle w:val="Hyperlink"/>
            <w:rFonts w:asciiTheme="minorHAnsi" w:hAnsiTheme="minorHAnsi" w:cstheme="minorHAnsi"/>
            <w:szCs w:val="24"/>
          </w:rPr>
          <w:t>Academia de la UIT</w:t>
        </w:r>
      </w:hyperlink>
      <w:r w:rsidRPr="007A4EFE">
        <w:rPr>
          <w:rFonts w:asciiTheme="minorHAnsi" w:hAnsiTheme="minorHAnsi" w:cstheme="minorHAnsi"/>
          <w:szCs w:val="24"/>
        </w:rPr>
        <w:t xml:space="preserve"> y la red de </w:t>
      </w:r>
      <w:hyperlink r:id="rId91" w:history="1">
        <w:r w:rsidRPr="007A4EFE">
          <w:rPr>
            <w:rStyle w:val="Hyperlink"/>
            <w:rFonts w:asciiTheme="minorHAnsi" w:hAnsiTheme="minorHAnsi" w:cstheme="minorHAnsi"/>
            <w:szCs w:val="24"/>
          </w:rPr>
          <w:t>Centros de Excelencia de la UIT</w:t>
        </w:r>
      </w:hyperlink>
      <w:r w:rsidRPr="007A4EFE">
        <w:rPr>
          <w:rFonts w:asciiTheme="minorHAnsi" w:hAnsiTheme="minorHAnsi" w:cstheme="minorHAnsi"/>
          <w:szCs w:val="24"/>
        </w:rPr>
        <w:t xml:space="preserve">, que abarcaron temas como IPv6, IoT, 5G, NGN, </w:t>
      </w:r>
      <w:r w:rsidR="000A2A17" w:rsidRPr="007A4EFE">
        <w:rPr>
          <w:rFonts w:asciiTheme="minorHAnsi" w:hAnsiTheme="minorHAnsi" w:cstheme="minorHAnsi"/>
          <w:szCs w:val="24"/>
        </w:rPr>
        <w:t xml:space="preserve">ciudades inteligentes </w:t>
      </w:r>
      <w:r w:rsidRPr="007A4EFE">
        <w:rPr>
          <w:rFonts w:asciiTheme="minorHAnsi" w:hAnsiTheme="minorHAnsi" w:cstheme="minorHAnsi"/>
          <w:szCs w:val="24"/>
        </w:rPr>
        <w:t xml:space="preserve">y </w:t>
      </w:r>
      <w:r w:rsidR="000A2A17" w:rsidRPr="007A4EFE">
        <w:rPr>
          <w:rFonts w:asciiTheme="minorHAnsi" w:hAnsiTheme="minorHAnsi" w:cstheme="minorHAnsi"/>
          <w:szCs w:val="24"/>
        </w:rPr>
        <w:t>sostenibles</w:t>
      </w:r>
      <w:r w:rsidRPr="007A4EFE">
        <w:rPr>
          <w:rFonts w:asciiTheme="minorHAnsi" w:hAnsiTheme="minorHAnsi" w:cstheme="minorHAnsi"/>
          <w:szCs w:val="24"/>
        </w:rPr>
        <w:t>,</w:t>
      </w:r>
      <w:r w:rsidRPr="007A4EFE">
        <w:rPr>
          <w:rFonts w:asciiTheme="minorHAnsi" w:hAnsiTheme="minorHAnsi" w:cstheme="minorHAnsi"/>
          <w:sz w:val="22"/>
          <w:szCs w:val="22"/>
        </w:rPr>
        <w:t xml:space="preserve"> etc.</w:t>
      </w:r>
    </w:p>
    <w:p w14:paraId="185DA405" w14:textId="77777777" w:rsidR="00E54062" w:rsidRPr="007A4EFE" w:rsidRDefault="00E54062" w:rsidP="00E54062">
      <w:pPr>
        <w:rPr>
          <w:b/>
        </w:rPr>
      </w:pPr>
      <w:r w:rsidRPr="007A4EFE">
        <w:rPr>
          <w:b/>
        </w:rPr>
        <w:t>2.</w:t>
      </w:r>
      <w:r w:rsidRPr="007A4EFE">
        <w:rPr>
          <w:b/>
          <w:bCs/>
        </w:rPr>
        <w:t>18</w:t>
      </w:r>
      <w:r w:rsidRPr="007A4EFE">
        <w:tab/>
        <w:t xml:space="preserve">La UIT también está dando apoyo al ICE de Costa Rica para fortalecer su actividad de capacitación, incluso en relación con las redes NGN, a través de un proyecto llamado </w:t>
      </w:r>
      <w:r w:rsidR="00D75F66" w:rsidRPr="007A4EFE">
        <w:t>"</w:t>
      </w:r>
      <w:r w:rsidRPr="007A4EFE">
        <w:rPr>
          <w:i/>
        </w:rPr>
        <w:t>Desarrollo del conocimiento en tecnologías, para especialistas del ICE</w:t>
      </w:r>
      <w:r w:rsidR="00D75F66" w:rsidRPr="007A4EFE">
        <w:t>"</w:t>
      </w:r>
      <w:r w:rsidRPr="007A4EFE">
        <w:t>.</w:t>
      </w:r>
    </w:p>
    <w:p w14:paraId="5B6A015F" w14:textId="77777777" w:rsidR="00E54062" w:rsidRPr="007A4EFE" w:rsidRDefault="00E54062" w:rsidP="00E54062">
      <w:pPr>
        <w:pStyle w:val="Heading1"/>
      </w:pPr>
      <w:r w:rsidRPr="007A4EFE">
        <w:t>3</w:t>
      </w:r>
      <w:r w:rsidRPr="007A4EFE">
        <w:tab/>
        <w:t>IPv6</w:t>
      </w:r>
    </w:p>
    <w:p w14:paraId="0CC38423" w14:textId="77777777" w:rsidR="00E54062" w:rsidRPr="007A4EFE" w:rsidRDefault="00E54062" w:rsidP="00E54062">
      <w:r w:rsidRPr="007A4EFE">
        <w:rPr>
          <w:b/>
        </w:rPr>
        <w:t>3.1</w:t>
      </w:r>
      <w:r w:rsidRPr="007A4EFE">
        <w:tab/>
        <w:t xml:space="preserve">En </w:t>
      </w:r>
      <w:r w:rsidRPr="007A4EFE">
        <w:rPr>
          <w:szCs w:val="24"/>
        </w:rPr>
        <w:t xml:space="preserve">la </w:t>
      </w:r>
      <w:hyperlink r:id="rId92" w:history="1">
        <w:r w:rsidRPr="007A4EFE">
          <w:rPr>
            <w:rStyle w:val="Hyperlink"/>
            <w:rFonts w:asciiTheme="minorHAnsi" w:hAnsiTheme="minorHAnsi" w:cstheme="minorHAnsi"/>
            <w:spacing w:val="-2"/>
            <w:szCs w:val="24"/>
          </w:rPr>
          <w:t>página web de IPv6 del UIT-T</w:t>
        </w:r>
      </w:hyperlink>
      <w:r w:rsidRPr="007A4EFE">
        <w:t xml:space="preserve"> se destacan las actividades en relación con IPv6 dentro del UIT-T.</w:t>
      </w:r>
    </w:p>
    <w:p w14:paraId="43B0F866" w14:textId="77777777" w:rsidR="00E54062" w:rsidRPr="007A4EFE" w:rsidRDefault="00E54062" w:rsidP="00E54062">
      <w:r w:rsidRPr="007A4EFE">
        <w:rPr>
          <w:b/>
        </w:rPr>
        <w:t>3.2</w:t>
      </w:r>
      <w:r w:rsidRPr="007A4EFE">
        <w:tab/>
        <w:t>La BDT y la Universidad de Ciencia y Tecnología de Malasia siguen trabajando en el establecimiento de un Centro de Especialización en IPv6/IoT de la UIT para apoyar a los Estados Miembros en su transición de IPv4 a IPv6.</w:t>
      </w:r>
    </w:p>
    <w:p w14:paraId="7736380B" w14:textId="77777777" w:rsidR="00E54062" w:rsidRPr="007A4EFE" w:rsidRDefault="00E54062" w:rsidP="00E54062">
      <w:r w:rsidRPr="007A4EFE">
        <w:rPr>
          <w:b/>
        </w:rPr>
        <w:t>3.3</w:t>
      </w:r>
      <w:r w:rsidRPr="007A4EFE">
        <w:tab/>
        <w:t xml:space="preserve">Se están organizando formaciones/cursos de capacitación sobre todas las formas de conectividad IoT, incluida la </w:t>
      </w:r>
      <w:r w:rsidRPr="007A4EFE">
        <w:rPr>
          <w:i/>
          <w:iCs/>
        </w:rPr>
        <w:t>Certificación de la conectividad y la seguridad de la IoT para profesionales</w:t>
      </w:r>
      <w:r w:rsidRPr="007A4EFE">
        <w:t xml:space="preserve"> en </w:t>
      </w:r>
      <w:proofErr w:type="spellStart"/>
      <w:r w:rsidRPr="007A4EFE">
        <w:t>Viet</w:t>
      </w:r>
      <w:proofErr w:type="spellEnd"/>
      <w:r w:rsidR="001C0443">
        <w:t xml:space="preserve"> </w:t>
      </w:r>
      <w:proofErr w:type="spellStart"/>
      <w:r w:rsidR="001C0443" w:rsidRPr="007A4EFE">
        <w:t>Nam</w:t>
      </w:r>
      <w:proofErr w:type="spellEnd"/>
      <w:r w:rsidR="001C0443" w:rsidRPr="007A4EFE">
        <w:t xml:space="preserve"> </w:t>
      </w:r>
      <w:r w:rsidRPr="007A4EFE">
        <w:t xml:space="preserve">(14 a 18 de octubre de 2019), Indonesia (9 a 13 de diciembre de 2019), India (16 a 20 de diciembre de 2019) y Marruecos (3 a 7 de febrero de 2020). Se está organizando un programa especial para capacitar a los instructores en </w:t>
      </w:r>
      <w:r w:rsidR="00D75F66" w:rsidRPr="007A4EFE">
        <w:t>"</w:t>
      </w:r>
      <w:r w:rsidRPr="007A4EFE">
        <w:t>IPv6 en redes 5G</w:t>
      </w:r>
      <w:r w:rsidR="00D75F66" w:rsidRPr="007A4EFE">
        <w:t>"</w:t>
      </w:r>
      <w:r w:rsidRPr="007A4EFE">
        <w:t>, a fin de ayudar a los países en desarrollo a implementar sus redes móviles y/o fijas 5G.</w:t>
      </w:r>
    </w:p>
    <w:p w14:paraId="7610F9C6" w14:textId="77777777" w:rsidR="00E54062" w:rsidRPr="007A4EFE" w:rsidRDefault="00E54062" w:rsidP="00E54062">
      <w:r w:rsidRPr="007A4EFE">
        <w:rPr>
          <w:b/>
        </w:rPr>
        <w:t>3.4</w:t>
      </w:r>
      <w:r w:rsidRPr="007A4EFE">
        <w:tab/>
        <w:t xml:space="preserve">Se ha prestado asistencia técnica sobre IPv6 a Montenegro y se han programado otros talleres para Argentina, Senegal, Sri Lanka, Tailandia, Malasia, Montenegro, Túnez, Jordania y los Estados Unidos (incluido un foro de la UIT sobre </w:t>
      </w:r>
      <w:r w:rsidRPr="007A4EFE">
        <w:rPr>
          <w:i/>
          <w:iCs/>
        </w:rPr>
        <w:t xml:space="preserve">Internet de las </w:t>
      </w:r>
      <w:r w:rsidR="001C0443">
        <w:rPr>
          <w:i/>
          <w:iCs/>
        </w:rPr>
        <w:t>c</w:t>
      </w:r>
      <w:r w:rsidRPr="007A4EFE">
        <w:rPr>
          <w:i/>
          <w:iCs/>
        </w:rPr>
        <w:t>osas: aplicaciones y servicios futuros. Perspectiva 2030</w:t>
      </w:r>
      <w:r w:rsidRPr="007A4EFE">
        <w:t xml:space="preserve">). Del 20 al 22 de mayo de 2019 se organizó el </w:t>
      </w:r>
      <w:r w:rsidRPr="007A4EFE">
        <w:rPr>
          <w:i/>
          <w:iCs/>
        </w:rPr>
        <w:t>cuarto Taller de la UIT sobre la Red 2030</w:t>
      </w:r>
      <w:r w:rsidRPr="007A4EFE">
        <w:t xml:space="preserve"> para la región de la CEI. </w:t>
      </w:r>
    </w:p>
    <w:p w14:paraId="044B23D5" w14:textId="77777777" w:rsidR="00E54062" w:rsidRPr="007A4EFE" w:rsidRDefault="00E54062" w:rsidP="00E54062">
      <w:r w:rsidRPr="007A4EFE">
        <w:rPr>
          <w:b/>
        </w:rPr>
        <w:t>3.5</w:t>
      </w:r>
      <w:r w:rsidRPr="007A4EFE">
        <w:tab/>
        <w:t xml:space="preserve">La BDT también está trabajando en la creación de un centro de información y capacitación en telefonía IP para la región de la CEI. Se sigue prestando asistencia a los países para la aplicación de las políticas de IPv6 y el banco de pruebas de IPv6, a petición de los Estados Miembros (por ejemplo, Côte d'Ivoire, Uganda, Zimbabwe, Sierra Leona). </w:t>
      </w:r>
    </w:p>
    <w:p w14:paraId="51AA6271" w14:textId="77777777" w:rsidR="00E54062" w:rsidRPr="007A4EFE" w:rsidRDefault="00E54062" w:rsidP="00E54062">
      <w:r w:rsidRPr="007A4EFE">
        <w:rPr>
          <w:b/>
        </w:rPr>
        <w:t>3.6</w:t>
      </w:r>
      <w:r w:rsidRPr="007A4EFE">
        <w:tab/>
        <w:t xml:space="preserve">La BDT sigue colaborando estrechamente con la Comisión Nacional de Radiodifusión y Telecomunicaciones de Tailandia (NBTC) para desarrollar la capacidad en esferas de interés prioritario como la inteligencia artificial (16 a 19 de septiembre de 2019, Tailandia), la ingeniería de tráfico y la planificación avanzada de redes inalámbricas (30 de septiembre a 3 de octubre de 2019, Tailandia). En asociación con la APNIC y Australia, se impartió en Tonga una capacitación sobre el </w:t>
      </w:r>
      <w:r w:rsidR="00D75F66" w:rsidRPr="007A4EFE">
        <w:t>"</w:t>
      </w:r>
      <w:r w:rsidRPr="007A4EFE">
        <w:rPr>
          <w:i/>
          <w:iCs/>
        </w:rPr>
        <w:t>Programa de seguridad de la infraestructura de Internet e IPv6</w:t>
      </w:r>
      <w:r w:rsidR="00D75F66" w:rsidRPr="007A4EFE">
        <w:t>"</w:t>
      </w:r>
      <w:r w:rsidRPr="007A4EFE">
        <w:t xml:space="preserve"> para la región del Pacífico, y se elaboró la hoja de ruta de IPv6, que ya está disponible para Mongolia y Brun</w:t>
      </w:r>
      <w:r w:rsidR="001C0443">
        <w:t>e</w:t>
      </w:r>
      <w:r w:rsidRPr="007A4EFE">
        <w:t xml:space="preserve">i. </w:t>
      </w:r>
    </w:p>
    <w:p w14:paraId="108F6E82" w14:textId="77777777" w:rsidR="00E54062" w:rsidRPr="007A4EFE" w:rsidRDefault="00E54062" w:rsidP="00E54062">
      <w:r w:rsidRPr="007A4EFE">
        <w:rPr>
          <w:b/>
        </w:rPr>
        <w:t>3.7</w:t>
      </w:r>
      <w:r w:rsidRPr="007A4EFE">
        <w:tab/>
        <w:t xml:space="preserve">Por conducto de la Academia de la UIT, el Centro de Capacitación en Telecomunicaciones de Nivel Avanzado del Centro de Excelencia de la India (ALTTC), en asociación con el Ministerio de Economía y Sociedad Digital de Tailandia (MDES) y la APNIC, sigue impartiendo en la región de Asia y el Pacífico un curso de capacitación sobre la seguridad de la infraestructura de Internet y el IPv6. </w:t>
      </w:r>
    </w:p>
    <w:p w14:paraId="698F2274" w14:textId="77777777" w:rsidR="00E54062" w:rsidRPr="007A4EFE" w:rsidRDefault="00E54062" w:rsidP="00E54062">
      <w:r w:rsidRPr="007A4EFE">
        <w:rPr>
          <w:b/>
        </w:rPr>
        <w:t>3.8</w:t>
      </w:r>
      <w:r w:rsidRPr="007A4EFE">
        <w:tab/>
        <w:t xml:space="preserve">En la región árabe se implementó un proyecto de creación de capacidad humana en relación con el IPv6, en virtud del acuerdo marco de cooperación firmado entre la TRA de los Emiratos Árabes Unidos y la UIT. </w:t>
      </w:r>
    </w:p>
    <w:p w14:paraId="3329A2F1" w14:textId="77777777" w:rsidR="00E54062" w:rsidRPr="007A4EFE" w:rsidRDefault="00E54062" w:rsidP="00E54062">
      <w:pPr>
        <w:rPr>
          <w:rFonts w:asciiTheme="minorHAnsi" w:hAnsiTheme="minorHAnsi" w:cstheme="minorHAnsi"/>
          <w:sz w:val="22"/>
          <w:szCs w:val="22"/>
        </w:rPr>
      </w:pPr>
      <w:r w:rsidRPr="007A4EFE">
        <w:rPr>
          <w:rFonts w:asciiTheme="minorHAnsi" w:hAnsiTheme="minorHAnsi" w:cstheme="minorHAnsi"/>
          <w:b/>
          <w:szCs w:val="24"/>
        </w:rPr>
        <w:lastRenderedPageBreak/>
        <w:t>3.9</w:t>
      </w:r>
      <w:r w:rsidRPr="007A4EFE">
        <w:rPr>
          <w:rFonts w:asciiTheme="minorHAnsi" w:hAnsiTheme="minorHAnsi" w:cstheme="minorHAnsi"/>
          <w:b/>
          <w:szCs w:val="24"/>
        </w:rPr>
        <w:tab/>
      </w:r>
      <w:r w:rsidRPr="007A4EFE">
        <w:rPr>
          <w:rFonts w:asciiTheme="minorHAnsi" w:hAnsiTheme="minorHAnsi" w:cstheme="minorHAnsi"/>
          <w:bCs/>
          <w:szCs w:val="24"/>
        </w:rPr>
        <w:t>Ya está disponible el</w:t>
      </w:r>
      <w:r w:rsidRPr="007A4EFE">
        <w:rPr>
          <w:rFonts w:asciiTheme="minorHAnsi" w:hAnsiTheme="minorHAnsi" w:cstheme="minorHAnsi"/>
          <w:b/>
          <w:szCs w:val="24"/>
        </w:rPr>
        <w:t xml:space="preserve"> </w:t>
      </w:r>
      <w:hyperlink r:id="rId93" w:history="1">
        <w:r w:rsidRPr="007A4EFE">
          <w:rPr>
            <w:rStyle w:val="Hyperlink"/>
            <w:rFonts w:asciiTheme="minorHAnsi" w:hAnsiTheme="minorHAnsi" w:cstheme="minorHAnsi"/>
            <w:szCs w:val="24"/>
          </w:rPr>
          <w:t>informe final</w:t>
        </w:r>
      </w:hyperlink>
      <w:r w:rsidRPr="007A4EFE">
        <w:rPr>
          <w:rFonts w:asciiTheme="minorHAnsi" w:hAnsiTheme="minorHAnsi" w:cstheme="minorHAnsi"/>
          <w:szCs w:val="24"/>
        </w:rPr>
        <w:t xml:space="preserve"> en respuesta a la </w:t>
      </w:r>
      <w:hyperlink r:id="rId94" w:history="1">
        <w:r w:rsidRPr="007A4EFE">
          <w:rPr>
            <w:rStyle w:val="Hyperlink"/>
            <w:rFonts w:asciiTheme="minorHAnsi" w:hAnsiTheme="minorHAnsi" w:cstheme="minorHAnsi"/>
            <w:szCs w:val="24"/>
          </w:rPr>
          <w:t>Cuestión 1/1</w:t>
        </w:r>
      </w:hyperlink>
      <w:r w:rsidRPr="007A4EFE">
        <w:rPr>
          <w:rFonts w:asciiTheme="minorHAnsi" w:hAnsiTheme="minorHAnsi" w:cstheme="minorHAnsi"/>
          <w:szCs w:val="24"/>
        </w:rPr>
        <w:t xml:space="preserve"> de la Comisión de Estudio 1 del UIT-D. También se ha elaborado una guía básica a fin de ayudar a los países en desarrollo a implementar IPv6</w:t>
      </w:r>
      <w:r w:rsidRPr="007A4EFE">
        <w:rPr>
          <w:rFonts w:asciiTheme="minorHAnsi" w:hAnsiTheme="minorHAnsi" w:cstheme="minorHAnsi"/>
          <w:sz w:val="22"/>
          <w:szCs w:val="22"/>
        </w:rPr>
        <w:t xml:space="preserve"> en redes 5G.</w:t>
      </w:r>
    </w:p>
    <w:p w14:paraId="5F5CD97B" w14:textId="77777777" w:rsidR="00E54062" w:rsidRPr="007A4EFE" w:rsidRDefault="00E54062" w:rsidP="00E54062">
      <w:pPr>
        <w:pStyle w:val="Heading1"/>
      </w:pPr>
      <w:r w:rsidRPr="007A4EFE">
        <w:t>4</w:t>
      </w:r>
      <w:r w:rsidRPr="007A4EFE">
        <w:tab/>
      </w:r>
      <w:proofErr w:type="gramStart"/>
      <w:r w:rsidRPr="007A4EFE">
        <w:t>Cuestiones</w:t>
      </w:r>
      <w:proofErr w:type="gramEnd"/>
      <w:r w:rsidRPr="007A4EFE">
        <w:t xml:space="preserve"> de política pública relacionadas con Internet, incluida la gestión de nombres de dominio y direcciones</w:t>
      </w:r>
    </w:p>
    <w:p w14:paraId="08102D09" w14:textId="77777777" w:rsidR="00E54062" w:rsidRPr="007A4EFE" w:rsidRDefault="00E54062" w:rsidP="00E54062">
      <w:pPr>
        <w:rPr>
          <w:szCs w:val="24"/>
        </w:rPr>
      </w:pPr>
      <w:r w:rsidRPr="007A4EFE">
        <w:rPr>
          <w:b/>
          <w:szCs w:val="24"/>
        </w:rPr>
        <w:t>4.1</w:t>
      </w:r>
      <w:r w:rsidRPr="007A4EFE">
        <w:rPr>
          <w:szCs w:val="24"/>
        </w:rPr>
        <w:tab/>
        <w:t xml:space="preserve">El </w:t>
      </w:r>
      <w:hyperlink r:id="rId95" w:history="1">
        <w:r w:rsidRPr="007A4EFE">
          <w:rPr>
            <w:rStyle w:val="Hyperlink"/>
            <w:rFonts w:cstheme="minorHAnsi"/>
            <w:szCs w:val="24"/>
          </w:rPr>
          <w:t>Grupo de Trabajo del Consejo sobre cuestiones de política pública internacional relacionadas con Internet (GTC-Internet)</w:t>
        </w:r>
      </w:hyperlink>
      <w:r w:rsidRPr="007A4EFE">
        <w:rPr>
          <w:szCs w:val="24"/>
        </w:rPr>
        <w:t xml:space="preserve"> celebró su 13ª reunión los días 19 y 20 de septiembre de 2019, y la 14ª reunión los días 5 y 6 de febrero de 2020. El Grupo también lanzó consulta abiertas sobre </w:t>
      </w:r>
      <w:r w:rsidR="00D75F66" w:rsidRPr="007A4EFE">
        <w:rPr>
          <w:szCs w:val="24"/>
        </w:rPr>
        <w:t>"</w:t>
      </w:r>
      <w:r w:rsidRPr="007A4EFE">
        <w:rPr>
          <w:szCs w:val="24"/>
        </w:rPr>
        <w:t>Cuestiones de política pública relacionadas con Internet sobre el aprovechamiento de las telecomunicaciones/TIC nuevas y emergentes para el desarrollo sostenible</w:t>
      </w:r>
      <w:r w:rsidR="00D75F66" w:rsidRPr="007A4EFE">
        <w:rPr>
          <w:szCs w:val="24"/>
        </w:rPr>
        <w:t>"</w:t>
      </w:r>
      <w:r w:rsidRPr="007A4EFE">
        <w:rPr>
          <w:szCs w:val="24"/>
        </w:rPr>
        <w:t xml:space="preserve"> y </w:t>
      </w:r>
      <w:r w:rsidR="00D75F66" w:rsidRPr="007A4EFE">
        <w:rPr>
          <w:szCs w:val="24"/>
        </w:rPr>
        <w:t>"</w:t>
      </w:r>
      <w:r w:rsidRPr="007A4EFE">
        <w:rPr>
          <w:szCs w:val="24"/>
        </w:rPr>
        <w:t>Ampliar la conectividad de Internet</w:t>
      </w:r>
      <w:r w:rsidR="00D75F66" w:rsidRPr="007A4EFE">
        <w:rPr>
          <w:szCs w:val="24"/>
        </w:rPr>
        <w:t>"</w:t>
      </w:r>
      <w:r w:rsidRPr="007A4EFE">
        <w:rPr>
          <w:szCs w:val="24"/>
        </w:rPr>
        <w:t xml:space="preserve">. Se presenta un informe por separado en el </w:t>
      </w:r>
      <w:hyperlink r:id="rId96" w:history="1">
        <w:r w:rsidRPr="007A4EFE">
          <w:rPr>
            <w:rStyle w:val="Hyperlink"/>
            <w:rFonts w:cstheme="minorHAnsi"/>
            <w:szCs w:val="24"/>
          </w:rPr>
          <w:t>Documento C20/51</w:t>
        </w:r>
      </w:hyperlink>
      <w:r w:rsidRPr="007A4EFE">
        <w:rPr>
          <w:szCs w:val="24"/>
        </w:rPr>
        <w:t xml:space="preserve">. </w:t>
      </w:r>
    </w:p>
    <w:p w14:paraId="6F9C7494" w14:textId="77777777" w:rsidR="00E54062" w:rsidRPr="007A4EFE" w:rsidRDefault="00E54062" w:rsidP="00E54062">
      <w:r w:rsidRPr="007A4EFE">
        <w:rPr>
          <w:b/>
        </w:rPr>
        <w:t>4.2</w:t>
      </w:r>
      <w:r w:rsidRPr="007A4EFE">
        <w:rPr>
          <w:b/>
        </w:rPr>
        <w:tab/>
      </w:r>
      <w:r w:rsidRPr="007A4EFE">
        <w:rPr>
          <w:bCs/>
        </w:rPr>
        <w:t>La UIT participó en la 14ª reunión del IGF</w:t>
      </w:r>
      <w:r w:rsidRPr="007A4EFE">
        <w:rPr>
          <w:b/>
        </w:rPr>
        <w:t xml:space="preserve"> </w:t>
      </w:r>
      <w:r w:rsidRPr="007A4EFE">
        <w:t xml:space="preserve">(25-29 de noviembre de 2019, Berlín, Alemania). El Secretario General de la UIT participó en el </w:t>
      </w:r>
      <w:r w:rsidR="001E2F97" w:rsidRPr="007A4EFE">
        <w:t xml:space="preserve">diálogo </w:t>
      </w:r>
      <w:r w:rsidRPr="007A4EFE">
        <w:t xml:space="preserve">de </w:t>
      </w:r>
      <w:r w:rsidR="001E2F97" w:rsidRPr="007A4EFE">
        <w:t xml:space="preserve">alto nivel </w:t>
      </w:r>
      <w:r w:rsidRPr="007A4EFE">
        <w:t xml:space="preserve">de </w:t>
      </w:r>
      <w:r w:rsidR="001E2F97" w:rsidRPr="007A4EFE">
        <w:t>apertura</w:t>
      </w:r>
      <w:r w:rsidRPr="007A4EFE">
        <w:t xml:space="preserve">. La UIT organizó: los premios anuales </w:t>
      </w:r>
      <w:proofErr w:type="spellStart"/>
      <w:r w:rsidR="00711EBD" w:rsidRPr="00711EBD">
        <w:t>EQUAL</w:t>
      </w:r>
      <w:r w:rsidR="00711EBD">
        <w:t>s</w:t>
      </w:r>
      <w:proofErr w:type="spellEnd"/>
      <w:r w:rsidRPr="00711EBD">
        <w:t xml:space="preserve"> </w:t>
      </w:r>
      <w:r w:rsidR="00711EBD" w:rsidRPr="00711EBD">
        <w:t>in Tech</w:t>
      </w:r>
      <w:r w:rsidRPr="007A4EFE">
        <w:t xml:space="preserve">, un Foro abierto sobre la implementación de las Líneas de Acción de la CMSI para los ODS y el Foro de la CMSI 2020 (coorganizado por los </w:t>
      </w:r>
      <w:r w:rsidR="00711EBD">
        <w:t>f</w:t>
      </w:r>
      <w:r w:rsidRPr="007A4EFE">
        <w:t xml:space="preserve">acilitadores de las Líneas de Acción de la CMSI), y una mesa redonda de debate sobre el tema </w:t>
      </w:r>
      <w:r w:rsidR="00D75F66" w:rsidRPr="007A4EFE">
        <w:t>"</w:t>
      </w:r>
      <w:r w:rsidRPr="007A4EFE">
        <w:rPr>
          <w:i/>
        </w:rPr>
        <w:t>La lucha por la igualdad de género en la era digital: ¿Cuál es el papel de los gobiernos?</w:t>
      </w:r>
      <w:r w:rsidR="00D75F66" w:rsidRPr="007A4EFE">
        <w:t>"</w:t>
      </w:r>
      <w:r w:rsidRPr="007A4EFE">
        <w:t xml:space="preserve"> (coorganizada con el Gobierno de Alemania).</w:t>
      </w:r>
    </w:p>
    <w:p w14:paraId="60314873" w14:textId="77777777" w:rsidR="00E54062" w:rsidRPr="007A4EFE" w:rsidRDefault="00E54062" w:rsidP="00E54062">
      <w:r w:rsidRPr="007A4EFE">
        <w:rPr>
          <w:b/>
        </w:rPr>
        <w:t>4.3</w:t>
      </w:r>
      <w:r w:rsidRPr="007A4EFE">
        <w:tab/>
        <w:t>La UIT continúa realizando el seguimiento de la cuestión de la protección de los nombres y acrónimos de las organizaciones intergubernamentales (OIG) en cualquier nuevo gTLD, como parte de la coalición de OIG compuesta por aproximadamente 35 OIG, entre las que se encuentran la OCDE, las Naciones Unidas, la UPU, la OMS, la OMPI y el Banco Mundial.</w:t>
      </w:r>
    </w:p>
    <w:p w14:paraId="5DB55930" w14:textId="77777777" w:rsidR="00E54062" w:rsidRPr="007A4EFE" w:rsidRDefault="00E54062" w:rsidP="00E54062">
      <w:r w:rsidRPr="007A4EFE">
        <w:rPr>
          <w:b/>
        </w:rPr>
        <w:t>4.4</w:t>
      </w:r>
      <w:r w:rsidRPr="007A4EFE">
        <w:tab/>
        <w:t xml:space="preserve">La BDT realizó varias actividades de formación y capacitación en 2019, incluido un curso práctico regional sobre el </w:t>
      </w:r>
      <w:r w:rsidR="00D75F66" w:rsidRPr="007A4EFE">
        <w:t>"</w:t>
      </w:r>
      <w:r w:rsidRPr="00711EBD">
        <w:rPr>
          <w:i/>
        </w:rPr>
        <w:t>Fortalecimiento de la capacidad en materia de gobernanza internacional de Internet</w:t>
      </w:r>
      <w:r w:rsidR="00D75F66" w:rsidRPr="007A4EFE">
        <w:t>"</w:t>
      </w:r>
      <w:r w:rsidRPr="007A4EFE">
        <w:t xml:space="preserve"> para la región árabe en el Reino de </w:t>
      </w:r>
      <w:proofErr w:type="spellStart"/>
      <w:r w:rsidRPr="007A4EFE">
        <w:t>Bahr</w:t>
      </w:r>
      <w:r w:rsidR="001A4A0D">
        <w:t>e</w:t>
      </w:r>
      <w:r w:rsidRPr="007A4EFE">
        <w:t>in</w:t>
      </w:r>
      <w:proofErr w:type="spellEnd"/>
      <w:r w:rsidR="00711EBD">
        <w:t xml:space="preserve"> (1</w:t>
      </w:r>
      <w:r w:rsidRPr="007A4EFE">
        <w:t xml:space="preserve"> y 2 de octubre de 2019). </w:t>
      </w:r>
    </w:p>
    <w:p w14:paraId="112B787B" w14:textId="77777777" w:rsidR="00E54062" w:rsidRPr="007A4EFE" w:rsidRDefault="00E54062" w:rsidP="00E54062">
      <w:pPr>
        <w:pStyle w:val="Heading1"/>
      </w:pPr>
      <w:r w:rsidRPr="007A4EFE">
        <w:t>5</w:t>
      </w:r>
      <w:r w:rsidRPr="007A4EFE">
        <w:tab/>
        <w:t>ENUM</w:t>
      </w:r>
    </w:p>
    <w:p w14:paraId="4BB9CBB1" w14:textId="77777777" w:rsidR="00E54062" w:rsidRPr="007A4EFE" w:rsidRDefault="00E54062" w:rsidP="00E54062">
      <w:pPr>
        <w:rPr>
          <w:szCs w:val="24"/>
        </w:rPr>
      </w:pPr>
      <w:r w:rsidRPr="007A4EFE">
        <w:rPr>
          <w:b/>
          <w:szCs w:val="24"/>
        </w:rPr>
        <w:t>5.1</w:t>
      </w:r>
      <w:r w:rsidRPr="007A4EFE">
        <w:rPr>
          <w:b/>
          <w:szCs w:val="24"/>
        </w:rPr>
        <w:tab/>
      </w:r>
      <w:r w:rsidRPr="007A4EFE">
        <w:rPr>
          <w:bCs/>
          <w:szCs w:val="24"/>
        </w:rPr>
        <w:t xml:space="preserve">El UIT-T se encarga de mantener </w:t>
      </w:r>
      <w:hyperlink r:id="rId97" w:history="1">
        <w:r w:rsidRPr="007A4EFE">
          <w:rPr>
            <w:rStyle w:val="Hyperlink"/>
            <w:rFonts w:asciiTheme="minorHAnsi" w:hAnsiTheme="minorHAnsi" w:cstheme="minorHAnsi"/>
            <w:szCs w:val="24"/>
          </w:rPr>
          <w:t>actualizada la información sobre ENUM</w:t>
        </w:r>
      </w:hyperlink>
      <w:r w:rsidRPr="007A4EFE">
        <w:rPr>
          <w:szCs w:val="24"/>
        </w:rPr>
        <w:t xml:space="preserve">. </w:t>
      </w:r>
    </w:p>
    <w:p w14:paraId="31C82A4E" w14:textId="77777777" w:rsidR="00E54062" w:rsidRPr="007A4EFE" w:rsidRDefault="00E54062" w:rsidP="00E54062">
      <w:pPr>
        <w:rPr>
          <w:highlight w:val="yellow"/>
        </w:rPr>
      </w:pPr>
      <w:r w:rsidRPr="007A4EFE">
        <w:rPr>
          <w:b/>
        </w:rPr>
        <w:t>5.2</w:t>
      </w:r>
      <w:r w:rsidRPr="007A4EFE">
        <w:tab/>
        <w:t>La CE 11 del UIT-T ha estado trabajando en la interconexión de redes VoLTE/ViLTE y con la CE</w:t>
      </w:r>
      <w:r w:rsidR="007A4EFE">
        <w:t> </w:t>
      </w:r>
      <w:r w:rsidRPr="007A4EFE">
        <w:t>2 del UIT-T en la adopción de ENUM para la interconexión de IMS.</w:t>
      </w:r>
    </w:p>
    <w:p w14:paraId="670BC67A" w14:textId="77777777" w:rsidR="00E54062" w:rsidRPr="007A4EFE" w:rsidRDefault="00E54062" w:rsidP="00E54062">
      <w:pPr>
        <w:pStyle w:val="Heading1"/>
      </w:pPr>
      <w:r w:rsidRPr="007A4EFE">
        <w:t>6</w:t>
      </w:r>
      <w:r w:rsidRPr="007A4EFE">
        <w:tab/>
      </w:r>
      <w:proofErr w:type="gramStart"/>
      <w:r w:rsidRPr="007A4EFE">
        <w:t>Conectividad</w:t>
      </w:r>
      <w:proofErr w:type="gramEnd"/>
      <w:r w:rsidRPr="007A4EFE">
        <w:t xml:space="preserve"> internacional a Internet (IIC) y Puntos de intercambio Internet (IXP)</w:t>
      </w:r>
    </w:p>
    <w:p w14:paraId="49CA35D9" w14:textId="77777777" w:rsidR="00E54062" w:rsidRPr="007A4EFE" w:rsidRDefault="00E54062" w:rsidP="00E54062">
      <w:r w:rsidRPr="007A4EFE">
        <w:rPr>
          <w:b/>
        </w:rPr>
        <w:t>6.1</w:t>
      </w:r>
      <w:r w:rsidRPr="007A4EFE">
        <w:tab/>
      </w:r>
      <w:bookmarkStart w:id="12" w:name="_Hlk500485334"/>
      <w:r w:rsidRPr="007A4EFE">
        <w:t xml:space="preserve">La BDT ha prestado asistencia a Guatemala, Montenegro y Timor-Leste en el desarrollo del modelo de interconexión como base para la especificación de los IXP nacionales y regionales. Se están preparando nuevas publicaciones sobre </w:t>
      </w:r>
      <w:r w:rsidR="00D75F66" w:rsidRPr="007A4EFE">
        <w:t>"</w:t>
      </w:r>
      <w:r w:rsidRPr="007A4EFE">
        <w:t>Intercambios por Internet</w:t>
      </w:r>
      <w:r w:rsidR="00D75F66" w:rsidRPr="007A4EFE">
        <w:t>"</w:t>
      </w:r>
      <w:r w:rsidRPr="007A4EFE">
        <w:t xml:space="preserve"> y </w:t>
      </w:r>
      <w:r w:rsidR="00D75F66" w:rsidRPr="007A4EFE">
        <w:t>"</w:t>
      </w:r>
      <w:r w:rsidRPr="007A4EFE">
        <w:t>Energías renovables para las comunicaciones rurales</w:t>
      </w:r>
      <w:r w:rsidR="00D75F66" w:rsidRPr="007A4EFE">
        <w:t>"</w:t>
      </w:r>
      <w:r w:rsidRPr="007A4EFE">
        <w:t>.</w:t>
      </w:r>
    </w:p>
    <w:p w14:paraId="6D80A583" w14:textId="77777777" w:rsidR="00E54062" w:rsidRPr="007A4EFE" w:rsidRDefault="00E54062" w:rsidP="00D75F66">
      <w:pPr>
        <w:keepLines/>
      </w:pPr>
      <w:r w:rsidRPr="007A4EFE">
        <w:rPr>
          <w:b/>
        </w:rPr>
        <w:lastRenderedPageBreak/>
        <w:t>6.2</w:t>
      </w:r>
      <w:r w:rsidRPr="007A4EFE">
        <w:tab/>
        <w:t xml:space="preserve">En la región de África, la BDT también apoya la implantación de la itinerancia de </w:t>
      </w:r>
      <w:r w:rsidR="00B66BE4" w:rsidRPr="007A4EFE">
        <w:t xml:space="preserve">zona </w:t>
      </w:r>
      <w:r w:rsidRPr="007A4EFE">
        <w:t xml:space="preserve">de </w:t>
      </w:r>
      <w:r w:rsidR="00B66BE4" w:rsidRPr="007A4EFE">
        <w:t xml:space="preserve">red única </w:t>
      </w:r>
      <w:r w:rsidRPr="007A4EFE">
        <w:t xml:space="preserve">en África </w:t>
      </w:r>
      <w:r w:rsidR="00B66BE4" w:rsidRPr="007A4EFE">
        <w:t xml:space="preserve">occidental </w:t>
      </w:r>
      <w:r w:rsidRPr="007A4EFE">
        <w:t xml:space="preserve">y la creación de IXP nacionales y regionales para apoyar la conectividad y el acceso de banda ancha de </w:t>
      </w:r>
      <w:proofErr w:type="gramStart"/>
      <w:r w:rsidRPr="007A4EFE">
        <w:t>alta velocidad y alta calidad</w:t>
      </w:r>
      <w:proofErr w:type="gramEnd"/>
      <w:r w:rsidRPr="007A4EFE">
        <w:t>. Se está estudiando la posibilidad de establecer otro IXP subregional con Djibouti Telecom.</w:t>
      </w:r>
    </w:p>
    <w:p w14:paraId="7B5A9111" w14:textId="77777777" w:rsidR="00E54062" w:rsidRPr="007A4EFE" w:rsidRDefault="00E54062" w:rsidP="00E54062">
      <w:r w:rsidRPr="007A4EFE">
        <w:rPr>
          <w:b/>
          <w:szCs w:val="24"/>
        </w:rPr>
        <w:t>6.3</w:t>
      </w:r>
      <w:r w:rsidRPr="007A4EFE">
        <w:rPr>
          <w:szCs w:val="24"/>
        </w:rPr>
        <w:tab/>
        <w:t xml:space="preserve">La BDT ha desarrollado una </w:t>
      </w:r>
      <w:hyperlink r:id="rId98" w:history="1">
        <w:r w:rsidRPr="007A4EFE">
          <w:rPr>
            <w:rStyle w:val="Hyperlink"/>
            <w:rFonts w:asciiTheme="minorHAnsi" w:hAnsiTheme="minorHAnsi" w:cstheme="minorHAnsi"/>
            <w:szCs w:val="24"/>
          </w:rPr>
          <w:t>plataforma de cartografía de datos de las TIC</w:t>
        </w:r>
      </w:hyperlink>
      <w:r w:rsidRPr="007A4EFE">
        <w:rPr>
          <w:szCs w:val="24"/>
        </w:rPr>
        <w:t xml:space="preserve"> </w:t>
      </w:r>
      <w:bookmarkEnd w:id="12"/>
      <w:r w:rsidRPr="007A4EFE">
        <w:rPr>
          <w:szCs w:val="24"/>
        </w:rPr>
        <w:t>para hacer un balance</w:t>
      </w:r>
      <w:r w:rsidRPr="007A4EFE">
        <w:t xml:space="preserve"> de la ubicación de los IXP, la conectividad de la red troncal nacional y otros parámetros clave del sector de las TIC en colaboración con el CESPAP de las Naciones Unidas y TeleGeography. </w:t>
      </w:r>
    </w:p>
    <w:p w14:paraId="5C7C2A64" w14:textId="77777777" w:rsidR="00E54062" w:rsidRPr="007A4EFE" w:rsidRDefault="00E54062" w:rsidP="00E54062">
      <w:r w:rsidRPr="007A4EFE">
        <w:rPr>
          <w:b/>
        </w:rPr>
        <w:t>6.4</w:t>
      </w:r>
      <w:r w:rsidRPr="007A4EFE">
        <w:tab/>
        <w:t xml:space="preserve">Durante la reunión del Grupo de Operadores de Red de Oriente Medio (MENOG) 19 (Beirut, </w:t>
      </w:r>
      <w:r w:rsidRPr="007A4EFE">
        <w:rPr>
          <w:szCs w:val="24"/>
        </w:rPr>
        <w:t xml:space="preserve">3-4 de abril de 2019), la BDT presentó el </w:t>
      </w:r>
      <w:hyperlink r:id="rId99" w:history="1">
        <w:r w:rsidRPr="007A4EFE">
          <w:rPr>
            <w:rStyle w:val="Hyperlink"/>
            <w:rFonts w:asciiTheme="minorHAnsi" w:hAnsiTheme="minorHAnsi" w:cstheme="minorHAnsi"/>
            <w:szCs w:val="24"/>
          </w:rPr>
          <w:t>panorama del intercambio de redes pares</w:t>
        </w:r>
      </w:hyperlink>
      <w:r w:rsidRPr="007A4EFE">
        <w:rPr>
          <w:szCs w:val="24"/>
        </w:rPr>
        <w:t xml:space="preserve"> en la Región</w:t>
      </w:r>
      <w:r w:rsidRPr="007A4EFE">
        <w:t xml:space="preserve"> Árabe.</w:t>
      </w:r>
    </w:p>
    <w:p w14:paraId="227329DA" w14:textId="77777777" w:rsidR="00E54062" w:rsidRPr="007A4EFE" w:rsidRDefault="00E54062" w:rsidP="00E54062">
      <w:pPr>
        <w:pStyle w:val="Heading1"/>
      </w:pPr>
      <w:r w:rsidRPr="007A4EFE">
        <w:t>7</w:t>
      </w:r>
      <w:r w:rsidRPr="007A4EFE">
        <w:tab/>
        <w:t>OTT</w:t>
      </w:r>
    </w:p>
    <w:p w14:paraId="37195CC6" w14:textId="77777777" w:rsidR="00E54062" w:rsidRPr="007A4EFE" w:rsidRDefault="00E54062" w:rsidP="00E54062">
      <w:r w:rsidRPr="007A4EFE">
        <w:rPr>
          <w:b/>
        </w:rPr>
        <w:t>7.1</w:t>
      </w:r>
      <w:r w:rsidRPr="007A4EFE">
        <w:tab/>
        <w:t xml:space="preserve">En el marco de la Cuestión 3/1 de la CE 1 del UIT-D prosiguen las labores relativas a las </w:t>
      </w:r>
      <w:r w:rsidR="00D75F66" w:rsidRPr="007A4EFE">
        <w:t>"</w:t>
      </w:r>
      <w:r w:rsidRPr="007A4EFE">
        <w:t>Nuevas tecnologías, incluida la computación en la nube, los servicios móviles y los OTT: retos, oportunidades e impacto económico y político para los países en desarrollo</w:t>
      </w:r>
      <w:r w:rsidR="00D75F66" w:rsidRPr="007A4EFE">
        <w:t>"</w:t>
      </w:r>
      <w:r w:rsidRPr="007A4EFE">
        <w:t xml:space="preserve">. </w:t>
      </w:r>
    </w:p>
    <w:p w14:paraId="6308E3D5" w14:textId="77777777" w:rsidR="00E54062" w:rsidRPr="007A4EFE" w:rsidRDefault="00E54062" w:rsidP="00E54062">
      <w:pPr>
        <w:rPr>
          <w:u w:val="single"/>
        </w:rPr>
      </w:pPr>
      <w:r w:rsidRPr="007A4EFE">
        <w:rPr>
          <w:b/>
        </w:rPr>
        <w:t>7.2</w:t>
      </w:r>
      <w:r w:rsidRPr="007A4EFE">
        <w:tab/>
        <w:t xml:space="preserve">La CE 2 del UIT-T está logrando avances en dos nuevos temas de trabajo relativos a los OTT: </w:t>
      </w:r>
      <w:proofErr w:type="gramStart"/>
      <w:r w:rsidRPr="007A4EFE">
        <w:t>TR.OTTnum</w:t>
      </w:r>
      <w:proofErr w:type="gramEnd"/>
      <w:r w:rsidRPr="007A4EFE">
        <w:t xml:space="preserve"> </w:t>
      </w:r>
      <w:r w:rsidR="00D75F66" w:rsidRPr="007A4EFE">
        <w:t>"</w:t>
      </w:r>
      <w:r w:rsidRPr="007A4EFE">
        <w:t>Utilización actual de números E.164 como identificadores para OTT</w:t>
      </w:r>
      <w:r w:rsidR="00D75F66" w:rsidRPr="007A4EFE">
        <w:rPr>
          <w:spacing w:val="4"/>
        </w:rPr>
        <w:t>"</w:t>
      </w:r>
      <w:r w:rsidRPr="007A4EFE">
        <w:rPr>
          <w:spacing w:val="4"/>
        </w:rPr>
        <w:t xml:space="preserve"> y E.sup.OTTnum </w:t>
      </w:r>
      <w:r w:rsidR="00D75F66" w:rsidRPr="007A4EFE">
        <w:rPr>
          <w:spacing w:val="4"/>
        </w:rPr>
        <w:t>"</w:t>
      </w:r>
      <w:r w:rsidRPr="007A4EFE">
        <w:rPr>
          <w:spacing w:val="4"/>
        </w:rPr>
        <w:t>Directrices para la utilización de números E.164 como identificadores para OTT</w:t>
      </w:r>
      <w:r w:rsidR="00D75F66" w:rsidRPr="007A4EFE">
        <w:rPr>
          <w:spacing w:val="4"/>
        </w:rPr>
        <w:t>"</w:t>
      </w:r>
      <w:r w:rsidRPr="007A4EFE">
        <w:rPr>
          <w:spacing w:val="4"/>
        </w:rPr>
        <w:t>.</w:t>
      </w:r>
      <w:r w:rsidRPr="007A4EFE">
        <w:t xml:space="preserve"> La CE</w:t>
      </w:r>
      <w:r w:rsidR="007A4EFE">
        <w:t xml:space="preserve"> </w:t>
      </w:r>
      <w:r w:rsidRPr="007A4EFE">
        <w:t xml:space="preserve">2 del UIT-T también está avanzando en relación con un proyecto de Recomendación UIT-T E.dit </w:t>
      </w:r>
      <w:r w:rsidR="00D75F66" w:rsidRPr="007A4EFE">
        <w:t>"</w:t>
      </w:r>
      <w:r w:rsidRPr="007A4EFE">
        <w:t>Tráfico considerado inadmisible</w:t>
      </w:r>
      <w:r w:rsidR="00D75F66" w:rsidRPr="007A4EFE">
        <w:t>"</w:t>
      </w:r>
      <w:r w:rsidRPr="007A4EFE">
        <w:t xml:space="preserve">, y un proyecto de Recomendación UIT-T E.ACP </w:t>
      </w:r>
      <w:r w:rsidR="00D75F66" w:rsidRPr="007A4EFE">
        <w:t>"</w:t>
      </w:r>
      <w:r w:rsidRPr="007A4EFE">
        <w:t>Procedimientos alternativos de llamada</w:t>
      </w:r>
      <w:r w:rsidR="00D75F66" w:rsidRPr="007A4EFE">
        <w:t>"</w:t>
      </w:r>
      <w:r w:rsidRPr="007A4EFE">
        <w:t>.</w:t>
      </w:r>
    </w:p>
    <w:p w14:paraId="67193C4A" w14:textId="77777777" w:rsidR="00E54062" w:rsidRPr="007A4EFE" w:rsidRDefault="00E54062" w:rsidP="00E54062"/>
    <w:p w14:paraId="4E2AE1E3" w14:textId="77777777" w:rsidR="00E54062" w:rsidRPr="007A4EFE" w:rsidRDefault="00E54062" w:rsidP="00E54062">
      <w:pPr>
        <w:jc w:val="center"/>
      </w:pPr>
      <w:r w:rsidRPr="007A4EFE">
        <w:t>______________</w:t>
      </w:r>
    </w:p>
    <w:sectPr w:rsidR="00E54062" w:rsidRPr="007A4EFE" w:rsidSect="006710F6">
      <w:headerReference w:type="default" r:id="rId100"/>
      <w:footerReference w:type="default" r:id="rId101"/>
      <w:footerReference w:type="first" r:id="rId10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8DC970" w14:textId="77777777" w:rsidR="009601B1" w:rsidRDefault="009601B1">
      <w:r>
        <w:separator/>
      </w:r>
    </w:p>
  </w:endnote>
  <w:endnote w:type="continuationSeparator" w:id="0">
    <w:p w14:paraId="0A997ED1" w14:textId="77777777" w:rsidR="009601B1" w:rsidRDefault="0096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B5865" w14:textId="77777777" w:rsidR="00760F1C" w:rsidRPr="00753FBD" w:rsidRDefault="00664572" w:rsidP="00E54062">
    <w:pPr>
      <w:pStyle w:val="Footer"/>
      <w:rPr>
        <w:color w:val="D9D9D9" w:themeColor="background1" w:themeShade="D9"/>
        <w:lang w:val="fr-CH"/>
      </w:rPr>
    </w:pPr>
    <w:r w:rsidRPr="00753FBD">
      <w:rPr>
        <w:color w:val="D9D9D9" w:themeColor="background1" w:themeShade="D9"/>
      </w:rPr>
      <w:fldChar w:fldCharType="begin"/>
    </w:r>
    <w:r w:rsidRPr="00753FBD">
      <w:rPr>
        <w:color w:val="D9D9D9" w:themeColor="background1" w:themeShade="D9"/>
        <w:lang w:val="fr-CH"/>
      </w:rPr>
      <w:instrText xml:space="preserve"> FILENAME \p \* MERGEFORMAT </w:instrText>
    </w:r>
    <w:r w:rsidRPr="00753FBD">
      <w:rPr>
        <w:color w:val="D9D9D9" w:themeColor="background1" w:themeShade="D9"/>
      </w:rPr>
      <w:fldChar w:fldCharType="separate"/>
    </w:r>
    <w:r w:rsidR="007A4EFE" w:rsidRPr="00753FBD">
      <w:rPr>
        <w:color w:val="D9D9D9" w:themeColor="background1" w:themeShade="D9"/>
        <w:lang w:val="fr-CH"/>
      </w:rPr>
      <w:t>P:\ESP\SG\CONSEIL\C20\000\033S.docx</w:t>
    </w:r>
    <w:r w:rsidRPr="00753FBD">
      <w:rPr>
        <w:color w:val="D9D9D9" w:themeColor="background1" w:themeShade="D9"/>
        <w:lang w:val="en-US"/>
      </w:rPr>
      <w:fldChar w:fldCharType="end"/>
    </w:r>
    <w:r w:rsidR="00E54062" w:rsidRPr="00753FBD">
      <w:rPr>
        <w:color w:val="D9D9D9" w:themeColor="background1" w:themeShade="D9"/>
        <w:lang w:val="fr-CH"/>
      </w:rPr>
      <w:t xml:space="preserve"> (467341)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CFF5E" w14:textId="77777777" w:rsidR="00760F1C" w:rsidRDefault="00760F1C">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9D7C9" w14:textId="77777777" w:rsidR="009601B1" w:rsidRDefault="009601B1">
      <w:r>
        <w:t>____________________</w:t>
      </w:r>
    </w:p>
  </w:footnote>
  <w:footnote w:type="continuationSeparator" w:id="0">
    <w:p w14:paraId="226429DF" w14:textId="77777777" w:rsidR="009601B1" w:rsidRDefault="009601B1">
      <w:r>
        <w:continuationSeparator/>
      </w:r>
    </w:p>
  </w:footnote>
  <w:footnote w:id="1">
    <w:p w14:paraId="45282234" w14:textId="06F8A9EC" w:rsidR="00E54062" w:rsidRPr="004C4CFE" w:rsidRDefault="00E54062" w:rsidP="00E54062">
      <w:pPr>
        <w:pStyle w:val="FootnoteText"/>
        <w:rPr>
          <w:lang w:val="es-ES"/>
        </w:rPr>
      </w:pPr>
      <w:r>
        <w:rPr>
          <w:rStyle w:val="FootnoteReference"/>
        </w:rPr>
        <w:footnoteRef/>
      </w:r>
      <w:r>
        <w:tab/>
      </w:r>
      <w:r w:rsidRPr="00753FBD">
        <w:rPr>
          <w:sz w:val="20"/>
        </w:rPr>
        <w:t xml:space="preserve">Se presentó al GTC-Internet una versión más detallada del informe </w:t>
      </w:r>
      <w:r w:rsidRPr="00753FBD">
        <w:rPr>
          <w:rFonts w:asciiTheme="minorHAnsi" w:hAnsiTheme="minorHAnsi" w:cstheme="minorHAnsi"/>
          <w:sz w:val="20"/>
        </w:rPr>
        <w:t>(</w:t>
      </w:r>
      <w:hyperlink r:id="rId1" w:history="1">
        <w:r w:rsidRPr="00753FBD">
          <w:rPr>
            <w:rStyle w:val="Hyperlink"/>
            <w:rFonts w:asciiTheme="minorHAnsi" w:hAnsiTheme="minorHAnsi" w:cstheme="minorHAnsi"/>
            <w:sz w:val="20"/>
          </w:rPr>
          <w:t>CWG-Internet-14/2</w:t>
        </w:r>
      </w:hyperlink>
      <w:r w:rsidRPr="00753FBD">
        <w:rPr>
          <w:rFonts w:asciiTheme="minorHAnsi" w:hAnsiTheme="minorHAnsi" w:cstheme="minorHAnsi"/>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9D275" w14:textId="77777777" w:rsidR="00760F1C" w:rsidRDefault="000B7C15" w:rsidP="007657F0">
    <w:pPr>
      <w:pStyle w:val="Header"/>
    </w:pPr>
    <w:r>
      <w:fldChar w:fldCharType="begin"/>
    </w:r>
    <w:r>
      <w:instrText>PAGE</w:instrText>
    </w:r>
    <w:r>
      <w:fldChar w:fldCharType="separate"/>
    </w:r>
    <w:r w:rsidR="00260B7F">
      <w:rPr>
        <w:noProof/>
      </w:rPr>
      <w:t>3</w:t>
    </w:r>
    <w:r>
      <w:rPr>
        <w:noProof/>
      </w:rPr>
      <w:fldChar w:fldCharType="end"/>
    </w:r>
  </w:p>
  <w:p w14:paraId="049B8F46" w14:textId="77777777" w:rsidR="00760F1C" w:rsidRDefault="00760F1C" w:rsidP="00C2727F">
    <w:pPr>
      <w:pStyle w:val="Header"/>
    </w:pPr>
    <w:r>
      <w:t>C</w:t>
    </w:r>
    <w:r w:rsidR="007955DA">
      <w:t>20</w:t>
    </w:r>
    <w:r>
      <w:t>/</w:t>
    </w:r>
    <w:r w:rsidR="00E54062">
      <w:t>33</w:t>
    </w:r>
    <w: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0E3561"/>
    <w:multiLevelType w:val="hybridMultilevel"/>
    <w:tmpl w:val="8DC67212"/>
    <w:lvl w:ilvl="0" w:tplc="469A1012">
      <w:start w:val="1"/>
      <w:numFmt w:val="decimal"/>
      <w:pStyle w:val="normalWSIS"/>
      <w:lvlText w:val="%1."/>
      <w:lvlJc w:val="left"/>
      <w:pPr>
        <w:ind w:left="928" w:hanging="360"/>
      </w:pPr>
      <w:rPr>
        <w:rFonts w:asciiTheme="minorHAnsi" w:hAnsiTheme="minorHAnsi" w:hint="default"/>
        <w:b w:val="0"/>
        <w:bCs w:val="0"/>
        <w:i w:val="0"/>
        <w:iCs w:val="0"/>
        <w:color w:val="auto"/>
        <w:sz w:val="20"/>
        <w:szCs w:val="20"/>
        <w:lang w:val="en-US"/>
      </w:rPr>
    </w:lvl>
    <w:lvl w:ilvl="1" w:tplc="04090019">
      <w:start w:val="1"/>
      <w:numFmt w:val="lowerLetter"/>
      <w:lvlText w:val="%2."/>
      <w:lvlJc w:val="left"/>
      <w:pPr>
        <w:ind w:left="447" w:hanging="360"/>
      </w:pPr>
    </w:lvl>
    <w:lvl w:ilvl="2" w:tplc="0409001B">
      <w:start w:val="1"/>
      <w:numFmt w:val="lowerRoman"/>
      <w:lvlText w:val="%3."/>
      <w:lvlJc w:val="right"/>
      <w:pPr>
        <w:ind w:left="1167" w:hanging="180"/>
      </w:pPr>
    </w:lvl>
    <w:lvl w:ilvl="3" w:tplc="0409000F">
      <w:start w:val="1"/>
      <w:numFmt w:val="decimal"/>
      <w:lvlText w:val="%4."/>
      <w:lvlJc w:val="left"/>
      <w:pPr>
        <w:ind w:left="1887" w:hanging="360"/>
      </w:pPr>
    </w:lvl>
    <w:lvl w:ilvl="4" w:tplc="04090019">
      <w:start w:val="1"/>
      <w:numFmt w:val="lowerLetter"/>
      <w:lvlText w:val="%5."/>
      <w:lvlJc w:val="left"/>
      <w:pPr>
        <w:ind w:left="2607" w:hanging="360"/>
      </w:pPr>
    </w:lvl>
    <w:lvl w:ilvl="5" w:tplc="0409001B" w:tentative="1">
      <w:start w:val="1"/>
      <w:numFmt w:val="lowerRoman"/>
      <w:lvlText w:val="%6."/>
      <w:lvlJc w:val="right"/>
      <w:pPr>
        <w:ind w:left="3327" w:hanging="180"/>
      </w:pPr>
    </w:lvl>
    <w:lvl w:ilvl="6" w:tplc="0409000F" w:tentative="1">
      <w:start w:val="1"/>
      <w:numFmt w:val="decimal"/>
      <w:lvlText w:val="%7."/>
      <w:lvlJc w:val="left"/>
      <w:pPr>
        <w:ind w:left="4047" w:hanging="360"/>
      </w:pPr>
    </w:lvl>
    <w:lvl w:ilvl="7" w:tplc="04090019" w:tentative="1">
      <w:start w:val="1"/>
      <w:numFmt w:val="lowerLetter"/>
      <w:lvlText w:val="%8."/>
      <w:lvlJc w:val="left"/>
      <w:pPr>
        <w:ind w:left="4767" w:hanging="360"/>
      </w:pPr>
    </w:lvl>
    <w:lvl w:ilvl="8" w:tplc="0409001B" w:tentative="1">
      <w:start w:val="1"/>
      <w:numFmt w:val="lowerRoman"/>
      <w:lvlText w:val="%9."/>
      <w:lvlJc w:val="right"/>
      <w:pPr>
        <w:ind w:left="54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ES_tradnl" w:vendorID="64" w:dllVersion="6" w:nlCheck="1" w:checkStyle="0"/>
  <w:activeWritingStyle w:appName="MSWord" w:lang="en-US" w:vendorID="64" w:dllVersion="6" w:nlCheck="1" w:checkStyle="1"/>
  <w:activeWritingStyle w:appName="MSWord" w:lang="es-ES_tradnl"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B1"/>
    <w:rsid w:val="00093EEB"/>
    <w:rsid w:val="000A2A17"/>
    <w:rsid w:val="000B0D00"/>
    <w:rsid w:val="000B7C15"/>
    <w:rsid w:val="000D1D0F"/>
    <w:rsid w:val="000F5290"/>
    <w:rsid w:val="0010165C"/>
    <w:rsid w:val="00146BFB"/>
    <w:rsid w:val="001A4A0D"/>
    <w:rsid w:val="001C0443"/>
    <w:rsid w:val="001E2F97"/>
    <w:rsid w:val="001F14A2"/>
    <w:rsid w:val="00260B7F"/>
    <w:rsid w:val="002801AA"/>
    <w:rsid w:val="002C4676"/>
    <w:rsid w:val="002C70B0"/>
    <w:rsid w:val="002F3CC4"/>
    <w:rsid w:val="004A1E54"/>
    <w:rsid w:val="00513630"/>
    <w:rsid w:val="00560125"/>
    <w:rsid w:val="00585553"/>
    <w:rsid w:val="005B34D9"/>
    <w:rsid w:val="005D0CCF"/>
    <w:rsid w:val="005F3BCB"/>
    <w:rsid w:val="005F410F"/>
    <w:rsid w:val="0060149A"/>
    <w:rsid w:val="00601924"/>
    <w:rsid w:val="006447EA"/>
    <w:rsid w:val="0064731F"/>
    <w:rsid w:val="00664572"/>
    <w:rsid w:val="006710F6"/>
    <w:rsid w:val="006C1B56"/>
    <w:rsid w:val="006D4761"/>
    <w:rsid w:val="00711EBD"/>
    <w:rsid w:val="00726872"/>
    <w:rsid w:val="00753FBD"/>
    <w:rsid w:val="00760F1C"/>
    <w:rsid w:val="007657F0"/>
    <w:rsid w:val="0077252D"/>
    <w:rsid w:val="007955DA"/>
    <w:rsid w:val="007A4EFE"/>
    <w:rsid w:val="007E5DD3"/>
    <w:rsid w:val="007F350B"/>
    <w:rsid w:val="00820BE4"/>
    <w:rsid w:val="008451E8"/>
    <w:rsid w:val="008874B5"/>
    <w:rsid w:val="00913B9C"/>
    <w:rsid w:val="00956E77"/>
    <w:rsid w:val="009601B1"/>
    <w:rsid w:val="009F4811"/>
    <w:rsid w:val="00AA390C"/>
    <w:rsid w:val="00B0200A"/>
    <w:rsid w:val="00B574DB"/>
    <w:rsid w:val="00B66BE4"/>
    <w:rsid w:val="00B826C2"/>
    <w:rsid w:val="00B8298E"/>
    <w:rsid w:val="00BA36B0"/>
    <w:rsid w:val="00BD0723"/>
    <w:rsid w:val="00BD2518"/>
    <w:rsid w:val="00BF1D1C"/>
    <w:rsid w:val="00C20C59"/>
    <w:rsid w:val="00C2727F"/>
    <w:rsid w:val="00C55B1F"/>
    <w:rsid w:val="00C81F06"/>
    <w:rsid w:val="00CF1A67"/>
    <w:rsid w:val="00D2750E"/>
    <w:rsid w:val="00D62446"/>
    <w:rsid w:val="00D75F66"/>
    <w:rsid w:val="00DA4EA2"/>
    <w:rsid w:val="00DA68AF"/>
    <w:rsid w:val="00DC3D3E"/>
    <w:rsid w:val="00DE2C90"/>
    <w:rsid w:val="00DE3B24"/>
    <w:rsid w:val="00E06947"/>
    <w:rsid w:val="00E3592D"/>
    <w:rsid w:val="00E54062"/>
    <w:rsid w:val="00E92DE8"/>
    <w:rsid w:val="00EB1212"/>
    <w:rsid w:val="00ED65AB"/>
    <w:rsid w:val="00F12850"/>
    <w:rsid w:val="00F33BF4"/>
    <w:rsid w:val="00F7105E"/>
    <w:rsid w:val="00F75F57"/>
    <w:rsid w:val="00F82FEE"/>
    <w:rsid w:val="00FC65D2"/>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C34B49"/>
  <w15:docId w15:val="{07A79EEC-13EB-4AE9-8933-1A78BA11E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0B0D00"/>
    <w:rPr>
      <w:position w:val="6"/>
      <w:sz w:val="16"/>
    </w:rPr>
  </w:style>
  <w:style w:type="paragraph" w:styleId="FootnoteText">
    <w:name w:val="footnote text"/>
    <w:basedOn w:val="Normal"/>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aliases w:val="超级链接"/>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rsid w:val="000B0D00"/>
  </w:style>
  <w:style w:type="paragraph" w:customStyle="1" w:styleId="Restitle">
    <w:name w:val="Res_title"/>
    <w:basedOn w:val="Annextitle"/>
    <w:next w:val="Normal"/>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paragraph" w:styleId="NormalWeb">
    <w:name w:val="Normal (Web)"/>
    <w:basedOn w:val="Normal"/>
    <w:link w:val="NormalWebChar"/>
    <w:uiPriority w:val="99"/>
    <w:rsid w:val="00E54062"/>
    <w:pPr>
      <w:tabs>
        <w:tab w:val="clear" w:pos="567"/>
        <w:tab w:val="clear" w:pos="1134"/>
        <w:tab w:val="clear" w:pos="1701"/>
        <w:tab w:val="clear" w:pos="2268"/>
        <w:tab w:val="clear" w:pos="2835"/>
      </w:tabs>
      <w:overflowPunct/>
      <w:autoSpaceDE/>
      <w:autoSpaceDN/>
      <w:adjustRightInd/>
      <w:spacing w:before="0" w:after="200" w:line="276" w:lineRule="auto"/>
      <w:textAlignment w:val="auto"/>
    </w:pPr>
    <w:rPr>
      <w:rFonts w:ascii="Times New Roman" w:eastAsiaTheme="minorEastAsia" w:hAnsi="Times New Roman" w:cstheme="minorBidi"/>
      <w:sz w:val="22"/>
      <w:szCs w:val="24"/>
      <w:lang w:val="fr-CH" w:eastAsia="zh-CN"/>
    </w:rPr>
  </w:style>
  <w:style w:type="paragraph" w:customStyle="1" w:styleId="Style2">
    <w:name w:val="Style2"/>
    <w:basedOn w:val="Normal"/>
    <w:uiPriority w:val="99"/>
    <w:rsid w:val="00E54062"/>
    <w:pPr>
      <w:widowControl w:val="0"/>
      <w:tabs>
        <w:tab w:val="clear" w:pos="567"/>
        <w:tab w:val="clear" w:pos="1134"/>
        <w:tab w:val="clear" w:pos="1701"/>
        <w:tab w:val="clear" w:pos="2268"/>
        <w:tab w:val="clear" w:pos="2835"/>
      </w:tabs>
      <w:overflowPunct/>
      <w:autoSpaceDE/>
      <w:autoSpaceDN/>
      <w:adjustRightInd/>
      <w:spacing w:before="0" w:after="200" w:line="269" w:lineRule="atLeast"/>
      <w:ind w:hanging="346"/>
      <w:jc w:val="both"/>
      <w:textAlignment w:val="auto"/>
    </w:pPr>
    <w:rPr>
      <w:rFonts w:asciiTheme="minorHAnsi" w:eastAsia="SimSun" w:hAnsiTheme="minorHAnsi" w:cstheme="minorBidi"/>
      <w:sz w:val="22"/>
      <w:szCs w:val="24"/>
      <w:lang w:val="fr-CH" w:eastAsia="zh-CN"/>
    </w:rPr>
  </w:style>
  <w:style w:type="paragraph" w:customStyle="1" w:styleId="normalWSIS">
    <w:name w:val="normal WSIS"/>
    <w:basedOn w:val="ListParagraph"/>
    <w:link w:val="normalWSISChar"/>
    <w:qFormat/>
    <w:rsid w:val="00E54062"/>
    <w:pPr>
      <w:numPr>
        <w:numId w:val="1"/>
      </w:numPr>
      <w:tabs>
        <w:tab w:val="clear" w:pos="567"/>
        <w:tab w:val="clear" w:pos="1134"/>
        <w:tab w:val="clear" w:pos="1701"/>
        <w:tab w:val="clear" w:pos="2268"/>
        <w:tab w:val="clear" w:pos="2835"/>
        <w:tab w:val="left" w:pos="426"/>
      </w:tabs>
      <w:overflowPunct/>
      <w:autoSpaceDE/>
      <w:autoSpaceDN/>
      <w:adjustRightInd/>
      <w:spacing w:before="0" w:after="200" w:line="276" w:lineRule="auto"/>
      <w:contextualSpacing w:val="0"/>
      <w:jc w:val="both"/>
      <w:textAlignment w:val="auto"/>
    </w:pPr>
    <w:rPr>
      <w:rFonts w:asciiTheme="minorHAnsi" w:eastAsia="SimSun" w:hAnsiTheme="minorHAnsi" w:cs="Arial"/>
      <w:sz w:val="22"/>
      <w:szCs w:val="22"/>
      <w:lang w:val="fr-CH" w:eastAsia="zh-CN"/>
    </w:rPr>
  </w:style>
  <w:style w:type="character" w:customStyle="1" w:styleId="normalWSISChar">
    <w:name w:val="normal WSIS Char"/>
    <w:basedOn w:val="DefaultParagraphFont"/>
    <w:link w:val="normalWSIS"/>
    <w:rsid w:val="00E54062"/>
    <w:rPr>
      <w:rFonts w:asciiTheme="minorHAnsi" w:eastAsia="SimSun" w:hAnsiTheme="minorHAnsi" w:cs="Arial"/>
      <w:sz w:val="22"/>
      <w:szCs w:val="22"/>
      <w:lang w:val="fr-CH"/>
    </w:rPr>
  </w:style>
  <w:style w:type="character" w:customStyle="1" w:styleId="NormalWebChar">
    <w:name w:val="Normal (Web) Char"/>
    <w:link w:val="NormalWeb"/>
    <w:uiPriority w:val="99"/>
    <w:locked/>
    <w:rsid w:val="00E54062"/>
    <w:rPr>
      <w:rFonts w:ascii="Times New Roman" w:eastAsiaTheme="minorEastAsia" w:hAnsi="Times New Roman" w:cstheme="minorBidi"/>
      <w:sz w:val="22"/>
      <w:szCs w:val="24"/>
      <w:lang w:val="fr-CH"/>
    </w:rPr>
  </w:style>
  <w:style w:type="character" w:customStyle="1" w:styleId="HeaderChar">
    <w:name w:val="Header Char"/>
    <w:basedOn w:val="DefaultParagraphFont"/>
    <w:link w:val="Header"/>
    <w:rsid w:val="00E54062"/>
    <w:rPr>
      <w:rFonts w:ascii="Calibri" w:hAnsi="Calibri"/>
      <w:sz w:val="18"/>
      <w:lang w:val="es-ES_tradnl" w:eastAsia="en-US"/>
    </w:rPr>
  </w:style>
  <w:style w:type="paragraph" w:styleId="ListParagraph">
    <w:name w:val="List Paragraph"/>
    <w:basedOn w:val="Normal"/>
    <w:uiPriority w:val="34"/>
    <w:qFormat/>
    <w:rsid w:val="00E54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pub/T-RES-T.64-2016/es" TargetMode="External"/><Relationship Id="rId21" Type="http://schemas.openxmlformats.org/officeDocument/2006/relationships/hyperlink" Target="https://www.itu.int/pub/T-RES-T.49-2016/es" TargetMode="External"/><Relationship Id="rId42" Type="http://schemas.openxmlformats.org/officeDocument/2006/relationships/hyperlink" Target="https://www.itu.int/ITU-T/recommendations/rec.aspx?id=14102" TargetMode="External"/><Relationship Id="rId47" Type="http://schemas.openxmlformats.org/officeDocument/2006/relationships/hyperlink" Target="https://www.itu.int/ITU-T/recommendations/rec.aspx?id=14100" TargetMode="External"/><Relationship Id="rId63" Type="http://schemas.openxmlformats.org/officeDocument/2006/relationships/hyperlink" Target="https://www.itu.int/ITU-T/recommendations/rec.aspx?id=14169" TargetMode="External"/><Relationship Id="rId68" Type="http://schemas.openxmlformats.org/officeDocument/2006/relationships/hyperlink" Target="https://www.itu.int/ITU-T/recommendations/rec.aspx?id=13933" TargetMode="External"/><Relationship Id="rId84" Type="http://schemas.openxmlformats.org/officeDocument/2006/relationships/hyperlink" Target="https://www.itu.int/en/ITU-T/focusgroups/ai4ad/Pages/default.aspx" TargetMode="External"/><Relationship Id="rId89" Type="http://schemas.openxmlformats.org/officeDocument/2006/relationships/hyperlink" Target="https://www.itu.int/pub/D-STG-SG02" TargetMode="External"/><Relationship Id="rId16" Type="http://schemas.openxmlformats.org/officeDocument/2006/relationships/hyperlink" Target="https://www.itu.int/md/S09-CL-C-0105/es" TargetMode="External"/><Relationship Id="rId11" Type="http://schemas.openxmlformats.org/officeDocument/2006/relationships/hyperlink" Target="https://www.itu.int/en/council/Documents/basic-texts/RES-101-S.pdf" TargetMode="External"/><Relationship Id="rId32" Type="http://schemas.openxmlformats.org/officeDocument/2006/relationships/hyperlink" Target="http://www.itu.int/en/action/internet/Documents/Resolution_30_wtdc14.pdf" TargetMode="External"/><Relationship Id="rId37" Type="http://schemas.openxmlformats.org/officeDocument/2006/relationships/hyperlink" Target="https://www.itu.int/md/S18-CL-C-0033/es" TargetMode="External"/><Relationship Id="rId53" Type="http://schemas.openxmlformats.org/officeDocument/2006/relationships/hyperlink" Target="https://www.itu.int/ITU-T/recommendations/rec.aspx?id=14133" TargetMode="External"/><Relationship Id="rId58" Type="http://schemas.openxmlformats.org/officeDocument/2006/relationships/hyperlink" Target="https://www.itu.int/ITU-T/recommendations/rec.aspx?id=14164" TargetMode="External"/><Relationship Id="rId74" Type="http://schemas.openxmlformats.org/officeDocument/2006/relationships/hyperlink" Target="https://www.itu.int/ITU-T/recommendations/rec.aspx?id=14142" TargetMode="External"/><Relationship Id="rId79" Type="http://schemas.openxmlformats.org/officeDocument/2006/relationships/hyperlink" Target="https://www.itu.int/en/ITU-T/focusgroups/ml5g/Pages/default.aspx" TargetMode="External"/><Relationship Id="rId102" Type="http://schemas.openxmlformats.org/officeDocument/2006/relationships/footer" Target="footer2.xml"/><Relationship Id="rId5" Type="http://schemas.openxmlformats.org/officeDocument/2006/relationships/styles" Target="styles.xml"/><Relationship Id="rId90" Type="http://schemas.openxmlformats.org/officeDocument/2006/relationships/hyperlink" Target="https://academy.itu.int/" TargetMode="External"/><Relationship Id="rId95" Type="http://schemas.openxmlformats.org/officeDocument/2006/relationships/hyperlink" Target="https://www.itu.int/en/council/cwg-internet/Pages/default.aspx" TargetMode="External"/><Relationship Id="rId22" Type="http://schemas.openxmlformats.org/officeDocument/2006/relationships/hyperlink" Target="https://www.itu.int/pub/T-RES-T.50-2016/es" TargetMode="External"/><Relationship Id="rId27" Type="http://schemas.openxmlformats.org/officeDocument/2006/relationships/hyperlink" Target="https://www.itu.int/pub/T-RES-T.69-2016/es" TargetMode="External"/><Relationship Id="rId43" Type="http://schemas.openxmlformats.org/officeDocument/2006/relationships/hyperlink" Target="https://www.itu.int/ITU-T/recommendations/rec.aspx?id=14103" TargetMode="External"/><Relationship Id="rId48" Type="http://schemas.openxmlformats.org/officeDocument/2006/relationships/hyperlink" Target="https://www.itu.int/ITU-T/recommendations/rec.aspx?id=13983" TargetMode="External"/><Relationship Id="rId64" Type="http://schemas.openxmlformats.org/officeDocument/2006/relationships/hyperlink" Target="https://www.itu.int/ITU-T/recommendations/rec.aspx?id=14170" TargetMode="External"/><Relationship Id="rId69" Type="http://schemas.openxmlformats.org/officeDocument/2006/relationships/hyperlink" Target="https://www.itu.int/rec/T-REC-Y.1540-201912-I" TargetMode="External"/><Relationship Id="rId80" Type="http://schemas.openxmlformats.org/officeDocument/2006/relationships/hyperlink" Target="https://www.itu.int/en/ITU-T/focusgroups/net2030/Pages/default.aspx" TargetMode="External"/><Relationship Id="rId85" Type="http://schemas.openxmlformats.org/officeDocument/2006/relationships/hyperlink" Target="https://www.itu.int/en/ITU-T/focusgroups/qit4n/Pages/default.aspx" TargetMode="External"/><Relationship Id="rId12" Type="http://schemas.openxmlformats.org/officeDocument/2006/relationships/hyperlink" Target="https://www.itu.int/en/council/Documents/basic-texts/RES-102-S.pdf" TargetMode="External"/><Relationship Id="rId17" Type="http://schemas.openxmlformats.org/officeDocument/2006/relationships/hyperlink" Target="https://www.itu.int/md/S15-CL-C-0113/es" TargetMode="External"/><Relationship Id="rId25" Type="http://schemas.openxmlformats.org/officeDocument/2006/relationships/hyperlink" Target="https://www.itu.int/pub/T-RES-T.60-2016/es" TargetMode="External"/><Relationship Id="rId33" Type="http://schemas.openxmlformats.org/officeDocument/2006/relationships/hyperlink" Target="http://www.itu.int/en/action/internet/Documents/Resolution_63_wtdc14.pdf" TargetMode="External"/><Relationship Id="rId38" Type="http://schemas.openxmlformats.org/officeDocument/2006/relationships/hyperlink" Target="https://www.itu.int/md/S19-CL-C-0033/es" TargetMode="External"/><Relationship Id="rId46" Type="http://schemas.openxmlformats.org/officeDocument/2006/relationships/hyperlink" Target="https://www.itu.int/ITU-T/recommendations/rec.aspx?id=14124" TargetMode="External"/><Relationship Id="rId59" Type="http://schemas.openxmlformats.org/officeDocument/2006/relationships/hyperlink" Target="https://www.itu.int/ITU-T/recommendations/rec.aspx?id=14165" TargetMode="External"/><Relationship Id="rId67" Type="http://schemas.openxmlformats.org/officeDocument/2006/relationships/hyperlink" Target="https://www.itu.int/ITU-T/recommendations/rec.aspx?id=13864" TargetMode="External"/><Relationship Id="rId103" Type="http://schemas.openxmlformats.org/officeDocument/2006/relationships/fontTable" Target="fontTable.xml"/><Relationship Id="rId20" Type="http://schemas.openxmlformats.org/officeDocument/2006/relationships/hyperlink" Target="https://www.itu.int/pub/T-RES-T.48-2016/es" TargetMode="External"/><Relationship Id="rId41" Type="http://schemas.openxmlformats.org/officeDocument/2006/relationships/hyperlink" Target="https://www.itu.int/ITU-T/recommendations/rec.aspx?id=14109" TargetMode="External"/><Relationship Id="rId54" Type="http://schemas.openxmlformats.org/officeDocument/2006/relationships/hyperlink" Target="https://www.itu.int/ITU-T/recommendations/rec.aspx?id=14134" TargetMode="External"/><Relationship Id="rId62" Type="http://schemas.openxmlformats.org/officeDocument/2006/relationships/hyperlink" Target="https://www.itu.int/ITU-T/recommendations/rec.aspx?id=14168" TargetMode="External"/><Relationship Id="rId70" Type="http://schemas.openxmlformats.org/officeDocument/2006/relationships/hyperlink" Target="https://www.itu.int/ITU-T/recommendations/rec.aspx?id=14148" TargetMode="External"/><Relationship Id="rId75" Type="http://schemas.openxmlformats.org/officeDocument/2006/relationships/hyperlink" Target="https://www.itu.int/ITU-T/recommendations/rec.aspx?id=14145" TargetMode="External"/><Relationship Id="rId83" Type="http://schemas.openxmlformats.org/officeDocument/2006/relationships/hyperlink" Target="https://www.itu.int/en/ITU-T/focusgroups/ai4ee/Pages/default.aspx" TargetMode="External"/><Relationship Id="rId88" Type="http://schemas.openxmlformats.org/officeDocument/2006/relationships/hyperlink" Target="https://www.itu.int/pub/D-STG-SG01" TargetMode="External"/><Relationship Id="rId91" Type="http://schemas.openxmlformats.org/officeDocument/2006/relationships/hyperlink" Target="https://academy.itu.int/index.php?option=com_content&amp;view=article&amp;id=154&amp;Itemid=588&amp;lang=en" TargetMode="External"/><Relationship Id="rId96" Type="http://schemas.openxmlformats.org/officeDocument/2006/relationships/hyperlink" Target="https://www.itu.int/md/S20-CL-C-0051/en"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en/council/Documents/basic-texts/RES-206-S.pdf" TargetMode="External"/><Relationship Id="rId23" Type="http://schemas.openxmlformats.org/officeDocument/2006/relationships/hyperlink" Target="https://www.itu.int/pub/T-RES-T.52-2016/es" TargetMode="External"/><Relationship Id="rId28" Type="http://schemas.openxmlformats.org/officeDocument/2006/relationships/hyperlink" Target="https://www.itu.int/pub/T-RES-T.75-2016/es" TargetMode="External"/><Relationship Id="rId36" Type="http://schemas.openxmlformats.org/officeDocument/2006/relationships/hyperlink" Target="https://www.itu.int/md/S17-CL-C-0033/en" TargetMode="External"/><Relationship Id="rId49" Type="http://schemas.openxmlformats.org/officeDocument/2006/relationships/hyperlink" Target="https://www.itu.int/ITU-T/recommendations/rec.aspx?id=14129" TargetMode="External"/><Relationship Id="rId57" Type="http://schemas.openxmlformats.org/officeDocument/2006/relationships/hyperlink" Target="file:///C:\Users\karyabwi\AppData\Local\Microsoft\Windows\INetCache\Content.Outlook\Y84KUO2J\Y.4459" TargetMode="External"/><Relationship Id="rId10" Type="http://schemas.openxmlformats.org/officeDocument/2006/relationships/image" Target="media/image1.jpeg"/><Relationship Id="rId31" Type="http://schemas.openxmlformats.org/officeDocument/2006/relationships/hyperlink" Target="http://www.itu.int/en/action/internet/Documents/Resolution_20_wtdc10.pdf" TargetMode="External"/><Relationship Id="rId44" Type="http://schemas.openxmlformats.org/officeDocument/2006/relationships/hyperlink" Target="https://www.itu.int/ITU-T/recommendations/rec.aspx?id=14111" TargetMode="External"/><Relationship Id="rId52" Type="http://schemas.openxmlformats.org/officeDocument/2006/relationships/hyperlink" Target="https://www.itu.int/ITU-T/recommendations/rec.aspx?id=14132" TargetMode="External"/><Relationship Id="rId60" Type="http://schemas.openxmlformats.org/officeDocument/2006/relationships/hyperlink" Target="https://www.itu.int/ITU-T/recommendations/rec.aspx?id=14166" TargetMode="External"/><Relationship Id="rId65" Type="http://schemas.openxmlformats.org/officeDocument/2006/relationships/hyperlink" Target="https://www.itu.int/ITU-T/recommendations/rec.aspx?id=14171" TargetMode="External"/><Relationship Id="rId73" Type="http://schemas.openxmlformats.org/officeDocument/2006/relationships/hyperlink" Target="https://www.itu.int/ITU-T/recommendations/rec.aspx?id=14143" TargetMode="External"/><Relationship Id="rId78" Type="http://schemas.openxmlformats.org/officeDocument/2006/relationships/hyperlink" Target="https://www.itu.int/en/ITU-T/focusgroups/Pages/default.aspx" TargetMode="External"/><Relationship Id="rId81" Type="http://schemas.openxmlformats.org/officeDocument/2006/relationships/hyperlink" Target="https://www.itu.int/en/ITU-T/focusgroups/ai4h" TargetMode="External"/><Relationship Id="rId86" Type="http://schemas.openxmlformats.org/officeDocument/2006/relationships/hyperlink" Target="https://www.itu.int/net/ITU-T/res69/Default.aspx" TargetMode="External"/><Relationship Id="rId94" Type="http://schemas.openxmlformats.org/officeDocument/2006/relationships/hyperlink" Target="https://www.itu.int/net4/ITU-D/CDS/sg/rgqlist.asp?lg=1&amp;sp=2014&amp;rgq=D14-SG01-RGQ01.1&amp;stg=1" TargetMode="External"/><Relationship Id="rId99" Type="http://schemas.openxmlformats.org/officeDocument/2006/relationships/hyperlink" Target="https://www.itu.int/itu-d/tnd-map/" TargetMode="External"/><Relationship Id="rId10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en/council/Documents/basic-texts/RES-133-S.pdf" TargetMode="External"/><Relationship Id="rId18" Type="http://schemas.openxmlformats.org/officeDocument/2006/relationships/hyperlink" Target="https://www.itu.int/md/S15-CL-C-0112/es" TargetMode="External"/><Relationship Id="rId39" Type="http://schemas.openxmlformats.org/officeDocument/2006/relationships/hyperlink" Target="https://www.itu.int/itu-t/workprog/wp_search.aspx?isn_sp=3925&amp;isn_status=-1,2&amp;adf=2019-08-17&amp;adt=2020-03-31&amp;pg_size=100&amp;details=0&amp;field=acdefghijo" TargetMode="External"/><Relationship Id="rId34" Type="http://schemas.openxmlformats.org/officeDocument/2006/relationships/hyperlink" Target="http://www.itu.int/en/action/internet/Documents/Resolution_45_wtdc14.pdf" TargetMode="External"/><Relationship Id="rId50" Type="http://schemas.openxmlformats.org/officeDocument/2006/relationships/hyperlink" Target="https://www.itu.int/ITU-T/recommendations/rec.aspx?id=14130" TargetMode="External"/><Relationship Id="rId55" Type="http://schemas.openxmlformats.org/officeDocument/2006/relationships/hyperlink" Target="https://www.itu.int/ITU-T/recommendations/rec.aspx?id=14162" TargetMode="External"/><Relationship Id="rId76" Type="http://schemas.openxmlformats.org/officeDocument/2006/relationships/hyperlink" Target="https://www.itu.int/ITU-T/recommendations/rec.aspx?id=13977" TargetMode="External"/><Relationship Id="rId97" Type="http://schemas.openxmlformats.org/officeDocument/2006/relationships/hyperlink" Target="http://www.itu.int/ITU-T/inr/enum/" TargetMode="External"/><Relationship Id="rId104"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itu.int/ITU-T/recommendations/rec.aspx?id=14125" TargetMode="External"/><Relationship Id="rId92" Type="http://schemas.openxmlformats.org/officeDocument/2006/relationships/hyperlink" Target="https://www.itu.int/en/ITU-T/ipv6/Pages/default.aspx" TargetMode="External"/><Relationship Id="rId2" Type="http://schemas.openxmlformats.org/officeDocument/2006/relationships/customXml" Target="../customXml/item2.xml"/><Relationship Id="rId29" Type="http://schemas.openxmlformats.org/officeDocument/2006/relationships/hyperlink" Target="https://www.itu.int/pub/T-RES-T.98-2016/es" TargetMode="External"/><Relationship Id="rId24" Type="http://schemas.openxmlformats.org/officeDocument/2006/relationships/hyperlink" Target="https://www.itu.int/pub/T-RES-T.58-2016/es" TargetMode="External"/><Relationship Id="rId40" Type="http://schemas.openxmlformats.org/officeDocument/2006/relationships/hyperlink" Target="https://news.itu.int/versatile-video-coding-project-starts-strongly/" TargetMode="External"/><Relationship Id="rId45" Type="http://schemas.openxmlformats.org/officeDocument/2006/relationships/hyperlink" Target="https://www.itu.int/ITU-T/recommendations/rec.aspx?id=14112" TargetMode="External"/><Relationship Id="rId66" Type="http://schemas.openxmlformats.org/officeDocument/2006/relationships/hyperlink" Target="https://www.itu.int/ITU-T/recommendations/rec.aspx?id=14172" TargetMode="External"/><Relationship Id="rId87" Type="http://schemas.openxmlformats.org/officeDocument/2006/relationships/hyperlink" Target="http://www.itu.int/itu-d/study-groups" TargetMode="External"/><Relationship Id="rId61" Type="http://schemas.openxmlformats.org/officeDocument/2006/relationships/hyperlink" Target="https://www.itu.int/ITU-T/recommendations/rec.aspx?id=14167" TargetMode="External"/><Relationship Id="rId82" Type="http://schemas.openxmlformats.org/officeDocument/2006/relationships/hyperlink" Target="https://www.itu.int/en/ITU-T/focusgroups/vm/Pages/default.aspx" TargetMode="External"/><Relationship Id="rId19" Type="http://schemas.openxmlformats.org/officeDocument/2006/relationships/hyperlink" Target="https://www.itu.int/pub/T-RES-T.47-2016/es" TargetMode="External"/><Relationship Id="rId14" Type="http://schemas.openxmlformats.org/officeDocument/2006/relationships/hyperlink" Target="https://www.itu.int/en/council/Documents/basic-texts/RES-180-S.pdf" TargetMode="External"/><Relationship Id="rId30" Type="http://schemas.openxmlformats.org/officeDocument/2006/relationships/hyperlink" Target="https://www.itu.int/md/D14-WTDC17-C-0115/es" TargetMode="External"/><Relationship Id="rId35" Type="http://schemas.openxmlformats.org/officeDocument/2006/relationships/hyperlink" Target="https://www.itu.int/md/S16-CL-C-0033/es" TargetMode="External"/><Relationship Id="rId56" Type="http://schemas.openxmlformats.org/officeDocument/2006/relationships/hyperlink" Target="https://www.itu.int/ITU-T/recommendations/rec.aspx?id=13863" TargetMode="External"/><Relationship Id="rId77" Type="http://schemas.openxmlformats.org/officeDocument/2006/relationships/hyperlink" Target="https://www.itu.int/md/S20-CL-C-0018/en" TargetMode="External"/><Relationship Id="rId100"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itu.int/ITU-T/recommendations/rec.aspx?id=14131" TargetMode="External"/><Relationship Id="rId72" Type="http://schemas.openxmlformats.org/officeDocument/2006/relationships/hyperlink" Target="https://www.itu.int/ITU-T/recommendations/rec.aspx?id=14141" TargetMode="External"/><Relationship Id="rId93" Type="http://schemas.openxmlformats.org/officeDocument/2006/relationships/hyperlink" Target="https://www.itu.int/pub/D-STG-SG01.01.1-2017" TargetMode="External"/><Relationship Id="rId98" Type="http://schemas.openxmlformats.org/officeDocument/2006/relationships/hyperlink" Target="https://www.itu.int/itu-d/tnd-map-public/" TargetMode="Externa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20-RCLINTPOL14-C-000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ano\AppData\Roaming\Microsoft\Templates\POOL%20S%20-%20ITU\PS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38F4433E584047A097BE66491F0F20" ma:contentTypeVersion="10" ma:contentTypeDescription="Create a new document." ma:contentTypeScope="" ma:versionID="fa8afc5d86603c1925ed271018c9909a">
  <xsd:schema xmlns:xsd="http://www.w3.org/2001/XMLSchema" xmlns:xs="http://www.w3.org/2001/XMLSchema" xmlns:p="http://schemas.microsoft.com/office/2006/metadata/properties" xmlns:ns3="8480b3bf-ff93-433f-9495-f8457f78f22f" targetNamespace="http://schemas.microsoft.com/office/2006/metadata/properties" ma:root="true" ma:fieldsID="945714bf9aca0f2ad10803486a386f4a" ns3:_="">
    <xsd:import namespace="8480b3bf-ff93-433f-9495-f8457f78f22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0b3bf-ff93-433f-9495-f8457f78f2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0DD416-CC8B-4931-B273-C3CC881AC5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0b3bf-ff93-433f-9495-f8457f78f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98382A-38A4-4BA0-AA28-CA898670E835}">
  <ds:schemaRefs>
    <ds:schemaRef ds:uri="http://schemas.microsoft.com/sharepoint/v3/contenttype/forms"/>
  </ds:schemaRefs>
</ds:datastoreItem>
</file>

<file path=customXml/itemProps3.xml><?xml version="1.0" encoding="utf-8"?>
<ds:datastoreItem xmlns:ds="http://schemas.openxmlformats.org/officeDocument/2006/customXml" ds:itemID="{C260F616-5A0E-4406-B7C6-F0A24005EB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PS_C20.dotx</Template>
  <TotalTime>1</TotalTime>
  <Pages>7</Pages>
  <Words>3280</Words>
  <Characters>23846</Characters>
  <Application>Microsoft Office Word</Application>
  <DocSecurity>4</DocSecurity>
  <Lines>198</Lines>
  <Paragraphs>54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27072</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Actividades de la UIT en el ámbito de Internet: Resoluciones 101, 102, 133, 180 y 206</dc:title>
  <dc:subject>Consejo 2020</dc:subject>
  <dc:creator>Spanish</dc:creator>
  <cp:keywords>C2020, C20</cp:keywords>
  <dc:description/>
  <cp:lastModifiedBy>Brouard, Ricarda</cp:lastModifiedBy>
  <cp:revision>2</cp:revision>
  <cp:lastPrinted>2020-05-27T07:27:00Z</cp:lastPrinted>
  <dcterms:created xsi:type="dcterms:W3CDTF">2020-05-28T11:16:00Z</dcterms:created>
  <dcterms:modified xsi:type="dcterms:W3CDTF">2020-05-28T11:16:00Z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y fmtid="{D5CDD505-2E9C-101B-9397-08002B2CF9AE}" pid="8" name="ContentTypeId">
    <vt:lpwstr>0x010100B638F4433E584047A097BE66491F0F20</vt:lpwstr>
  </property>
</Properties>
</file>