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07633" w14:paraId="65692BB8" w14:textId="77777777">
        <w:trPr>
          <w:cantSplit/>
        </w:trPr>
        <w:tc>
          <w:tcPr>
            <w:tcW w:w="6912" w:type="dxa"/>
          </w:tcPr>
          <w:p w14:paraId="67E3AD93" w14:textId="77777777" w:rsidR="00520F36" w:rsidRPr="00607633" w:rsidRDefault="00520F36" w:rsidP="0077196B">
            <w:pPr>
              <w:spacing w:before="360"/>
            </w:pPr>
            <w:bookmarkStart w:id="0" w:name="dc06"/>
            <w:bookmarkEnd w:id="0"/>
            <w:r w:rsidRPr="00607633">
              <w:rPr>
                <w:b/>
                <w:bCs/>
                <w:sz w:val="30"/>
                <w:szCs w:val="30"/>
              </w:rPr>
              <w:t>Conseil 20</w:t>
            </w:r>
            <w:r w:rsidR="009C353C" w:rsidRPr="00607633">
              <w:rPr>
                <w:b/>
                <w:bCs/>
                <w:sz w:val="30"/>
                <w:szCs w:val="30"/>
              </w:rPr>
              <w:t>20</w:t>
            </w:r>
            <w:r w:rsidRPr="00607633">
              <w:rPr>
                <w:rFonts w:ascii="Verdana" w:hAnsi="Verdana"/>
                <w:b/>
                <w:bCs/>
                <w:sz w:val="26"/>
                <w:szCs w:val="26"/>
              </w:rPr>
              <w:br/>
            </w:r>
            <w:r w:rsidRPr="00607633">
              <w:rPr>
                <w:b/>
                <w:bCs/>
                <w:szCs w:val="24"/>
              </w:rPr>
              <w:t xml:space="preserve">Genève, </w:t>
            </w:r>
            <w:r w:rsidR="009C353C" w:rsidRPr="00607633">
              <w:rPr>
                <w:b/>
                <w:bCs/>
                <w:szCs w:val="24"/>
              </w:rPr>
              <w:t>9</w:t>
            </w:r>
            <w:r w:rsidRPr="00607633">
              <w:rPr>
                <w:b/>
                <w:bCs/>
                <w:szCs w:val="24"/>
              </w:rPr>
              <w:t>-</w:t>
            </w:r>
            <w:r w:rsidR="009C353C" w:rsidRPr="00607633">
              <w:rPr>
                <w:b/>
                <w:bCs/>
                <w:szCs w:val="24"/>
              </w:rPr>
              <w:t>19</w:t>
            </w:r>
            <w:r w:rsidR="00106B19" w:rsidRPr="00607633">
              <w:rPr>
                <w:b/>
                <w:bCs/>
                <w:szCs w:val="24"/>
              </w:rPr>
              <w:t xml:space="preserve"> juin</w:t>
            </w:r>
            <w:r w:rsidRPr="00607633">
              <w:rPr>
                <w:b/>
                <w:bCs/>
                <w:szCs w:val="24"/>
              </w:rPr>
              <w:t xml:space="preserve"> 20</w:t>
            </w:r>
            <w:r w:rsidR="009C353C" w:rsidRPr="00607633">
              <w:rPr>
                <w:b/>
                <w:bCs/>
                <w:szCs w:val="24"/>
              </w:rPr>
              <w:t>20</w:t>
            </w:r>
          </w:p>
        </w:tc>
        <w:tc>
          <w:tcPr>
            <w:tcW w:w="3261" w:type="dxa"/>
          </w:tcPr>
          <w:p w14:paraId="2486E0C2" w14:textId="77777777" w:rsidR="00520F36" w:rsidRPr="00607633" w:rsidRDefault="009C353C" w:rsidP="0077196B">
            <w:pPr>
              <w:spacing w:before="0"/>
            </w:pPr>
            <w:bookmarkStart w:id="1" w:name="ditulogo"/>
            <w:bookmarkEnd w:id="1"/>
            <w:r w:rsidRPr="00607633">
              <w:rPr>
                <w:noProof/>
                <w:lang w:eastAsia="zh-CN"/>
              </w:rPr>
              <w:drawing>
                <wp:inline distT="0" distB="0" distL="0" distR="0" wp14:anchorId="56FF9E09" wp14:editId="275E99A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07633" w14:paraId="2CF1B8FB" w14:textId="77777777" w:rsidTr="00F906E8">
        <w:trPr>
          <w:cantSplit/>
          <w:trHeight w:val="20"/>
        </w:trPr>
        <w:tc>
          <w:tcPr>
            <w:tcW w:w="6912" w:type="dxa"/>
            <w:tcBorders>
              <w:bottom w:val="single" w:sz="12" w:space="0" w:color="auto"/>
            </w:tcBorders>
            <w:vAlign w:val="center"/>
          </w:tcPr>
          <w:p w14:paraId="0EBF295C" w14:textId="77777777" w:rsidR="00520F36" w:rsidRPr="00607633" w:rsidRDefault="00520F36" w:rsidP="0077196B">
            <w:pPr>
              <w:spacing w:before="0"/>
              <w:rPr>
                <w:b/>
                <w:bCs/>
                <w:sz w:val="26"/>
                <w:szCs w:val="26"/>
              </w:rPr>
            </w:pPr>
          </w:p>
        </w:tc>
        <w:tc>
          <w:tcPr>
            <w:tcW w:w="3261" w:type="dxa"/>
            <w:tcBorders>
              <w:bottom w:val="single" w:sz="12" w:space="0" w:color="auto"/>
            </w:tcBorders>
          </w:tcPr>
          <w:p w14:paraId="56A25708" w14:textId="77777777" w:rsidR="00520F36" w:rsidRPr="00607633" w:rsidRDefault="00520F36" w:rsidP="0077196B">
            <w:pPr>
              <w:spacing w:before="0"/>
              <w:rPr>
                <w:b/>
                <w:bCs/>
              </w:rPr>
            </w:pPr>
          </w:p>
        </w:tc>
      </w:tr>
      <w:tr w:rsidR="00520F36" w:rsidRPr="00607633" w14:paraId="2EEFC8F8" w14:textId="77777777">
        <w:trPr>
          <w:cantSplit/>
          <w:trHeight w:val="20"/>
        </w:trPr>
        <w:tc>
          <w:tcPr>
            <w:tcW w:w="6912" w:type="dxa"/>
            <w:tcBorders>
              <w:top w:val="single" w:sz="12" w:space="0" w:color="auto"/>
            </w:tcBorders>
          </w:tcPr>
          <w:p w14:paraId="50523E50" w14:textId="77777777" w:rsidR="00520F36" w:rsidRPr="00607633" w:rsidRDefault="00520F36" w:rsidP="0077196B">
            <w:pPr>
              <w:spacing w:before="0"/>
              <w:rPr>
                <w:smallCaps/>
                <w:sz w:val="22"/>
              </w:rPr>
            </w:pPr>
          </w:p>
        </w:tc>
        <w:tc>
          <w:tcPr>
            <w:tcW w:w="3261" w:type="dxa"/>
            <w:tcBorders>
              <w:top w:val="single" w:sz="12" w:space="0" w:color="auto"/>
            </w:tcBorders>
          </w:tcPr>
          <w:p w14:paraId="7E2D67B0" w14:textId="77777777" w:rsidR="00520F36" w:rsidRPr="00607633" w:rsidRDefault="00520F36" w:rsidP="0077196B">
            <w:pPr>
              <w:spacing w:before="0"/>
              <w:rPr>
                <w:b/>
                <w:bCs/>
              </w:rPr>
            </w:pPr>
          </w:p>
        </w:tc>
      </w:tr>
      <w:tr w:rsidR="0014254C" w:rsidRPr="00607633" w14:paraId="33241135" w14:textId="77777777">
        <w:trPr>
          <w:cantSplit/>
          <w:trHeight w:val="20"/>
        </w:trPr>
        <w:tc>
          <w:tcPr>
            <w:tcW w:w="6912" w:type="dxa"/>
            <w:vMerge w:val="restart"/>
          </w:tcPr>
          <w:p w14:paraId="3FFD99A7" w14:textId="734E5362" w:rsidR="0014254C" w:rsidRPr="00607633" w:rsidRDefault="0014254C" w:rsidP="0077196B">
            <w:pPr>
              <w:spacing w:before="0"/>
              <w:rPr>
                <w:rFonts w:cs="Times"/>
                <w:b/>
                <w:bCs/>
                <w:szCs w:val="24"/>
              </w:rPr>
            </w:pPr>
            <w:bookmarkStart w:id="2" w:name="dnum" w:colFirst="1" w:colLast="1"/>
            <w:bookmarkStart w:id="3" w:name="dmeeting" w:colFirst="0" w:colLast="0"/>
            <w:r w:rsidRPr="00607633">
              <w:rPr>
                <w:rFonts w:cs="Times"/>
                <w:b/>
                <w:bCs/>
                <w:szCs w:val="24"/>
              </w:rPr>
              <w:t>Point de l'ordre du jour: PL 1.3</w:t>
            </w:r>
          </w:p>
        </w:tc>
        <w:tc>
          <w:tcPr>
            <w:tcW w:w="3261" w:type="dxa"/>
          </w:tcPr>
          <w:p w14:paraId="7EFC610C" w14:textId="4DFDDF3A" w:rsidR="0014254C" w:rsidRPr="00607633" w:rsidRDefault="0014254C" w:rsidP="0077196B">
            <w:pPr>
              <w:spacing w:before="0"/>
              <w:rPr>
                <w:b/>
                <w:bCs/>
              </w:rPr>
            </w:pPr>
            <w:r w:rsidRPr="00607633">
              <w:rPr>
                <w:b/>
                <w:bCs/>
              </w:rPr>
              <w:t>Document C20/33-F</w:t>
            </w:r>
          </w:p>
        </w:tc>
      </w:tr>
      <w:tr w:rsidR="0014254C" w:rsidRPr="00607633" w14:paraId="5DB849FC" w14:textId="77777777">
        <w:trPr>
          <w:cantSplit/>
          <w:trHeight w:val="20"/>
        </w:trPr>
        <w:tc>
          <w:tcPr>
            <w:tcW w:w="6912" w:type="dxa"/>
            <w:vMerge/>
          </w:tcPr>
          <w:p w14:paraId="09B4DDDF" w14:textId="77777777" w:rsidR="0014254C" w:rsidRPr="00607633" w:rsidRDefault="0014254C" w:rsidP="0077196B">
            <w:pPr>
              <w:shd w:val="solid" w:color="FFFFFF" w:fill="FFFFFF"/>
              <w:spacing w:before="180"/>
              <w:rPr>
                <w:smallCaps/>
              </w:rPr>
            </w:pPr>
            <w:bookmarkStart w:id="4" w:name="ddate" w:colFirst="1" w:colLast="1"/>
            <w:bookmarkEnd w:id="2"/>
            <w:bookmarkEnd w:id="3"/>
          </w:p>
        </w:tc>
        <w:tc>
          <w:tcPr>
            <w:tcW w:w="3261" w:type="dxa"/>
          </w:tcPr>
          <w:p w14:paraId="7AB06FA7" w14:textId="7300754F" w:rsidR="0014254C" w:rsidRPr="00607633" w:rsidRDefault="0014254C" w:rsidP="0077196B">
            <w:pPr>
              <w:spacing w:before="0"/>
              <w:rPr>
                <w:b/>
                <w:bCs/>
              </w:rPr>
            </w:pPr>
            <w:r w:rsidRPr="00607633">
              <w:rPr>
                <w:b/>
                <w:bCs/>
              </w:rPr>
              <w:t>30 mars 2020</w:t>
            </w:r>
          </w:p>
        </w:tc>
      </w:tr>
      <w:tr w:rsidR="0014254C" w:rsidRPr="00607633" w14:paraId="6ADE33DC" w14:textId="77777777">
        <w:trPr>
          <w:cantSplit/>
          <w:trHeight w:val="20"/>
        </w:trPr>
        <w:tc>
          <w:tcPr>
            <w:tcW w:w="6912" w:type="dxa"/>
            <w:vMerge/>
          </w:tcPr>
          <w:p w14:paraId="01FB2D2E" w14:textId="77777777" w:rsidR="0014254C" w:rsidRPr="00607633" w:rsidRDefault="0014254C" w:rsidP="0077196B">
            <w:pPr>
              <w:shd w:val="solid" w:color="FFFFFF" w:fill="FFFFFF"/>
              <w:spacing w:before="180"/>
              <w:rPr>
                <w:smallCaps/>
              </w:rPr>
            </w:pPr>
            <w:bookmarkStart w:id="5" w:name="dorlang" w:colFirst="1" w:colLast="1"/>
            <w:bookmarkEnd w:id="4"/>
          </w:p>
        </w:tc>
        <w:tc>
          <w:tcPr>
            <w:tcW w:w="3261" w:type="dxa"/>
          </w:tcPr>
          <w:p w14:paraId="1C00EF04" w14:textId="77777777" w:rsidR="0014254C" w:rsidRPr="00607633" w:rsidRDefault="0014254C" w:rsidP="0077196B">
            <w:pPr>
              <w:spacing w:before="0"/>
              <w:rPr>
                <w:b/>
                <w:bCs/>
              </w:rPr>
            </w:pPr>
            <w:r w:rsidRPr="00607633">
              <w:rPr>
                <w:b/>
                <w:bCs/>
              </w:rPr>
              <w:t>Original: anglais</w:t>
            </w:r>
          </w:p>
        </w:tc>
      </w:tr>
      <w:tr w:rsidR="0014254C" w:rsidRPr="00607633" w14:paraId="4CFCD407" w14:textId="77777777">
        <w:trPr>
          <w:cantSplit/>
        </w:trPr>
        <w:tc>
          <w:tcPr>
            <w:tcW w:w="10173" w:type="dxa"/>
            <w:gridSpan w:val="2"/>
          </w:tcPr>
          <w:p w14:paraId="697873BC" w14:textId="14744105" w:rsidR="0014254C" w:rsidRPr="00607633" w:rsidRDefault="0014254C" w:rsidP="00AB458D">
            <w:pPr>
              <w:pStyle w:val="Source"/>
              <w:spacing w:before="200"/>
            </w:pPr>
            <w:bookmarkStart w:id="6" w:name="dsource" w:colFirst="0" w:colLast="0"/>
            <w:bookmarkEnd w:id="5"/>
            <w:r w:rsidRPr="00607633">
              <w:t>Rapport du Secrétaire général</w:t>
            </w:r>
          </w:p>
        </w:tc>
      </w:tr>
      <w:tr w:rsidR="0014254C" w:rsidRPr="00607633" w14:paraId="492F824C" w14:textId="77777777">
        <w:trPr>
          <w:cantSplit/>
        </w:trPr>
        <w:tc>
          <w:tcPr>
            <w:tcW w:w="10173" w:type="dxa"/>
            <w:gridSpan w:val="2"/>
          </w:tcPr>
          <w:p w14:paraId="1A5EFD7E" w14:textId="6ACE34DC" w:rsidR="0014254C" w:rsidRPr="00607633" w:rsidRDefault="0014254C" w:rsidP="0077196B">
            <w:pPr>
              <w:pStyle w:val="Title1"/>
            </w:pPr>
            <w:bookmarkStart w:id="7" w:name="dtitle1" w:colFirst="0" w:colLast="0"/>
            <w:bookmarkEnd w:id="6"/>
            <w:r w:rsidRPr="00607633">
              <w:t xml:space="preserve">ACTIVITÉS DE L'UIT RELATIVES </w:t>
            </w:r>
            <w:r w:rsidR="00D87074" w:rsidRPr="00607633">
              <w:t>À</w:t>
            </w:r>
            <w:r w:rsidRPr="00607633">
              <w:t xml:space="preserve"> L'INTERNET: </w:t>
            </w:r>
            <w:r w:rsidR="009D68EC">
              <w:br/>
            </w:r>
            <w:r w:rsidRPr="00607633">
              <w:t>RÉSOLUTIONS 101, 102, 133, 180 et 206</w:t>
            </w:r>
          </w:p>
        </w:tc>
      </w:tr>
    </w:tbl>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20F36" w:rsidRPr="00607633" w14:paraId="4D566D33" w14:textId="77777777" w:rsidTr="00AB458D">
        <w:trPr>
          <w:trHeight w:val="3372"/>
        </w:trPr>
        <w:tc>
          <w:tcPr>
            <w:tcW w:w="9072" w:type="dxa"/>
            <w:tcBorders>
              <w:top w:val="single" w:sz="12" w:space="0" w:color="auto"/>
              <w:left w:val="single" w:sz="12" w:space="0" w:color="auto"/>
              <w:bottom w:val="single" w:sz="12" w:space="0" w:color="auto"/>
              <w:right w:val="single" w:sz="12" w:space="0" w:color="auto"/>
            </w:tcBorders>
          </w:tcPr>
          <w:bookmarkEnd w:id="7"/>
          <w:p w14:paraId="10EE4339" w14:textId="77777777" w:rsidR="00520F36" w:rsidRPr="00AB458D" w:rsidRDefault="00520F36" w:rsidP="0077196B">
            <w:pPr>
              <w:pStyle w:val="Headingb"/>
            </w:pPr>
            <w:r w:rsidRPr="00AB458D">
              <w:t>Résumé</w:t>
            </w:r>
          </w:p>
          <w:p w14:paraId="1F959DCD" w14:textId="0DC15715" w:rsidR="00520F36" w:rsidRPr="00AB458D" w:rsidRDefault="0014254C" w:rsidP="00AB458D">
            <w:pPr>
              <w:spacing w:before="60"/>
            </w:pPr>
            <w:r w:rsidRPr="00AB458D">
              <w:t xml:space="preserve">Le présent rapport est une synthèse des activités de l'UIT relatives à la Résolution 101 (Rév. Dubaï, 2018) "Réseaux fondés sur le protocole Internet", à la Résolution 102 (Rév. Dubaï, 2018) "Rôle de l'UIT concernant les questions de politiques publiques internationales ayant trait à l'Internet et à la gestion des ressources de l'Internet, y compris les noms de domaine et les adresses", à la Résolution 133 (Rév. Dubaï, 2018) "Rôle des administrations des </w:t>
            </w:r>
            <w:r w:rsidR="00607633" w:rsidRPr="00AB458D">
              <w:t>États</w:t>
            </w:r>
            <w:r w:rsidRPr="00AB458D">
              <w:t xml:space="preserve"> Membres dans la gestion de noms de domaine (multilingues) internationalisés", à la Résolution 180 (Rév. Dubaï, 2018) "</w:t>
            </w:r>
            <w:r w:rsidRPr="00AB458D">
              <w:rPr>
                <w:bCs/>
              </w:rPr>
              <w:t xml:space="preserve">Faciliter le passage du protocole IPv4 au protocole IPv6" </w:t>
            </w:r>
            <w:r w:rsidR="00D87074" w:rsidRPr="00AB458D">
              <w:rPr>
                <w:bCs/>
              </w:rPr>
              <w:t xml:space="preserve">et à la Résolution 206 (Dubaï, 2018) "OTT" </w:t>
            </w:r>
            <w:r w:rsidRPr="00AB458D">
              <w:t>de la Conférence de plénipotentiaires</w:t>
            </w:r>
            <w:r w:rsidR="00D87074" w:rsidRPr="00AB458D">
              <w:t>.</w:t>
            </w:r>
          </w:p>
          <w:p w14:paraId="49D38EE0" w14:textId="77777777" w:rsidR="00520F36" w:rsidRPr="00AB458D" w:rsidRDefault="00520F36" w:rsidP="0077196B">
            <w:pPr>
              <w:pStyle w:val="Headingb"/>
            </w:pPr>
            <w:r w:rsidRPr="00AB458D">
              <w:t>Suite à donner</w:t>
            </w:r>
          </w:p>
          <w:p w14:paraId="541CF334" w14:textId="3B19F81D" w:rsidR="00520F36" w:rsidRPr="00AB458D" w:rsidRDefault="0014254C" w:rsidP="00AB458D">
            <w:pPr>
              <w:spacing w:before="60"/>
            </w:pPr>
            <w:r w:rsidRPr="00AB458D">
              <w:t xml:space="preserve">Le Conseil est invité à </w:t>
            </w:r>
            <w:r w:rsidRPr="00AB458D">
              <w:rPr>
                <w:b/>
                <w:bCs/>
              </w:rPr>
              <w:t>prendre note</w:t>
            </w:r>
            <w:r w:rsidRPr="00AB458D">
              <w:t xml:space="preserve"> du présent rapport. Il est également invité à </w:t>
            </w:r>
            <w:r w:rsidRPr="00AB458D">
              <w:rPr>
                <w:b/>
                <w:bCs/>
              </w:rPr>
              <w:t>approuver</w:t>
            </w:r>
            <w:r w:rsidRPr="00AB458D">
              <w:t xml:space="preserve"> la transmission du rapport, ainsi que de la compilation des points de vue d'</w:t>
            </w:r>
            <w:r w:rsidR="00607633" w:rsidRPr="00AB458D">
              <w:t>États</w:t>
            </w:r>
            <w:r w:rsidRPr="00AB458D">
              <w:t xml:space="preserve"> Membres du Conseil, des comptes rendus connexes et de la note de couverture, au Secrétaire général de l'Organisation des Nations Unies.</w:t>
            </w:r>
          </w:p>
          <w:p w14:paraId="75AAE4D5" w14:textId="77777777" w:rsidR="00520F36" w:rsidRPr="00607633" w:rsidRDefault="00520F36" w:rsidP="0077196B">
            <w:pPr>
              <w:pStyle w:val="Table"/>
              <w:keepNext w:val="0"/>
              <w:spacing w:before="0" w:after="0"/>
              <w:rPr>
                <w:rFonts w:ascii="Calibri" w:hAnsi="Calibri"/>
                <w:caps w:val="0"/>
                <w:sz w:val="22"/>
                <w:lang w:val="fr-FR"/>
              </w:rPr>
            </w:pPr>
            <w:r w:rsidRPr="00607633">
              <w:rPr>
                <w:rFonts w:ascii="Calibri" w:hAnsi="Calibri"/>
                <w:caps w:val="0"/>
                <w:sz w:val="22"/>
                <w:lang w:val="fr-FR"/>
              </w:rPr>
              <w:t>____________</w:t>
            </w:r>
          </w:p>
          <w:p w14:paraId="3819C281" w14:textId="77777777" w:rsidR="00520F36" w:rsidRPr="00607633" w:rsidRDefault="00520F36" w:rsidP="0077196B">
            <w:pPr>
              <w:pStyle w:val="Headingb"/>
            </w:pPr>
            <w:r w:rsidRPr="00607633">
              <w:t>Références</w:t>
            </w:r>
          </w:p>
          <w:p w14:paraId="0A67DB58" w14:textId="5017348C" w:rsidR="00520F36" w:rsidRPr="00607633" w:rsidRDefault="0014254C" w:rsidP="0077196B">
            <w:pPr>
              <w:spacing w:after="120"/>
              <w:rPr>
                <w:i/>
                <w:iCs/>
              </w:rPr>
            </w:pPr>
            <w:r w:rsidRPr="00AB458D">
              <w:rPr>
                <w:i/>
                <w:iCs/>
                <w:sz w:val="20"/>
                <w:szCs w:val="16"/>
              </w:rPr>
              <w:t xml:space="preserve">Résolutions </w:t>
            </w:r>
            <w:hyperlink r:id="rId8" w:history="1">
              <w:r w:rsidRPr="00AB458D">
                <w:rPr>
                  <w:rStyle w:val="Hyperlink"/>
                  <w:i/>
                  <w:iCs/>
                  <w:sz w:val="20"/>
                  <w:szCs w:val="16"/>
                </w:rPr>
                <w:t>101</w:t>
              </w:r>
            </w:hyperlink>
            <w:r w:rsidRPr="00AB458D">
              <w:rPr>
                <w:i/>
                <w:iCs/>
                <w:sz w:val="20"/>
                <w:szCs w:val="16"/>
              </w:rPr>
              <w:t xml:space="preserve">, </w:t>
            </w:r>
            <w:hyperlink r:id="rId9" w:history="1">
              <w:r w:rsidRPr="00AB458D">
                <w:rPr>
                  <w:rStyle w:val="Hyperlink"/>
                  <w:i/>
                  <w:iCs/>
                  <w:sz w:val="20"/>
                  <w:szCs w:val="16"/>
                </w:rPr>
                <w:t>102</w:t>
              </w:r>
            </w:hyperlink>
            <w:r w:rsidRPr="00AB458D">
              <w:rPr>
                <w:i/>
                <w:iCs/>
                <w:sz w:val="20"/>
                <w:szCs w:val="16"/>
              </w:rPr>
              <w:t xml:space="preserve">, </w:t>
            </w:r>
            <w:hyperlink r:id="rId10" w:history="1">
              <w:r w:rsidRPr="00AB458D">
                <w:rPr>
                  <w:rStyle w:val="Hyperlink"/>
                  <w:i/>
                  <w:iCs/>
                  <w:sz w:val="20"/>
                  <w:szCs w:val="16"/>
                </w:rPr>
                <w:t>133</w:t>
              </w:r>
            </w:hyperlink>
            <w:r w:rsidRPr="00AB458D">
              <w:rPr>
                <w:i/>
                <w:iCs/>
                <w:sz w:val="20"/>
                <w:szCs w:val="16"/>
              </w:rPr>
              <w:t xml:space="preserve">, </w:t>
            </w:r>
            <w:hyperlink r:id="rId11" w:history="1">
              <w:r w:rsidRPr="00AB458D">
                <w:rPr>
                  <w:rStyle w:val="Hyperlink"/>
                  <w:i/>
                  <w:iCs/>
                  <w:sz w:val="20"/>
                  <w:szCs w:val="16"/>
                </w:rPr>
                <w:t>180</w:t>
              </w:r>
            </w:hyperlink>
            <w:r w:rsidRPr="00AB458D">
              <w:rPr>
                <w:i/>
                <w:iCs/>
                <w:sz w:val="20"/>
                <w:szCs w:val="16"/>
              </w:rPr>
              <w:t xml:space="preserve"> (Rév. Dubaï, 2018), </w:t>
            </w:r>
            <w:hyperlink r:id="rId12" w:history="1">
              <w:r w:rsidRPr="00AB458D">
                <w:rPr>
                  <w:rStyle w:val="Hyperlink"/>
                  <w:i/>
                  <w:iCs/>
                  <w:sz w:val="20"/>
                  <w:szCs w:val="16"/>
                </w:rPr>
                <w:t>206</w:t>
              </w:r>
            </w:hyperlink>
            <w:r w:rsidRPr="00AB458D">
              <w:rPr>
                <w:i/>
                <w:iCs/>
                <w:sz w:val="20"/>
                <w:szCs w:val="16"/>
              </w:rPr>
              <w:t xml:space="preserve"> (Dubaï, 2018) de la Conférence de plénipotentiaires; Résolutions </w:t>
            </w:r>
            <w:hyperlink r:id="rId13" w:history="1">
              <w:r w:rsidRPr="00AB458D">
                <w:rPr>
                  <w:rStyle w:val="Hyperlink"/>
                  <w:i/>
                  <w:iCs/>
                  <w:sz w:val="20"/>
                  <w:szCs w:val="16"/>
                </w:rPr>
                <w:t>1305</w:t>
              </w:r>
            </w:hyperlink>
            <w:r w:rsidRPr="00AB458D">
              <w:rPr>
                <w:i/>
                <w:iCs/>
                <w:sz w:val="20"/>
                <w:szCs w:val="16"/>
              </w:rPr>
              <w:t xml:space="preserve"> (2009), </w:t>
            </w:r>
            <w:hyperlink r:id="rId14" w:history="1">
              <w:r w:rsidRPr="00AB458D">
                <w:rPr>
                  <w:rStyle w:val="Hyperlink"/>
                  <w:i/>
                  <w:iCs/>
                  <w:sz w:val="20"/>
                  <w:szCs w:val="16"/>
                </w:rPr>
                <w:t>1336</w:t>
              </w:r>
            </w:hyperlink>
            <w:r w:rsidRPr="00AB458D">
              <w:rPr>
                <w:i/>
                <w:iCs/>
                <w:sz w:val="20"/>
                <w:szCs w:val="16"/>
              </w:rPr>
              <w:t xml:space="preserve"> (modifiée en</w:t>
            </w:r>
            <w:r w:rsidR="00C43D30" w:rsidRPr="00AB458D">
              <w:rPr>
                <w:i/>
                <w:iCs/>
                <w:sz w:val="20"/>
                <w:szCs w:val="16"/>
              </w:rPr>
              <w:t> </w:t>
            </w:r>
            <w:r w:rsidRPr="00AB458D">
              <w:rPr>
                <w:i/>
                <w:iCs/>
                <w:sz w:val="20"/>
                <w:szCs w:val="16"/>
              </w:rPr>
              <w:t xml:space="preserve">2015), </w:t>
            </w:r>
            <w:hyperlink r:id="rId15" w:history="1">
              <w:r w:rsidRPr="00AB458D">
                <w:rPr>
                  <w:rStyle w:val="Hyperlink"/>
                  <w:i/>
                  <w:iCs/>
                  <w:sz w:val="20"/>
                  <w:szCs w:val="16"/>
                </w:rPr>
                <w:t>1344</w:t>
              </w:r>
            </w:hyperlink>
            <w:r w:rsidRPr="00AB458D">
              <w:rPr>
                <w:i/>
                <w:iCs/>
                <w:sz w:val="20"/>
                <w:szCs w:val="16"/>
              </w:rPr>
              <w:t xml:space="preserve"> (modifiée en 2015) du Conseil; Résolutions </w:t>
            </w:r>
            <w:hyperlink r:id="rId16" w:history="1">
              <w:r w:rsidRPr="00AB458D">
                <w:rPr>
                  <w:rStyle w:val="Hyperlink"/>
                  <w:i/>
                  <w:iCs/>
                  <w:sz w:val="20"/>
                  <w:szCs w:val="16"/>
                </w:rPr>
                <w:t>47</w:t>
              </w:r>
            </w:hyperlink>
            <w:r w:rsidRPr="00AB458D">
              <w:rPr>
                <w:i/>
                <w:iCs/>
                <w:sz w:val="20"/>
                <w:szCs w:val="16"/>
              </w:rPr>
              <w:t xml:space="preserve">, </w:t>
            </w:r>
            <w:hyperlink r:id="rId17" w:history="1">
              <w:r w:rsidRPr="00AB458D">
                <w:rPr>
                  <w:rStyle w:val="Hyperlink"/>
                  <w:i/>
                  <w:iCs/>
                  <w:sz w:val="20"/>
                  <w:szCs w:val="16"/>
                </w:rPr>
                <w:t>48</w:t>
              </w:r>
            </w:hyperlink>
            <w:r w:rsidRPr="00AB458D">
              <w:rPr>
                <w:i/>
                <w:iCs/>
                <w:sz w:val="20"/>
                <w:szCs w:val="16"/>
              </w:rPr>
              <w:t xml:space="preserve"> (Rév.</w:t>
            </w:r>
            <w:r w:rsidR="00426296" w:rsidRPr="00AB458D">
              <w:rPr>
                <w:i/>
                <w:iCs/>
                <w:sz w:val="20"/>
                <w:szCs w:val="16"/>
              </w:rPr>
              <w:t xml:space="preserve"> </w:t>
            </w:r>
            <w:r w:rsidRPr="00AB458D">
              <w:rPr>
                <w:i/>
                <w:iCs/>
                <w:sz w:val="20"/>
                <w:szCs w:val="16"/>
              </w:rPr>
              <w:t>Dubaï,</w:t>
            </w:r>
            <w:r w:rsidR="00C43D30" w:rsidRPr="00AB458D">
              <w:rPr>
                <w:i/>
                <w:iCs/>
                <w:sz w:val="20"/>
                <w:szCs w:val="16"/>
              </w:rPr>
              <w:t> </w:t>
            </w:r>
            <w:r w:rsidRPr="00AB458D">
              <w:rPr>
                <w:i/>
                <w:iCs/>
                <w:sz w:val="20"/>
                <w:szCs w:val="16"/>
              </w:rPr>
              <w:t xml:space="preserve">2012) </w:t>
            </w:r>
            <w:hyperlink r:id="rId18" w:history="1">
              <w:r w:rsidRPr="00AB458D">
                <w:rPr>
                  <w:rStyle w:val="Hyperlink"/>
                  <w:i/>
                  <w:iCs/>
                  <w:sz w:val="20"/>
                  <w:szCs w:val="16"/>
                </w:rPr>
                <w:t>49</w:t>
              </w:r>
            </w:hyperlink>
            <w:r w:rsidRPr="00AB458D">
              <w:rPr>
                <w:i/>
                <w:iCs/>
                <w:sz w:val="20"/>
                <w:szCs w:val="16"/>
              </w:rPr>
              <w:t xml:space="preserve">, </w:t>
            </w:r>
            <w:hyperlink r:id="rId19" w:history="1">
              <w:r w:rsidRPr="00AB458D">
                <w:rPr>
                  <w:rStyle w:val="Hyperlink"/>
                  <w:i/>
                  <w:iCs/>
                  <w:sz w:val="20"/>
                  <w:szCs w:val="16"/>
                </w:rPr>
                <w:t>50</w:t>
              </w:r>
            </w:hyperlink>
            <w:r w:rsidRPr="00AB458D">
              <w:rPr>
                <w:i/>
                <w:iCs/>
                <w:sz w:val="20"/>
                <w:szCs w:val="16"/>
              </w:rPr>
              <w:t xml:space="preserve">, </w:t>
            </w:r>
            <w:hyperlink r:id="rId20" w:history="1">
              <w:r w:rsidRPr="00AB458D">
                <w:rPr>
                  <w:rStyle w:val="Hyperlink"/>
                  <w:i/>
                  <w:iCs/>
                  <w:sz w:val="20"/>
                  <w:szCs w:val="16"/>
                </w:rPr>
                <w:t>52</w:t>
              </w:r>
            </w:hyperlink>
            <w:r w:rsidRPr="00AB458D">
              <w:rPr>
                <w:i/>
                <w:iCs/>
                <w:sz w:val="20"/>
                <w:szCs w:val="16"/>
              </w:rPr>
              <w:t xml:space="preserve"> (Rév.</w:t>
            </w:r>
            <w:r w:rsidR="00426296" w:rsidRPr="00AB458D">
              <w:rPr>
                <w:i/>
                <w:iCs/>
                <w:sz w:val="20"/>
                <w:szCs w:val="16"/>
              </w:rPr>
              <w:t xml:space="preserve"> </w:t>
            </w:r>
            <w:r w:rsidRPr="00AB458D">
              <w:rPr>
                <w:i/>
                <w:iCs/>
                <w:sz w:val="20"/>
                <w:szCs w:val="16"/>
              </w:rPr>
              <w:t xml:space="preserve">Hammamet, 2016), </w:t>
            </w:r>
            <w:hyperlink r:id="rId21" w:history="1">
              <w:r w:rsidRPr="00AB458D">
                <w:rPr>
                  <w:rStyle w:val="Hyperlink"/>
                  <w:i/>
                  <w:iCs/>
                  <w:sz w:val="20"/>
                  <w:szCs w:val="16"/>
                </w:rPr>
                <w:t>58</w:t>
              </w:r>
            </w:hyperlink>
            <w:r w:rsidRPr="00AB458D">
              <w:rPr>
                <w:i/>
                <w:iCs/>
                <w:sz w:val="20"/>
                <w:szCs w:val="16"/>
              </w:rPr>
              <w:t xml:space="preserve">, </w:t>
            </w:r>
            <w:hyperlink r:id="rId22" w:history="1">
              <w:r w:rsidRPr="00AB458D">
                <w:rPr>
                  <w:rStyle w:val="Hyperlink"/>
                  <w:i/>
                  <w:iCs/>
                  <w:sz w:val="20"/>
                  <w:szCs w:val="16"/>
                </w:rPr>
                <w:t>60</w:t>
              </w:r>
              <w:r w:rsidRPr="00AB458D">
                <w:rPr>
                  <w:sz w:val="20"/>
                  <w:szCs w:val="16"/>
                </w:rPr>
                <w:t xml:space="preserve"> (Rév.</w:t>
              </w:r>
              <w:r w:rsidR="00426296" w:rsidRPr="00AB458D">
                <w:rPr>
                  <w:sz w:val="20"/>
                  <w:szCs w:val="16"/>
                </w:rPr>
                <w:t xml:space="preserve"> </w:t>
              </w:r>
              <w:r w:rsidRPr="00AB458D">
                <w:rPr>
                  <w:sz w:val="20"/>
                  <w:szCs w:val="16"/>
                </w:rPr>
                <w:t>Dubaï, 2012)</w:t>
              </w:r>
            </w:hyperlink>
            <w:r w:rsidRPr="00AB458D">
              <w:rPr>
                <w:i/>
                <w:iCs/>
                <w:sz w:val="20"/>
                <w:szCs w:val="16"/>
              </w:rPr>
              <w:t xml:space="preserve">, </w:t>
            </w:r>
            <w:hyperlink r:id="rId23" w:history="1">
              <w:r w:rsidRPr="00AB458D">
                <w:rPr>
                  <w:rStyle w:val="Hyperlink"/>
                  <w:i/>
                  <w:iCs/>
                  <w:sz w:val="20"/>
                  <w:szCs w:val="16"/>
                </w:rPr>
                <w:t>64</w:t>
              </w:r>
            </w:hyperlink>
            <w:r w:rsidRPr="00AB458D">
              <w:rPr>
                <w:i/>
                <w:iCs/>
                <w:sz w:val="20"/>
                <w:szCs w:val="16"/>
              </w:rPr>
              <w:t xml:space="preserve">, </w:t>
            </w:r>
            <w:hyperlink r:id="rId24" w:history="1">
              <w:r w:rsidRPr="00AB458D">
                <w:rPr>
                  <w:rStyle w:val="Hyperlink"/>
                  <w:i/>
                  <w:iCs/>
                  <w:sz w:val="20"/>
                  <w:szCs w:val="16"/>
                </w:rPr>
                <w:t>69</w:t>
              </w:r>
            </w:hyperlink>
            <w:r w:rsidRPr="00AB458D">
              <w:rPr>
                <w:i/>
                <w:iCs/>
                <w:sz w:val="20"/>
                <w:szCs w:val="16"/>
              </w:rPr>
              <w:t xml:space="preserve">, </w:t>
            </w:r>
            <w:hyperlink r:id="rId25" w:history="1">
              <w:r w:rsidRPr="00AB458D">
                <w:rPr>
                  <w:rStyle w:val="Hyperlink"/>
                  <w:i/>
                  <w:iCs/>
                  <w:sz w:val="20"/>
                  <w:szCs w:val="16"/>
                </w:rPr>
                <w:t>75</w:t>
              </w:r>
            </w:hyperlink>
            <w:r w:rsidRPr="00AB458D">
              <w:rPr>
                <w:i/>
                <w:iCs/>
                <w:sz w:val="20"/>
                <w:szCs w:val="16"/>
              </w:rPr>
              <w:t xml:space="preserve"> (Rév. Hammamet, 2016), </w:t>
            </w:r>
            <w:hyperlink r:id="rId26" w:history="1">
              <w:r w:rsidRPr="00AB458D">
                <w:rPr>
                  <w:rStyle w:val="Hyperlink"/>
                  <w:i/>
                  <w:iCs/>
                  <w:sz w:val="20"/>
                  <w:szCs w:val="16"/>
                </w:rPr>
                <w:t>98</w:t>
              </w:r>
            </w:hyperlink>
            <w:r w:rsidRPr="00AB458D">
              <w:rPr>
                <w:i/>
                <w:iCs/>
                <w:sz w:val="20"/>
                <w:szCs w:val="16"/>
              </w:rPr>
              <w:t xml:space="preserve"> (Hammamet, 2016) de l'A</w:t>
            </w:r>
            <w:r w:rsidR="00BD4963" w:rsidRPr="00AB458D">
              <w:rPr>
                <w:i/>
                <w:iCs/>
                <w:sz w:val="20"/>
                <w:szCs w:val="16"/>
              </w:rPr>
              <w:t>ssemblée mondiale de normalisation des télécommunications (AMNT)</w:t>
            </w:r>
            <w:r w:rsidRPr="00AB458D">
              <w:rPr>
                <w:i/>
                <w:iCs/>
                <w:sz w:val="20"/>
                <w:szCs w:val="16"/>
              </w:rPr>
              <w:t xml:space="preserve">; </w:t>
            </w:r>
            <w:hyperlink r:id="rId27" w:history="1">
              <w:r w:rsidRPr="00AB458D">
                <w:rPr>
                  <w:rStyle w:val="Hyperlink"/>
                  <w:i/>
                  <w:iCs/>
                  <w:sz w:val="20"/>
                  <w:szCs w:val="16"/>
                </w:rPr>
                <w:t>Objectif 3/produit 3.3 du Plan d'action de Buenos Aires/CMDT</w:t>
              </w:r>
              <w:r w:rsidRPr="00AB458D">
                <w:rPr>
                  <w:rStyle w:val="Hyperlink"/>
                  <w:i/>
                  <w:iCs/>
                  <w:sz w:val="20"/>
                  <w:szCs w:val="16"/>
                </w:rPr>
                <w:noBreakHyphen/>
                <w:t>17</w:t>
              </w:r>
            </w:hyperlink>
            <w:r w:rsidRPr="00AB458D">
              <w:rPr>
                <w:i/>
                <w:iCs/>
                <w:sz w:val="20"/>
                <w:szCs w:val="16"/>
              </w:rPr>
              <w:t>; Résolutions </w:t>
            </w:r>
            <w:hyperlink r:id="rId28" w:history="1">
              <w:r w:rsidRPr="00AB458D">
                <w:rPr>
                  <w:rStyle w:val="Hyperlink"/>
                  <w:i/>
                  <w:iCs/>
                  <w:sz w:val="20"/>
                  <w:szCs w:val="16"/>
                </w:rPr>
                <w:t>20</w:t>
              </w:r>
            </w:hyperlink>
            <w:r w:rsidRPr="00AB458D">
              <w:rPr>
                <w:i/>
                <w:iCs/>
                <w:sz w:val="20"/>
                <w:szCs w:val="16"/>
              </w:rPr>
              <w:t xml:space="preserve">, </w:t>
            </w:r>
            <w:hyperlink r:id="rId29" w:history="1">
              <w:r w:rsidRPr="00AB458D">
                <w:rPr>
                  <w:rStyle w:val="Hyperlink"/>
                  <w:i/>
                  <w:iCs/>
                  <w:sz w:val="20"/>
                  <w:szCs w:val="16"/>
                </w:rPr>
                <w:t>30</w:t>
              </w:r>
            </w:hyperlink>
            <w:r w:rsidRPr="00AB458D">
              <w:rPr>
                <w:i/>
                <w:iCs/>
                <w:sz w:val="20"/>
                <w:szCs w:val="16"/>
              </w:rPr>
              <w:t xml:space="preserve">, </w:t>
            </w:r>
            <w:hyperlink r:id="rId30" w:history="1">
              <w:r w:rsidRPr="00AB458D">
                <w:rPr>
                  <w:rStyle w:val="Hyperlink"/>
                  <w:i/>
                  <w:iCs/>
                  <w:sz w:val="20"/>
                  <w:szCs w:val="16"/>
                </w:rPr>
                <w:t>63</w:t>
              </w:r>
            </w:hyperlink>
            <w:r w:rsidRPr="00AB458D">
              <w:rPr>
                <w:i/>
                <w:iCs/>
                <w:sz w:val="20"/>
                <w:szCs w:val="16"/>
              </w:rPr>
              <w:t xml:space="preserve"> (Rév.</w:t>
            </w:r>
            <w:r w:rsidR="00426296" w:rsidRPr="00AB458D">
              <w:rPr>
                <w:i/>
                <w:iCs/>
                <w:sz w:val="20"/>
                <w:szCs w:val="16"/>
              </w:rPr>
              <w:t xml:space="preserve"> </w:t>
            </w:r>
            <w:r w:rsidRPr="00AB458D">
              <w:rPr>
                <w:i/>
                <w:iCs/>
                <w:sz w:val="20"/>
                <w:szCs w:val="16"/>
              </w:rPr>
              <w:t>Buenos Aires</w:t>
            </w:r>
            <w:r w:rsidR="00C43D30" w:rsidRPr="00AB458D">
              <w:rPr>
                <w:i/>
                <w:iCs/>
                <w:sz w:val="20"/>
                <w:szCs w:val="16"/>
              </w:rPr>
              <w:t> </w:t>
            </w:r>
            <w:r w:rsidRPr="00AB458D">
              <w:rPr>
                <w:i/>
                <w:iCs/>
                <w:sz w:val="20"/>
                <w:szCs w:val="16"/>
              </w:rPr>
              <w:t>2017) et </w:t>
            </w:r>
            <w:hyperlink r:id="rId31" w:history="1">
              <w:r w:rsidRPr="00AB458D">
                <w:rPr>
                  <w:rStyle w:val="Hyperlink"/>
                  <w:i/>
                  <w:iCs/>
                  <w:sz w:val="20"/>
                  <w:szCs w:val="16"/>
                </w:rPr>
                <w:t>45</w:t>
              </w:r>
            </w:hyperlink>
            <w:r w:rsidRPr="00AB458D">
              <w:rPr>
                <w:i/>
                <w:iCs/>
                <w:sz w:val="20"/>
                <w:szCs w:val="16"/>
              </w:rPr>
              <w:t> (Rév.</w:t>
            </w:r>
            <w:r w:rsidR="00426296" w:rsidRPr="00AB458D">
              <w:rPr>
                <w:i/>
                <w:iCs/>
                <w:sz w:val="20"/>
                <w:szCs w:val="16"/>
              </w:rPr>
              <w:t xml:space="preserve"> </w:t>
            </w:r>
            <w:r w:rsidRPr="00AB458D">
              <w:rPr>
                <w:i/>
                <w:iCs/>
                <w:sz w:val="20"/>
                <w:szCs w:val="16"/>
              </w:rPr>
              <w:t>Dubaï, 2014) de la C</w:t>
            </w:r>
            <w:r w:rsidR="00BD4963" w:rsidRPr="00AB458D">
              <w:rPr>
                <w:i/>
                <w:iCs/>
                <w:sz w:val="20"/>
                <w:szCs w:val="16"/>
              </w:rPr>
              <w:t>onférence mondiale de développement des télécommunications (CMDT)</w:t>
            </w:r>
            <w:r w:rsidRPr="00AB458D">
              <w:rPr>
                <w:i/>
                <w:iCs/>
                <w:sz w:val="20"/>
                <w:szCs w:val="16"/>
              </w:rPr>
              <w:t>; Documents </w:t>
            </w:r>
            <w:hyperlink r:id="rId32" w:history="1">
              <w:r w:rsidRPr="00AB458D">
                <w:rPr>
                  <w:rStyle w:val="Hyperlink"/>
                  <w:i/>
                  <w:iCs/>
                  <w:sz w:val="20"/>
                  <w:szCs w:val="16"/>
                </w:rPr>
                <w:t>C16/33</w:t>
              </w:r>
            </w:hyperlink>
            <w:r w:rsidRPr="00AB458D">
              <w:rPr>
                <w:i/>
                <w:iCs/>
                <w:sz w:val="20"/>
                <w:szCs w:val="16"/>
              </w:rPr>
              <w:t>, </w:t>
            </w:r>
            <w:hyperlink r:id="rId33" w:history="1">
              <w:r w:rsidRPr="00AB458D">
                <w:rPr>
                  <w:rStyle w:val="Hyperlink"/>
                  <w:i/>
                  <w:iCs/>
                  <w:sz w:val="20"/>
                  <w:szCs w:val="16"/>
                </w:rPr>
                <w:t>C17/33</w:t>
              </w:r>
            </w:hyperlink>
            <w:r w:rsidRPr="00AB458D">
              <w:rPr>
                <w:i/>
                <w:iCs/>
                <w:sz w:val="20"/>
                <w:szCs w:val="16"/>
              </w:rPr>
              <w:t xml:space="preserve">, </w:t>
            </w:r>
            <w:hyperlink r:id="rId34" w:history="1">
              <w:r w:rsidRPr="00AB458D">
                <w:rPr>
                  <w:rStyle w:val="Hyperlink"/>
                  <w:i/>
                  <w:iCs/>
                  <w:sz w:val="20"/>
                  <w:szCs w:val="16"/>
                </w:rPr>
                <w:t>C18/33</w:t>
              </w:r>
            </w:hyperlink>
            <w:r w:rsidRPr="00AB458D">
              <w:rPr>
                <w:i/>
                <w:iCs/>
                <w:sz w:val="20"/>
                <w:szCs w:val="16"/>
              </w:rPr>
              <w:t xml:space="preserve"> </w:t>
            </w:r>
            <w:r w:rsidR="00D87074" w:rsidRPr="00AB458D">
              <w:rPr>
                <w:i/>
                <w:iCs/>
                <w:sz w:val="20"/>
                <w:szCs w:val="16"/>
              </w:rPr>
              <w:t>et</w:t>
            </w:r>
            <w:r w:rsidRPr="00AB458D">
              <w:rPr>
                <w:i/>
                <w:iCs/>
                <w:sz w:val="20"/>
                <w:szCs w:val="16"/>
              </w:rPr>
              <w:t xml:space="preserve"> </w:t>
            </w:r>
            <w:hyperlink r:id="rId35" w:history="1">
              <w:r w:rsidRPr="00AB458D">
                <w:rPr>
                  <w:rStyle w:val="Hyperlink"/>
                  <w:i/>
                  <w:iCs/>
                  <w:sz w:val="20"/>
                  <w:szCs w:val="16"/>
                </w:rPr>
                <w:t>C19/33</w:t>
              </w:r>
            </w:hyperlink>
            <w:r w:rsidRPr="00AB458D">
              <w:rPr>
                <w:i/>
                <w:iCs/>
                <w:sz w:val="20"/>
                <w:szCs w:val="16"/>
              </w:rPr>
              <w:t xml:space="preserve"> du Conseil.</w:t>
            </w:r>
          </w:p>
        </w:tc>
      </w:tr>
    </w:tbl>
    <w:p w14:paraId="266570D6" w14:textId="77777777" w:rsidR="000E5C27" w:rsidRPr="00607633" w:rsidRDefault="000E5C27" w:rsidP="0077196B">
      <w:pPr>
        <w:pStyle w:val="Heading1"/>
      </w:pPr>
      <w:r w:rsidRPr="00607633">
        <w:t>1</w:t>
      </w:r>
      <w:r w:rsidRPr="00607633">
        <w:tab/>
        <w:t>Introduction</w:t>
      </w:r>
    </w:p>
    <w:p w14:paraId="3D979838" w14:textId="4447DBFD" w:rsidR="000E5C27" w:rsidRPr="00607633" w:rsidRDefault="000E5C27" w:rsidP="0077196B">
      <w:r w:rsidRPr="00607633">
        <w:t xml:space="preserve">Le présent rapport décrit les activités menées par l'UIT relativement aux Résolutions 101, 102, 133, 180 (Rév. Dubaï, 2018) </w:t>
      </w:r>
      <w:r w:rsidR="000106CF" w:rsidRPr="00607633">
        <w:t xml:space="preserve">et 206 (Dubaï, 2018) </w:t>
      </w:r>
      <w:r w:rsidRPr="00607633">
        <w:t>de la Conférence de plénipotentiaires depuis la session de 2019 du Conseil</w:t>
      </w:r>
      <w:r w:rsidR="00582ED3" w:rsidRPr="00607633">
        <w:rPr>
          <w:rStyle w:val="FootnoteReference"/>
          <w:rFonts w:asciiTheme="minorHAnsi" w:hAnsiTheme="minorHAnsi" w:cstheme="minorHAnsi"/>
          <w:sz w:val="18"/>
          <w:szCs w:val="18"/>
        </w:rPr>
        <w:footnoteReference w:id="1"/>
      </w:r>
      <w:r w:rsidRPr="00607633">
        <w:t>.</w:t>
      </w:r>
    </w:p>
    <w:p w14:paraId="07A81A24" w14:textId="4607EC53" w:rsidR="009C353C" w:rsidRPr="00607633" w:rsidRDefault="000E5C27" w:rsidP="0077196B">
      <w:pPr>
        <w:pStyle w:val="Heading1"/>
      </w:pPr>
      <w:r w:rsidRPr="00607633">
        <w:lastRenderedPageBreak/>
        <w:t>2</w:t>
      </w:r>
      <w:r w:rsidRPr="00607633">
        <w:tab/>
        <w:t>Activités relatives aux réseaux IP, au développement des réseaux de prochaine génération (NGN) et à l'Internet de demain, y compris les enjeux en matière de politique générale et de réglementation</w:t>
      </w:r>
    </w:p>
    <w:p w14:paraId="39020F22" w14:textId="13CA08A9" w:rsidR="000E5C27" w:rsidRPr="00607633" w:rsidRDefault="000E5C27" w:rsidP="0077196B">
      <w:r w:rsidRPr="00607633">
        <w:rPr>
          <w:b/>
        </w:rPr>
        <w:t>2.1</w:t>
      </w:r>
      <w:r w:rsidRPr="00607633">
        <w:tab/>
      </w:r>
      <w:r w:rsidR="00D87074" w:rsidRPr="00607633">
        <w:t xml:space="preserve">Plus de 190 </w:t>
      </w:r>
      <w:hyperlink r:id="rId36" w:history="1">
        <w:r w:rsidR="00D87074" w:rsidRPr="00607633">
          <w:rPr>
            <w:rStyle w:val="Hyperlink"/>
          </w:rPr>
          <w:t>Recommandations</w:t>
        </w:r>
      </w:hyperlink>
      <w:r w:rsidR="00607633" w:rsidRPr="00607633">
        <w:t xml:space="preserve"> </w:t>
      </w:r>
      <w:r w:rsidR="00D87074" w:rsidRPr="00607633">
        <w:t>UIT-T nouvelles ou révisées ont été approuvée</w:t>
      </w:r>
      <w:r w:rsidR="00C43D30">
        <w:t>s</w:t>
      </w:r>
      <w:r w:rsidR="00D87074" w:rsidRPr="00607633">
        <w:t xml:space="preserve"> </w:t>
      </w:r>
      <w:r w:rsidR="000106CF" w:rsidRPr="00607633">
        <w:t xml:space="preserve">entre le </w:t>
      </w:r>
      <w:r w:rsidR="00D87074" w:rsidRPr="00607633">
        <w:t>17</w:t>
      </w:r>
      <w:r w:rsidR="00607633" w:rsidRPr="00607633">
        <w:t> </w:t>
      </w:r>
      <w:r w:rsidR="00D87074" w:rsidRPr="00607633">
        <w:t xml:space="preserve">août 2019 </w:t>
      </w:r>
      <w:r w:rsidR="000106CF" w:rsidRPr="00607633">
        <w:t xml:space="preserve">et le </w:t>
      </w:r>
      <w:r w:rsidR="00D87074" w:rsidRPr="00607633">
        <w:t>31 mars 2020.</w:t>
      </w:r>
    </w:p>
    <w:p w14:paraId="4B03D422" w14:textId="11FCE74D" w:rsidR="000E5C27" w:rsidRPr="00607633" w:rsidRDefault="000E5C27" w:rsidP="0077196B">
      <w:r w:rsidRPr="00607633">
        <w:rPr>
          <w:b/>
          <w:bCs/>
        </w:rPr>
        <w:t>2.2</w:t>
      </w:r>
      <w:r w:rsidRPr="00607633">
        <w:rPr>
          <w:b/>
          <w:bCs/>
        </w:rPr>
        <w:tab/>
      </w:r>
      <w:r w:rsidR="00771870" w:rsidRPr="00607633">
        <w:rPr>
          <w:color w:val="000000"/>
        </w:rPr>
        <w:t xml:space="preserve">Les travaux sur la vidéo menés conjointement par la Commission électrotechnique internationale (CEI), l'Organisation internationale de normalisation (ISO) et l'UIT se poursuivent en vue d'élaborer un nouveau </w:t>
      </w:r>
      <w:hyperlink r:id="rId37" w:history="1">
        <w:r w:rsidR="00771870" w:rsidRPr="00607633">
          <w:rPr>
            <w:rStyle w:val="Hyperlink"/>
            <w:i/>
            <w:iCs/>
          </w:rPr>
          <w:t>projet concernant le codage vidéo polyvalent</w:t>
        </w:r>
      </w:hyperlink>
      <w:r w:rsidR="00771870" w:rsidRPr="00607633">
        <w:rPr>
          <w:color w:val="000000"/>
        </w:rPr>
        <w:t xml:space="preserve">. Les travaux </w:t>
      </w:r>
      <w:r w:rsidR="000106CF" w:rsidRPr="00607633">
        <w:rPr>
          <w:color w:val="000000"/>
        </w:rPr>
        <w:t>sur l</w:t>
      </w:r>
      <w:r w:rsidR="00771870" w:rsidRPr="00607633">
        <w:rPr>
          <w:color w:val="000000"/>
        </w:rPr>
        <w:t>'amélior</w:t>
      </w:r>
      <w:r w:rsidR="000106CF" w:rsidRPr="00607633">
        <w:rPr>
          <w:color w:val="000000"/>
        </w:rPr>
        <w:t>ation</w:t>
      </w:r>
      <w:r w:rsidR="00771870" w:rsidRPr="00607633">
        <w:rPr>
          <w:color w:val="000000"/>
        </w:rPr>
        <w:t xml:space="preserve"> </w:t>
      </w:r>
      <w:r w:rsidR="000106CF" w:rsidRPr="00607633">
        <w:rPr>
          <w:color w:val="000000"/>
        </w:rPr>
        <w:t xml:space="preserve">de </w:t>
      </w:r>
      <w:r w:rsidR="00771870" w:rsidRPr="00607633">
        <w:rPr>
          <w:color w:val="000000"/>
        </w:rPr>
        <w:t xml:space="preserve">la gestion, </w:t>
      </w:r>
      <w:r w:rsidR="000106CF" w:rsidRPr="00607633">
        <w:rPr>
          <w:color w:val="000000"/>
        </w:rPr>
        <w:t xml:space="preserve">du </w:t>
      </w:r>
      <w:r w:rsidR="00771870" w:rsidRPr="00607633">
        <w:rPr>
          <w:color w:val="000000"/>
        </w:rPr>
        <w:t>stockage et</w:t>
      </w:r>
      <w:r w:rsidR="000106CF" w:rsidRPr="00607633">
        <w:rPr>
          <w:color w:val="000000"/>
        </w:rPr>
        <w:t xml:space="preserve"> de</w:t>
      </w:r>
      <w:r w:rsidR="00771870" w:rsidRPr="00607633">
        <w:rPr>
          <w:color w:val="000000"/>
        </w:rPr>
        <w:t xml:space="preserve"> la transmission de</w:t>
      </w:r>
      <w:r w:rsidR="00C432C5" w:rsidRPr="00607633">
        <w:rPr>
          <w:color w:val="000000"/>
        </w:rPr>
        <w:t>s</w:t>
      </w:r>
      <w:r w:rsidR="00771870" w:rsidRPr="00607633">
        <w:rPr>
          <w:color w:val="000000"/>
        </w:rPr>
        <w:t xml:space="preserve"> vidéos sur les réseaux IP</w:t>
      </w:r>
      <w:r w:rsidR="000106CF" w:rsidRPr="00607633">
        <w:rPr>
          <w:color w:val="000000"/>
        </w:rPr>
        <w:t xml:space="preserve"> se poursuivent également</w:t>
      </w:r>
      <w:r w:rsidR="00921B33" w:rsidRPr="00607633">
        <w:t>.</w:t>
      </w:r>
    </w:p>
    <w:p w14:paraId="4BCFA2EE" w14:textId="532E3867" w:rsidR="00921B33" w:rsidRPr="00607633" w:rsidRDefault="00921B33" w:rsidP="0077196B">
      <w:r w:rsidRPr="00607633">
        <w:t>2.2.1</w:t>
      </w:r>
      <w:r w:rsidRPr="00607633">
        <w:tab/>
      </w:r>
      <w:r w:rsidR="00771870" w:rsidRPr="00607633">
        <w:rPr>
          <w:bCs/>
        </w:rPr>
        <w:t>La C</w:t>
      </w:r>
      <w:r w:rsidR="00C432C5" w:rsidRPr="00607633">
        <w:rPr>
          <w:bCs/>
        </w:rPr>
        <w:t>ommission d'études (C</w:t>
      </w:r>
      <w:r w:rsidR="00771870" w:rsidRPr="00607633">
        <w:rPr>
          <w:bCs/>
        </w:rPr>
        <w:t>E</w:t>
      </w:r>
      <w:r w:rsidR="00C432C5" w:rsidRPr="00607633">
        <w:rPr>
          <w:bCs/>
        </w:rPr>
        <w:t>)</w:t>
      </w:r>
      <w:r w:rsidR="00771870" w:rsidRPr="00607633">
        <w:rPr>
          <w:bCs/>
        </w:rPr>
        <w:t xml:space="preserve"> 16 de l'UIT-T a approuvé six Recommandations</w:t>
      </w:r>
      <w:r w:rsidRPr="00607633">
        <w:rPr>
          <w:bCs/>
        </w:rPr>
        <w:t xml:space="preserve">: </w:t>
      </w:r>
      <w:hyperlink r:id="rId38" w:history="1">
        <w:r w:rsidR="00771870" w:rsidRPr="00607633">
          <w:rPr>
            <w:rStyle w:val="Hyperlink"/>
          </w:rPr>
          <w:t>UIT</w:t>
        </w:r>
        <w:r w:rsidR="00426296">
          <w:rPr>
            <w:rStyle w:val="Hyperlink"/>
          </w:rPr>
          <w:noBreakHyphen/>
        </w:r>
        <w:r w:rsidRPr="00607633">
          <w:rPr>
            <w:rStyle w:val="Hyperlink"/>
          </w:rPr>
          <w:t>T</w:t>
        </w:r>
        <w:r w:rsidR="00426296">
          <w:rPr>
            <w:rStyle w:val="Hyperlink"/>
          </w:rPr>
          <w:t> </w:t>
        </w:r>
        <w:r w:rsidRPr="00607633">
          <w:rPr>
            <w:rStyle w:val="Hyperlink"/>
          </w:rPr>
          <w:t>H.626</w:t>
        </w:r>
        <w:r w:rsidR="00426296">
          <w:rPr>
            <w:rStyle w:val="Hyperlink"/>
          </w:rPr>
          <w:t> </w:t>
        </w:r>
        <w:r w:rsidRPr="00607633">
          <w:rPr>
            <w:rStyle w:val="Hyperlink"/>
          </w:rPr>
          <w:t>(V2)</w:t>
        </w:r>
        <w:r w:rsidRPr="00607633">
          <w:t xml:space="preserve"> "Exigences en matière d'architecture pour le système de vidéosurveillance", </w:t>
        </w:r>
      </w:hyperlink>
      <w:hyperlink r:id="rId39" w:history="1">
        <w:r w:rsidR="00771870" w:rsidRPr="00607633">
          <w:rPr>
            <w:rStyle w:val="Hyperlink"/>
          </w:rPr>
          <w:t>UIT</w:t>
        </w:r>
        <w:r w:rsidR="00426296">
          <w:rPr>
            <w:rStyle w:val="Hyperlink"/>
          </w:rPr>
          <w:noBreakHyphen/>
        </w:r>
        <w:r w:rsidRPr="00607633">
          <w:rPr>
            <w:rStyle w:val="Hyperlink"/>
          </w:rPr>
          <w:t>T F.743 (V2)</w:t>
        </w:r>
      </w:hyperlink>
      <w:r w:rsidRPr="00607633">
        <w:t xml:space="preserve"> "Exigences et description du service de vidéosurveillance", </w:t>
      </w:r>
      <w:hyperlink r:id="rId40" w:history="1">
        <w:r w:rsidR="00771870" w:rsidRPr="00607633">
          <w:rPr>
            <w:rStyle w:val="Hyperlink"/>
          </w:rPr>
          <w:t>UIT</w:t>
        </w:r>
        <w:r w:rsidRPr="00607633">
          <w:rPr>
            <w:rStyle w:val="Hyperlink"/>
          </w:rPr>
          <w:t>-T F.743.10</w:t>
        </w:r>
      </w:hyperlink>
      <w:r w:rsidRPr="00607633">
        <w:t xml:space="preserve"> "Exigences pour les réseaux de fourniture de contenus utilisant l'informatique en périphérie mobile", </w:t>
      </w:r>
      <w:hyperlink r:id="rId41" w:history="1">
        <w:r w:rsidR="00771870" w:rsidRPr="00607633">
          <w:rPr>
            <w:rStyle w:val="Hyperlink"/>
          </w:rPr>
          <w:t>UIT</w:t>
        </w:r>
        <w:r w:rsidRPr="00607633">
          <w:rPr>
            <w:rStyle w:val="Hyperlink"/>
          </w:rPr>
          <w:t>-T H.644.2</w:t>
        </w:r>
      </w:hyperlink>
      <w:r w:rsidRPr="00607633">
        <w:t xml:space="preserve"> "Réseau virtuel de fourniture de contenus: virtualisation de réseau", </w:t>
      </w:r>
      <w:hyperlink r:id="rId42" w:history="1">
        <w:r w:rsidR="001E1E5F" w:rsidRPr="00607633">
          <w:rPr>
            <w:rStyle w:val="Hyperlink"/>
          </w:rPr>
          <w:t>UIT</w:t>
        </w:r>
        <w:r w:rsidR="00426296">
          <w:rPr>
            <w:rStyle w:val="Hyperlink"/>
          </w:rPr>
          <w:noBreakHyphen/>
        </w:r>
        <w:r w:rsidR="00C432C5" w:rsidRPr="00607633">
          <w:rPr>
            <w:rStyle w:val="Hyperlink"/>
          </w:rPr>
          <w:t>T</w:t>
        </w:r>
        <w:r w:rsidR="00426296">
          <w:rPr>
            <w:rStyle w:val="Hyperlink"/>
          </w:rPr>
          <w:t> </w:t>
        </w:r>
        <w:r w:rsidRPr="00607633">
          <w:rPr>
            <w:rStyle w:val="Hyperlink"/>
          </w:rPr>
          <w:t>H.753</w:t>
        </w:r>
      </w:hyperlink>
      <w:r w:rsidRPr="00607633">
        <w:t xml:space="preserve"> "Métadonnées basées sur des scènes pour les services de TVIP", </w:t>
      </w:r>
      <w:r w:rsidR="00C432C5" w:rsidRPr="00607633">
        <w:rPr>
          <w:bCs/>
        </w:rPr>
        <w:t>et</w:t>
      </w:r>
      <w:r w:rsidRPr="00607633">
        <w:t xml:space="preserve"> </w:t>
      </w:r>
      <w:hyperlink r:id="rId43" w:history="1">
        <w:r w:rsidR="001E1E5F" w:rsidRPr="00607633">
          <w:rPr>
            <w:rStyle w:val="Hyperlink"/>
          </w:rPr>
          <w:t>UIT</w:t>
        </w:r>
        <w:r w:rsidR="00C432C5" w:rsidRPr="00607633">
          <w:rPr>
            <w:rStyle w:val="Hyperlink"/>
          </w:rPr>
          <w:t>-T</w:t>
        </w:r>
        <w:r w:rsidRPr="00607633">
          <w:rPr>
            <w:rStyle w:val="Hyperlink"/>
          </w:rPr>
          <w:t xml:space="preserve"> H.764 (V2)</w:t>
        </w:r>
        <w:r w:rsidRPr="00607633">
          <w:t xml:space="preserve"> (r</w:t>
        </w:r>
        <w:r w:rsidR="001E1E5F" w:rsidRPr="00607633">
          <w:t>é</w:t>
        </w:r>
        <w:r w:rsidRPr="00607633">
          <w:t>vis</w:t>
        </w:r>
        <w:r w:rsidR="001E1E5F" w:rsidRPr="00607633">
          <w:t>ée</w:t>
        </w:r>
        <w:r w:rsidRPr="00607633">
          <w:t xml:space="preserve">) </w:t>
        </w:r>
      </w:hyperlink>
      <w:r w:rsidRPr="00607633">
        <w:t>"Langage de script amélioré pour les services de TVIP"</w:t>
      </w:r>
      <w:r w:rsidR="00026086" w:rsidRPr="00607633">
        <w:t>.</w:t>
      </w:r>
    </w:p>
    <w:p w14:paraId="7B64A6D8" w14:textId="6A1CF6BA" w:rsidR="00026086" w:rsidRPr="00607633" w:rsidRDefault="00026086" w:rsidP="0077196B">
      <w:pPr>
        <w:rPr>
          <w:color w:val="000000"/>
        </w:rPr>
      </w:pPr>
      <w:r w:rsidRPr="00607633">
        <w:rPr>
          <w:b/>
          <w:bCs/>
        </w:rPr>
        <w:t>2.3</w:t>
      </w:r>
      <w:r w:rsidRPr="00607633">
        <w:tab/>
      </w:r>
      <w:r w:rsidR="00C432C5" w:rsidRPr="00607633">
        <w:rPr>
          <w:bCs/>
        </w:rPr>
        <w:t>En ce qui concerne</w:t>
      </w:r>
      <w:r w:rsidR="001E1E5F" w:rsidRPr="00607633">
        <w:rPr>
          <w:bCs/>
        </w:rPr>
        <w:t xml:space="preserve"> les</w:t>
      </w:r>
      <w:r w:rsidRPr="00607633">
        <w:rPr>
          <w:bCs/>
        </w:rPr>
        <w:t xml:space="preserve"> IMT-2020, </w:t>
      </w:r>
      <w:r w:rsidR="001E1E5F" w:rsidRPr="00607633">
        <w:rPr>
          <w:bCs/>
        </w:rPr>
        <w:t xml:space="preserve">la CE 13 de l'UIT-T </w:t>
      </w:r>
      <w:r w:rsidR="000106CF" w:rsidRPr="00607633">
        <w:rPr>
          <w:bCs/>
        </w:rPr>
        <w:t>a donné son accord concernant</w:t>
      </w:r>
      <w:r w:rsidR="00C432C5" w:rsidRPr="00607633">
        <w:rPr>
          <w:bCs/>
        </w:rPr>
        <w:t xml:space="preserve"> le</w:t>
      </w:r>
      <w:r w:rsidR="001E1E5F" w:rsidRPr="00607633">
        <w:rPr>
          <w:bCs/>
        </w:rPr>
        <w:t xml:space="preserve"> </w:t>
      </w:r>
      <w:hyperlink r:id="rId44" w:history="1">
        <w:r w:rsidR="001E1E5F" w:rsidRPr="00607633">
          <w:rPr>
            <w:rStyle w:val="Hyperlink"/>
          </w:rPr>
          <w:t>Supplément</w:t>
        </w:r>
        <w:r w:rsidR="00C432C5" w:rsidRPr="00607633">
          <w:rPr>
            <w:rStyle w:val="Hyperlink"/>
          </w:rPr>
          <w:t xml:space="preserve"> </w:t>
        </w:r>
        <w:r w:rsidR="001E1E5F" w:rsidRPr="00607633">
          <w:rPr>
            <w:rStyle w:val="Hyperlink"/>
          </w:rPr>
          <w:t>55 aux</w:t>
        </w:r>
        <w:r w:rsidR="00C432C5" w:rsidRPr="00607633">
          <w:rPr>
            <w:rStyle w:val="Hyperlink"/>
          </w:rPr>
          <w:t xml:space="preserve"> </w:t>
        </w:r>
        <w:r w:rsidRPr="00607633">
          <w:rPr>
            <w:rStyle w:val="Hyperlink"/>
          </w:rPr>
          <w:t>Recommandations UIT-T de la série Y.3170</w:t>
        </w:r>
      </w:hyperlink>
      <w:r w:rsidRPr="00607633">
        <w:t xml:space="preserve"> "Apprentissage automatique dans les réseaux futurs, y compris les IMT-2020: cas d'utilisation"</w:t>
      </w:r>
      <w:r w:rsidR="00C432C5" w:rsidRPr="00607633">
        <w:t xml:space="preserve"> et a approuvé</w:t>
      </w:r>
      <w:r w:rsidR="001E1E5F" w:rsidRPr="00607633">
        <w:t xml:space="preserve"> sept Recommandations UIT-T</w:t>
      </w:r>
      <w:r w:rsidRPr="00607633">
        <w:t>:</w:t>
      </w:r>
      <w:r w:rsidR="00C432C5" w:rsidRPr="00607633">
        <w:t xml:space="preserve"> </w:t>
      </w:r>
      <w:hyperlink r:id="rId45" w:history="1">
        <w:r w:rsidR="00C432C5" w:rsidRPr="00607633">
          <w:rPr>
            <w:rStyle w:val="Hyperlink"/>
          </w:rPr>
          <w:t>UIT-T Y.2775</w:t>
        </w:r>
      </w:hyperlink>
      <w:r w:rsidR="00C432C5" w:rsidRPr="00607633">
        <w:t xml:space="preserve"> </w:t>
      </w:r>
      <w:r w:rsidR="001E1E5F" w:rsidRPr="00607633">
        <w:rPr>
          <w:color w:val="000000"/>
        </w:rPr>
        <w:t>"Architecture fonctionnelle de l'inspection approfondie des paquets pour les réseaux futurs"</w:t>
      </w:r>
      <w:r w:rsidRPr="00607633">
        <w:rPr>
          <w:i/>
        </w:rPr>
        <w:t xml:space="preserve">, </w:t>
      </w:r>
      <w:hyperlink r:id="rId46" w:history="1">
        <w:r w:rsidR="001E1E5F" w:rsidRPr="00607633">
          <w:rPr>
            <w:rStyle w:val="Hyperlink"/>
            <w:bCs/>
            <w:iCs/>
          </w:rPr>
          <w:t>UIT</w:t>
        </w:r>
        <w:r w:rsidRPr="00607633">
          <w:rPr>
            <w:rStyle w:val="Hyperlink"/>
            <w:bCs/>
            <w:iCs/>
          </w:rPr>
          <w:t>-T Y.3108</w:t>
        </w:r>
        <w:r w:rsidRPr="00607633">
          <w:t xml:space="preserve"> </w:t>
        </w:r>
        <w:r w:rsidR="001E1E5F" w:rsidRPr="00607633">
          <w:t>"Fonction</w:t>
        </w:r>
      </w:hyperlink>
      <w:r w:rsidR="001E1E5F" w:rsidRPr="00607633">
        <w:t xml:space="preserve"> d'exposition des capacités dans les réseaux IMT-2020"</w:t>
      </w:r>
      <w:r w:rsidRPr="00607633">
        <w:rPr>
          <w:bCs/>
        </w:rPr>
        <w:t>,</w:t>
      </w:r>
      <w:hyperlink r:id="rId47" w:history="1">
        <w:r w:rsidR="001E1E5F" w:rsidRPr="00607633">
          <w:t xml:space="preserve"> </w:t>
        </w:r>
        <w:r w:rsidR="001E1E5F" w:rsidRPr="00607633">
          <w:rPr>
            <w:rStyle w:val="Hyperlink"/>
            <w:bCs/>
            <w:iCs/>
          </w:rPr>
          <w:t>UIT-T</w:t>
        </w:r>
        <w:r w:rsidRPr="00607633">
          <w:rPr>
            <w:rStyle w:val="Hyperlink"/>
            <w:bCs/>
            <w:iCs/>
          </w:rPr>
          <w:t xml:space="preserve"> Y.3132</w:t>
        </w:r>
        <w:r w:rsidRPr="00607633">
          <w:rPr>
            <w:rStyle w:val="Hyperlink"/>
            <w:bCs/>
            <w:i/>
          </w:rPr>
          <w:t xml:space="preserve"> </w:t>
        </w:r>
        <w:r w:rsidR="001E1E5F" w:rsidRPr="00607633">
          <w:t>"Gestion de la mobilité pour la convergence fixe-mobile dans les réseaux IMT-2020"</w:t>
        </w:r>
      </w:hyperlink>
      <w:r w:rsidRPr="00607633">
        <w:rPr>
          <w:bCs/>
        </w:rPr>
        <w:t>,</w:t>
      </w:r>
      <w:hyperlink r:id="rId48" w:history="1">
        <w:r w:rsidR="001E1E5F" w:rsidRPr="00607633">
          <w:t xml:space="preserve"> </w:t>
        </w:r>
        <w:r w:rsidR="001E1E5F" w:rsidRPr="00607633">
          <w:rPr>
            <w:rStyle w:val="Hyperlink"/>
            <w:bCs/>
            <w:iCs/>
          </w:rPr>
          <w:t>UIT-T</w:t>
        </w:r>
        <w:r w:rsidRPr="00607633">
          <w:rPr>
            <w:rStyle w:val="Hyperlink"/>
            <w:bCs/>
            <w:iCs/>
          </w:rPr>
          <w:t xml:space="preserve"> Y.3133 </w:t>
        </w:r>
        <w:r w:rsidR="001E1E5F" w:rsidRPr="00607633">
          <w:t xml:space="preserve">"Amélioration de </w:t>
        </w:r>
        <w:r w:rsidR="007E10B2" w:rsidRPr="00607633">
          <w:t>l'exposition des capacités pour la prise en charge de la convergence fixe-mobile dans les réseaux IMT-2020"</w:t>
        </w:r>
      </w:hyperlink>
      <w:r w:rsidRPr="00607633">
        <w:rPr>
          <w:bCs/>
          <w:i/>
        </w:rPr>
        <w:t xml:space="preserve">, </w:t>
      </w:r>
      <w:hyperlink r:id="rId49" w:history="1">
        <w:r w:rsidR="001E1E5F" w:rsidRPr="00607633">
          <w:rPr>
            <w:rStyle w:val="Hyperlink"/>
            <w:bCs/>
            <w:iCs/>
          </w:rPr>
          <w:t>UIT-T</w:t>
        </w:r>
        <w:r w:rsidRPr="00607633">
          <w:rPr>
            <w:rStyle w:val="Hyperlink"/>
            <w:bCs/>
            <w:iCs/>
          </w:rPr>
          <w:t xml:space="preserve"> Y.3153</w:t>
        </w:r>
        <w:r w:rsidRPr="00607633">
          <w:t xml:space="preserve"> </w:t>
        </w:r>
        <w:r w:rsidR="007E10B2" w:rsidRPr="00607633">
          <w:t xml:space="preserve">"Orchestration et gestion des tranches de réseau </w:t>
        </w:r>
        <w:r w:rsidR="00C432C5" w:rsidRPr="00607633">
          <w:t>pour</w:t>
        </w:r>
        <w:r w:rsidR="007E10B2" w:rsidRPr="00607633">
          <w:t xml:space="preserve"> la fourniture de services de réseau à un tiers dans le réseau IMT-2020"</w:t>
        </w:r>
      </w:hyperlink>
      <w:r w:rsidRPr="00607633">
        <w:rPr>
          <w:bCs/>
        </w:rPr>
        <w:t xml:space="preserve">, </w:t>
      </w:r>
      <w:hyperlink r:id="rId50" w:history="1">
        <w:r w:rsidRPr="00607633">
          <w:rPr>
            <w:rStyle w:val="Hyperlink"/>
            <w:bCs/>
          </w:rPr>
          <w:t>UIT-T Y.3173</w:t>
        </w:r>
      </w:hyperlink>
      <w:r w:rsidRPr="00607633">
        <w:rPr>
          <w:bCs/>
        </w:rPr>
        <w:t xml:space="preserve"> "Cadre pour l'évaluation des niveaux d'intelligence des réseaux futurs, y compris les IMT-2020" et </w:t>
      </w:r>
      <w:hyperlink r:id="rId51" w:history="1">
        <w:r w:rsidRPr="00607633">
          <w:rPr>
            <w:rStyle w:val="Hyperlink"/>
            <w:bCs/>
          </w:rPr>
          <w:t>UIT-T Y.3174</w:t>
        </w:r>
      </w:hyperlink>
      <w:r w:rsidRPr="00607633">
        <w:rPr>
          <w:bCs/>
        </w:rPr>
        <w:t xml:space="preserve"> "Cadre pour le traitement des données en vue de permettre la mise en œuvre de l'apprentissage automatique dans les réseaux futurs, y compris les IMT-2020".</w:t>
      </w:r>
    </w:p>
    <w:p w14:paraId="6DD5B95B" w14:textId="77777777" w:rsidR="00365228" w:rsidRDefault="00582ED3" w:rsidP="00426296">
      <w:pPr>
        <w:rPr>
          <w:bCs/>
        </w:rPr>
      </w:pPr>
      <w:r w:rsidRPr="00607633">
        <w:rPr>
          <w:b/>
        </w:rPr>
        <w:t>2.4</w:t>
      </w:r>
      <w:r w:rsidRPr="00607633">
        <w:rPr>
          <w:bCs/>
        </w:rPr>
        <w:tab/>
      </w:r>
      <w:r w:rsidR="00DE6620" w:rsidRPr="00607633">
        <w:rPr>
          <w:bCs/>
        </w:rPr>
        <w:t>S'agissant de l'Internet des objets (IoT)</w:t>
      </w:r>
      <w:r w:rsidRPr="00607633">
        <w:rPr>
          <w:bCs/>
        </w:rPr>
        <w:t xml:space="preserve">, </w:t>
      </w:r>
      <w:r w:rsidR="00DE6620" w:rsidRPr="00607633">
        <w:rPr>
          <w:bCs/>
        </w:rPr>
        <w:t>la CE 20 de l'UIT-T a approuvé 13 Recommandations</w:t>
      </w:r>
      <w:r w:rsidRPr="00607633">
        <w:rPr>
          <w:bCs/>
        </w:rPr>
        <w:t xml:space="preserve">: </w:t>
      </w:r>
      <w:hyperlink r:id="rId52" w:history="1">
        <w:r w:rsidR="00DE6620" w:rsidRPr="00607633">
          <w:rPr>
            <w:rStyle w:val="Hyperlink"/>
            <w:bCs/>
          </w:rPr>
          <w:t>UIT-T</w:t>
        </w:r>
        <w:r w:rsidRPr="00607633">
          <w:rPr>
            <w:rStyle w:val="Hyperlink"/>
            <w:bCs/>
          </w:rPr>
          <w:t xml:space="preserve"> Y.4208</w:t>
        </w:r>
        <w:r w:rsidRPr="00607633">
          <w:t xml:space="preserve"> </w:t>
        </w:r>
        <w:r w:rsidR="00DE6620" w:rsidRPr="00607633">
          <w:t>"</w:t>
        </w:r>
        <w:r w:rsidR="00DE6620" w:rsidRPr="00607633">
          <w:rPr>
            <w:color w:val="000000"/>
          </w:rPr>
          <w:t xml:space="preserve">Exigences </w:t>
        </w:r>
        <w:r w:rsidR="003175C6" w:rsidRPr="00607633">
          <w:rPr>
            <w:color w:val="000000"/>
          </w:rPr>
          <w:t xml:space="preserve">de </w:t>
        </w:r>
        <w:r w:rsidR="00DE6620" w:rsidRPr="00607633">
          <w:rPr>
            <w:color w:val="000000"/>
          </w:rPr>
          <w:t>l'IoT pour la prise en charge de l'informatique en périphérie",</w:t>
        </w:r>
        <w:r w:rsidR="00DE6620" w:rsidRPr="00607633">
          <w:t xml:space="preserve"> </w:t>
        </w:r>
      </w:hyperlink>
      <w:hyperlink r:id="rId53" w:history="1">
        <w:r w:rsidR="00DE6620" w:rsidRPr="00607633">
          <w:rPr>
            <w:rStyle w:val="Hyperlink"/>
            <w:bCs/>
          </w:rPr>
          <w:t>UIT</w:t>
        </w:r>
        <w:r w:rsidR="00607633" w:rsidRPr="00607633">
          <w:rPr>
            <w:rStyle w:val="Hyperlink"/>
            <w:bCs/>
          </w:rPr>
          <w:noBreakHyphen/>
        </w:r>
        <w:r w:rsidR="00DE6620" w:rsidRPr="00607633">
          <w:rPr>
            <w:rStyle w:val="Hyperlink"/>
            <w:bCs/>
          </w:rPr>
          <w:t>T</w:t>
        </w:r>
        <w:r w:rsidR="00607633" w:rsidRPr="00607633">
          <w:rPr>
            <w:rStyle w:val="Hyperlink"/>
            <w:bCs/>
          </w:rPr>
          <w:t> </w:t>
        </w:r>
        <w:r w:rsidRPr="00607633">
          <w:rPr>
            <w:rStyle w:val="Hyperlink"/>
            <w:bCs/>
          </w:rPr>
          <w:t>Y.4556</w:t>
        </w:r>
      </w:hyperlink>
      <w:r w:rsidRPr="00607633">
        <w:rPr>
          <w:bCs/>
        </w:rPr>
        <w:t xml:space="preserve"> </w:t>
      </w:r>
      <w:r w:rsidRPr="00607633">
        <w:rPr>
          <w:bCs/>
          <w:lang w:bidi="fr-FR"/>
        </w:rPr>
        <w:t>"Exigences et architecture fonctionnelle d'une communauté résidentielle intelligente"</w:t>
      </w:r>
      <w:r w:rsidR="00DE6620" w:rsidRPr="00607633">
        <w:rPr>
          <w:bCs/>
          <w:lang w:bidi="fr-FR"/>
        </w:rPr>
        <w:t>,</w:t>
      </w:r>
      <w:hyperlink r:id="rId54" w:history="1">
        <w:r w:rsidR="00DE6620" w:rsidRPr="00607633">
          <w:t xml:space="preserve"> </w:t>
        </w:r>
        <w:r w:rsidR="00DE6620" w:rsidRPr="00607633">
          <w:rPr>
            <w:rStyle w:val="Hyperlink"/>
            <w:bCs/>
          </w:rPr>
          <w:t>UIT-T</w:t>
        </w:r>
        <w:r w:rsidRPr="00607633">
          <w:rPr>
            <w:rStyle w:val="Hyperlink"/>
            <w:bCs/>
          </w:rPr>
          <w:t xml:space="preserve"> Y.4459 </w:t>
        </w:r>
        <w:r w:rsidR="00DE6620" w:rsidRPr="00607633">
          <w:t>"Architecture d'entité numérique pour l'interopérabilité</w:t>
        </w:r>
      </w:hyperlink>
      <w:r w:rsidR="00DE6620" w:rsidRPr="00607633">
        <w:t xml:space="preserve"> dans l'IoT"</w:t>
      </w:r>
      <w:r w:rsidRPr="00607633">
        <w:rPr>
          <w:bCs/>
        </w:rPr>
        <w:t xml:space="preserve">, </w:t>
      </w:r>
      <w:hyperlink r:id="rId55" w:history="1">
        <w:r w:rsidR="00DE6620" w:rsidRPr="00607633">
          <w:rPr>
            <w:rStyle w:val="Hyperlink"/>
            <w:bCs/>
          </w:rPr>
          <w:t>UIT-T</w:t>
        </w:r>
        <w:r w:rsidRPr="00607633">
          <w:rPr>
            <w:rStyle w:val="Hyperlink"/>
            <w:bCs/>
          </w:rPr>
          <w:t xml:space="preserve"> Y.4461 </w:t>
        </w:r>
        <w:r w:rsidR="00DE6620" w:rsidRPr="00607633">
          <w:t>"Cadre de données ouvertes dans les villes intelligentes"</w:t>
        </w:r>
      </w:hyperlink>
      <w:r w:rsidRPr="00607633">
        <w:rPr>
          <w:bCs/>
        </w:rPr>
        <w:t xml:space="preserve">, </w:t>
      </w:r>
      <w:hyperlink r:id="rId56" w:history="1">
        <w:r w:rsidR="00DE6620" w:rsidRPr="00607633">
          <w:rPr>
            <w:rStyle w:val="Hyperlink"/>
            <w:bCs/>
          </w:rPr>
          <w:t>UIT-T</w:t>
        </w:r>
        <w:r w:rsidRPr="00607633">
          <w:rPr>
            <w:rStyle w:val="Hyperlink"/>
            <w:bCs/>
          </w:rPr>
          <w:t xml:space="preserve"> Y.4462</w:t>
        </w:r>
      </w:hyperlink>
      <w:r w:rsidRPr="00607633">
        <w:rPr>
          <w:bCs/>
        </w:rPr>
        <w:t xml:space="preserve"> </w:t>
      </w:r>
      <w:r w:rsidR="00134B2A" w:rsidRPr="00607633">
        <w:rPr>
          <w:bCs/>
        </w:rPr>
        <w:t>"Exigences et architecture fonctionnelle applicables au service de corrélation ouverte des identités</w:t>
      </w:r>
      <w:r w:rsidR="00AA05FA" w:rsidRPr="00607633">
        <w:rPr>
          <w:bCs/>
        </w:rPr>
        <w:t xml:space="preserve"> IoT</w:t>
      </w:r>
      <w:r w:rsidR="00134B2A" w:rsidRPr="00607633">
        <w:rPr>
          <w:bCs/>
        </w:rPr>
        <w:t xml:space="preserve">", </w:t>
      </w:r>
      <w:hyperlink r:id="rId57" w:history="1">
        <w:r w:rsidR="00DE6620" w:rsidRPr="00607633">
          <w:rPr>
            <w:rStyle w:val="Hyperlink"/>
            <w:bCs/>
          </w:rPr>
          <w:t>UIT</w:t>
        </w:r>
        <w:r w:rsidR="00607633" w:rsidRPr="00607633">
          <w:rPr>
            <w:rStyle w:val="Hyperlink"/>
            <w:bCs/>
          </w:rPr>
          <w:noBreakHyphen/>
        </w:r>
        <w:r w:rsidR="00DE6620" w:rsidRPr="00607633">
          <w:rPr>
            <w:rStyle w:val="Hyperlink"/>
            <w:bCs/>
          </w:rPr>
          <w:t>T</w:t>
        </w:r>
        <w:r w:rsidR="00607633" w:rsidRPr="00607633">
          <w:rPr>
            <w:rStyle w:val="Hyperlink"/>
            <w:bCs/>
          </w:rPr>
          <w:t> </w:t>
        </w:r>
        <w:r w:rsidR="00134B2A" w:rsidRPr="00607633">
          <w:rPr>
            <w:rStyle w:val="Hyperlink"/>
            <w:bCs/>
          </w:rPr>
          <w:t>Y.4463</w:t>
        </w:r>
        <w:r w:rsidR="00134B2A" w:rsidRPr="00607633">
          <w:rPr>
            <w:rStyle w:val="Hyperlink"/>
            <w:bCs/>
            <w:i/>
          </w:rPr>
          <w:t xml:space="preserve"> </w:t>
        </w:r>
        <w:r w:rsidR="00DE6620" w:rsidRPr="00607633">
          <w:t>"</w:t>
        </w:r>
        <w:r w:rsidR="00AA05FA" w:rsidRPr="00607633">
          <w:rPr>
            <w:color w:val="000000"/>
          </w:rPr>
          <w:t xml:space="preserve">Cadre </w:t>
        </w:r>
        <w:r w:rsidR="00DE6620" w:rsidRPr="00607633">
          <w:rPr>
            <w:color w:val="000000"/>
          </w:rPr>
          <w:t>du service de délégation pour les dispositifs IoT",</w:t>
        </w:r>
        <w:r w:rsidR="00DE6620" w:rsidRPr="00607633">
          <w:t xml:space="preserve"> </w:t>
        </w:r>
      </w:hyperlink>
      <w:hyperlink r:id="rId58" w:history="1">
        <w:r w:rsidR="00DE6620" w:rsidRPr="00607633">
          <w:rPr>
            <w:rStyle w:val="Hyperlink"/>
            <w:bCs/>
          </w:rPr>
          <w:t>UIT-T</w:t>
        </w:r>
        <w:r w:rsidR="00134B2A" w:rsidRPr="00607633">
          <w:rPr>
            <w:rStyle w:val="Hyperlink"/>
            <w:bCs/>
          </w:rPr>
          <w:t xml:space="preserve"> Y.4464</w:t>
        </w:r>
        <w:r w:rsidR="00134B2A" w:rsidRPr="00607633">
          <w:rPr>
            <w:rStyle w:val="Hyperlink"/>
            <w:bCs/>
            <w:i/>
          </w:rPr>
          <w:t xml:space="preserve"> </w:t>
        </w:r>
      </w:hyperlink>
      <w:r w:rsidR="00134B2A" w:rsidRPr="00607633">
        <w:rPr>
          <w:bCs/>
        </w:rPr>
        <w:t>"</w:t>
      </w:r>
      <w:r w:rsidR="00DE6620" w:rsidRPr="00607633">
        <w:rPr>
          <w:color w:val="000000"/>
        </w:rPr>
        <w:t>Cadre de chaîne de blocs d'objets en tant que plate-forme de services décentralisée</w:t>
      </w:r>
      <w:r w:rsidR="00134B2A" w:rsidRPr="00607633">
        <w:t xml:space="preserve">", </w:t>
      </w:r>
      <w:hyperlink r:id="rId59" w:history="1">
        <w:r w:rsidR="00DE6620" w:rsidRPr="00607633">
          <w:rPr>
            <w:rStyle w:val="Hyperlink"/>
            <w:bCs/>
            <w:iCs/>
          </w:rPr>
          <w:t>UIT-T</w:t>
        </w:r>
        <w:r w:rsidR="00134B2A" w:rsidRPr="00607633">
          <w:rPr>
            <w:rStyle w:val="Hyperlink"/>
            <w:bCs/>
            <w:iCs/>
          </w:rPr>
          <w:t xml:space="preserve"> Y.4465</w:t>
        </w:r>
        <w:r w:rsidR="00134B2A" w:rsidRPr="00607633">
          <w:rPr>
            <w:rStyle w:val="Hyperlink"/>
            <w:bCs/>
            <w:i/>
          </w:rPr>
          <w:t xml:space="preserve"> </w:t>
        </w:r>
        <w:r w:rsidR="00DE6620" w:rsidRPr="00607633">
          <w:t>"Cadre de services IoT fondé</w:t>
        </w:r>
        <w:r w:rsidR="00AA05FA" w:rsidRPr="00607633">
          <w:t>s</w:t>
        </w:r>
        <w:r w:rsidR="00DE6620" w:rsidRPr="00607633">
          <w:t xml:space="preserve"> sur les communications par lumière visible"</w:t>
        </w:r>
      </w:hyperlink>
      <w:r w:rsidR="00DE6620" w:rsidRPr="00607633">
        <w:t>,</w:t>
      </w:r>
      <w:r w:rsidR="00134B2A" w:rsidRPr="00607633">
        <w:rPr>
          <w:bCs/>
        </w:rPr>
        <w:t xml:space="preserve"> </w:t>
      </w:r>
      <w:hyperlink r:id="rId60" w:history="1">
        <w:r w:rsidR="00DE6620" w:rsidRPr="00607633">
          <w:rPr>
            <w:rStyle w:val="Hyperlink"/>
            <w:bCs/>
          </w:rPr>
          <w:t>UIT-T</w:t>
        </w:r>
        <w:r w:rsidR="00134B2A" w:rsidRPr="00607633">
          <w:rPr>
            <w:rStyle w:val="Hyperlink"/>
            <w:bCs/>
          </w:rPr>
          <w:t xml:space="preserve"> Y.4466</w:t>
        </w:r>
        <w:r w:rsidR="00134B2A" w:rsidRPr="00607633">
          <w:t xml:space="preserve"> </w:t>
        </w:r>
        <w:r w:rsidR="00DE6620" w:rsidRPr="00607633">
          <w:t>"</w:t>
        </w:r>
        <w:r w:rsidR="00A62D48" w:rsidRPr="00607633">
          <w:rPr>
            <w:color w:val="000000"/>
          </w:rPr>
          <w:t>Cadre du service de serre intelligente",</w:t>
        </w:r>
        <w:r w:rsidR="00A62D48" w:rsidRPr="00607633">
          <w:t xml:space="preserve"> </w:t>
        </w:r>
      </w:hyperlink>
      <w:hyperlink r:id="rId61" w:history="1">
        <w:r w:rsidR="00DE6620" w:rsidRPr="00607633">
          <w:rPr>
            <w:rStyle w:val="Hyperlink"/>
            <w:bCs/>
          </w:rPr>
          <w:t>UIT-T</w:t>
        </w:r>
        <w:r w:rsidR="00134B2A" w:rsidRPr="00607633">
          <w:rPr>
            <w:rStyle w:val="Hyperlink"/>
            <w:bCs/>
          </w:rPr>
          <w:t xml:space="preserve"> Y.4467</w:t>
        </w:r>
      </w:hyperlink>
      <w:r w:rsidR="00134B2A" w:rsidRPr="00607633">
        <w:t xml:space="preserve"> "</w:t>
      </w:r>
      <w:r w:rsidR="000106CF" w:rsidRPr="00607633">
        <w:t>S</w:t>
      </w:r>
      <w:r w:rsidR="00134B2A" w:rsidRPr="00607633">
        <w:t>tructure de</w:t>
      </w:r>
      <w:r w:rsidR="000106CF" w:rsidRPr="00607633">
        <w:t xml:space="preserve"> l'ensemble minimal de</w:t>
      </w:r>
      <w:r w:rsidR="00134B2A" w:rsidRPr="00607633">
        <w:t xml:space="preserve"> données pour le système </w:t>
      </w:r>
      <w:r w:rsidR="000106CF" w:rsidRPr="00607633">
        <w:t>d'intervention</w:t>
      </w:r>
      <w:r w:rsidR="00134B2A" w:rsidRPr="00607633">
        <w:t xml:space="preserve"> d'urgence pour automobile", </w:t>
      </w:r>
      <w:hyperlink r:id="rId62" w:history="1">
        <w:r w:rsidR="00DE6620" w:rsidRPr="00607633">
          <w:rPr>
            <w:rStyle w:val="Hyperlink"/>
          </w:rPr>
          <w:t>UIT-T</w:t>
        </w:r>
        <w:r w:rsidR="00134B2A" w:rsidRPr="00607633">
          <w:rPr>
            <w:rStyle w:val="Hyperlink"/>
          </w:rPr>
          <w:t xml:space="preserve"> Y.4468</w:t>
        </w:r>
      </w:hyperlink>
      <w:r w:rsidR="00502E49" w:rsidRPr="00607633">
        <w:t xml:space="preserve"> "</w:t>
      </w:r>
      <w:r w:rsidR="000106CF" w:rsidRPr="00607633">
        <w:t>P</w:t>
      </w:r>
      <w:r w:rsidR="00502E49" w:rsidRPr="00607633">
        <w:t xml:space="preserve">rotocole de transfert </w:t>
      </w:r>
      <w:r w:rsidR="000106CF" w:rsidRPr="00607633">
        <w:t xml:space="preserve">de l'ensemble minimal </w:t>
      </w:r>
      <w:r w:rsidR="00502E49" w:rsidRPr="00607633">
        <w:t xml:space="preserve">de données pour le système </w:t>
      </w:r>
      <w:r w:rsidR="000106CF" w:rsidRPr="00607633">
        <w:t>d'intervention</w:t>
      </w:r>
      <w:r w:rsidR="00502E49" w:rsidRPr="00607633">
        <w:t xml:space="preserve"> d'urgence pour automobile", </w:t>
      </w:r>
      <w:hyperlink r:id="rId63" w:history="1">
        <w:r w:rsidR="00DE6620" w:rsidRPr="00607633">
          <w:rPr>
            <w:rStyle w:val="Hyperlink"/>
          </w:rPr>
          <w:t>UIT-T</w:t>
        </w:r>
        <w:r w:rsidR="00502E49" w:rsidRPr="00607633">
          <w:rPr>
            <w:rStyle w:val="Hyperlink"/>
          </w:rPr>
          <w:t xml:space="preserve"> Y.4807 </w:t>
        </w:r>
        <w:r w:rsidR="00A62D48" w:rsidRPr="00607633">
          <w:t>"</w:t>
        </w:r>
        <w:r w:rsidR="000106CF" w:rsidRPr="00607633">
          <w:t>Intégration de l'agilité dès la</w:t>
        </w:r>
        <w:r w:rsidR="00A84348" w:rsidRPr="00607633">
          <w:t xml:space="preserve"> conception </w:t>
        </w:r>
        <w:r w:rsidR="000106CF" w:rsidRPr="00607633">
          <w:t xml:space="preserve">pour la sécurité </w:t>
        </w:r>
        <w:r w:rsidR="00A84348" w:rsidRPr="00607633">
          <w:t xml:space="preserve">des systèmes de télécommunication/TIC </w:t>
        </w:r>
        <w:r w:rsidR="000106CF" w:rsidRPr="00607633">
          <w:t>utilisés</w:t>
        </w:r>
        <w:r w:rsidR="00A84348" w:rsidRPr="00607633">
          <w:t xml:space="preserve"> dans l'Internet des objets</w:t>
        </w:r>
        <w:r w:rsidR="00A62D48" w:rsidRPr="00607633">
          <w:t>"</w:t>
        </w:r>
      </w:hyperlink>
      <w:r w:rsidR="00502E49" w:rsidRPr="00607633">
        <w:rPr>
          <w:bCs/>
          <w:i/>
        </w:rPr>
        <w:t>,</w:t>
      </w:r>
      <w:r w:rsidR="00502E49" w:rsidRPr="00607633">
        <w:rPr>
          <w:bCs/>
        </w:rPr>
        <w:t xml:space="preserve"> </w:t>
      </w:r>
      <w:bookmarkStart w:id="8" w:name="_GoBack"/>
      <w:bookmarkEnd w:id="8"/>
      <w:r w:rsidR="00A62D48" w:rsidRPr="00607633">
        <w:rPr>
          <w:bCs/>
        </w:rPr>
        <w:t>et</w:t>
      </w:r>
      <w:r w:rsidR="00502E49" w:rsidRPr="00607633">
        <w:rPr>
          <w:bCs/>
        </w:rPr>
        <w:t xml:space="preserve"> </w:t>
      </w:r>
      <w:hyperlink r:id="rId64" w:history="1">
        <w:r w:rsidR="00DE6620" w:rsidRPr="00607633">
          <w:rPr>
            <w:rStyle w:val="Hyperlink"/>
            <w:bCs/>
            <w:iCs/>
          </w:rPr>
          <w:t>UIT-T</w:t>
        </w:r>
        <w:r w:rsidR="00502E49" w:rsidRPr="00607633">
          <w:rPr>
            <w:rStyle w:val="Hyperlink"/>
            <w:bCs/>
            <w:iCs/>
          </w:rPr>
          <w:t xml:space="preserve"> Y.4904</w:t>
        </w:r>
        <w:r w:rsidR="00502E49" w:rsidRPr="00607633">
          <w:rPr>
            <w:rStyle w:val="Hyperlink"/>
            <w:bCs/>
            <w:i/>
          </w:rPr>
          <w:t xml:space="preserve"> </w:t>
        </w:r>
        <w:r w:rsidR="00A62D48" w:rsidRPr="00607633">
          <w:t xml:space="preserve">"Modèle de maturité </w:t>
        </w:r>
        <w:r w:rsidR="00833FEF" w:rsidRPr="00607633">
          <w:t>pour les</w:t>
        </w:r>
        <w:r w:rsidR="00A62D48" w:rsidRPr="00607633">
          <w:t xml:space="preserve"> villes intelligentes et durables"</w:t>
        </w:r>
        <w:r w:rsidR="00502E49" w:rsidRPr="00607633">
          <w:t>.</w:t>
        </w:r>
      </w:hyperlink>
      <w:r w:rsidR="00502E49" w:rsidRPr="00607633">
        <w:rPr>
          <w:bCs/>
        </w:rPr>
        <w:t xml:space="preserve"> </w:t>
      </w:r>
      <w:r w:rsidR="00A62D48" w:rsidRPr="00607633">
        <w:rPr>
          <w:bCs/>
        </w:rPr>
        <w:t xml:space="preserve">La CE 20 a </w:t>
      </w:r>
      <w:r w:rsidR="000106CF" w:rsidRPr="00607633">
        <w:rPr>
          <w:bCs/>
        </w:rPr>
        <w:t>en outre donné son consentement pour</w:t>
      </w:r>
      <w:r w:rsidR="00A62D48" w:rsidRPr="00607633">
        <w:rPr>
          <w:bCs/>
        </w:rPr>
        <w:t xml:space="preserve"> deux projets de </w:t>
      </w:r>
      <w:r w:rsidR="00365228">
        <w:rPr>
          <w:bCs/>
        </w:rPr>
        <w:br w:type="page"/>
      </w:r>
    </w:p>
    <w:p w14:paraId="5383171A" w14:textId="3A41152A" w:rsidR="00582ED3" w:rsidRPr="00607633" w:rsidRDefault="00A62D48" w:rsidP="00426296">
      <w:r w:rsidRPr="00607633">
        <w:rPr>
          <w:bCs/>
        </w:rPr>
        <w:lastRenderedPageBreak/>
        <w:t>Recommandation (en cours d'approbation</w:t>
      </w:r>
      <w:r w:rsidR="00502E49" w:rsidRPr="00607633">
        <w:rPr>
          <w:bCs/>
        </w:rPr>
        <w:t xml:space="preserve">): </w:t>
      </w:r>
      <w:r w:rsidR="00DE6620" w:rsidRPr="00607633">
        <w:rPr>
          <w:bCs/>
          <w:iCs/>
        </w:rPr>
        <w:t>UIT-T</w:t>
      </w:r>
      <w:r w:rsidR="00502E49" w:rsidRPr="00607633">
        <w:rPr>
          <w:bCs/>
          <w:iCs/>
        </w:rPr>
        <w:t xml:space="preserve"> Y.4209</w:t>
      </w:r>
      <w:r w:rsidR="00502E49" w:rsidRPr="00607633">
        <w:rPr>
          <w:bCs/>
          <w:i/>
        </w:rPr>
        <w:t xml:space="preserve"> </w:t>
      </w:r>
      <w:r w:rsidRPr="00426296">
        <w:rPr>
          <w:bCs/>
          <w:iCs/>
        </w:rPr>
        <w:t>"Exigences relatives à l'interfonctionnement de</w:t>
      </w:r>
      <w:r w:rsidR="00833FEF" w:rsidRPr="00426296">
        <w:rPr>
          <w:bCs/>
          <w:iCs/>
        </w:rPr>
        <w:t>s</w:t>
      </w:r>
      <w:r w:rsidRPr="00426296">
        <w:rPr>
          <w:bCs/>
          <w:iCs/>
        </w:rPr>
        <w:t xml:space="preserve"> ports intelligents et de</w:t>
      </w:r>
      <w:r w:rsidR="00833FEF" w:rsidRPr="00426296">
        <w:rPr>
          <w:bCs/>
          <w:iCs/>
        </w:rPr>
        <w:t>s</w:t>
      </w:r>
      <w:r w:rsidRPr="00426296">
        <w:rPr>
          <w:bCs/>
          <w:iCs/>
        </w:rPr>
        <w:t xml:space="preserve"> villes intelligentes" </w:t>
      </w:r>
      <w:r w:rsidRPr="00607633">
        <w:rPr>
          <w:bCs/>
          <w:iCs/>
        </w:rPr>
        <w:t xml:space="preserve">et </w:t>
      </w:r>
      <w:r w:rsidR="00DE6620" w:rsidRPr="00607633">
        <w:rPr>
          <w:bCs/>
          <w:iCs/>
        </w:rPr>
        <w:t>UIT-T</w:t>
      </w:r>
      <w:r w:rsidR="00502E49" w:rsidRPr="00607633">
        <w:rPr>
          <w:bCs/>
        </w:rPr>
        <w:t xml:space="preserve"> Y.4903/L.1603 (</w:t>
      </w:r>
      <w:r w:rsidRPr="00607633">
        <w:rPr>
          <w:bCs/>
        </w:rPr>
        <w:t>révisée</w:t>
      </w:r>
      <w:r w:rsidR="00502E49" w:rsidRPr="00607633">
        <w:rPr>
          <w:bCs/>
        </w:rPr>
        <w:t xml:space="preserve">) </w:t>
      </w:r>
      <w:r w:rsidR="00502E49" w:rsidRPr="00426296">
        <w:rPr>
          <w:bCs/>
        </w:rPr>
        <w:t>"</w:t>
      </w:r>
      <w:r w:rsidR="001F1E43" w:rsidRPr="00426296">
        <w:t>Indicateurs fondamentaux de performance pour les villes intelligentes et durables à utiliser pour évaluer la réalisation des Objectifs de développement durable".</w:t>
      </w:r>
    </w:p>
    <w:p w14:paraId="3FE2DE66" w14:textId="7596F952" w:rsidR="001F1E43" w:rsidRPr="00607633" w:rsidRDefault="001F1E43" w:rsidP="0077196B">
      <w:r w:rsidRPr="00607633">
        <w:t>2.4.1</w:t>
      </w:r>
      <w:r w:rsidRPr="00607633">
        <w:tab/>
        <w:t>La normalisation des spécifications de test pour l'Internet des objets progresse rapidement, appuyée par la collaboration croissante entre l'UIT-T et oneM2M.</w:t>
      </w:r>
    </w:p>
    <w:p w14:paraId="429A62E2" w14:textId="49A77D3E" w:rsidR="001F1E43" w:rsidRPr="00607633" w:rsidRDefault="001F1E43" w:rsidP="0077196B">
      <w:r w:rsidRPr="00607633">
        <w:t>2.4.2</w:t>
      </w:r>
      <w:r w:rsidRPr="00607633">
        <w:tab/>
      </w:r>
      <w:r w:rsidR="00A62D48" w:rsidRPr="00607633">
        <w:t xml:space="preserve">Plus de 100 villes du monde entier mesurent actuellement les progrès qu'elles ont accomplis au moyen des </w:t>
      </w:r>
      <w:r w:rsidR="00A62D48" w:rsidRPr="00607633">
        <w:rPr>
          <w:i/>
          <w:iCs/>
        </w:rPr>
        <w:t>"Indicateurs fondamentaux de performance pour les villes intelligentes et durables"</w:t>
      </w:r>
      <w:r w:rsidR="00A62D48" w:rsidRPr="00607633">
        <w:t>, qui reposent sur les normes de l'UIT</w:t>
      </w:r>
      <w:r w:rsidR="001E27B3" w:rsidRPr="00607633">
        <w:t xml:space="preserve"> </w:t>
      </w:r>
      <w:r w:rsidR="000106CF" w:rsidRPr="00607633">
        <w:t>mises en avant</w:t>
      </w:r>
      <w:r w:rsidR="001E27B3" w:rsidRPr="00607633">
        <w:t xml:space="preserve"> dans le cadre de l'initiative "Tous unis pour des villes intelligentes et durables" (U4SCC)</w:t>
      </w:r>
      <w:r w:rsidRPr="00607633">
        <w:t>.</w:t>
      </w:r>
    </w:p>
    <w:p w14:paraId="37D048F3" w14:textId="5952B29C" w:rsidR="001F1E43" w:rsidRPr="00607633" w:rsidRDefault="001F1E43" w:rsidP="0077196B">
      <w:r w:rsidRPr="00607633">
        <w:t>2.4.3</w:t>
      </w:r>
      <w:r w:rsidRPr="00607633">
        <w:tab/>
      </w:r>
      <w:r w:rsidR="001E27B3" w:rsidRPr="00607633">
        <w:t xml:space="preserve">La CE 20 a poursuivi </w:t>
      </w:r>
      <w:r w:rsidR="000106CF" w:rsidRPr="00607633">
        <w:t>le travail de</w:t>
      </w:r>
      <w:r w:rsidR="001E27B3" w:rsidRPr="00607633">
        <w:t xml:space="preserve"> coordination </w:t>
      </w:r>
      <w:r w:rsidR="000106CF" w:rsidRPr="00607633">
        <w:t xml:space="preserve">concernant </w:t>
      </w:r>
      <w:r w:rsidR="001E27B3" w:rsidRPr="00607633">
        <w:t xml:space="preserve">l'IoT dans le cadre </w:t>
      </w:r>
      <w:r w:rsidR="00BE56D9" w:rsidRPr="00607633">
        <w:t>de l'</w:t>
      </w:r>
      <w:r w:rsidR="001E27B3" w:rsidRPr="00607633">
        <w:t xml:space="preserve">Activité conjointe </w:t>
      </w:r>
      <w:r w:rsidR="00BE56D9" w:rsidRPr="00607633">
        <w:t>sur l'IoT et</w:t>
      </w:r>
      <w:r w:rsidR="001E27B3" w:rsidRPr="00607633">
        <w:t xml:space="preserve"> les villes et communautés intelligentes</w:t>
      </w:r>
      <w:r w:rsidR="00BD37F5" w:rsidRPr="00607633">
        <w:t>,</w:t>
      </w:r>
      <w:r w:rsidR="0097204F" w:rsidRPr="00607633">
        <w:t xml:space="preserve"> qui est sous sa responsabilité</w:t>
      </w:r>
      <w:r w:rsidR="00BE56D9" w:rsidRPr="00607633">
        <w:t>.</w:t>
      </w:r>
      <w:r w:rsidR="001E27B3" w:rsidRPr="00607633">
        <w:t xml:space="preserve"> </w:t>
      </w:r>
      <w:r w:rsidR="00BE56D9" w:rsidRPr="00607633">
        <w:t>À l'heure actuelle, la CE 20 travaille en collaboration avec l'A</w:t>
      </w:r>
      <w:r w:rsidR="00AA05FA" w:rsidRPr="00607633">
        <w:t>gence nationale pour la société de l'information (A</w:t>
      </w:r>
      <w:r w:rsidR="00BE56D9" w:rsidRPr="00607633">
        <w:t>NSI</w:t>
      </w:r>
      <w:r w:rsidR="00AA05FA" w:rsidRPr="00607633">
        <w:t>)</w:t>
      </w:r>
      <w:r w:rsidR="00BE56D9" w:rsidRPr="00607633">
        <w:t xml:space="preserve">, </w:t>
      </w:r>
      <w:r w:rsidR="00AA05FA" w:rsidRPr="00607633">
        <w:rPr>
          <w:color w:val="000000"/>
        </w:rPr>
        <w:t>la Global System Mobile Association (GSMA)</w:t>
      </w:r>
      <w:r w:rsidR="00BE56D9" w:rsidRPr="00607633">
        <w:t xml:space="preserve">, </w:t>
      </w:r>
      <w:r w:rsidR="00BD37F5" w:rsidRPr="00607633">
        <w:rPr>
          <w:color w:val="000000"/>
        </w:rPr>
        <w:t xml:space="preserve">l'Institut d'ingénierie électrique et électronique </w:t>
      </w:r>
      <w:r w:rsidR="0097204F" w:rsidRPr="00607633">
        <w:rPr>
          <w:color w:val="000000"/>
        </w:rPr>
        <w:t>(IEEE)</w:t>
      </w:r>
      <w:r w:rsidR="00BE56D9" w:rsidRPr="00607633">
        <w:t xml:space="preserve">, la </w:t>
      </w:r>
      <w:r w:rsidR="0097204F" w:rsidRPr="00607633">
        <w:t>Commission électrotechnique internationale (CEI)</w:t>
      </w:r>
      <w:r w:rsidR="00BE56D9" w:rsidRPr="00607633">
        <w:t>,</w:t>
      </w:r>
      <w:r w:rsidR="0097204F" w:rsidRPr="00607633">
        <w:t xml:space="preserve"> l'</w:t>
      </w:r>
      <w:r w:rsidR="0097204F" w:rsidRPr="00607633">
        <w:rPr>
          <w:color w:val="000000"/>
        </w:rPr>
        <w:t>Organisation internationale de normalisation</w:t>
      </w:r>
      <w:r w:rsidR="0097204F" w:rsidRPr="00607633">
        <w:t xml:space="preserve"> (</w:t>
      </w:r>
      <w:r w:rsidR="00BE56D9" w:rsidRPr="00607633">
        <w:t>ISO</w:t>
      </w:r>
      <w:r w:rsidR="0097204F" w:rsidRPr="00607633">
        <w:t>)</w:t>
      </w:r>
      <w:r w:rsidR="00BE56D9" w:rsidRPr="00607633">
        <w:t>,</w:t>
      </w:r>
      <w:r w:rsidR="00BD37F5" w:rsidRPr="00607633">
        <w:t xml:space="preserve"> CEN</w:t>
      </w:r>
      <w:r w:rsidRPr="00607633">
        <w:t>/CENELEC/ETSI</w:t>
      </w:r>
      <w:r w:rsidR="00BE56D9" w:rsidRPr="00607633">
        <w:t xml:space="preserve"> et </w:t>
      </w:r>
      <w:r w:rsidRPr="00607633">
        <w:t xml:space="preserve">oneM2M </w:t>
      </w:r>
      <w:r w:rsidR="00BE56D9" w:rsidRPr="00607633">
        <w:t xml:space="preserve">sur les exigences et le cadre des capacités </w:t>
      </w:r>
      <w:r w:rsidR="00BD37F5" w:rsidRPr="00607633">
        <w:t>des</w:t>
      </w:r>
      <w:r w:rsidR="00BE56D9" w:rsidRPr="00607633">
        <w:t xml:space="preserve"> compteurs de services collectifs intelligents</w:t>
      </w:r>
      <w:r w:rsidR="006B7387" w:rsidRPr="00607633">
        <w:t>;</w:t>
      </w:r>
      <w:r w:rsidR="00BE56D9" w:rsidRPr="00607633">
        <w:t xml:space="preserve"> avec l'ETSI MEC (Mobile Edge Computing), l</w:t>
      </w:r>
      <w:r w:rsidR="00BD37F5" w:rsidRPr="00607633">
        <w:t xml:space="preserve">e </w:t>
      </w:r>
      <w:r w:rsidR="00BD37F5" w:rsidRPr="00607633">
        <w:rPr>
          <w:color w:val="000000"/>
        </w:rPr>
        <w:t>Comité des communications électroniques (ECC)</w:t>
      </w:r>
      <w:r w:rsidR="00BE56D9" w:rsidRPr="00607633">
        <w:t xml:space="preserve">, </w:t>
      </w:r>
      <w:r w:rsidR="005A467D" w:rsidRPr="00607633">
        <w:t>le Consortium industrial Internet (CII)</w:t>
      </w:r>
      <w:r w:rsidR="00BE56D9" w:rsidRPr="00607633">
        <w:t xml:space="preserve">, </w:t>
      </w:r>
      <w:r w:rsidRPr="00607633">
        <w:t>oneM2M</w:t>
      </w:r>
      <w:r w:rsidR="00BE56D9" w:rsidRPr="00607633">
        <w:t xml:space="preserve"> et l</w:t>
      </w:r>
      <w:r w:rsidR="005A467D" w:rsidRPr="00607633">
        <w:t>e sous-comité 41 du Comité technique mixte 1 de l'</w:t>
      </w:r>
      <w:r w:rsidR="00BE56D9" w:rsidRPr="00607633">
        <w:t xml:space="preserve">ISO/CEI </w:t>
      </w:r>
      <w:r w:rsidR="005A467D" w:rsidRPr="00607633">
        <w:t>(ISO/CEI JTC 1 SC41)</w:t>
      </w:r>
      <w:r w:rsidR="00BE56D9" w:rsidRPr="00607633">
        <w:t xml:space="preserve"> sur le projet de </w:t>
      </w:r>
      <w:r w:rsidR="00BE56D9" w:rsidRPr="00607633">
        <w:rPr>
          <w:i/>
          <w:iCs/>
        </w:rPr>
        <w:t xml:space="preserve">Recommandation UIT-T "Exigences </w:t>
      </w:r>
      <w:r w:rsidR="003175C6" w:rsidRPr="00607633">
        <w:rPr>
          <w:i/>
          <w:iCs/>
        </w:rPr>
        <w:t>de</w:t>
      </w:r>
      <w:r w:rsidR="00BE56D9" w:rsidRPr="00607633">
        <w:rPr>
          <w:i/>
          <w:iCs/>
        </w:rPr>
        <w:t xml:space="preserve"> l'IoT pour la prise en charge de l'informatique en périphérie"</w:t>
      </w:r>
      <w:r w:rsidRPr="00607633">
        <w:t>,</w:t>
      </w:r>
      <w:r w:rsidR="00BE56D9" w:rsidRPr="00607633">
        <w:t xml:space="preserve"> qui a fait l'objet d'un consentement</w:t>
      </w:r>
      <w:r w:rsidR="006B7387" w:rsidRPr="00607633">
        <w:t>;</w:t>
      </w:r>
      <w:r w:rsidR="00BE56D9" w:rsidRPr="00607633">
        <w:t xml:space="preserve"> avec </w:t>
      </w:r>
      <w:r w:rsidR="00BD37F5" w:rsidRPr="00607633">
        <w:rPr>
          <w:color w:val="000000"/>
        </w:rPr>
        <w:t xml:space="preserve">le Groupe d'étude sur l'ingénierie Internet (IETF), </w:t>
      </w:r>
      <w:r w:rsidR="00BE56D9" w:rsidRPr="00607633">
        <w:t>sur l'utilisation du nom de système URI "ppk" dans l'architecture</w:t>
      </w:r>
      <w:r w:rsidR="00F075A7">
        <w:t> </w:t>
      </w:r>
      <w:r w:rsidRPr="00607633">
        <w:t>Y.dec</w:t>
      </w:r>
      <w:r w:rsidR="00607633" w:rsidRPr="00607633">
        <w:noBreakHyphen/>
      </w:r>
      <w:r w:rsidRPr="00607633">
        <w:t>IoT-arch</w:t>
      </w:r>
      <w:r w:rsidR="006B7387" w:rsidRPr="00607633">
        <w:t>;</w:t>
      </w:r>
      <w:r w:rsidRPr="00607633">
        <w:t xml:space="preserve"> </w:t>
      </w:r>
      <w:r w:rsidR="00BE56D9" w:rsidRPr="00607633">
        <w:t>avec</w:t>
      </w:r>
      <w:r w:rsidRPr="00607633">
        <w:t xml:space="preserve"> oneM2M</w:t>
      </w:r>
      <w:r w:rsidR="00BD37F5" w:rsidRPr="00607633">
        <w:t xml:space="preserve">, </w:t>
      </w:r>
      <w:r w:rsidR="00BE56D9" w:rsidRPr="00607633">
        <w:t>sur le projet de nouvelle</w:t>
      </w:r>
      <w:r w:rsidRPr="00607633">
        <w:t xml:space="preserve"> </w:t>
      </w:r>
      <w:r w:rsidRPr="00607633">
        <w:rPr>
          <w:i/>
        </w:rPr>
        <w:t>Recomm</w:t>
      </w:r>
      <w:r w:rsidR="00BE56D9" w:rsidRPr="00607633">
        <w:rPr>
          <w:i/>
        </w:rPr>
        <w:t>a</w:t>
      </w:r>
      <w:r w:rsidRPr="00607633">
        <w:rPr>
          <w:i/>
        </w:rPr>
        <w:t xml:space="preserve">ndation </w:t>
      </w:r>
      <w:r w:rsidR="00BE56D9" w:rsidRPr="00607633">
        <w:rPr>
          <w:i/>
        </w:rPr>
        <w:t>UIT</w:t>
      </w:r>
      <w:r w:rsidR="00F075A7">
        <w:rPr>
          <w:i/>
        </w:rPr>
        <w:noBreakHyphen/>
      </w:r>
      <w:r w:rsidRPr="00607633">
        <w:rPr>
          <w:i/>
        </w:rPr>
        <w:t>T</w:t>
      </w:r>
      <w:r w:rsidR="00F075A7">
        <w:rPr>
          <w:i/>
        </w:rPr>
        <w:t> </w:t>
      </w:r>
      <w:r w:rsidRPr="00607633">
        <w:rPr>
          <w:i/>
        </w:rPr>
        <w:t>Y.oneM2M.SEC.SOL "</w:t>
      </w:r>
      <w:r w:rsidR="000106CF" w:rsidRPr="00607633">
        <w:rPr>
          <w:i/>
        </w:rPr>
        <w:t>S</w:t>
      </w:r>
      <w:r w:rsidR="00BE56D9" w:rsidRPr="00607633">
        <w:rPr>
          <w:i/>
        </w:rPr>
        <w:t>olutions de sécurité</w:t>
      </w:r>
      <w:r w:rsidR="000106CF" w:rsidRPr="00607633">
        <w:rPr>
          <w:i/>
        </w:rPr>
        <w:t xml:space="preserve"> oneM2M</w:t>
      </w:r>
      <w:r w:rsidRPr="00607633">
        <w:rPr>
          <w:i/>
        </w:rPr>
        <w:t>"</w:t>
      </w:r>
      <w:r w:rsidR="006B7387" w:rsidRPr="00607633">
        <w:t>;</w:t>
      </w:r>
      <w:r w:rsidRPr="00607633">
        <w:t xml:space="preserve"> </w:t>
      </w:r>
      <w:r w:rsidR="00BE56D9" w:rsidRPr="00607633">
        <w:t>et avec le World Wide Web Consortium</w:t>
      </w:r>
      <w:r w:rsidRPr="00607633">
        <w:t xml:space="preserve"> </w:t>
      </w:r>
      <w:r w:rsidR="00BE56D9" w:rsidRPr="00607633">
        <w:t>(</w:t>
      </w:r>
      <w:r w:rsidRPr="00607633">
        <w:t>W3C</w:t>
      </w:r>
      <w:r w:rsidR="00BE56D9" w:rsidRPr="00607633">
        <w:t>)</w:t>
      </w:r>
      <w:r w:rsidRPr="00607633">
        <w:t xml:space="preserve"> </w:t>
      </w:r>
      <w:r w:rsidR="006B7387" w:rsidRPr="00607633">
        <w:t>sur les identifiants décentralisés</w:t>
      </w:r>
      <w:r w:rsidRPr="00607633">
        <w:t>.</w:t>
      </w:r>
    </w:p>
    <w:p w14:paraId="58ADB0B9" w14:textId="2171FE48" w:rsidR="001F1E43" w:rsidRPr="00607633" w:rsidRDefault="001F1E43" w:rsidP="0077196B">
      <w:pPr>
        <w:rPr>
          <w:rFonts w:asciiTheme="minorHAnsi" w:hAnsiTheme="minorHAnsi" w:cstheme="minorHAnsi"/>
          <w:bCs/>
        </w:rPr>
      </w:pPr>
      <w:r w:rsidRPr="00607633">
        <w:rPr>
          <w:b/>
        </w:rPr>
        <w:t>2.5</w:t>
      </w:r>
      <w:r w:rsidRPr="00607633">
        <w:tab/>
        <w:t xml:space="preserve"> </w:t>
      </w:r>
      <w:r w:rsidR="006B7387" w:rsidRPr="00607633">
        <w:t>La CE 12 de l'UIT-T a approuvé trois Recommandations UIT-T</w:t>
      </w:r>
      <w:r w:rsidRPr="00607633">
        <w:rPr>
          <w:iCs/>
        </w:rPr>
        <w:t>:</w:t>
      </w:r>
      <w:r w:rsidRPr="00607633">
        <w:rPr>
          <w:i/>
        </w:rPr>
        <w:t xml:space="preserve"> </w:t>
      </w:r>
      <w:hyperlink r:id="rId65" w:history="1">
        <w:r w:rsidR="006B7387" w:rsidRPr="00607633">
          <w:rPr>
            <w:rStyle w:val="Hyperlink"/>
            <w:szCs w:val="24"/>
          </w:rPr>
          <w:t>UIT-T</w:t>
        </w:r>
        <w:r w:rsidRPr="00607633">
          <w:rPr>
            <w:rStyle w:val="Hyperlink"/>
            <w:szCs w:val="24"/>
          </w:rPr>
          <w:t xml:space="preserve"> Y.1540 (r</w:t>
        </w:r>
        <w:r w:rsidR="006B7387" w:rsidRPr="00607633">
          <w:rPr>
            <w:rStyle w:val="Hyperlink"/>
            <w:szCs w:val="24"/>
          </w:rPr>
          <w:t>évisée</w:t>
        </w:r>
        <w:r w:rsidRPr="00607633">
          <w:rPr>
            <w:rStyle w:val="Hyperlink"/>
            <w:szCs w:val="24"/>
          </w:rPr>
          <w:t>)</w:t>
        </w:r>
        <w:r w:rsidRPr="00607633">
          <w:t xml:space="preserve"> </w:t>
        </w:r>
      </w:hyperlink>
      <w:r w:rsidRPr="00607633">
        <w:t xml:space="preserve">"Service de communication de données par protocole Internet – Paramètres de performance pour le transfert de paquets IP et la disponibilité de ce service", </w:t>
      </w:r>
      <w:hyperlink r:id="rId66" w:history="1">
        <w:r w:rsidR="006B7387" w:rsidRPr="00607633">
          <w:rPr>
            <w:rStyle w:val="Hyperlink"/>
          </w:rPr>
          <w:t>UIT-T</w:t>
        </w:r>
        <w:r w:rsidRPr="00607633">
          <w:rPr>
            <w:rStyle w:val="Hyperlink"/>
          </w:rPr>
          <w:t xml:space="preserve"> Y.1540 Amd.1</w:t>
        </w:r>
        <w:r w:rsidRPr="00607633">
          <w:t xml:space="preserve"> "Service de communication de données par protocole Internet – Paramètres de performance pour le transfert de paquets IP et la disponibilité de ce service</w:t>
        </w:r>
        <w:r w:rsidR="0089382B" w:rsidRPr="00607633">
          <w:t xml:space="preserve"> –</w:t>
        </w:r>
        <w:r w:rsidRPr="00607633">
          <w:t xml:space="preserve"> Amend</w:t>
        </w:r>
        <w:r w:rsidR="006B7387" w:rsidRPr="00607633">
          <w:t>e</w:t>
        </w:r>
        <w:r w:rsidRPr="00607633">
          <w:t>ment 1 – Amend</w:t>
        </w:r>
        <w:r w:rsidR="006B7387" w:rsidRPr="00607633">
          <w:t>e</w:t>
        </w:r>
        <w:r w:rsidRPr="00607633">
          <w:t xml:space="preserve">ment 1: </w:t>
        </w:r>
        <w:r w:rsidR="006B7387" w:rsidRPr="00607633">
          <w:t>Nouvelle Annexe</w:t>
        </w:r>
        <w:r w:rsidR="00607633" w:rsidRPr="00607633">
          <w:t> </w:t>
        </w:r>
        <w:r w:rsidR="006B7387" w:rsidRPr="00607633">
          <w:t>B</w:t>
        </w:r>
        <w:r w:rsidRPr="00607633">
          <w:t xml:space="preserve"> – </w:t>
        </w:r>
        <w:r w:rsidR="006B7387" w:rsidRPr="00607633">
          <w:t>Algorithme de recherche supplémentaire pour les paramètres et les méthodes de mesure de</w:t>
        </w:r>
        <w:r w:rsidR="005A467D" w:rsidRPr="00607633">
          <w:t xml:space="preserve"> la</w:t>
        </w:r>
        <w:r w:rsidR="006B7387" w:rsidRPr="00607633">
          <w:t xml:space="preserve"> capacité IP"</w:t>
        </w:r>
      </w:hyperlink>
      <w:r w:rsidR="006B7387" w:rsidRPr="00607633">
        <w:t xml:space="preserve"> et </w:t>
      </w:r>
      <w:hyperlink r:id="rId67" w:history="1">
        <w:r w:rsidR="006B7387" w:rsidRPr="00607633">
          <w:rPr>
            <w:rStyle w:val="Hyperlink"/>
          </w:rPr>
          <w:t>UIT-T E.475</w:t>
        </w:r>
      </w:hyperlink>
      <w:r w:rsidR="006B7387" w:rsidRPr="00607633">
        <w:t xml:space="preserve"> "Lignes directrices relatives à l'analyse et au diagnostic des réseaux intelligents". La CE 12 a aussi approuvé une série de normes (</w:t>
      </w:r>
      <w:r w:rsidR="00731ECD" w:rsidRPr="00607633">
        <w:rPr>
          <w:i/>
          <w:iCs/>
        </w:rPr>
        <w:t xml:space="preserve">relatives aux </w:t>
      </w:r>
      <w:r w:rsidR="007554B6" w:rsidRPr="00607633">
        <w:rPr>
          <w:i/>
          <w:iCs/>
        </w:rPr>
        <w:t xml:space="preserve">Recommandations UIT-T de la </w:t>
      </w:r>
      <w:r w:rsidR="006B7387" w:rsidRPr="00607633">
        <w:rPr>
          <w:i/>
          <w:iCs/>
        </w:rPr>
        <w:t xml:space="preserve">série </w:t>
      </w:r>
      <w:r w:rsidRPr="00607633">
        <w:rPr>
          <w:rFonts w:asciiTheme="minorHAnsi" w:hAnsiTheme="minorHAnsi" w:cstheme="minorHAnsi"/>
          <w:bCs/>
          <w:i/>
          <w:iCs/>
        </w:rPr>
        <w:t>P.1204</w:t>
      </w:r>
      <w:r w:rsidRPr="00607633">
        <w:rPr>
          <w:rFonts w:asciiTheme="minorHAnsi" w:hAnsiTheme="minorHAnsi" w:cstheme="minorHAnsi"/>
          <w:bCs/>
        </w:rPr>
        <w:t xml:space="preserve">) </w:t>
      </w:r>
      <w:r w:rsidR="006B7387" w:rsidRPr="00607633">
        <w:rPr>
          <w:rFonts w:asciiTheme="minorHAnsi" w:hAnsiTheme="minorHAnsi" w:cstheme="minorHAnsi"/>
          <w:bCs/>
        </w:rPr>
        <w:t xml:space="preserve">et </w:t>
      </w:r>
      <w:r w:rsidR="00731ECD" w:rsidRPr="00607633">
        <w:rPr>
          <w:rFonts w:asciiTheme="minorHAnsi" w:hAnsiTheme="minorHAnsi" w:cstheme="minorHAnsi"/>
          <w:bCs/>
        </w:rPr>
        <w:t>poursuit sa collaboration</w:t>
      </w:r>
      <w:r w:rsidR="006B7387" w:rsidRPr="00607633">
        <w:rPr>
          <w:rFonts w:asciiTheme="minorHAnsi" w:hAnsiTheme="minorHAnsi" w:cstheme="minorHAnsi"/>
          <w:bCs/>
        </w:rPr>
        <w:t xml:space="preserve"> afin d'harmoniser ses travaux avec le groupe de travail</w:t>
      </w:r>
      <w:r w:rsidR="007554B6" w:rsidRPr="00607633">
        <w:rPr>
          <w:rFonts w:asciiTheme="minorHAnsi" w:hAnsiTheme="minorHAnsi" w:cstheme="minorHAnsi"/>
          <w:bCs/>
        </w:rPr>
        <w:t xml:space="preserve"> IPPM (IP Performance Metrics) </w:t>
      </w:r>
      <w:r w:rsidR="00F7294B" w:rsidRPr="00607633">
        <w:rPr>
          <w:rFonts w:asciiTheme="minorHAnsi" w:hAnsiTheme="minorHAnsi" w:cstheme="minorHAnsi"/>
          <w:bCs/>
        </w:rPr>
        <w:t xml:space="preserve">de l'IETF, </w:t>
      </w:r>
      <w:r w:rsidR="007554B6" w:rsidRPr="00607633">
        <w:rPr>
          <w:rFonts w:asciiTheme="minorHAnsi" w:hAnsiTheme="minorHAnsi" w:cstheme="minorHAnsi"/>
          <w:bCs/>
        </w:rPr>
        <w:t xml:space="preserve">le Comité technique sur la qualité de transmission vocale et multimédia (STQ) de </w:t>
      </w:r>
      <w:r w:rsidR="00F7294B" w:rsidRPr="00607633">
        <w:rPr>
          <w:rFonts w:asciiTheme="minorHAnsi" w:hAnsiTheme="minorHAnsi" w:cstheme="minorHAnsi"/>
          <w:bCs/>
        </w:rPr>
        <w:t xml:space="preserve">l'ETSI </w:t>
      </w:r>
      <w:r w:rsidR="007554B6" w:rsidRPr="00607633">
        <w:rPr>
          <w:rFonts w:asciiTheme="minorHAnsi" w:hAnsiTheme="minorHAnsi" w:cstheme="minorHAnsi"/>
          <w:bCs/>
        </w:rPr>
        <w:t xml:space="preserve">(ETSI </w:t>
      </w:r>
      <w:r w:rsidR="00F7294B" w:rsidRPr="00607633">
        <w:rPr>
          <w:rFonts w:asciiTheme="minorHAnsi" w:hAnsiTheme="minorHAnsi" w:cstheme="minorHAnsi"/>
          <w:bCs/>
        </w:rPr>
        <w:t>TC STQ</w:t>
      </w:r>
      <w:r w:rsidR="007554B6" w:rsidRPr="00607633">
        <w:rPr>
          <w:rFonts w:asciiTheme="minorHAnsi" w:hAnsiTheme="minorHAnsi" w:cstheme="minorHAnsi"/>
          <w:bCs/>
        </w:rPr>
        <w:t>)</w:t>
      </w:r>
      <w:r w:rsidR="00F7294B" w:rsidRPr="00607633">
        <w:rPr>
          <w:rFonts w:asciiTheme="minorHAnsi" w:hAnsiTheme="minorHAnsi" w:cstheme="minorHAnsi"/>
          <w:bCs/>
        </w:rPr>
        <w:t xml:space="preserve"> et le Forum </w:t>
      </w:r>
      <w:r w:rsidR="007554B6" w:rsidRPr="00607633">
        <w:rPr>
          <w:rFonts w:asciiTheme="minorHAnsi" w:hAnsiTheme="minorHAnsi" w:cstheme="minorHAnsi"/>
          <w:bCs/>
        </w:rPr>
        <w:t>sur le large bande (BBF)</w:t>
      </w:r>
      <w:r w:rsidRPr="00607633">
        <w:rPr>
          <w:rFonts w:asciiTheme="minorHAnsi" w:hAnsiTheme="minorHAnsi" w:cstheme="minorHAnsi"/>
          <w:bCs/>
        </w:rPr>
        <w:t>.</w:t>
      </w:r>
    </w:p>
    <w:p w14:paraId="489CFCE9" w14:textId="41C891E8" w:rsidR="0089382B" w:rsidRPr="00607633" w:rsidRDefault="001F1E43" w:rsidP="0077196B">
      <w:pPr>
        <w:rPr>
          <w:bCs/>
        </w:rPr>
      </w:pPr>
      <w:r w:rsidRPr="00607633">
        <w:rPr>
          <w:rFonts w:asciiTheme="minorHAnsi" w:hAnsiTheme="minorHAnsi" w:cstheme="minorHAnsi"/>
          <w:b/>
          <w:bCs/>
        </w:rPr>
        <w:t>2.6</w:t>
      </w:r>
      <w:r w:rsidRPr="00607633">
        <w:rPr>
          <w:rFonts w:asciiTheme="minorHAnsi" w:hAnsiTheme="minorHAnsi" w:cstheme="minorHAnsi"/>
          <w:bCs/>
        </w:rPr>
        <w:tab/>
      </w:r>
      <w:r w:rsidR="00F7294B" w:rsidRPr="00607633">
        <w:rPr>
          <w:rFonts w:asciiTheme="minorHAnsi" w:hAnsiTheme="minorHAnsi" w:cstheme="minorHAnsi"/>
          <w:bCs/>
          <w:spacing w:val="-2"/>
        </w:rPr>
        <w:t xml:space="preserve">La CE 11 de l'UIT-T a approuvé le </w:t>
      </w:r>
      <w:hyperlink r:id="rId68" w:history="1">
        <w:r w:rsidR="00F7294B" w:rsidRPr="00607633">
          <w:rPr>
            <w:rStyle w:val="Hyperlink"/>
            <w:rFonts w:asciiTheme="minorHAnsi" w:hAnsiTheme="minorHAnsi" w:cstheme="minorHAnsi"/>
            <w:bCs/>
            <w:spacing w:val="-2"/>
          </w:rPr>
          <w:t>Supplément 71 aux Recommandations UIT-T de la série Q</w:t>
        </w:r>
      </w:hyperlink>
      <w:r w:rsidR="00F7294B" w:rsidRPr="00607633">
        <w:rPr>
          <w:rFonts w:asciiTheme="minorHAnsi" w:hAnsiTheme="minorHAnsi" w:cstheme="minorHAnsi"/>
          <w:bCs/>
        </w:rPr>
        <w:t xml:space="preserve"> </w:t>
      </w:r>
      <w:r w:rsidR="0089382B" w:rsidRPr="00607633">
        <w:rPr>
          <w:i/>
          <w:iCs/>
        </w:rPr>
        <w:t>"</w:t>
      </w:r>
      <w:r w:rsidR="0089382B" w:rsidRPr="00426296">
        <w:t xml:space="preserve">Méthodes de test des mesures de la performance relative à l'Internet, y compris le débit binaire de bout en bout dans les réseaux des opérateurs fixes et mobiles" </w:t>
      </w:r>
      <w:r w:rsidR="00F7294B" w:rsidRPr="00607633">
        <w:rPr>
          <w:bCs/>
        </w:rPr>
        <w:t>et</w:t>
      </w:r>
      <w:r w:rsidR="0089382B" w:rsidRPr="00607633">
        <w:rPr>
          <w:bCs/>
        </w:rPr>
        <w:t xml:space="preserve"> </w:t>
      </w:r>
      <w:r w:rsidR="00F7294B" w:rsidRPr="00607633">
        <w:rPr>
          <w:bCs/>
        </w:rPr>
        <w:t>les Lignes directrices de l'UIT</w:t>
      </w:r>
      <w:r w:rsidR="00426296">
        <w:rPr>
          <w:bCs/>
        </w:rPr>
        <w:noBreakHyphen/>
      </w:r>
      <w:r w:rsidR="00F7294B" w:rsidRPr="00607633">
        <w:rPr>
          <w:bCs/>
        </w:rPr>
        <w:t xml:space="preserve">T </w:t>
      </w:r>
      <w:r w:rsidR="0089382B" w:rsidRPr="00607633">
        <w:rPr>
          <w:bCs/>
          <w:i/>
        </w:rPr>
        <w:t xml:space="preserve">Guideline-TEST_UE/MS </w:t>
      </w:r>
      <w:r w:rsidR="00F7294B" w:rsidRPr="00607633">
        <w:rPr>
          <w:bCs/>
          <w:i/>
        </w:rPr>
        <w:t xml:space="preserve">"Lignes directrices </w:t>
      </w:r>
      <w:r w:rsidR="000B413C" w:rsidRPr="00607633">
        <w:rPr>
          <w:bCs/>
          <w:i/>
        </w:rPr>
        <w:t xml:space="preserve">relatives </w:t>
      </w:r>
      <w:r w:rsidR="002D410C" w:rsidRPr="00607633">
        <w:rPr>
          <w:bCs/>
          <w:i/>
        </w:rPr>
        <w:t>aux</w:t>
      </w:r>
      <w:r w:rsidR="000B413C" w:rsidRPr="00607633">
        <w:rPr>
          <w:bCs/>
          <w:i/>
        </w:rPr>
        <w:t xml:space="preserve"> procédure</w:t>
      </w:r>
      <w:r w:rsidR="002D410C" w:rsidRPr="00607633">
        <w:rPr>
          <w:bCs/>
          <w:i/>
        </w:rPr>
        <w:t>s et spécifications générales</w:t>
      </w:r>
      <w:r w:rsidR="000B413C" w:rsidRPr="00607633">
        <w:rPr>
          <w:bCs/>
          <w:i/>
        </w:rPr>
        <w:t xml:space="preserve"> de test pour les mesures des équipements d'utilisateur/stations mobiles</w:t>
      </w:r>
      <w:r w:rsidR="002D410C" w:rsidRPr="00607633">
        <w:rPr>
          <w:bCs/>
          <w:i/>
        </w:rPr>
        <w:t>(UE/MS)</w:t>
      </w:r>
      <w:r w:rsidR="000B413C" w:rsidRPr="00607633">
        <w:rPr>
          <w:bCs/>
          <w:i/>
        </w:rPr>
        <w:t xml:space="preserve"> 3G/2G</w:t>
      </w:r>
      <w:r w:rsidR="00607633" w:rsidRPr="00607633">
        <w:rPr>
          <w:bCs/>
          <w:i/>
        </w:rPr>
        <w:t xml:space="preserve"> </w:t>
      </w:r>
      <w:r w:rsidR="002D410C" w:rsidRPr="00607633">
        <w:rPr>
          <w:bCs/>
          <w:i/>
        </w:rPr>
        <w:t xml:space="preserve">et LTE </w:t>
      </w:r>
      <w:r w:rsidR="000B413C" w:rsidRPr="00607633">
        <w:rPr>
          <w:bCs/>
          <w:i/>
        </w:rPr>
        <w:t xml:space="preserve">pour </w:t>
      </w:r>
      <w:r w:rsidR="002D410C" w:rsidRPr="00607633">
        <w:rPr>
          <w:bCs/>
          <w:i/>
        </w:rPr>
        <w:t xml:space="preserve">les </w:t>
      </w:r>
      <w:r w:rsidR="000B413C" w:rsidRPr="00607633">
        <w:rPr>
          <w:bCs/>
          <w:i/>
        </w:rPr>
        <w:t>test</w:t>
      </w:r>
      <w:r w:rsidR="002D410C" w:rsidRPr="00607633">
        <w:rPr>
          <w:bCs/>
          <w:i/>
        </w:rPr>
        <w:t>s de qualité de</w:t>
      </w:r>
      <w:r w:rsidR="000B413C" w:rsidRPr="00607633">
        <w:rPr>
          <w:bCs/>
          <w:i/>
        </w:rPr>
        <w:t xml:space="preserve"> fonctionnement de</w:t>
      </w:r>
      <w:r w:rsidR="002D410C" w:rsidRPr="00607633">
        <w:rPr>
          <w:bCs/>
          <w:i/>
        </w:rPr>
        <w:t>s</w:t>
      </w:r>
      <w:r w:rsidR="000B413C" w:rsidRPr="00607633">
        <w:rPr>
          <w:bCs/>
          <w:i/>
        </w:rPr>
        <w:t xml:space="preserve"> transmission</w:t>
      </w:r>
      <w:r w:rsidR="002D410C" w:rsidRPr="00607633">
        <w:rPr>
          <w:bCs/>
          <w:i/>
        </w:rPr>
        <w:t>s</w:t>
      </w:r>
      <w:r w:rsidR="000B413C" w:rsidRPr="00607633">
        <w:rPr>
          <w:bCs/>
          <w:i/>
        </w:rPr>
        <w:t xml:space="preserve"> sans fil". </w:t>
      </w:r>
      <w:r w:rsidR="000B413C" w:rsidRPr="00607633">
        <w:rPr>
          <w:bCs/>
        </w:rPr>
        <w:t>La CE 11 a approuvé quatre Recommandations UIT-T</w:t>
      </w:r>
      <w:r w:rsidR="0089382B" w:rsidRPr="00607633">
        <w:rPr>
          <w:bCs/>
        </w:rPr>
        <w:t xml:space="preserve">: </w:t>
      </w:r>
      <w:hyperlink r:id="rId69" w:history="1">
        <w:r w:rsidR="000B413C" w:rsidRPr="00607633">
          <w:rPr>
            <w:rStyle w:val="Hyperlink"/>
            <w:bCs/>
            <w:iCs/>
          </w:rPr>
          <w:t>UIT-T</w:t>
        </w:r>
        <w:r w:rsidR="0089382B" w:rsidRPr="00607633">
          <w:rPr>
            <w:rStyle w:val="Hyperlink"/>
            <w:bCs/>
            <w:iCs/>
          </w:rPr>
          <w:t xml:space="preserve"> Q.3055</w:t>
        </w:r>
        <w:r w:rsidR="0089382B" w:rsidRPr="00607633">
          <w:t xml:space="preserve"> </w:t>
        </w:r>
        <w:r w:rsidR="000B413C" w:rsidRPr="00607633">
          <w:t>"Protocole de signalisation pour les passerelles IoT hétérogènes"</w:t>
        </w:r>
      </w:hyperlink>
      <w:r w:rsidR="0089382B" w:rsidRPr="00607633">
        <w:rPr>
          <w:bCs/>
          <w:i/>
        </w:rPr>
        <w:t xml:space="preserve">, </w:t>
      </w:r>
      <w:hyperlink r:id="rId70" w:history="1">
        <w:r w:rsidR="000B413C" w:rsidRPr="00607633">
          <w:rPr>
            <w:rStyle w:val="Hyperlink"/>
            <w:bCs/>
            <w:iCs/>
          </w:rPr>
          <w:t>UIT-T</w:t>
        </w:r>
        <w:r w:rsidR="0089382B" w:rsidRPr="00607633">
          <w:rPr>
            <w:rStyle w:val="Hyperlink"/>
            <w:bCs/>
            <w:iCs/>
          </w:rPr>
          <w:t xml:space="preserve"> Q.3644</w:t>
        </w:r>
        <w:r w:rsidR="0089382B" w:rsidRPr="00607633">
          <w:t xml:space="preserve"> </w:t>
        </w:r>
        <w:r w:rsidR="000B413C" w:rsidRPr="00607633">
          <w:t xml:space="preserve">"Exigences pour les analyses </w:t>
        </w:r>
        <w:r w:rsidR="00083599" w:rsidRPr="00607633">
          <w:t xml:space="preserve">et l'optimisation </w:t>
        </w:r>
        <w:r w:rsidR="000B413C" w:rsidRPr="00607633">
          <w:t xml:space="preserve">du réseau </w:t>
        </w:r>
        <w:r w:rsidR="002D410C" w:rsidRPr="00607633">
          <w:t xml:space="preserve">de </w:t>
        </w:r>
        <w:r w:rsidR="002D410C" w:rsidRPr="00607633">
          <w:lastRenderedPageBreak/>
          <w:t xml:space="preserve">signalisation </w:t>
        </w:r>
        <w:r w:rsidR="00083599" w:rsidRPr="00607633">
          <w:t>d</w:t>
        </w:r>
        <w:r w:rsidR="00BD4963" w:rsidRPr="00607633">
          <w:t>ans les</w:t>
        </w:r>
        <w:r w:rsidR="00083599" w:rsidRPr="00607633">
          <w:t xml:space="preserve"> </w:t>
        </w:r>
        <w:r w:rsidR="002D410C" w:rsidRPr="00607633">
          <w:t xml:space="preserve">réseaux </w:t>
        </w:r>
        <w:r w:rsidR="00083599" w:rsidRPr="00607633">
          <w:t xml:space="preserve">VoLTE" </w:t>
        </w:r>
      </w:hyperlink>
      <w:r w:rsidR="0089382B" w:rsidRPr="00607633">
        <w:rPr>
          <w:bCs/>
          <w:iCs/>
        </w:rPr>
        <w:t xml:space="preserve">, </w:t>
      </w:r>
      <w:hyperlink r:id="rId71" w:history="1">
        <w:r w:rsidR="000B413C" w:rsidRPr="00607633">
          <w:rPr>
            <w:rStyle w:val="Hyperlink"/>
            <w:bCs/>
            <w:iCs/>
          </w:rPr>
          <w:t>UIT-T</w:t>
        </w:r>
        <w:r w:rsidR="0089382B" w:rsidRPr="00607633">
          <w:rPr>
            <w:rStyle w:val="Hyperlink"/>
            <w:bCs/>
            <w:iCs/>
          </w:rPr>
          <w:t xml:space="preserve"> Q.3056</w:t>
        </w:r>
        <w:r w:rsidR="0089382B" w:rsidRPr="00607633">
          <w:t xml:space="preserve"> </w:t>
        </w:r>
        <w:r w:rsidR="00B8709A" w:rsidRPr="00607633">
          <w:t xml:space="preserve">"Procédures de signalisation des sondes </w:t>
        </w:r>
        <w:r w:rsidR="00F906E8" w:rsidRPr="00607633">
          <w:t>à utiliser pour les tests à distance des paramètres de réseau"</w:t>
        </w:r>
      </w:hyperlink>
      <w:r w:rsidR="0089382B" w:rsidRPr="00607633">
        <w:rPr>
          <w:bCs/>
        </w:rPr>
        <w:t xml:space="preserve">, </w:t>
      </w:r>
      <w:r w:rsidR="000B413C" w:rsidRPr="00607633">
        <w:rPr>
          <w:bCs/>
        </w:rPr>
        <w:t>et</w:t>
      </w:r>
      <w:hyperlink r:id="rId72" w:history="1">
        <w:r w:rsidR="000B413C" w:rsidRPr="00607633">
          <w:t xml:space="preserve"> </w:t>
        </w:r>
        <w:r w:rsidR="000B413C" w:rsidRPr="00607633">
          <w:rPr>
            <w:rStyle w:val="Hyperlink"/>
            <w:bCs/>
            <w:iCs/>
          </w:rPr>
          <w:t>UIT-T</w:t>
        </w:r>
        <w:r w:rsidR="0089382B" w:rsidRPr="00607633">
          <w:rPr>
            <w:rStyle w:val="Hyperlink"/>
            <w:bCs/>
            <w:iCs/>
          </w:rPr>
          <w:t xml:space="preserve"> Q.3916</w:t>
        </w:r>
        <w:r w:rsidR="0089382B" w:rsidRPr="00607633">
          <w:t xml:space="preserve"> </w:t>
        </w:r>
        <w:r w:rsidR="00F906E8" w:rsidRPr="00607633">
          <w:t xml:space="preserve">"Exigences et architecture de signalisation pour le système de </w:t>
        </w:r>
        <w:r w:rsidR="00BD4963" w:rsidRPr="00607633">
          <w:t xml:space="preserve">surveillance </w:t>
        </w:r>
        <w:r w:rsidR="00F906E8" w:rsidRPr="00607633">
          <w:t xml:space="preserve">de la qualité </w:t>
        </w:r>
        <w:r w:rsidR="00BD4963" w:rsidRPr="00607633">
          <w:t>de</w:t>
        </w:r>
        <w:r w:rsidR="00F906E8" w:rsidRPr="00607633">
          <w:t xml:space="preserve"> service </w:t>
        </w:r>
        <w:r w:rsidR="00BD4963" w:rsidRPr="00607633">
          <w:t>de l'</w:t>
        </w:r>
        <w:r w:rsidR="00F906E8" w:rsidRPr="00607633">
          <w:t>Internet"</w:t>
        </w:r>
      </w:hyperlink>
      <w:r w:rsidR="0089382B" w:rsidRPr="00607633">
        <w:rPr>
          <w:bCs/>
        </w:rPr>
        <w:t xml:space="preserve">. </w:t>
      </w:r>
      <w:r w:rsidR="00F906E8" w:rsidRPr="00607633">
        <w:rPr>
          <w:bCs/>
        </w:rPr>
        <w:t xml:space="preserve">La CE 11 a </w:t>
      </w:r>
      <w:r w:rsidR="001B498F" w:rsidRPr="00607633">
        <w:rPr>
          <w:bCs/>
        </w:rPr>
        <w:t>assuré une liaison</w:t>
      </w:r>
      <w:r w:rsidR="00F906E8" w:rsidRPr="00607633">
        <w:rPr>
          <w:bCs/>
        </w:rPr>
        <w:t xml:space="preserve"> avec </w:t>
      </w:r>
      <w:r w:rsidR="001B498F" w:rsidRPr="00607633">
        <w:rPr>
          <w:bCs/>
        </w:rPr>
        <w:t>le groupe IETF SFC concernant</w:t>
      </w:r>
      <w:r w:rsidR="00F906E8" w:rsidRPr="00607633">
        <w:rPr>
          <w:bCs/>
        </w:rPr>
        <w:t xml:space="preserve"> </w:t>
      </w:r>
      <w:r w:rsidR="00BD4963" w:rsidRPr="00607633">
        <w:rPr>
          <w:bCs/>
        </w:rPr>
        <w:t>les</w:t>
      </w:r>
      <w:r w:rsidR="001B498F" w:rsidRPr="00607633">
        <w:rPr>
          <w:bCs/>
        </w:rPr>
        <w:t xml:space="preserve"> dernières avancées </w:t>
      </w:r>
      <w:r w:rsidR="002D410C" w:rsidRPr="00607633">
        <w:rPr>
          <w:bCs/>
        </w:rPr>
        <w:t xml:space="preserve">observées </w:t>
      </w:r>
      <w:r w:rsidR="001B498F" w:rsidRPr="00607633">
        <w:rPr>
          <w:bCs/>
        </w:rPr>
        <w:t xml:space="preserve">en matière de </w:t>
      </w:r>
      <w:r w:rsidR="002D410C" w:rsidRPr="00607633">
        <w:rPr>
          <w:bCs/>
        </w:rPr>
        <w:t xml:space="preserve">chaînage de fonctions de service </w:t>
      </w:r>
      <w:r w:rsidR="00F906E8" w:rsidRPr="00607633">
        <w:rPr>
          <w:bCs/>
        </w:rPr>
        <w:t>dans l</w:t>
      </w:r>
      <w:r w:rsidR="00BD4963" w:rsidRPr="00607633">
        <w:rPr>
          <w:bCs/>
        </w:rPr>
        <w:t>e cadre de l'</w:t>
      </w:r>
      <w:r w:rsidR="00F906E8" w:rsidRPr="00607633">
        <w:rPr>
          <w:bCs/>
        </w:rPr>
        <w:t>étude de la Question</w:t>
      </w:r>
      <w:r w:rsidR="00BD4963" w:rsidRPr="00607633">
        <w:rPr>
          <w:bCs/>
        </w:rPr>
        <w:t> </w:t>
      </w:r>
      <w:r w:rsidR="00F906E8" w:rsidRPr="00607633">
        <w:rPr>
          <w:bCs/>
        </w:rPr>
        <w:t>4/11</w:t>
      </w:r>
      <w:r w:rsidR="001B498F" w:rsidRPr="00607633">
        <w:rPr>
          <w:bCs/>
        </w:rPr>
        <w:t>, avec le groupe IETF IPPM concernant</w:t>
      </w:r>
      <w:r w:rsidR="00F906E8" w:rsidRPr="00607633">
        <w:rPr>
          <w:bCs/>
        </w:rPr>
        <w:t xml:space="preserve"> le Supplément 71 aux Recommandations UIT-T de la série Q</w:t>
      </w:r>
      <w:r w:rsidR="0089382B" w:rsidRPr="00607633">
        <w:rPr>
          <w:bCs/>
        </w:rPr>
        <w:t xml:space="preserve"> </w:t>
      </w:r>
      <w:r w:rsidR="00F906E8" w:rsidRPr="00607633">
        <w:rPr>
          <w:bCs/>
        </w:rPr>
        <w:t>(</w:t>
      </w:r>
      <w:r w:rsidR="0089382B" w:rsidRPr="00607633">
        <w:rPr>
          <w:bCs/>
        </w:rPr>
        <w:t>Q.Suppl.71</w:t>
      </w:r>
      <w:r w:rsidR="00F906E8" w:rsidRPr="00607633">
        <w:rPr>
          <w:bCs/>
        </w:rPr>
        <w:t>)</w:t>
      </w:r>
      <w:r w:rsidR="0089382B" w:rsidRPr="00607633">
        <w:rPr>
          <w:bCs/>
        </w:rPr>
        <w:t xml:space="preserve"> </w:t>
      </w:r>
      <w:r w:rsidR="00F906E8" w:rsidRPr="00607633">
        <w:rPr>
          <w:bCs/>
        </w:rPr>
        <w:t>et</w:t>
      </w:r>
      <w:r w:rsidR="001B498F" w:rsidRPr="00607633">
        <w:rPr>
          <w:bCs/>
        </w:rPr>
        <w:t xml:space="preserve"> avec </w:t>
      </w:r>
      <w:r w:rsidR="00E968FE" w:rsidRPr="00607633">
        <w:rPr>
          <w:bCs/>
        </w:rPr>
        <w:t xml:space="preserve">le </w:t>
      </w:r>
      <w:r w:rsidR="0086363D" w:rsidRPr="00607633">
        <w:rPr>
          <w:bCs/>
        </w:rPr>
        <w:t>Centre</w:t>
      </w:r>
      <w:r w:rsidR="00E968FE" w:rsidRPr="00607633">
        <w:rPr>
          <w:bCs/>
        </w:rPr>
        <w:t xml:space="preserve"> </w:t>
      </w:r>
      <w:r w:rsidR="0089382B" w:rsidRPr="00607633">
        <w:rPr>
          <w:bCs/>
        </w:rPr>
        <w:t xml:space="preserve">RIPE NCC </w:t>
      </w:r>
      <w:r w:rsidR="001B498F" w:rsidRPr="00607633">
        <w:rPr>
          <w:bCs/>
        </w:rPr>
        <w:t>concernant</w:t>
      </w:r>
      <w:r w:rsidR="00F906E8" w:rsidRPr="00607633">
        <w:rPr>
          <w:bCs/>
        </w:rPr>
        <w:t xml:space="preserve"> la Recommandation UIT-T</w:t>
      </w:r>
      <w:r w:rsidR="0089382B" w:rsidRPr="00607633">
        <w:rPr>
          <w:bCs/>
        </w:rPr>
        <w:t xml:space="preserve"> Q.3916.</w:t>
      </w:r>
    </w:p>
    <w:p w14:paraId="499F45EB" w14:textId="6F0BDEB3" w:rsidR="0089382B" w:rsidRPr="00607633" w:rsidRDefault="0089382B" w:rsidP="0077196B">
      <w:pPr>
        <w:rPr>
          <w:bCs/>
        </w:rPr>
      </w:pPr>
      <w:r w:rsidRPr="00607633">
        <w:rPr>
          <w:b/>
          <w:bCs/>
        </w:rPr>
        <w:t>2.7</w:t>
      </w:r>
      <w:r w:rsidRPr="00607633">
        <w:rPr>
          <w:bCs/>
        </w:rPr>
        <w:tab/>
      </w:r>
      <w:r w:rsidR="00F906E8" w:rsidRPr="00607633">
        <w:rPr>
          <w:bCs/>
        </w:rPr>
        <w:t xml:space="preserve">La CE 9 de l'UIT-T a approuvé la </w:t>
      </w:r>
      <w:r w:rsidR="00F906E8" w:rsidRPr="00607633">
        <w:rPr>
          <w:rStyle w:val="Hyperlink"/>
        </w:rPr>
        <w:t>Recommandation UIT-T</w:t>
      </w:r>
      <w:hyperlink r:id="rId73" w:history="1">
        <w:r w:rsidRPr="00607633">
          <w:rPr>
            <w:rStyle w:val="Hyperlink"/>
            <w:bCs/>
            <w:i/>
          </w:rPr>
          <w:t xml:space="preserve"> </w:t>
        </w:r>
        <w:r w:rsidRPr="000438F0">
          <w:rPr>
            <w:rStyle w:val="Hyperlink"/>
            <w:bCs/>
            <w:iCs/>
          </w:rPr>
          <w:t>J.1600</w:t>
        </w:r>
        <w:r w:rsidRPr="000438F0">
          <w:rPr>
            <w:iCs/>
          </w:rPr>
          <w:t xml:space="preserve"> </w:t>
        </w:r>
        <w:r w:rsidR="00F906E8" w:rsidRPr="00607633">
          <w:t>"</w:t>
        </w:r>
        <w:r w:rsidR="00A61CF9" w:rsidRPr="00607633">
          <w:t>Cadre pour une plate-forme de réseau câblé haut de gamme</w:t>
        </w:r>
        <w:r w:rsidR="00F906E8" w:rsidRPr="00607633">
          <w:t>"</w:t>
        </w:r>
      </w:hyperlink>
      <w:r w:rsidRPr="00607633">
        <w:rPr>
          <w:bCs/>
        </w:rPr>
        <w:t>.</w:t>
      </w:r>
    </w:p>
    <w:p w14:paraId="7E4A28F3" w14:textId="5CD1A90E" w:rsidR="0089382B" w:rsidRPr="00607633" w:rsidRDefault="0089382B" w:rsidP="0077196B">
      <w:pPr>
        <w:rPr>
          <w:bCs/>
        </w:rPr>
      </w:pPr>
      <w:r w:rsidRPr="00607633">
        <w:rPr>
          <w:b/>
          <w:bCs/>
        </w:rPr>
        <w:t>2.8</w:t>
      </w:r>
      <w:r w:rsidRPr="00607633">
        <w:tab/>
      </w:r>
      <w:r w:rsidR="00F906E8" w:rsidRPr="00607633">
        <w:t>La CE 15 de l'UIT-T élabore actuellement des Recommandations en collaboration avec diverses organisations</w:t>
      </w:r>
      <w:r w:rsidR="001B498F" w:rsidRPr="00607633">
        <w:t xml:space="preserve">, telles que </w:t>
      </w:r>
      <w:r w:rsidR="00CE60F8" w:rsidRPr="00607633">
        <w:t xml:space="preserve">la CEI, l'IETF, l'IEEE, le Forum sur le large bande, </w:t>
      </w:r>
      <w:r w:rsidR="00E968FE" w:rsidRPr="00607633">
        <w:rPr>
          <w:bCs/>
        </w:rPr>
        <w:t>le Forum MEF,</w:t>
      </w:r>
      <w:r w:rsidRPr="00607633">
        <w:rPr>
          <w:bCs/>
        </w:rPr>
        <w:t xml:space="preserve"> </w:t>
      </w:r>
      <w:r w:rsidR="00CE60F8" w:rsidRPr="00607633">
        <w:rPr>
          <w:bCs/>
        </w:rPr>
        <w:t>l'ETSI</w:t>
      </w:r>
      <w:r w:rsidRPr="00607633">
        <w:rPr>
          <w:bCs/>
        </w:rPr>
        <w:t xml:space="preserve">, </w:t>
      </w:r>
      <w:r w:rsidR="00E968FE" w:rsidRPr="00607633">
        <w:rPr>
          <w:bCs/>
        </w:rPr>
        <w:t>la coopération 3GPP</w:t>
      </w:r>
      <w:r w:rsidR="00E968FE" w:rsidRPr="00607633">
        <w:t xml:space="preserve">, </w:t>
      </w:r>
      <w:r w:rsidR="0086363D" w:rsidRPr="00607633">
        <w:t>le Forum sur l'interfonctionnement optique</w:t>
      </w:r>
      <w:r w:rsidR="00E968FE" w:rsidRPr="00607633">
        <w:rPr>
          <w:bCs/>
        </w:rPr>
        <w:t xml:space="preserve"> (OIF) et l'Open</w:t>
      </w:r>
      <w:r w:rsidR="00607633" w:rsidRPr="00607633">
        <w:rPr>
          <w:bCs/>
        </w:rPr>
        <w:t> </w:t>
      </w:r>
      <w:r w:rsidR="00E968FE" w:rsidRPr="00607633">
        <w:rPr>
          <w:bCs/>
        </w:rPr>
        <w:t>Networking Foundation (ONF)</w:t>
      </w:r>
      <w:r w:rsidRPr="00607633">
        <w:rPr>
          <w:bCs/>
        </w:rPr>
        <w:t>.</w:t>
      </w:r>
    </w:p>
    <w:p w14:paraId="7E11F7A5" w14:textId="34FADB1F" w:rsidR="0089382B" w:rsidRPr="00607633" w:rsidRDefault="0089382B" w:rsidP="0077196B">
      <w:pPr>
        <w:rPr>
          <w:bCs/>
          <w:i/>
        </w:rPr>
      </w:pPr>
      <w:r w:rsidRPr="00607633">
        <w:rPr>
          <w:b/>
          <w:bCs/>
        </w:rPr>
        <w:t>2.9</w:t>
      </w:r>
      <w:r w:rsidRPr="00607633">
        <w:rPr>
          <w:bCs/>
        </w:rPr>
        <w:tab/>
      </w:r>
      <w:r w:rsidR="00F906E8" w:rsidRPr="00607633">
        <w:rPr>
          <w:bCs/>
        </w:rPr>
        <w:t>La CE 2 de l'UIT</w:t>
      </w:r>
      <w:r w:rsidR="00CE60F8" w:rsidRPr="00607633">
        <w:rPr>
          <w:bCs/>
        </w:rPr>
        <w:t>-T</w:t>
      </w:r>
      <w:r w:rsidR="00F906E8" w:rsidRPr="00607633">
        <w:rPr>
          <w:bCs/>
        </w:rPr>
        <w:t xml:space="preserve"> a </w:t>
      </w:r>
      <w:r w:rsidR="002D410C" w:rsidRPr="00607633">
        <w:rPr>
          <w:bCs/>
        </w:rPr>
        <w:t>donné son consentement pour le</w:t>
      </w:r>
      <w:r w:rsidR="00F906E8" w:rsidRPr="00607633">
        <w:rPr>
          <w:bCs/>
        </w:rPr>
        <w:t xml:space="preserve"> projet de Recommandation UIT</w:t>
      </w:r>
      <w:r w:rsidR="00607633" w:rsidRPr="00607633">
        <w:rPr>
          <w:bCs/>
        </w:rPr>
        <w:noBreakHyphen/>
      </w:r>
      <w:r w:rsidR="00F906E8" w:rsidRPr="00607633">
        <w:rPr>
          <w:bCs/>
        </w:rPr>
        <w:t>T</w:t>
      </w:r>
      <w:r w:rsidR="00607633" w:rsidRPr="00607633">
        <w:rPr>
          <w:bCs/>
        </w:rPr>
        <w:t> </w:t>
      </w:r>
      <w:r w:rsidRPr="00607633">
        <w:rPr>
          <w:bCs/>
          <w:iCs/>
        </w:rPr>
        <w:t>M.</w:t>
      </w:r>
      <w:r w:rsidRPr="00426296">
        <w:rPr>
          <w:bCs/>
          <w:iCs/>
        </w:rPr>
        <w:t xml:space="preserve">3041 </w:t>
      </w:r>
      <w:r w:rsidR="00747654" w:rsidRPr="00426296">
        <w:rPr>
          <w:bCs/>
          <w:iCs/>
        </w:rPr>
        <w:t>"Cadre pour l'exploitation, la gestion et la maintenance intelligentes"</w:t>
      </w:r>
      <w:r w:rsidRPr="00607633">
        <w:rPr>
          <w:bCs/>
        </w:rPr>
        <w:t xml:space="preserve"> (</w:t>
      </w:r>
      <w:r w:rsidR="00747654" w:rsidRPr="00607633">
        <w:rPr>
          <w:bCs/>
        </w:rPr>
        <w:t>en cours d'approbation</w:t>
      </w:r>
      <w:r w:rsidRPr="00607633">
        <w:rPr>
          <w:bCs/>
        </w:rPr>
        <w:t>).</w:t>
      </w:r>
    </w:p>
    <w:p w14:paraId="1256816F" w14:textId="69BF6E08" w:rsidR="0089382B" w:rsidRPr="00607633" w:rsidRDefault="0089382B" w:rsidP="0077196B">
      <w:pPr>
        <w:rPr>
          <w:bCs/>
        </w:rPr>
      </w:pPr>
      <w:r w:rsidRPr="00607633">
        <w:rPr>
          <w:b/>
          <w:bCs/>
        </w:rPr>
        <w:t>2.10</w:t>
      </w:r>
      <w:r w:rsidRPr="00607633">
        <w:rPr>
          <w:bCs/>
        </w:rPr>
        <w:tab/>
      </w:r>
      <w:r w:rsidR="00747654" w:rsidRPr="00607633">
        <w:rPr>
          <w:bCs/>
        </w:rPr>
        <w:t xml:space="preserve">Des informations concernant les activités de la CE 17 de l'UIT-T sont disponibles dans le </w:t>
      </w:r>
      <w:hyperlink r:id="rId74" w:history="1">
        <w:r w:rsidR="00747654" w:rsidRPr="00607633">
          <w:rPr>
            <w:rStyle w:val="Hyperlink"/>
            <w:bCs/>
          </w:rPr>
          <w:t>Document C20/18 du Conseil</w:t>
        </w:r>
      </w:hyperlink>
      <w:r w:rsidR="00747654" w:rsidRPr="00607633">
        <w:rPr>
          <w:bCs/>
        </w:rPr>
        <w:t>.</w:t>
      </w:r>
    </w:p>
    <w:p w14:paraId="57A47DC1" w14:textId="60DB57BA" w:rsidR="00E43BEB" w:rsidRPr="00607633" w:rsidRDefault="0089382B" w:rsidP="0077196B">
      <w:pPr>
        <w:rPr>
          <w:rStyle w:val="Hyperlink"/>
        </w:rPr>
      </w:pPr>
      <w:r w:rsidRPr="00607633">
        <w:rPr>
          <w:b/>
        </w:rPr>
        <w:t>2.11</w:t>
      </w:r>
      <w:r w:rsidRPr="00607633">
        <w:tab/>
      </w:r>
      <w:r w:rsidR="00747654" w:rsidRPr="00607633">
        <w:t xml:space="preserve">Plusieurs groupes spécialisés de l'UIT-T étudient actuellement </w:t>
      </w:r>
      <w:r w:rsidR="002D410C" w:rsidRPr="00607633">
        <w:t>d</w:t>
      </w:r>
      <w:r w:rsidR="00747654" w:rsidRPr="00607633">
        <w:t xml:space="preserve">es technologies </w:t>
      </w:r>
      <w:r w:rsidR="002D410C" w:rsidRPr="00607633">
        <w:t>émergentes</w:t>
      </w:r>
      <w:r w:rsidR="00747654" w:rsidRPr="00607633">
        <w:t xml:space="preserve"> et les effets qu'elles pourraient avoir sur les travaux de normalisation de l'UIT. À ce jour, </w:t>
      </w:r>
      <w:hyperlink r:id="rId75" w:history="1">
        <w:r w:rsidR="00747654" w:rsidRPr="00607633">
          <w:rPr>
            <w:rStyle w:val="Hyperlink"/>
          </w:rPr>
          <w:t>sept</w:t>
        </w:r>
        <w:r w:rsidR="00607633" w:rsidRPr="00607633">
          <w:rPr>
            <w:rStyle w:val="Hyperlink"/>
          </w:rPr>
          <w:t> </w:t>
        </w:r>
        <w:r w:rsidR="00747654" w:rsidRPr="00607633">
          <w:rPr>
            <w:rStyle w:val="Hyperlink"/>
          </w:rPr>
          <w:t xml:space="preserve">Groupes spécialisés de l'UIT-T </w:t>
        </w:r>
        <w:r w:rsidR="001B028A" w:rsidRPr="00607633">
          <w:rPr>
            <w:rStyle w:val="Hyperlink"/>
          </w:rPr>
          <w:t>sont actifs</w:t>
        </w:r>
      </w:hyperlink>
      <w:r w:rsidR="001B028A" w:rsidRPr="00607633">
        <w:t>:</w:t>
      </w:r>
      <w:r w:rsidR="00495801" w:rsidRPr="00607633">
        <w:t xml:space="preserve"> 1)</w:t>
      </w:r>
      <w:r w:rsidRPr="00607633">
        <w:t xml:space="preserve"> </w:t>
      </w:r>
      <w:hyperlink r:id="rId76" w:history="1">
        <w:r w:rsidR="00495801" w:rsidRPr="00607633">
          <w:rPr>
            <w:rStyle w:val="Hyperlink"/>
            <w:rFonts w:asciiTheme="minorHAnsi" w:hAnsiTheme="minorHAnsi"/>
            <w:i/>
            <w:szCs w:val="24"/>
          </w:rPr>
          <w:t>Groupe spécialisé de l'UIT-T sur l'apprentissage machine pour les réseaux futurs, y compris la 5G (FG-ML5G)</w:t>
        </w:r>
      </w:hyperlink>
      <w:r w:rsidR="00495801" w:rsidRPr="00607633">
        <w:rPr>
          <w:rFonts w:asciiTheme="minorHAnsi" w:hAnsiTheme="minorHAnsi"/>
          <w:szCs w:val="24"/>
        </w:rPr>
        <w:t xml:space="preserve">; 2) </w:t>
      </w:r>
      <w:hyperlink r:id="rId77" w:history="1">
        <w:r w:rsidR="00495801" w:rsidRPr="00607633">
          <w:rPr>
            <w:rStyle w:val="Hyperlink"/>
            <w:rFonts w:asciiTheme="minorHAnsi" w:hAnsiTheme="minorHAnsi"/>
            <w:i/>
            <w:szCs w:val="24"/>
          </w:rPr>
          <w:t>Groupe spécialisé de l'UIT-T sur les technologies pour le réseau 2030 (FG NET-2030)</w:t>
        </w:r>
      </w:hyperlink>
      <w:r w:rsidR="00495801" w:rsidRPr="00607633">
        <w:rPr>
          <w:rFonts w:asciiTheme="minorHAnsi" w:hAnsiTheme="minorHAnsi"/>
          <w:szCs w:val="24"/>
        </w:rPr>
        <w:t xml:space="preserve">; 3) </w:t>
      </w:r>
      <w:hyperlink r:id="rId78" w:history="1">
        <w:r w:rsidR="00495801" w:rsidRPr="00607633">
          <w:rPr>
            <w:rStyle w:val="Hyperlink"/>
            <w:rFonts w:asciiTheme="minorHAnsi" w:hAnsiTheme="minorHAnsi"/>
            <w:i/>
            <w:szCs w:val="24"/>
          </w:rPr>
          <w:t>Groupe spécialisé de l'UIT-T sur l'intelligence artificielle au service de la santé (FG-AI4H)</w:t>
        </w:r>
      </w:hyperlink>
      <w:r w:rsidR="00495801" w:rsidRPr="00607633">
        <w:rPr>
          <w:rFonts w:asciiTheme="minorHAnsi" w:hAnsiTheme="minorHAnsi"/>
          <w:szCs w:val="24"/>
        </w:rPr>
        <w:t>;</w:t>
      </w:r>
      <w:r w:rsidRPr="00607633">
        <w:t xml:space="preserve"> 4) </w:t>
      </w:r>
      <w:hyperlink r:id="rId79" w:history="1">
        <w:r w:rsidR="00495801" w:rsidRPr="00607633">
          <w:rPr>
            <w:rStyle w:val="Hyperlink"/>
            <w:rFonts w:asciiTheme="minorHAnsi" w:hAnsiTheme="minorHAnsi"/>
            <w:i/>
            <w:szCs w:val="24"/>
          </w:rPr>
          <w:t>Groupe spécialisé de l'UIT-T sur le multimédia dans les véhicules (FG-VM)</w:t>
        </w:r>
      </w:hyperlink>
      <w:r w:rsidR="00495801" w:rsidRPr="00607633">
        <w:rPr>
          <w:color w:val="000000"/>
        </w:rPr>
        <w:t>;</w:t>
      </w:r>
      <w:r w:rsidRPr="00607633">
        <w:t xml:space="preserve"> 5) </w:t>
      </w:r>
      <w:hyperlink r:id="rId80" w:tgtFrame="_blank" w:history="1">
        <w:r w:rsidR="00784F9E" w:rsidRPr="00607633">
          <w:rPr>
            <w:rStyle w:val="Hyperlink"/>
            <w:rFonts w:asciiTheme="minorHAnsi" w:hAnsiTheme="minorHAnsi"/>
            <w:i/>
            <w:szCs w:val="24"/>
          </w:rPr>
          <w:t xml:space="preserve">Groupe spécialisé de l'UIT-T sur l'efficacité environnementale de l'intelligence artificielle et d'autres technologies émergentes </w:t>
        </w:r>
        <w:r w:rsidRPr="00607633">
          <w:rPr>
            <w:rStyle w:val="Hyperlink"/>
            <w:rFonts w:asciiTheme="minorHAnsi" w:hAnsiTheme="minorHAnsi"/>
            <w:i/>
            <w:szCs w:val="24"/>
          </w:rPr>
          <w:t>(FG-AI4EE)</w:t>
        </w:r>
        <w:r w:rsidR="00495801" w:rsidRPr="00607633">
          <w:t>;</w:t>
        </w:r>
        <w:r w:rsidRPr="00607633">
          <w:t xml:space="preserve"> </w:t>
        </w:r>
      </w:hyperlink>
      <w:r w:rsidR="00E43BEB" w:rsidRPr="00607633">
        <w:t xml:space="preserve">6) </w:t>
      </w:r>
      <w:hyperlink r:id="rId81" w:tgtFrame="_blank" w:history="1">
        <w:r w:rsidR="00495801" w:rsidRPr="00607633">
          <w:rPr>
            <w:rStyle w:val="Hyperlink"/>
            <w:rFonts w:asciiTheme="minorHAnsi" w:hAnsiTheme="minorHAnsi"/>
            <w:i/>
            <w:szCs w:val="24"/>
          </w:rPr>
          <w:t>Groupe spécialisé de l'UIT-T sur l'intelligence artificielle au service de la conduite autonome et de la conduite assistée (FG-AI4AD)</w:t>
        </w:r>
        <w:r w:rsidR="00495801" w:rsidRPr="00607633">
          <w:t>;</w:t>
        </w:r>
      </w:hyperlink>
      <w:r w:rsidR="00495801" w:rsidRPr="00607633">
        <w:t xml:space="preserve"> </w:t>
      </w:r>
      <w:r w:rsidR="00CE60F8" w:rsidRPr="00607633">
        <w:t xml:space="preserve">et </w:t>
      </w:r>
      <w:r w:rsidR="00E43BEB" w:rsidRPr="00607633">
        <w:t>7)</w:t>
      </w:r>
      <w:hyperlink r:id="rId82" w:tgtFrame="_blank" w:history="1">
        <w:r w:rsidR="00495801" w:rsidRPr="00607633">
          <w:rPr>
            <w:rStyle w:val="Hyperlink"/>
            <w:rFonts w:asciiTheme="minorHAnsi" w:hAnsiTheme="minorHAnsi"/>
            <w:i/>
            <w:szCs w:val="24"/>
          </w:rPr>
          <w:t xml:space="preserve"> Groupe spécialisé de l'UIT-T sur l'informatique quantique pour les réseaux (FG</w:t>
        </w:r>
        <w:r w:rsidR="00607633" w:rsidRPr="00607633">
          <w:rPr>
            <w:rStyle w:val="Hyperlink"/>
            <w:rFonts w:asciiTheme="minorHAnsi" w:hAnsiTheme="minorHAnsi"/>
            <w:i/>
            <w:szCs w:val="24"/>
          </w:rPr>
          <w:noBreakHyphen/>
        </w:r>
        <w:r w:rsidR="00495801" w:rsidRPr="00607633">
          <w:rPr>
            <w:rStyle w:val="Hyperlink"/>
            <w:rFonts w:asciiTheme="minorHAnsi" w:hAnsiTheme="minorHAnsi"/>
            <w:i/>
            <w:szCs w:val="24"/>
          </w:rPr>
          <w:t>QIT4N)</w:t>
        </w:r>
        <w:r w:rsidR="00E43BEB" w:rsidRPr="00607633">
          <w:t>.</w:t>
        </w:r>
      </w:hyperlink>
    </w:p>
    <w:p w14:paraId="56B72FBB" w14:textId="683D4D68" w:rsidR="00E43BEB" w:rsidRPr="00607633" w:rsidRDefault="00E43BEB" w:rsidP="0077196B">
      <w:r w:rsidRPr="00607633">
        <w:rPr>
          <w:b/>
          <w:bCs/>
        </w:rPr>
        <w:t>2.12</w:t>
      </w:r>
      <w:r w:rsidRPr="00607633">
        <w:tab/>
        <w:t xml:space="preserve">Le TSB n'a pas reçu d'informations en retour concernant </w:t>
      </w:r>
      <w:r w:rsidR="00495801" w:rsidRPr="00607633">
        <w:t>des</w:t>
      </w:r>
      <w:r w:rsidRPr="00607633">
        <w:t xml:space="preserve"> incidents signalés relativement à la </w:t>
      </w:r>
      <w:hyperlink r:id="rId83" w:history="1">
        <w:r w:rsidRPr="00607633">
          <w:rPr>
            <w:rStyle w:val="Hyperlink"/>
          </w:rPr>
          <w:t>Résolution 69 de l'AMNT</w:t>
        </w:r>
      </w:hyperlink>
      <w:r w:rsidRPr="00607633">
        <w:t>.</w:t>
      </w:r>
    </w:p>
    <w:p w14:paraId="5E991654" w14:textId="0832FD6D" w:rsidR="00E43BEB" w:rsidRPr="00607633" w:rsidRDefault="00E43BEB" w:rsidP="0077196B">
      <w:r w:rsidRPr="00607633">
        <w:rPr>
          <w:b/>
          <w:bCs/>
        </w:rPr>
        <w:t>2.13</w:t>
      </w:r>
      <w:r w:rsidRPr="00607633">
        <w:tab/>
        <w:t xml:space="preserve">Aux termes de la </w:t>
      </w:r>
      <w:hyperlink r:id="rId84" w:history="1">
        <w:r w:rsidRPr="00607633">
          <w:rPr>
            <w:rStyle w:val="Hyperlink"/>
          </w:rPr>
          <w:t>période d'études 2014-2017</w:t>
        </w:r>
      </w:hyperlink>
      <w:r w:rsidRPr="00607633">
        <w:t>, les CE 1 et 2 de l'UIT-D ont publié un certain nombre de rapports et de lignes directrices ayant trait à l'Internet (voir les rapports publiés par la </w:t>
      </w:r>
      <w:hyperlink r:id="rId85" w:history="1">
        <w:r w:rsidRPr="00607633">
          <w:rPr>
            <w:rStyle w:val="Hyperlink"/>
          </w:rPr>
          <w:t>CE 1</w:t>
        </w:r>
      </w:hyperlink>
      <w:r w:rsidRPr="00607633">
        <w:t xml:space="preserve"> et la </w:t>
      </w:r>
      <w:hyperlink r:id="rId86" w:history="1">
        <w:r w:rsidRPr="00607633">
          <w:rPr>
            <w:rStyle w:val="Hyperlink"/>
          </w:rPr>
          <w:t>CE 2 de l'UIT-D</w:t>
        </w:r>
      </w:hyperlink>
      <w:r w:rsidRPr="00607633">
        <w:t xml:space="preserve">). </w:t>
      </w:r>
      <w:r w:rsidR="0058593D" w:rsidRPr="00607633">
        <w:t>L</w:t>
      </w:r>
      <w:r w:rsidRPr="00607633">
        <w:t>es travaux se poursuiv</w:t>
      </w:r>
      <w:r w:rsidR="0058593D" w:rsidRPr="00607633">
        <w:t xml:space="preserve">ent </w:t>
      </w:r>
      <w:r w:rsidRPr="00607633">
        <w:t>sur des questions relatives au protocole IP, comme l'interconnexion des NGN, la téléphonie Internet, les services en nuage et les stratégies, politiques et technologies pour le déploiement du large bande. Les commissions d'études étudieront le passage des réseaux à bande étroite aux réseaux large bande haut débit de qualité (y compris le passage aux réseaux IMT-2020), compte tenu des caractéristiques d'interconnexion et d'interopérabilité. Les travaux menés au titre de la Question 1/1 porte</w:t>
      </w:r>
      <w:r w:rsidR="0058593D" w:rsidRPr="00607633">
        <w:t>nt</w:t>
      </w:r>
      <w:r w:rsidRPr="00607633">
        <w:t xml:space="preserve"> sur les "Stratégies et politiques pour le déploiement du large bande dans les pays en développement" (fusion des anciennes Questions 1/1 et 2/1). Les travaux menés au titre des Questions 4/1, 5/1 et 1/2 se poursuiv</w:t>
      </w:r>
      <w:r w:rsidR="0058593D" w:rsidRPr="00607633">
        <w:t>ent</w:t>
      </w:r>
      <w:r w:rsidRPr="00607633">
        <w:t xml:space="preserve"> et l'accent </w:t>
      </w:r>
      <w:r w:rsidR="0058593D" w:rsidRPr="00607633">
        <w:t>est</w:t>
      </w:r>
      <w:r w:rsidRPr="00607633">
        <w:t xml:space="preserve"> mis sur la nécessité d'utiliser les TIC au service du développement socio-économique durable.</w:t>
      </w:r>
    </w:p>
    <w:p w14:paraId="0E87A882" w14:textId="77777777" w:rsidR="00607633" w:rsidRPr="00607633" w:rsidRDefault="00607633" w:rsidP="0077196B">
      <w:pPr>
        <w:rPr>
          <w:b/>
          <w:bCs/>
        </w:rPr>
      </w:pPr>
      <w:r w:rsidRPr="00607633">
        <w:rPr>
          <w:b/>
          <w:bCs/>
        </w:rPr>
        <w:br w:type="page"/>
      </w:r>
    </w:p>
    <w:p w14:paraId="31FA77B9" w14:textId="6D847BA0" w:rsidR="00E43BEB" w:rsidRPr="00607633" w:rsidRDefault="00E43BEB" w:rsidP="0077196B">
      <w:r w:rsidRPr="00607633">
        <w:rPr>
          <w:b/>
          <w:bCs/>
        </w:rPr>
        <w:lastRenderedPageBreak/>
        <w:t>2.14</w:t>
      </w:r>
      <w:r w:rsidRPr="00607633">
        <w:tab/>
        <w:t>Le BDT continue de développer la connectivité hertzienne Internet large bande et de concevoir des applications TIC destinées à offrir un accès numérique gratuit ou à faible coût à des établissements scolaires et à des hôpitaux, ainsi qu'aux populations mal desservies des zones rurales ou isolées de certains pays (</w:t>
      </w:r>
      <w:r w:rsidR="0058593D" w:rsidRPr="00607633">
        <w:t xml:space="preserve">par exemple: </w:t>
      </w:r>
      <w:r w:rsidRPr="00607633">
        <w:t>Burundi, Burkina Faso, Djibouti, Lesotho, Mali, Rwanda, Eswatini, Antigua-et-Barbuda, Saint-Kitts-et-Nevis, etc.).</w:t>
      </w:r>
    </w:p>
    <w:p w14:paraId="40B9039B" w14:textId="2730FA18" w:rsidR="00E43BEB" w:rsidRPr="00607633" w:rsidRDefault="00E43BEB" w:rsidP="0077196B">
      <w:pPr>
        <w:rPr>
          <w:color w:val="000000"/>
        </w:rPr>
      </w:pPr>
      <w:r w:rsidRPr="00607633">
        <w:rPr>
          <w:b/>
          <w:bCs/>
        </w:rPr>
        <w:t>2.15</w:t>
      </w:r>
      <w:r w:rsidRPr="00607633">
        <w:tab/>
        <w:t>L'UIT-R a approuvé la Recommandation UIT-R M.2083-0 "Vision pour les IMT – Cadre et objectifs généraux de l'évolution future des IMT à l'horizon 2020 et au-delà", les Résolutions UIT</w:t>
      </w:r>
      <w:r w:rsidRPr="00607633">
        <w:noBreakHyphen/>
        <w:t>R 65 "Principes applicables au processus de développement futur des IMT à l'horizon 2020 et au</w:t>
      </w:r>
      <w:r w:rsidRPr="00607633">
        <w:noBreakHyphen/>
        <w:t>delà" et UIT-R 66 "Études relatives aux systèmes et applications sans fil pour le développement de l'Internet des objets", et le</w:t>
      </w:r>
      <w:r w:rsidR="0058593D" w:rsidRPr="00607633">
        <w:t>s</w:t>
      </w:r>
      <w:r w:rsidRPr="00607633">
        <w:t xml:space="preserve"> Rapport</w:t>
      </w:r>
      <w:r w:rsidR="0058593D" w:rsidRPr="00607633">
        <w:t>s</w:t>
      </w:r>
      <w:r w:rsidRPr="00607633">
        <w:t xml:space="preserve"> </w:t>
      </w:r>
      <w:r w:rsidRPr="00607633">
        <w:rPr>
          <w:color w:val="000000"/>
        </w:rPr>
        <w:t xml:space="preserve">UIT-R M.2440-0, "Utilisation de la composante de Terre des Télécommunications mobiles internationales (IMT) pour les communications de type machine à bande étroite et à large bande", </w:t>
      </w:r>
      <w:r w:rsidR="0058593D" w:rsidRPr="00607633">
        <w:rPr>
          <w:color w:val="000000"/>
        </w:rPr>
        <w:t>UIT</w:t>
      </w:r>
      <w:r w:rsidRPr="00607633">
        <w:rPr>
          <w:color w:val="000000"/>
        </w:rPr>
        <w:t>-R M.2441-0 "</w:t>
      </w:r>
      <w:r w:rsidR="0058593D" w:rsidRPr="00607633">
        <w:rPr>
          <w:color w:val="000000"/>
        </w:rPr>
        <w:t>Utilisation future de la composante de Terre des Télécommunications mobiles internationales (IMT)"</w:t>
      </w:r>
      <w:r w:rsidR="008C63DE" w:rsidRPr="00607633">
        <w:rPr>
          <w:color w:val="000000"/>
        </w:rPr>
        <w:t xml:space="preserve">, </w:t>
      </w:r>
      <w:r w:rsidR="0058593D" w:rsidRPr="00607633">
        <w:rPr>
          <w:color w:val="000000"/>
        </w:rPr>
        <w:t xml:space="preserve">UIT-R </w:t>
      </w:r>
      <w:r w:rsidR="008C63DE" w:rsidRPr="00607633">
        <w:rPr>
          <w:color w:val="000000"/>
        </w:rPr>
        <w:t xml:space="preserve">M.2460-0 </w:t>
      </w:r>
      <w:r w:rsidR="0058593D" w:rsidRPr="00607633">
        <w:rPr>
          <w:color w:val="000000"/>
        </w:rPr>
        <w:t>"Principaux éléments pour l'intégration des systèmes à satellites dans les technologies d'accès de prochaine génération"</w:t>
      </w:r>
      <w:r w:rsidR="004B5D7D" w:rsidRPr="00607633">
        <w:rPr>
          <w:color w:val="000000"/>
        </w:rPr>
        <w:t xml:space="preserve"> </w:t>
      </w:r>
      <w:r w:rsidR="0058593D" w:rsidRPr="00607633">
        <w:rPr>
          <w:color w:val="000000"/>
        </w:rPr>
        <w:t>et UIT-R</w:t>
      </w:r>
      <w:r w:rsidR="004B5D7D" w:rsidRPr="00607633">
        <w:rPr>
          <w:color w:val="000000"/>
        </w:rPr>
        <w:t xml:space="preserve"> M.2480-0 </w:t>
      </w:r>
      <w:r w:rsidR="0058593D" w:rsidRPr="00607633">
        <w:rPr>
          <w:color w:val="000000"/>
        </w:rPr>
        <w:t>"Démarche adoptée par certains pays à l'échelle nationale pour mettre en œuvre des systèmes IMT de Terre dans des bandes identifiées pour les IMT"</w:t>
      </w:r>
      <w:r w:rsidR="004B5D7D" w:rsidRPr="00607633">
        <w:rPr>
          <w:color w:val="000000"/>
        </w:rPr>
        <w:t>.</w:t>
      </w:r>
    </w:p>
    <w:p w14:paraId="60FB9A84" w14:textId="73CF14E6" w:rsidR="004B5D7D" w:rsidRPr="00607633" w:rsidRDefault="004B5D7D" w:rsidP="0077196B">
      <w:r w:rsidRPr="00607633">
        <w:rPr>
          <w:b/>
          <w:bCs/>
        </w:rPr>
        <w:t>2.16</w:t>
      </w:r>
      <w:r w:rsidRPr="00607633">
        <w:tab/>
        <w:t>L'UIT continue de travailler en coopération avec la Corporation for National Research Initiatives (CNRI) et la Fondation DONA sur l'utilisation de l'architecture des objets numériques (DOA) – architecture évoluée utilisée pour la gestion de l'information – en vue d'utiliser les fonctionnalités de gestion d'objet numérique évoluée de l'architecture DOA à l'UIT et au sein des institutions des Nations Unies intéressées.</w:t>
      </w:r>
    </w:p>
    <w:p w14:paraId="2F63B643" w14:textId="2300F708" w:rsidR="004B5D7D" w:rsidRPr="00607633" w:rsidRDefault="004B5D7D" w:rsidP="0077196B">
      <w:r w:rsidRPr="00607633">
        <w:rPr>
          <w:b/>
          <w:bCs/>
        </w:rPr>
        <w:t>2.17</w:t>
      </w:r>
      <w:r w:rsidRPr="00607633">
        <w:tab/>
        <w:t>Plusieurs formations ont été dispensées grâce à l'</w:t>
      </w:r>
      <w:hyperlink r:id="rId87" w:history="1">
        <w:r w:rsidRPr="00607633">
          <w:rPr>
            <w:rStyle w:val="Hyperlink"/>
          </w:rPr>
          <w:t>Académie de l'UIT</w:t>
        </w:r>
      </w:hyperlink>
      <w:r w:rsidRPr="00607633">
        <w:t xml:space="preserve"> et au réseau de </w:t>
      </w:r>
      <w:hyperlink r:id="rId88" w:history="1">
        <w:r w:rsidRPr="00607633">
          <w:rPr>
            <w:rStyle w:val="Hyperlink"/>
          </w:rPr>
          <w:t>Centres</w:t>
        </w:r>
        <w:r w:rsidR="00607633" w:rsidRPr="00607633">
          <w:rPr>
            <w:rStyle w:val="Hyperlink"/>
          </w:rPr>
          <w:t> </w:t>
        </w:r>
        <w:r w:rsidRPr="00607633">
          <w:rPr>
            <w:rStyle w:val="Hyperlink"/>
          </w:rPr>
          <w:t>d'excellence de l'UIT</w:t>
        </w:r>
      </w:hyperlink>
      <w:r w:rsidRPr="00607633">
        <w:t xml:space="preserve">, sur des thèmes </w:t>
      </w:r>
      <w:r w:rsidR="00CE60F8" w:rsidRPr="00607633">
        <w:t>relatifs au</w:t>
      </w:r>
      <w:r w:rsidR="0058593D" w:rsidRPr="00607633">
        <w:t xml:space="preserve"> protocole </w:t>
      </w:r>
      <w:r w:rsidRPr="00607633">
        <w:t xml:space="preserve">IPv6, </w:t>
      </w:r>
      <w:r w:rsidR="00CE60F8" w:rsidRPr="00607633">
        <w:t xml:space="preserve">à </w:t>
      </w:r>
      <w:r w:rsidR="0058593D" w:rsidRPr="00607633">
        <w:t>l'</w:t>
      </w:r>
      <w:r w:rsidRPr="00607633">
        <w:t>IoT,</w:t>
      </w:r>
      <w:r w:rsidR="00CE60F8" w:rsidRPr="00607633">
        <w:t xml:space="preserve"> à </w:t>
      </w:r>
      <w:r w:rsidR="0058593D" w:rsidRPr="00607633">
        <w:t>la</w:t>
      </w:r>
      <w:r w:rsidRPr="00607633">
        <w:t xml:space="preserve"> 5G, </w:t>
      </w:r>
      <w:r w:rsidR="00CE60F8" w:rsidRPr="00607633">
        <w:t xml:space="preserve">aux </w:t>
      </w:r>
      <w:r w:rsidR="0058593D" w:rsidRPr="00607633">
        <w:t>réseaux NG</w:t>
      </w:r>
      <w:r w:rsidRPr="00607633">
        <w:t xml:space="preserve">N, </w:t>
      </w:r>
      <w:r w:rsidR="00CE60F8" w:rsidRPr="00607633">
        <w:t>aux</w:t>
      </w:r>
      <w:r w:rsidR="0058593D" w:rsidRPr="00607633">
        <w:t xml:space="preserve"> villes intelligentes et durables</w:t>
      </w:r>
      <w:r w:rsidRPr="00607633">
        <w:t>, etc.</w:t>
      </w:r>
    </w:p>
    <w:p w14:paraId="11969B0B" w14:textId="2F1FBBB8" w:rsidR="004B5D7D" w:rsidRPr="00607633" w:rsidRDefault="004B5D7D" w:rsidP="0077196B">
      <w:r w:rsidRPr="00607633">
        <w:rPr>
          <w:b/>
          <w:bCs/>
        </w:rPr>
        <w:t>2.18</w:t>
      </w:r>
      <w:r w:rsidRPr="00607633">
        <w:tab/>
        <w:t>L'UIT aide en outre le Costa Rican ICE à renforcer ses capacités, notamment dans le domaine des réseaux NGN, dans le cadre d'un projet intitulé "</w:t>
      </w:r>
      <w:r w:rsidRPr="00607633">
        <w:rPr>
          <w:i/>
          <w:iCs/>
        </w:rPr>
        <w:t>Desarrollo del conocimiento en technologías, para especialistas del ICE</w:t>
      </w:r>
      <w:r w:rsidRPr="00607633">
        <w:t>" (renforcement des connaissances dans le domaine des technologies à l'intention des experts de l'ICE).</w:t>
      </w:r>
    </w:p>
    <w:p w14:paraId="24B177AA" w14:textId="77777777" w:rsidR="004B5D7D" w:rsidRPr="00607633" w:rsidRDefault="004B5D7D" w:rsidP="0077196B">
      <w:pPr>
        <w:pStyle w:val="Heading1"/>
      </w:pPr>
      <w:r w:rsidRPr="00607633">
        <w:t>3</w:t>
      </w:r>
      <w:r w:rsidRPr="00607633">
        <w:tab/>
        <w:t>Protocole Internet version 6 (IPv6)</w:t>
      </w:r>
    </w:p>
    <w:p w14:paraId="47488BE6" w14:textId="048216BF" w:rsidR="004B5D7D" w:rsidRPr="00607633" w:rsidRDefault="004B5D7D" w:rsidP="0077196B">
      <w:r w:rsidRPr="00607633">
        <w:rPr>
          <w:b/>
          <w:bCs/>
        </w:rPr>
        <w:t>3.1</w:t>
      </w:r>
      <w:r w:rsidRPr="00607633">
        <w:rPr>
          <w:b/>
          <w:bCs/>
        </w:rPr>
        <w:tab/>
      </w:r>
      <w:r w:rsidR="0058593D" w:rsidRPr="00607633">
        <w:t xml:space="preserve">La </w:t>
      </w:r>
      <w:hyperlink r:id="rId89" w:history="1">
        <w:r w:rsidR="0058593D" w:rsidRPr="00607633">
          <w:rPr>
            <w:rStyle w:val="Hyperlink"/>
          </w:rPr>
          <w:t>page web de l'UIT-T dédiée au protocole IPv6</w:t>
        </w:r>
      </w:hyperlink>
      <w:r w:rsidR="0058593D" w:rsidRPr="00607633">
        <w:t xml:space="preserve"> met en évidence les activités que l'UIT-T mène dans ce domaine.</w:t>
      </w:r>
    </w:p>
    <w:p w14:paraId="6F714BF2" w14:textId="19DA21EC" w:rsidR="004B5D7D" w:rsidRPr="00607633" w:rsidRDefault="004B5D7D" w:rsidP="0077196B">
      <w:r w:rsidRPr="00607633">
        <w:rPr>
          <w:b/>
          <w:bCs/>
        </w:rPr>
        <w:t>3.2</w:t>
      </w:r>
      <w:r w:rsidRPr="00607633">
        <w:tab/>
        <w:t xml:space="preserve">Le BDT et l'Université des sciences et des technologies de Malaisie continuent de travailler en vue de mettre en place un centre d'expertise UIT sur le protocole IPv6 et l'Internet des objets afin d'aider les </w:t>
      </w:r>
      <w:r w:rsidR="00F461DE" w:rsidRPr="00607633">
        <w:t>États</w:t>
      </w:r>
      <w:r w:rsidRPr="00607633">
        <w:t xml:space="preserve"> Membres à passer du protocole IPv4 au protocole IPv6.</w:t>
      </w:r>
    </w:p>
    <w:p w14:paraId="55BD5687" w14:textId="376646CA" w:rsidR="004B5D7D" w:rsidRPr="00607633" w:rsidRDefault="004B5D7D" w:rsidP="0077196B">
      <w:pPr>
        <w:rPr>
          <w:i/>
          <w:iCs/>
        </w:rPr>
      </w:pPr>
      <w:r w:rsidRPr="00607633">
        <w:rPr>
          <w:b/>
          <w:bCs/>
        </w:rPr>
        <w:t>3.3</w:t>
      </w:r>
      <w:r w:rsidRPr="00607633">
        <w:rPr>
          <w:b/>
          <w:bCs/>
        </w:rPr>
        <w:tab/>
      </w:r>
      <w:r w:rsidR="0058593D" w:rsidRPr="00607633">
        <w:t xml:space="preserve">Des formations/cours </w:t>
      </w:r>
      <w:r w:rsidR="00A84348" w:rsidRPr="00607633">
        <w:t>sont</w:t>
      </w:r>
      <w:r w:rsidR="0058593D" w:rsidRPr="00607633">
        <w:t xml:space="preserve"> </w:t>
      </w:r>
      <w:r w:rsidR="00F70CED" w:rsidRPr="00607633">
        <w:t>dispensés</w:t>
      </w:r>
      <w:r w:rsidR="0058593D" w:rsidRPr="00607633">
        <w:t xml:space="preserve"> sur toutes les formes de connectivité IoT, </w:t>
      </w:r>
      <w:r w:rsidR="00094EFE" w:rsidRPr="00607633">
        <w:t>à l'instar de la</w:t>
      </w:r>
      <w:r w:rsidR="00F70CED" w:rsidRPr="00607633">
        <w:rPr>
          <w:i/>
          <w:iCs/>
        </w:rPr>
        <w:t xml:space="preserve"> formation</w:t>
      </w:r>
      <w:r w:rsidR="00A84348" w:rsidRPr="00607633">
        <w:rPr>
          <w:i/>
          <w:iCs/>
        </w:rPr>
        <w:t xml:space="preserve"> </w:t>
      </w:r>
      <w:r w:rsidR="00F70CED" w:rsidRPr="00607633">
        <w:rPr>
          <w:i/>
          <w:iCs/>
        </w:rPr>
        <w:t xml:space="preserve">à l'intention des professionnels sur la connectivité et la sécurité </w:t>
      </w:r>
      <w:r w:rsidR="00A84348" w:rsidRPr="00607633">
        <w:rPr>
          <w:i/>
          <w:iCs/>
        </w:rPr>
        <w:t>de l'</w:t>
      </w:r>
      <w:r w:rsidR="00F70CED" w:rsidRPr="00607633">
        <w:rPr>
          <w:i/>
          <w:iCs/>
        </w:rPr>
        <w:t xml:space="preserve">IoT, </w:t>
      </w:r>
      <w:r w:rsidR="00A84348" w:rsidRPr="00607633">
        <w:rPr>
          <w:i/>
          <w:iCs/>
        </w:rPr>
        <w:t>aboutissant à</w:t>
      </w:r>
      <w:r w:rsidR="00094EFE" w:rsidRPr="00607633">
        <w:rPr>
          <w:i/>
          <w:iCs/>
        </w:rPr>
        <w:t xml:space="preserve"> l'obtention d'un</w:t>
      </w:r>
      <w:r w:rsidR="00A84348" w:rsidRPr="00607633">
        <w:rPr>
          <w:i/>
          <w:iCs/>
        </w:rPr>
        <w:t xml:space="preserve"> certificat,</w:t>
      </w:r>
      <w:r w:rsidR="00A84348" w:rsidRPr="00607633">
        <w:t xml:space="preserve"> </w:t>
      </w:r>
      <w:r w:rsidR="00F70CED" w:rsidRPr="00607633">
        <w:t>organisée au Viet Nam (14-18 octobre 2019), en Indonésie (9</w:t>
      </w:r>
      <w:r w:rsidR="00607633" w:rsidRPr="00607633">
        <w:noBreakHyphen/>
      </w:r>
      <w:r w:rsidR="00F70CED" w:rsidRPr="00607633">
        <w:t>13</w:t>
      </w:r>
      <w:r w:rsidR="00607633" w:rsidRPr="00607633">
        <w:t> </w:t>
      </w:r>
      <w:r w:rsidR="00F461DE" w:rsidRPr="00607633">
        <w:t>décembre</w:t>
      </w:r>
      <w:r w:rsidR="00F70CED" w:rsidRPr="00607633">
        <w:t xml:space="preserve"> 2019), en Inde (16-20 décembre 2019) et au Maro</w:t>
      </w:r>
      <w:r w:rsidR="00784F9E" w:rsidRPr="00607633">
        <w:t>c</w:t>
      </w:r>
      <w:r w:rsidR="00F70CED" w:rsidRPr="00607633">
        <w:t xml:space="preserve"> (3-7 février 2020).</w:t>
      </w:r>
      <w:r w:rsidRPr="00607633">
        <w:t xml:space="preserve"> </w:t>
      </w:r>
      <w:r w:rsidR="00F70CED" w:rsidRPr="00607633">
        <w:t>Un programme spécial visant à former les formateurs sur le thème "Protocole I</w:t>
      </w:r>
      <w:r w:rsidR="00784F9E" w:rsidRPr="00607633">
        <w:t>P</w:t>
      </w:r>
      <w:r w:rsidR="00F70CED" w:rsidRPr="00607633">
        <w:t xml:space="preserve">v6 </w:t>
      </w:r>
      <w:r w:rsidR="00784F9E" w:rsidRPr="00607633">
        <w:t>sur les</w:t>
      </w:r>
      <w:r w:rsidR="00F70CED" w:rsidRPr="00607633">
        <w:t xml:space="preserve"> réseaux 5G" est dispensé actuellement afin de fournir une assistance aux pays en développement </w:t>
      </w:r>
      <w:r w:rsidR="00094EFE" w:rsidRPr="00607633">
        <w:t>dans la mise en œuvre de</w:t>
      </w:r>
      <w:r w:rsidR="00784F9E" w:rsidRPr="00607633">
        <w:t xml:space="preserve"> </w:t>
      </w:r>
      <w:r w:rsidR="00F70CED" w:rsidRPr="00607633">
        <w:t xml:space="preserve">leurs réseaux 5G </w:t>
      </w:r>
      <w:r w:rsidR="00094EFE" w:rsidRPr="00607633">
        <w:t>fixes ou mobiles</w:t>
      </w:r>
      <w:r w:rsidR="00F70CED" w:rsidRPr="00607633">
        <w:t>.</w:t>
      </w:r>
    </w:p>
    <w:p w14:paraId="5BAD5E1F" w14:textId="219D61B8" w:rsidR="004B5D7D" w:rsidRPr="00607633" w:rsidRDefault="004B5D7D" w:rsidP="0077196B">
      <w:pPr>
        <w:rPr>
          <w:color w:val="000000"/>
        </w:rPr>
      </w:pPr>
      <w:r w:rsidRPr="00607633">
        <w:rPr>
          <w:b/>
          <w:color w:val="000000"/>
        </w:rPr>
        <w:lastRenderedPageBreak/>
        <w:t>3.4</w:t>
      </w:r>
      <w:r w:rsidRPr="00607633">
        <w:rPr>
          <w:color w:val="000000"/>
        </w:rPr>
        <w:tab/>
      </w:r>
      <w:r w:rsidR="00F70CED" w:rsidRPr="00607633">
        <w:rPr>
          <w:color w:val="000000"/>
        </w:rPr>
        <w:t>Une assistance technique a été fournie au Monténégro sur le protocole I</w:t>
      </w:r>
      <w:r w:rsidR="00784F9E" w:rsidRPr="00607633">
        <w:rPr>
          <w:color w:val="000000"/>
        </w:rPr>
        <w:t>P</w:t>
      </w:r>
      <w:r w:rsidR="00F70CED" w:rsidRPr="00607633">
        <w:rPr>
          <w:color w:val="000000"/>
        </w:rPr>
        <w:t xml:space="preserve">v6 et d'autres ateliers </w:t>
      </w:r>
      <w:r w:rsidR="00784F9E" w:rsidRPr="00607633">
        <w:rPr>
          <w:color w:val="000000"/>
        </w:rPr>
        <w:t>sont prévus</w:t>
      </w:r>
      <w:r w:rsidR="00F70CED" w:rsidRPr="00607633">
        <w:rPr>
          <w:color w:val="000000"/>
        </w:rPr>
        <w:t xml:space="preserve"> en Argentine, au Sénégal, à Sri Lanka, en Thaïlande, en Malaisie, au Monténégro, en Tunisie, en Jordanie et aux États-Unis (dont un Forum de l'UIT sur le thème </w:t>
      </w:r>
      <w:r w:rsidR="00F70CED" w:rsidRPr="00607633">
        <w:rPr>
          <w:i/>
          <w:iCs/>
          <w:color w:val="000000"/>
        </w:rPr>
        <w:t>"Internet des objets: applications et services futurs à l'horizon 2030"</w:t>
      </w:r>
      <w:r w:rsidR="00F70CED" w:rsidRPr="00607633">
        <w:rPr>
          <w:color w:val="000000"/>
        </w:rPr>
        <w:t xml:space="preserve">). Le </w:t>
      </w:r>
      <w:r w:rsidR="00F70CED" w:rsidRPr="00607633">
        <w:rPr>
          <w:i/>
          <w:iCs/>
          <w:color w:val="000000"/>
        </w:rPr>
        <w:t>quatrième</w:t>
      </w:r>
      <w:r w:rsidR="00F70CED" w:rsidRPr="00607633">
        <w:rPr>
          <w:color w:val="000000"/>
        </w:rPr>
        <w:t xml:space="preserve"> </w:t>
      </w:r>
      <w:r w:rsidR="00F70CED" w:rsidRPr="00607633">
        <w:rPr>
          <w:i/>
          <w:iCs/>
          <w:color w:val="000000"/>
        </w:rPr>
        <w:t xml:space="preserve">Atelier de l'UIT sur le réseau 2030 </w:t>
      </w:r>
      <w:r w:rsidR="00F70CED" w:rsidRPr="00607633">
        <w:rPr>
          <w:color w:val="000000"/>
        </w:rPr>
        <w:t>s'est tenu du 20 au 22 mai 2019</w:t>
      </w:r>
      <w:r w:rsidR="00094EFE" w:rsidRPr="00607633">
        <w:rPr>
          <w:color w:val="000000"/>
        </w:rPr>
        <w:t xml:space="preserve"> pour la région de la Communauté des États indépendants (CEI)</w:t>
      </w:r>
      <w:r w:rsidR="00F70CED" w:rsidRPr="00607633">
        <w:rPr>
          <w:color w:val="000000"/>
        </w:rPr>
        <w:t>.</w:t>
      </w:r>
    </w:p>
    <w:p w14:paraId="6196D045" w14:textId="454D4E46" w:rsidR="004B5D7D" w:rsidRPr="00607633" w:rsidRDefault="004B5D7D" w:rsidP="0077196B">
      <w:pPr>
        <w:rPr>
          <w:color w:val="000000"/>
        </w:rPr>
      </w:pPr>
      <w:r w:rsidRPr="00607633">
        <w:rPr>
          <w:b/>
          <w:color w:val="000000"/>
        </w:rPr>
        <w:t>3.5</w:t>
      </w:r>
      <w:r w:rsidRPr="00607633">
        <w:rPr>
          <w:color w:val="000000"/>
        </w:rPr>
        <w:tab/>
      </w:r>
      <w:r w:rsidR="00F70CED" w:rsidRPr="00607633">
        <w:rPr>
          <w:color w:val="000000"/>
        </w:rPr>
        <w:t xml:space="preserve">Le BDT </w:t>
      </w:r>
      <w:r w:rsidR="002D410C" w:rsidRPr="00607633">
        <w:rPr>
          <w:color w:val="000000"/>
        </w:rPr>
        <w:t xml:space="preserve">travaille en outre </w:t>
      </w:r>
      <w:r w:rsidR="00F70CED" w:rsidRPr="00607633">
        <w:rPr>
          <w:color w:val="000000"/>
        </w:rPr>
        <w:t xml:space="preserve">à la création d'un Centre d'information et de formation sur la téléphonie IP pour la région de la CEI. Il continue de fournir une assistance </w:t>
      </w:r>
      <w:r w:rsidR="00210F70" w:rsidRPr="00607633">
        <w:rPr>
          <w:color w:val="000000"/>
        </w:rPr>
        <w:t>aux</w:t>
      </w:r>
      <w:r w:rsidR="00F70CED" w:rsidRPr="00607633">
        <w:rPr>
          <w:color w:val="000000"/>
        </w:rPr>
        <w:t xml:space="preserve"> pays </w:t>
      </w:r>
      <w:r w:rsidR="00210F70" w:rsidRPr="00607633">
        <w:rPr>
          <w:color w:val="000000"/>
        </w:rPr>
        <w:t>concernant</w:t>
      </w:r>
      <w:r w:rsidR="00F70CED" w:rsidRPr="00607633">
        <w:rPr>
          <w:color w:val="000000"/>
        </w:rPr>
        <w:t xml:space="preserve"> la mise en œuvre des politiques</w:t>
      </w:r>
      <w:r w:rsidR="00210F70" w:rsidRPr="00607633">
        <w:rPr>
          <w:color w:val="000000"/>
        </w:rPr>
        <w:t xml:space="preserve"> générales</w:t>
      </w:r>
      <w:r w:rsidR="00F70CED" w:rsidRPr="00607633">
        <w:rPr>
          <w:color w:val="000000"/>
        </w:rPr>
        <w:t xml:space="preserve"> relatives au protocole IPv6 et </w:t>
      </w:r>
      <w:r w:rsidR="00210F70" w:rsidRPr="00607633">
        <w:rPr>
          <w:color w:val="000000"/>
        </w:rPr>
        <w:t>au banc</w:t>
      </w:r>
      <w:r w:rsidR="00087D03" w:rsidRPr="00607633">
        <w:rPr>
          <w:color w:val="000000"/>
        </w:rPr>
        <w:t xml:space="preserve"> d'essai </w:t>
      </w:r>
      <w:r w:rsidR="00210F70" w:rsidRPr="00607633">
        <w:rPr>
          <w:color w:val="000000"/>
        </w:rPr>
        <w:t>du protocole</w:t>
      </w:r>
      <w:r w:rsidR="00087D03" w:rsidRPr="00607633">
        <w:rPr>
          <w:color w:val="000000"/>
        </w:rPr>
        <w:t xml:space="preserve"> IPv6, </w:t>
      </w:r>
      <w:r w:rsidR="00210F70" w:rsidRPr="00607633">
        <w:rPr>
          <w:color w:val="000000"/>
        </w:rPr>
        <w:t xml:space="preserve">comme l'avaient demandé les </w:t>
      </w:r>
      <w:r w:rsidR="00087D03" w:rsidRPr="00607633">
        <w:rPr>
          <w:color w:val="000000"/>
        </w:rPr>
        <w:t>États Membres</w:t>
      </w:r>
      <w:r w:rsidRPr="00607633">
        <w:rPr>
          <w:color w:val="000000"/>
        </w:rPr>
        <w:t xml:space="preserve"> (Côte d</w:t>
      </w:r>
      <w:r w:rsidR="00087D03" w:rsidRPr="00607633">
        <w:rPr>
          <w:color w:val="000000"/>
        </w:rPr>
        <w:t>'</w:t>
      </w:r>
      <w:r w:rsidRPr="00607633">
        <w:rPr>
          <w:color w:val="000000"/>
        </w:rPr>
        <w:t xml:space="preserve">Ivoire, </w:t>
      </w:r>
      <w:r w:rsidR="00087D03" w:rsidRPr="00607633">
        <w:rPr>
          <w:color w:val="000000"/>
        </w:rPr>
        <w:t>Ou</w:t>
      </w:r>
      <w:r w:rsidRPr="00607633">
        <w:rPr>
          <w:color w:val="000000"/>
        </w:rPr>
        <w:t>ganda, Zimbabwe</w:t>
      </w:r>
      <w:r w:rsidR="00087D03" w:rsidRPr="00607633">
        <w:rPr>
          <w:color w:val="000000"/>
        </w:rPr>
        <w:t xml:space="preserve"> et</w:t>
      </w:r>
      <w:r w:rsidRPr="00607633">
        <w:rPr>
          <w:color w:val="000000"/>
        </w:rPr>
        <w:t xml:space="preserve"> Sierra Leone</w:t>
      </w:r>
      <w:r w:rsidR="00087D03" w:rsidRPr="00607633">
        <w:rPr>
          <w:color w:val="000000"/>
        </w:rPr>
        <w:t>, par exemple</w:t>
      </w:r>
      <w:r w:rsidRPr="00607633">
        <w:rPr>
          <w:color w:val="000000"/>
        </w:rPr>
        <w:t>).</w:t>
      </w:r>
    </w:p>
    <w:p w14:paraId="48FB3A3B" w14:textId="5538CF2C" w:rsidR="003638A9" w:rsidRPr="00607633" w:rsidRDefault="003638A9" w:rsidP="0077196B">
      <w:r w:rsidRPr="00607633">
        <w:rPr>
          <w:b/>
        </w:rPr>
        <w:t>3.6</w:t>
      </w:r>
      <w:r w:rsidRPr="00607633">
        <w:tab/>
      </w:r>
      <w:r w:rsidR="00087D03" w:rsidRPr="00607633">
        <w:t>Le BDT continue de collaborer étroitement avec la Commission nationale de la radiodiffusion et des télécommunications de la Thaïlande (</w:t>
      </w:r>
      <w:r w:rsidRPr="00607633">
        <w:t xml:space="preserve">NBTC) </w:t>
      </w:r>
      <w:r w:rsidR="00087D03" w:rsidRPr="00607633">
        <w:t xml:space="preserve">afin de renforcer les capacités dans </w:t>
      </w:r>
      <w:r w:rsidR="00210F70" w:rsidRPr="00607633">
        <w:t>d</w:t>
      </w:r>
      <w:r w:rsidR="00087D03" w:rsidRPr="00607633">
        <w:t>es domaines d'intérêt prioritaires, tels que</w:t>
      </w:r>
      <w:r w:rsidR="00210F70" w:rsidRPr="00607633">
        <w:t xml:space="preserve"> </w:t>
      </w:r>
      <w:r w:rsidR="00087D03" w:rsidRPr="00607633">
        <w:t>l'intelligence artificielle (16-19 septembre 2019, Thaïlande)</w:t>
      </w:r>
      <w:r w:rsidR="002D410C" w:rsidRPr="00607633">
        <w:t>,</w:t>
      </w:r>
      <w:r w:rsidR="00210F70" w:rsidRPr="00607633">
        <w:t xml:space="preserve"> </w:t>
      </w:r>
      <w:r w:rsidR="00087D03" w:rsidRPr="00607633">
        <w:t>l'ingénierie du trafic et la planification des réseaux hertziens évolués (30</w:t>
      </w:r>
      <w:r w:rsidR="00607633" w:rsidRPr="00607633">
        <w:t> </w:t>
      </w:r>
      <w:r w:rsidR="00087D03" w:rsidRPr="00607633">
        <w:t>septembre</w:t>
      </w:r>
      <w:r w:rsidR="00607633" w:rsidRPr="00607633">
        <w:t> – </w:t>
      </w:r>
      <w:r w:rsidR="00087D03" w:rsidRPr="00607633">
        <w:t>3</w:t>
      </w:r>
      <w:r w:rsidR="00607633" w:rsidRPr="00607633">
        <w:t> </w:t>
      </w:r>
      <w:r w:rsidR="00087D03" w:rsidRPr="00607633">
        <w:t>octobre 2019</w:t>
      </w:r>
      <w:r w:rsidRPr="00607633">
        <w:t xml:space="preserve">, </w:t>
      </w:r>
      <w:r w:rsidR="00087D03" w:rsidRPr="00607633">
        <w:t>Thaïlande</w:t>
      </w:r>
      <w:r w:rsidRPr="00607633">
        <w:t xml:space="preserve">). En partenariat avec le Centre d'information sur les réseaux de la région Asie-Pacifique (APNIC) et l'Australie, une formation intitulée "Programme de sécurité des infrastructures Internet et IPv6" à l'intention des pays du Pacifique a été organisée au Tonga, </w:t>
      </w:r>
      <w:r w:rsidR="00784F9E" w:rsidRPr="00607633">
        <w:t>tandis qu'une</w:t>
      </w:r>
      <w:r w:rsidRPr="00607633">
        <w:t xml:space="preserve"> Feuille de route pour l'IPv6 a été élaborée pour la Mongolie et Bruneï</w:t>
      </w:r>
      <w:r w:rsidR="00087D03" w:rsidRPr="00607633">
        <w:t xml:space="preserve"> et est maintenant disponible</w:t>
      </w:r>
      <w:r w:rsidRPr="00607633">
        <w:t>.</w:t>
      </w:r>
    </w:p>
    <w:p w14:paraId="3C3F986C" w14:textId="03210C28" w:rsidR="003638A9" w:rsidRPr="00607633" w:rsidRDefault="003638A9" w:rsidP="0077196B">
      <w:r w:rsidRPr="00607633">
        <w:rPr>
          <w:b/>
          <w:bCs/>
        </w:rPr>
        <w:t>3.7</w:t>
      </w:r>
      <w:r w:rsidRPr="00607633">
        <w:tab/>
        <w:t xml:space="preserve">Dans le cadre de l'Académie de l'UIT, un cours de formation sur le thème "Sécurité de l'Internet et de l'infrastructure IPv6" </w:t>
      </w:r>
      <w:r w:rsidR="00FF26AB" w:rsidRPr="00607633">
        <w:t>est toujours dispensé dans la</w:t>
      </w:r>
      <w:r w:rsidRPr="00607633">
        <w:t xml:space="preserve"> région Asie-Pacifique par le </w:t>
      </w:r>
      <w:r w:rsidR="00FF26AB" w:rsidRPr="00607633">
        <w:t>Centre supérieur de formation aux télécommunications</w:t>
      </w:r>
      <w:r w:rsidRPr="00607633">
        <w:t xml:space="preserve"> (</w:t>
      </w:r>
      <w:r w:rsidR="00FF26AB" w:rsidRPr="00607633">
        <w:t>ALTTC</w:t>
      </w:r>
      <w:r w:rsidRPr="00607633">
        <w:t>)</w:t>
      </w:r>
      <w:r w:rsidR="00FF26AB" w:rsidRPr="00607633">
        <w:t xml:space="preserve"> de l'Inde, qui est un Centre d'excellence</w:t>
      </w:r>
      <w:r w:rsidRPr="00607633">
        <w:t xml:space="preserve">, en partenariat avec </w:t>
      </w:r>
      <w:r w:rsidR="00FF26AB" w:rsidRPr="00607633">
        <w:t>le Ministère de l'économie et de la société numériques de la Th</w:t>
      </w:r>
      <w:r w:rsidRPr="00607633">
        <w:t>aïlande et l'APNIC.</w:t>
      </w:r>
    </w:p>
    <w:p w14:paraId="77946A3B" w14:textId="19F5E529" w:rsidR="003638A9" w:rsidRPr="00607633" w:rsidRDefault="003638A9" w:rsidP="0077196B">
      <w:r w:rsidRPr="00607633">
        <w:rPr>
          <w:b/>
          <w:bCs/>
        </w:rPr>
        <w:t>3.8</w:t>
      </w:r>
      <w:r w:rsidRPr="00607633">
        <w:rPr>
          <w:b/>
          <w:bCs/>
        </w:rPr>
        <w:tab/>
      </w:r>
      <w:r w:rsidRPr="00607633">
        <w:t xml:space="preserve">Dans la région des États arabes, un projet sur le renforcement des capacités humaines concernant le protocole IPv6 a été mis en </w:t>
      </w:r>
      <w:r w:rsidR="00F461DE" w:rsidRPr="00607633">
        <w:t>œuvre</w:t>
      </w:r>
      <w:r w:rsidRPr="00607633">
        <w:t xml:space="preserve"> dans le cadre de l'accord de coopération signé entre </w:t>
      </w:r>
      <w:r w:rsidR="00FF26AB" w:rsidRPr="00607633">
        <w:t>l'Autorité de régulation des télécommunications (TRA)</w:t>
      </w:r>
      <w:r w:rsidRPr="00607633">
        <w:t xml:space="preserve"> des Émirats arabes unis et l'UIT.</w:t>
      </w:r>
    </w:p>
    <w:p w14:paraId="6F0B6C4B" w14:textId="22BB36EC" w:rsidR="003638A9" w:rsidRPr="00607633" w:rsidRDefault="003638A9" w:rsidP="0077196B">
      <w:r w:rsidRPr="00607633">
        <w:rPr>
          <w:b/>
          <w:bCs/>
        </w:rPr>
        <w:t>3.9</w:t>
      </w:r>
      <w:r w:rsidRPr="00607633">
        <w:rPr>
          <w:b/>
          <w:bCs/>
        </w:rPr>
        <w:tab/>
      </w:r>
      <w:r w:rsidR="00FF26AB" w:rsidRPr="00607633">
        <w:t xml:space="preserve">Le </w:t>
      </w:r>
      <w:hyperlink r:id="rId90" w:history="1">
        <w:r w:rsidR="00FF26AB" w:rsidRPr="00607633">
          <w:rPr>
            <w:rStyle w:val="Hyperlink"/>
          </w:rPr>
          <w:t>rapport final</w:t>
        </w:r>
      </w:hyperlink>
      <w:r w:rsidR="00FF26AB" w:rsidRPr="00607633">
        <w:t xml:space="preserve"> sur la </w:t>
      </w:r>
      <w:hyperlink r:id="rId91" w:history="1">
        <w:r w:rsidR="00FF26AB" w:rsidRPr="00607633">
          <w:rPr>
            <w:rStyle w:val="Hyperlink"/>
          </w:rPr>
          <w:t>Question 1/1</w:t>
        </w:r>
      </w:hyperlink>
      <w:r w:rsidR="00FF26AB" w:rsidRPr="00607633">
        <w:t xml:space="preserve"> confiée à la CE 1 de l'UIT-D est disponible. De plus, un guide essentiel a été élaboré afin d'aider les pays en développement à utiliser le protocole IPv6 sur les réseaux 5G.</w:t>
      </w:r>
    </w:p>
    <w:p w14:paraId="010DA61A" w14:textId="1E9C2130" w:rsidR="003638A9" w:rsidRPr="00607633" w:rsidRDefault="003638A9" w:rsidP="0077196B">
      <w:pPr>
        <w:pStyle w:val="Heading1"/>
      </w:pPr>
      <w:r w:rsidRPr="00607633">
        <w:t>4</w:t>
      </w:r>
      <w:r w:rsidRPr="00607633">
        <w:tab/>
        <w:t>Questions de politiques publiques relatives à l'Internet, y compris la gestion des noms de domaine et des adresses</w:t>
      </w:r>
    </w:p>
    <w:p w14:paraId="61B0CDA8" w14:textId="35E7919D" w:rsidR="00A24867" w:rsidRPr="00607633" w:rsidRDefault="003638A9" w:rsidP="0077196B">
      <w:pPr>
        <w:rPr>
          <w:rFonts w:cstheme="minorHAnsi"/>
          <w:szCs w:val="22"/>
        </w:rPr>
      </w:pPr>
      <w:r w:rsidRPr="00607633">
        <w:rPr>
          <w:b/>
          <w:bCs/>
        </w:rPr>
        <w:t>4.1</w:t>
      </w:r>
      <w:r w:rsidRPr="00607633">
        <w:tab/>
        <w:t xml:space="preserve">Le </w:t>
      </w:r>
      <w:hyperlink r:id="rId92" w:history="1">
        <w:r w:rsidRPr="00607633">
          <w:rPr>
            <w:rStyle w:val="Hyperlink"/>
          </w:rPr>
          <w:t>Groupe de travail du Conseil sur les questions de politiques publiques internationales relatives à l'Internet (GTC-Internet)</w:t>
        </w:r>
      </w:hyperlink>
      <w:r w:rsidRPr="00607633">
        <w:t xml:space="preserve"> a tenu s</w:t>
      </w:r>
      <w:r w:rsidR="00CF619F" w:rsidRPr="00607633">
        <w:t>es</w:t>
      </w:r>
      <w:r w:rsidRPr="00607633">
        <w:t xml:space="preserve"> treizième</w:t>
      </w:r>
      <w:r w:rsidR="00CF619F" w:rsidRPr="00607633">
        <w:t xml:space="preserve"> et quatorzième</w:t>
      </w:r>
      <w:r w:rsidRPr="00607633">
        <w:t xml:space="preserve"> réunion</w:t>
      </w:r>
      <w:r w:rsidR="00CF619F" w:rsidRPr="00607633">
        <w:t>s, respectivement</w:t>
      </w:r>
      <w:r w:rsidRPr="00607633">
        <w:t xml:space="preserve"> </w:t>
      </w:r>
      <w:r w:rsidR="00CF619F" w:rsidRPr="00607633">
        <w:rPr>
          <w:rFonts w:cstheme="minorHAnsi"/>
          <w:szCs w:val="22"/>
        </w:rPr>
        <w:t>les 19 et 20 septembre 2019 et les 5 et 6 février 2020</w:t>
      </w:r>
      <w:r w:rsidR="00A24867" w:rsidRPr="00607633">
        <w:rPr>
          <w:rFonts w:cstheme="minorHAnsi"/>
          <w:szCs w:val="22"/>
        </w:rPr>
        <w:t xml:space="preserve">. </w:t>
      </w:r>
      <w:r w:rsidR="00CF619F" w:rsidRPr="00607633">
        <w:rPr>
          <w:rFonts w:cstheme="minorHAnsi"/>
          <w:szCs w:val="22"/>
        </w:rPr>
        <w:t xml:space="preserve">Le Groupe a aussi </w:t>
      </w:r>
      <w:r w:rsidR="00E968FE" w:rsidRPr="00607633">
        <w:rPr>
          <w:rFonts w:cstheme="minorHAnsi"/>
          <w:szCs w:val="22"/>
        </w:rPr>
        <w:t>organisé</w:t>
      </w:r>
      <w:r w:rsidR="00CF619F" w:rsidRPr="00607633">
        <w:rPr>
          <w:rFonts w:cstheme="minorHAnsi"/>
          <w:szCs w:val="22"/>
        </w:rPr>
        <w:t xml:space="preserve"> des consultations ouvertes sur le</w:t>
      </w:r>
      <w:r w:rsidR="00E968FE" w:rsidRPr="00607633">
        <w:rPr>
          <w:rFonts w:cstheme="minorHAnsi"/>
          <w:szCs w:val="22"/>
        </w:rPr>
        <w:t>s</w:t>
      </w:r>
      <w:r w:rsidR="00CF619F" w:rsidRPr="00607633">
        <w:rPr>
          <w:rFonts w:cstheme="minorHAnsi"/>
          <w:szCs w:val="22"/>
        </w:rPr>
        <w:t xml:space="preserve"> thème</w:t>
      </w:r>
      <w:r w:rsidR="00E968FE" w:rsidRPr="00607633">
        <w:rPr>
          <w:rFonts w:cstheme="minorHAnsi"/>
          <w:szCs w:val="22"/>
        </w:rPr>
        <w:t>s</w:t>
      </w:r>
      <w:r w:rsidR="00CF619F" w:rsidRPr="00607633">
        <w:rPr>
          <w:rFonts w:cstheme="minorHAnsi"/>
          <w:szCs w:val="22"/>
        </w:rPr>
        <w:t xml:space="preserve"> "</w:t>
      </w:r>
      <w:r w:rsidR="00CF619F" w:rsidRPr="00607633">
        <w:t>Questions de politiques publiques internationales relatives à l'Internet – Utiliser les télécommunications/TIC nouvelles et émergentes au service du développement durable"</w:t>
      </w:r>
      <w:r w:rsidR="00A24867" w:rsidRPr="00607633">
        <w:rPr>
          <w:rFonts w:cstheme="minorHAnsi"/>
          <w:szCs w:val="22"/>
        </w:rPr>
        <w:t xml:space="preserve"> </w:t>
      </w:r>
      <w:r w:rsidR="00CF619F" w:rsidRPr="00607633">
        <w:rPr>
          <w:rFonts w:cstheme="minorHAnsi"/>
          <w:szCs w:val="22"/>
        </w:rPr>
        <w:t>et "Étendre la connectivité Internet"</w:t>
      </w:r>
      <w:r w:rsidR="00A24867" w:rsidRPr="00607633">
        <w:rPr>
          <w:rFonts w:cstheme="minorHAnsi"/>
          <w:szCs w:val="22"/>
        </w:rPr>
        <w:t xml:space="preserve">. </w:t>
      </w:r>
      <w:r w:rsidR="00CF619F" w:rsidRPr="00607633">
        <w:rPr>
          <w:rFonts w:cstheme="minorHAnsi"/>
          <w:szCs w:val="22"/>
        </w:rPr>
        <w:t xml:space="preserve">Un rapport distinct est reproduit dans le </w:t>
      </w:r>
      <w:hyperlink r:id="rId93" w:history="1">
        <w:r w:rsidR="00A24867" w:rsidRPr="00607633">
          <w:rPr>
            <w:rStyle w:val="Hyperlink"/>
            <w:rFonts w:cstheme="minorHAnsi"/>
            <w:szCs w:val="22"/>
          </w:rPr>
          <w:t>Document C20/51</w:t>
        </w:r>
      </w:hyperlink>
      <w:r w:rsidR="00A24867" w:rsidRPr="00607633">
        <w:rPr>
          <w:rFonts w:cstheme="minorHAnsi"/>
          <w:szCs w:val="22"/>
        </w:rPr>
        <w:t>.</w:t>
      </w:r>
    </w:p>
    <w:p w14:paraId="0F1AAFA5" w14:textId="77777777" w:rsidR="00607633" w:rsidRPr="00607633" w:rsidRDefault="00607633" w:rsidP="0077196B">
      <w:pPr>
        <w:rPr>
          <w:rFonts w:cstheme="minorHAnsi"/>
          <w:b/>
        </w:rPr>
      </w:pPr>
      <w:r w:rsidRPr="00607633">
        <w:rPr>
          <w:rFonts w:cstheme="minorHAnsi"/>
          <w:b/>
        </w:rPr>
        <w:br w:type="page"/>
      </w:r>
    </w:p>
    <w:p w14:paraId="66B1EAE7" w14:textId="04AF4CFB" w:rsidR="003638A9" w:rsidRPr="00607633" w:rsidRDefault="00A24867" w:rsidP="0077196B">
      <w:pPr>
        <w:rPr>
          <w:rFonts w:cstheme="minorHAnsi"/>
        </w:rPr>
      </w:pPr>
      <w:r w:rsidRPr="00607633">
        <w:rPr>
          <w:rFonts w:cstheme="minorHAnsi"/>
          <w:b/>
        </w:rPr>
        <w:lastRenderedPageBreak/>
        <w:t>4.2</w:t>
      </w:r>
      <w:r w:rsidRPr="00607633">
        <w:rPr>
          <w:rFonts w:cstheme="minorHAnsi"/>
          <w:b/>
        </w:rPr>
        <w:tab/>
      </w:r>
      <w:r w:rsidR="00CF619F" w:rsidRPr="00607633">
        <w:rPr>
          <w:rFonts w:cstheme="minorHAnsi"/>
        </w:rPr>
        <w:t>L'UIT a participé au</w:t>
      </w:r>
      <w:r w:rsidRPr="00607633">
        <w:rPr>
          <w:rFonts w:cstheme="minorHAnsi"/>
        </w:rPr>
        <w:t xml:space="preserve"> 14</w:t>
      </w:r>
      <w:r w:rsidR="00CF619F" w:rsidRPr="00607633">
        <w:rPr>
          <w:rFonts w:cstheme="minorHAnsi"/>
        </w:rPr>
        <w:t>ème Forum sur la gouvernance de l'Internet</w:t>
      </w:r>
      <w:r w:rsidRPr="00607633">
        <w:rPr>
          <w:rFonts w:cstheme="minorHAnsi"/>
        </w:rPr>
        <w:t xml:space="preserve"> (25-29 </w:t>
      </w:r>
      <w:r w:rsidR="00CF619F" w:rsidRPr="00607633">
        <w:rPr>
          <w:rFonts w:cstheme="minorHAnsi"/>
        </w:rPr>
        <w:t>novembre</w:t>
      </w:r>
      <w:r w:rsidRPr="00607633">
        <w:rPr>
          <w:rFonts w:cstheme="minorHAnsi"/>
        </w:rPr>
        <w:t xml:space="preserve"> 2019, Berlin, </w:t>
      </w:r>
      <w:r w:rsidR="00CF619F" w:rsidRPr="00607633">
        <w:rPr>
          <w:rFonts w:cstheme="minorHAnsi"/>
        </w:rPr>
        <w:t>Allemagne</w:t>
      </w:r>
      <w:r w:rsidRPr="00607633">
        <w:rPr>
          <w:rFonts w:cstheme="minorHAnsi"/>
        </w:rPr>
        <w:t xml:space="preserve">). </w:t>
      </w:r>
      <w:r w:rsidR="00CF619F" w:rsidRPr="00607633">
        <w:rPr>
          <w:rFonts w:cstheme="minorHAnsi"/>
        </w:rPr>
        <w:t xml:space="preserve">Le Secrétaire général de l'UIT a participé au dialogue </w:t>
      </w:r>
      <w:r w:rsidR="002430AA" w:rsidRPr="00607633">
        <w:rPr>
          <w:rFonts w:cstheme="minorHAnsi"/>
        </w:rPr>
        <w:t>de haut niveau tenu en ouverture. L'UIT a organisé</w:t>
      </w:r>
      <w:r w:rsidRPr="00607633">
        <w:rPr>
          <w:rFonts w:cstheme="minorHAnsi"/>
        </w:rPr>
        <w:t xml:space="preserve"> </w:t>
      </w:r>
      <w:r w:rsidR="002430AA" w:rsidRPr="00607633">
        <w:rPr>
          <w:rFonts w:cstheme="minorHAnsi"/>
        </w:rPr>
        <w:t xml:space="preserve">l'édition annuelle des prix </w:t>
      </w:r>
      <w:r w:rsidRPr="00607633">
        <w:rPr>
          <w:rFonts w:cstheme="minorHAnsi"/>
        </w:rPr>
        <w:t xml:space="preserve">EQUALs in Tech, </w:t>
      </w:r>
      <w:r w:rsidR="002430AA" w:rsidRPr="00607633">
        <w:rPr>
          <w:color w:val="000000"/>
        </w:rPr>
        <w:t xml:space="preserve">un Forum ouvert sur la mise en </w:t>
      </w:r>
      <w:r w:rsidR="00F461DE" w:rsidRPr="00607633">
        <w:rPr>
          <w:color w:val="000000"/>
        </w:rPr>
        <w:t>œuvre</w:t>
      </w:r>
      <w:r w:rsidR="002430AA" w:rsidRPr="00607633">
        <w:rPr>
          <w:color w:val="000000"/>
        </w:rPr>
        <w:t xml:space="preserve"> des grandes orientations du SMSI pour les ODD</w:t>
      </w:r>
      <w:r w:rsidR="00210F70" w:rsidRPr="00607633">
        <w:rPr>
          <w:color w:val="000000"/>
        </w:rPr>
        <w:t xml:space="preserve"> et</w:t>
      </w:r>
      <w:r w:rsidR="002430AA" w:rsidRPr="00607633">
        <w:rPr>
          <w:color w:val="000000"/>
        </w:rPr>
        <w:t xml:space="preserve"> l'édition de 2020 du Forum du SMSI </w:t>
      </w:r>
      <w:r w:rsidRPr="00607633">
        <w:rPr>
          <w:rFonts w:cstheme="minorHAnsi"/>
        </w:rPr>
        <w:t>(</w:t>
      </w:r>
      <w:r w:rsidR="002430AA" w:rsidRPr="00607633">
        <w:rPr>
          <w:rFonts w:cstheme="minorHAnsi"/>
        </w:rPr>
        <w:t>conjointement avec les coordonnateurs des grandes orientations du SMSI</w:t>
      </w:r>
      <w:r w:rsidRPr="00607633">
        <w:rPr>
          <w:rFonts w:cstheme="minorHAnsi"/>
        </w:rPr>
        <w:t xml:space="preserve">), </w:t>
      </w:r>
      <w:r w:rsidR="00210F70" w:rsidRPr="00607633">
        <w:rPr>
          <w:rFonts w:cstheme="minorHAnsi"/>
        </w:rPr>
        <w:t>ainsi qu'</w:t>
      </w:r>
      <w:r w:rsidR="002430AA" w:rsidRPr="00607633">
        <w:rPr>
          <w:rFonts w:cstheme="minorHAnsi"/>
        </w:rPr>
        <w:t xml:space="preserve">une table ronde sur le thème </w:t>
      </w:r>
      <w:r w:rsidR="002430AA" w:rsidRPr="00607633">
        <w:rPr>
          <w:rFonts w:cstheme="minorHAnsi"/>
          <w:i/>
          <w:iCs/>
        </w:rPr>
        <w:t>"Promouvoir l'égalité hommes-femmes à l'ère du numérique: quel rôle pour les gouvernements?"</w:t>
      </w:r>
      <w:r w:rsidR="002430AA" w:rsidRPr="00607633">
        <w:rPr>
          <w:rFonts w:cstheme="minorHAnsi"/>
        </w:rPr>
        <w:t xml:space="preserve"> </w:t>
      </w:r>
      <w:r w:rsidRPr="00607633">
        <w:rPr>
          <w:rFonts w:cstheme="minorHAnsi"/>
        </w:rPr>
        <w:t>(</w:t>
      </w:r>
      <w:r w:rsidR="002430AA" w:rsidRPr="00607633">
        <w:rPr>
          <w:rFonts w:cstheme="minorHAnsi"/>
        </w:rPr>
        <w:t>conjointement avec le gouvernement de l'Allemagne</w:t>
      </w:r>
      <w:r w:rsidRPr="00607633">
        <w:rPr>
          <w:rFonts w:cstheme="minorHAnsi"/>
        </w:rPr>
        <w:t>).</w:t>
      </w:r>
    </w:p>
    <w:p w14:paraId="07CE15D8" w14:textId="3C216B5F" w:rsidR="00A24867" w:rsidRPr="00607633" w:rsidRDefault="00A24867" w:rsidP="0077196B">
      <w:r w:rsidRPr="00607633">
        <w:rPr>
          <w:b/>
          <w:bCs/>
        </w:rPr>
        <w:t>4.3</w:t>
      </w:r>
      <w:r w:rsidRPr="00607633">
        <w:tab/>
        <w:t>L'UIT continue de suivre la question de la protection des noms et sigles des organisations intergouvernementales (OIG) dans les nouveaux gTLD, dans le cadre de la coalition OIG regroupant environ 35 OIG, dont l'OCDE, l'ONU, l'UPU, l'OMS, l'OMPI et la Banque mondiale.</w:t>
      </w:r>
    </w:p>
    <w:p w14:paraId="6920F93F" w14:textId="15EF4D79" w:rsidR="00A24867" w:rsidRPr="00607633" w:rsidRDefault="00A24867" w:rsidP="0077196B">
      <w:r w:rsidRPr="00607633">
        <w:rPr>
          <w:b/>
        </w:rPr>
        <w:t>4.4</w:t>
      </w:r>
      <w:r w:rsidRPr="00607633">
        <w:tab/>
      </w:r>
      <w:r w:rsidR="002430AA" w:rsidRPr="00607633">
        <w:t xml:space="preserve">En 2019, le </w:t>
      </w:r>
      <w:r w:rsidRPr="00607633">
        <w:t xml:space="preserve">BDT </w:t>
      </w:r>
      <w:r w:rsidR="002430AA" w:rsidRPr="00607633">
        <w:t xml:space="preserve">a </w:t>
      </w:r>
      <w:r w:rsidR="00210F70" w:rsidRPr="00607633">
        <w:t>organisé</w:t>
      </w:r>
      <w:r w:rsidR="002430AA" w:rsidRPr="00607633">
        <w:t xml:space="preserve"> plusieurs activités de formation et de renforcement des capacités, notamment un atelier régional sur le thème </w:t>
      </w:r>
      <w:r w:rsidR="002430AA" w:rsidRPr="00607633">
        <w:rPr>
          <w:i/>
          <w:iCs/>
        </w:rPr>
        <w:t>"Renforcement des capacités dans le domaine de la gouvernance internationale de l'Internet"</w:t>
      </w:r>
      <w:r w:rsidR="002430AA" w:rsidRPr="00607633">
        <w:t xml:space="preserve"> pour la région des États arabes, les 1er et</w:t>
      </w:r>
      <w:r w:rsidR="009D68EC">
        <w:t> </w:t>
      </w:r>
      <w:r w:rsidR="002430AA" w:rsidRPr="00607633">
        <w:t>2 octobre 2019 au Royaume de Bahreïn.</w:t>
      </w:r>
    </w:p>
    <w:p w14:paraId="559F6530" w14:textId="2026BA75" w:rsidR="00A24867" w:rsidRPr="00607633" w:rsidRDefault="00A24867" w:rsidP="0077196B">
      <w:pPr>
        <w:pStyle w:val="Heading1"/>
      </w:pPr>
      <w:r w:rsidRPr="00607633">
        <w:t>5</w:t>
      </w:r>
      <w:r w:rsidRPr="00607633">
        <w:tab/>
        <w:t>Protocole ENUM</w:t>
      </w:r>
    </w:p>
    <w:p w14:paraId="08CBEFA0" w14:textId="1EFDA3A3" w:rsidR="00A24867" w:rsidRPr="00607633" w:rsidRDefault="00A24867" w:rsidP="0077196B">
      <w:r w:rsidRPr="00607633">
        <w:rPr>
          <w:b/>
          <w:bCs/>
        </w:rPr>
        <w:t>5.1</w:t>
      </w:r>
      <w:r w:rsidRPr="00607633">
        <w:tab/>
        <w:t>L</w:t>
      </w:r>
      <w:r w:rsidR="002D410C" w:rsidRPr="00607633">
        <w:t>'UIT centralise l</w:t>
      </w:r>
      <w:r w:rsidRPr="00607633">
        <w:t xml:space="preserve">es </w:t>
      </w:r>
      <w:hyperlink r:id="rId94" w:history="1">
        <w:r w:rsidRPr="00607633">
          <w:rPr>
            <w:rStyle w:val="Hyperlink"/>
          </w:rPr>
          <w:t>informations actualisées relatives au protocole ENUM</w:t>
        </w:r>
      </w:hyperlink>
      <w:r w:rsidRPr="00607633">
        <w:t>.</w:t>
      </w:r>
    </w:p>
    <w:p w14:paraId="43978C57" w14:textId="441648CD" w:rsidR="00A24867" w:rsidRPr="00607633" w:rsidRDefault="00A24867" w:rsidP="0077196B">
      <w:r w:rsidRPr="00607633">
        <w:rPr>
          <w:b/>
        </w:rPr>
        <w:t>5.2</w:t>
      </w:r>
      <w:r w:rsidRPr="00607633">
        <w:tab/>
      </w:r>
      <w:r w:rsidR="002430AA" w:rsidRPr="00607633">
        <w:t xml:space="preserve">La CE 11 de l'UIT-T </w:t>
      </w:r>
      <w:r w:rsidR="002D410C" w:rsidRPr="00607633">
        <w:t>travaille</w:t>
      </w:r>
      <w:r w:rsidR="002430AA" w:rsidRPr="00607633">
        <w:t xml:space="preserve">, en coopération avec la CE 2 de l'UIT-T, </w:t>
      </w:r>
      <w:r w:rsidR="002D410C" w:rsidRPr="00607633">
        <w:t xml:space="preserve">sur </w:t>
      </w:r>
      <w:r w:rsidR="002430AA" w:rsidRPr="00607633">
        <w:t>l'interconnexion des réseaux VoLTE/ViLTE et l'adoption du protocole ENUM pour l'interconnexion avec le sous</w:t>
      </w:r>
      <w:r w:rsidR="009D68EC">
        <w:noBreakHyphen/>
      </w:r>
      <w:r w:rsidR="002430AA" w:rsidRPr="00607633">
        <w:t>système</w:t>
      </w:r>
      <w:r w:rsidR="009D68EC">
        <w:t> </w:t>
      </w:r>
      <w:r w:rsidR="002430AA" w:rsidRPr="00607633">
        <w:t>IMS</w:t>
      </w:r>
      <w:r w:rsidRPr="00607633">
        <w:t>.</w:t>
      </w:r>
    </w:p>
    <w:p w14:paraId="69D856C1" w14:textId="77777777" w:rsidR="00A24867" w:rsidRPr="00607633" w:rsidRDefault="00A24867" w:rsidP="0077196B">
      <w:pPr>
        <w:pStyle w:val="Heading1"/>
      </w:pPr>
      <w:r w:rsidRPr="00607633">
        <w:t>6</w:t>
      </w:r>
      <w:r w:rsidRPr="00607633">
        <w:tab/>
        <w:t>Connectivité Internet internationale/points d'échange Internet</w:t>
      </w:r>
    </w:p>
    <w:p w14:paraId="7A05D28A" w14:textId="65708AD4" w:rsidR="00A24867" w:rsidRPr="00607633" w:rsidRDefault="00A24867" w:rsidP="0077196B">
      <w:r w:rsidRPr="00607633">
        <w:rPr>
          <w:b/>
        </w:rPr>
        <w:t>6.1</w:t>
      </w:r>
      <w:r w:rsidRPr="00607633">
        <w:tab/>
      </w:r>
      <w:bookmarkStart w:id="9" w:name="_Hlk500485334"/>
      <w:r w:rsidR="002430AA" w:rsidRPr="00607633">
        <w:t>Le BDT a fourni une assistance au</w:t>
      </w:r>
      <w:r w:rsidRPr="00607633">
        <w:t xml:space="preserve"> Guatemala, </w:t>
      </w:r>
      <w:r w:rsidR="002430AA" w:rsidRPr="00607633">
        <w:t xml:space="preserve">au </w:t>
      </w:r>
      <w:r w:rsidRPr="00607633">
        <w:t>Mont</w:t>
      </w:r>
      <w:r w:rsidR="002430AA" w:rsidRPr="00607633">
        <w:t>é</w:t>
      </w:r>
      <w:r w:rsidRPr="00607633">
        <w:t>n</w:t>
      </w:r>
      <w:r w:rsidR="002430AA" w:rsidRPr="00607633">
        <w:t>é</w:t>
      </w:r>
      <w:r w:rsidRPr="00607633">
        <w:t xml:space="preserve">gro </w:t>
      </w:r>
      <w:r w:rsidR="002430AA" w:rsidRPr="00607633">
        <w:t xml:space="preserve">et </w:t>
      </w:r>
      <w:r w:rsidR="004469D7" w:rsidRPr="00607633">
        <w:t xml:space="preserve">au </w:t>
      </w:r>
      <w:r w:rsidRPr="00607633">
        <w:t>Timor</w:t>
      </w:r>
      <w:r w:rsidR="004469D7" w:rsidRPr="00607633">
        <w:t>-</w:t>
      </w:r>
      <w:r w:rsidRPr="00607633">
        <w:t>Leste</w:t>
      </w:r>
      <w:r w:rsidR="004469D7" w:rsidRPr="00607633">
        <w:t xml:space="preserve"> sur l'élaboration d'un modèle d'interconnexion destiné à servir de base à la création de points d'échange Internet (IXP) </w:t>
      </w:r>
      <w:r w:rsidR="00210F70" w:rsidRPr="00607633">
        <w:t xml:space="preserve">nationaux et </w:t>
      </w:r>
      <w:r w:rsidR="004469D7" w:rsidRPr="00607633">
        <w:t>régionaux.</w:t>
      </w:r>
      <w:r w:rsidRPr="00607633">
        <w:t xml:space="preserve"> </w:t>
      </w:r>
      <w:r w:rsidR="004469D7" w:rsidRPr="00607633">
        <w:t>De nouvelles publications sur les "Centres d'échange Internet" et</w:t>
      </w:r>
      <w:r w:rsidR="00210F70" w:rsidRPr="00607633">
        <w:t xml:space="preserve"> sur</w:t>
      </w:r>
      <w:r w:rsidR="004469D7" w:rsidRPr="00607633">
        <w:t xml:space="preserve"> les énergies renouvelables pour les communications rurales sont en cours d'élaboration.</w:t>
      </w:r>
    </w:p>
    <w:p w14:paraId="4C6B03A6" w14:textId="0DD11207" w:rsidR="00A24867" w:rsidRPr="00607633" w:rsidRDefault="00A24867" w:rsidP="0077196B">
      <w:r w:rsidRPr="00607633">
        <w:rPr>
          <w:b/>
        </w:rPr>
        <w:t>6.2</w:t>
      </w:r>
      <w:r w:rsidRPr="00607633">
        <w:tab/>
      </w:r>
      <w:r w:rsidR="004469D7" w:rsidRPr="00607633">
        <w:t>Dans la région Afrique</w:t>
      </w:r>
      <w:r w:rsidRPr="00607633">
        <w:t>,</w:t>
      </w:r>
      <w:r w:rsidR="004469D7" w:rsidRPr="00607633">
        <w:t xml:space="preserve"> le BDT </w:t>
      </w:r>
      <w:r w:rsidR="002D410C" w:rsidRPr="00607633">
        <w:t>appuie en outre actuellement</w:t>
      </w:r>
      <w:r w:rsidR="004469D7" w:rsidRPr="00607633">
        <w:t xml:space="preserve"> la mise en </w:t>
      </w:r>
      <w:r w:rsidR="004D060D" w:rsidRPr="00607633">
        <w:t xml:space="preserve">œuvre </w:t>
      </w:r>
      <w:r w:rsidR="002D410C" w:rsidRPr="00607633">
        <w:t>du cadre d</w:t>
      </w:r>
      <w:r w:rsidR="004D060D" w:rsidRPr="00607633">
        <w:t>'itinérance du réseau unique africain (One Network Area) en Afrique de l'Ouest</w:t>
      </w:r>
      <w:r w:rsidR="004469D7" w:rsidRPr="00607633">
        <w:t xml:space="preserve"> et la création de points IXP nationaux et régionaux pour </w:t>
      </w:r>
      <w:r w:rsidR="004D060D" w:rsidRPr="00607633">
        <w:t>prendre en charge une</w:t>
      </w:r>
      <w:r w:rsidR="004469D7" w:rsidRPr="00607633">
        <w:t xml:space="preserve"> connectivité</w:t>
      </w:r>
      <w:r w:rsidR="004D060D" w:rsidRPr="00607633">
        <w:t xml:space="preserve"> et un accès large bande</w:t>
      </w:r>
      <w:r w:rsidR="00210F70" w:rsidRPr="00607633">
        <w:t xml:space="preserve"> </w:t>
      </w:r>
      <w:r w:rsidR="004D060D" w:rsidRPr="00607633">
        <w:t>haut débit de qualité.</w:t>
      </w:r>
      <w:r w:rsidRPr="00607633">
        <w:t xml:space="preserve"> </w:t>
      </w:r>
      <w:r w:rsidR="004D060D" w:rsidRPr="00607633">
        <w:t>Il est actuellement envisagé de créer un autre point IXP sous-régional avec Djibouti Telecom.</w:t>
      </w:r>
    </w:p>
    <w:p w14:paraId="4077D989" w14:textId="28AD5C27" w:rsidR="00A24867" w:rsidRPr="00607633" w:rsidRDefault="00A24867" w:rsidP="0077196B">
      <w:r w:rsidRPr="00607633">
        <w:rPr>
          <w:b/>
        </w:rPr>
        <w:t>6.3</w:t>
      </w:r>
      <w:r w:rsidRPr="00607633">
        <w:tab/>
      </w:r>
      <w:r w:rsidR="00F05008" w:rsidRPr="00607633">
        <w:t xml:space="preserve">Le BDT a élaboré une </w:t>
      </w:r>
      <w:hyperlink r:id="rId95" w:history="1">
        <w:r w:rsidR="00F05008" w:rsidRPr="00607633">
          <w:rPr>
            <w:rStyle w:val="Hyperlink"/>
          </w:rPr>
          <w:t>plate-forme de cartographie des données relatives aux TIC</w:t>
        </w:r>
      </w:hyperlink>
      <w:r w:rsidR="00F05008" w:rsidRPr="00607633">
        <w:rPr>
          <w:color w:val="000000"/>
        </w:rPr>
        <w:t xml:space="preserve"> afin de dresser un état des lieux de l'emplacement des points IXP, de la connectivité des infrastructures dorsales de chaque pays et d'autres indicateurs clés du secteur des TIC, en collaboration avec la Commission économique et sociale des Nations Unies pour l'Asie et le Pacifique (CESAP) et </w:t>
      </w:r>
      <w:bookmarkEnd w:id="9"/>
      <w:r w:rsidRPr="00607633">
        <w:t>TeleGeography.</w:t>
      </w:r>
    </w:p>
    <w:p w14:paraId="69A53DBF" w14:textId="61811F3B" w:rsidR="00A24867" w:rsidRPr="00607633" w:rsidRDefault="00A24867" w:rsidP="0077196B">
      <w:r w:rsidRPr="00607633">
        <w:rPr>
          <w:b/>
        </w:rPr>
        <w:t>6.4</w:t>
      </w:r>
      <w:r w:rsidRPr="00607633">
        <w:tab/>
      </w:r>
      <w:r w:rsidR="00F05008" w:rsidRPr="00607633">
        <w:t xml:space="preserve">Durant la réunion de 2019 du Groupe </w:t>
      </w:r>
      <w:r w:rsidRPr="00607633">
        <w:t>Middle East Network Operators (MENOG)</w:t>
      </w:r>
      <w:r w:rsidR="00F05008" w:rsidRPr="00607633">
        <w:t xml:space="preserve"> </w:t>
      </w:r>
      <w:r w:rsidRPr="00607633">
        <w:t>(</w:t>
      </w:r>
      <w:r w:rsidR="002D410C" w:rsidRPr="00607633">
        <w:t>Beyrouth</w:t>
      </w:r>
      <w:r w:rsidRPr="00607633">
        <w:t xml:space="preserve">, 3-4 </w:t>
      </w:r>
      <w:r w:rsidR="00F05008" w:rsidRPr="00607633">
        <w:t>avril</w:t>
      </w:r>
      <w:r w:rsidRPr="00607633">
        <w:t xml:space="preserve"> 2019), </w:t>
      </w:r>
      <w:r w:rsidR="00F05008" w:rsidRPr="00607633">
        <w:t xml:space="preserve">le </w:t>
      </w:r>
      <w:r w:rsidRPr="00607633">
        <w:t>BDT</w:t>
      </w:r>
      <w:r w:rsidR="00F05008" w:rsidRPr="00607633">
        <w:t xml:space="preserve"> a fait le point sur </w:t>
      </w:r>
      <w:hyperlink r:id="rId96" w:history="1">
        <w:r w:rsidR="00F05008" w:rsidRPr="00607633">
          <w:rPr>
            <w:rStyle w:val="Hyperlink"/>
          </w:rPr>
          <w:t>l'état de l'échange de trafic entre homologues</w:t>
        </w:r>
      </w:hyperlink>
      <w:r w:rsidR="00F05008" w:rsidRPr="00607633">
        <w:t xml:space="preserve"> dans la région des États arabes.</w:t>
      </w:r>
    </w:p>
    <w:p w14:paraId="33B34E40" w14:textId="77777777" w:rsidR="00A24867" w:rsidRPr="00607633" w:rsidRDefault="00A24867" w:rsidP="0077196B">
      <w:pPr>
        <w:pStyle w:val="Heading1"/>
      </w:pPr>
      <w:r w:rsidRPr="00607633">
        <w:lastRenderedPageBreak/>
        <w:t>7</w:t>
      </w:r>
      <w:r w:rsidRPr="00607633">
        <w:tab/>
        <w:t>OTT</w:t>
      </w:r>
    </w:p>
    <w:p w14:paraId="7AB7724D" w14:textId="22735C42" w:rsidR="00A24867" w:rsidRPr="00607633" w:rsidRDefault="00A24867" w:rsidP="0077196B">
      <w:r w:rsidRPr="00607633">
        <w:rPr>
          <w:b/>
          <w:bCs/>
        </w:rPr>
        <w:t>7.1</w:t>
      </w:r>
      <w:r w:rsidRPr="00607633">
        <w:tab/>
        <w:t>Dans le cadre de la Question 3/1, les travaux de la Commission d'études 1 de l'UIT</w:t>
      </w:r>
      <w:r w:rsidRPr="00607633">
        <w:noBreakHyphen/>
        <w:t xml:space="preserve">D </w:t>
      </w:r>
      <w:r w:rsidR="00D25921" w:rsidRPr="00607633">
        <w:t>se poursuivent</w:t>
      </w:r>
      <w:r w:rsidRPr="00607633">
        <w:t xml:space="preserve"> sur les "</w:t>
      </w:r>
      <w:r w:rsidRPr="00607633">
        <w:rPr>
          <w:i/>
          <w:iCs/>
        </w:rPr>
        <w:t>Technologies émergentes, y compris l'informatique en nuage, les services sur mobile et les OTT: enjeux et perspectives, incidences sur le plan de de l'économie et des politiques générales pour les pays en développement</w:t>
      </w:r>
      <w:r w:rsidRPr="00607633">
        <w:t>".</w:t>
      </w:r>
    </w:p>
    <w:p w14:paraId="767B9F6B" w14:textId="7AE384AB" w:rsidR="00A24867" w:rsidRPr="00607633" w:rsidRDefault="00A24867" w:rsidP="0077196B">
      <w:r w:rsidRPr="00607633">
        <w:rPr>
          <w:b/>
        </w:rPr>
        <w:t>7.2</w:t>
      </w:r>
      <w:r w:rsidRPr="00607633">
        <w:tab/>
      </w:r>
      <w:r w:rsidR="00D25921" w:rsidRPr="00607633">
        <w:t xml:space="preserve">Les travaux de la CE 2 de l'UIT-T </w:t>
      </w:r>
      <w:r w:rsidR="00D73915" w:rsidRPr="00607633">
        <w:t>relatifs à</w:t>
      </w:r>
      <w:r w:rsidR="00D25921" w:rsidRPr="00607633">
        <w:t xml:space="preserve"> deux nouveaux sujets d'étude sur les OTT progressent</w:t>
      </w:r>
      <w:r w:rsidR="00210F70" w:rsidRPr="00607633">
        <w:t>:</w:t>
      </w:r>
      <w:r w:rsidR="00D25921" w:rsidRPr="00607633">
        <w:t xml:space="preserve"> </w:t>
      </w:r>
      <w:r w:rsidRPr="00607633">
        <w:t xml:space="preserve">TR.OTTnum </w:t>
      </w:r>
      <w:r w:rsidRPr="00607633">
        <w:rPr>
          <w:i/>
          <w:iCs/>
        </w:rPr>
        <w:t>"</w:t>
      </w:r>
      <w:r w:rsidR="00D25921" w:rsidRPr="00607633">
        <w:rPr>
          <w:i/>
          <w:iCs/>
        </w:rPr>
        <w:t xml:space="preserve">Utilisation actuelle des numéros </w:t>
      </w:r>
      <w:r w:rsidR="00DC4230" w:rsidRPr="00607633">
        <w:rPr>
          <w:i/>
          <w:iCs/>
        </w:rPr>
        <w:t xml:space="preserve">E.164 </w:t>
      </w:r>
      <w:r w:rsidR="00D25921" w:rsidRPr="00607633">
        <w:rPr>
          <w:i/>
          <w:iCs/>
        </w:rPr>
        <w:t>en tant qu'identificateurs des OTT"</w:t>
      </w:r>
      <w:r w:rsidR="00DC4230" w:rsidRPr="00607633">
        <w:t xml:space="preserve"> </w:t>
      </w:r>
      <w:r w:rsidR="00D25921" w:rsidRPr="00607633">
        <w:t>et</w:t>
      </w:r>
      <w:r w:rsidR="00DC4230" w:rsidRPr="00607633">
        <w:t xml:space="preserve"> E.sup.OTTnum </w:t>
      </w:r>
      <w:r w:rsidR="00D25921" w:rsidRPr="00607633">
        <w:rPr>
          <w:i/>
          <w:iCs/>
        </w:rPr>
        <w:t xml:space="preserve">"Orientations </w:t>
      </w:r>
      <w:r w:rsidR="00210F70" w:rsidRPr="00607633">
        <w:rPr>
          <w:i/>
          <w:iCs/>
        </w:rPr>
        <w:t>relatives à</w:t>
      </w:r>
      <w:r w:rsidR="00D25921" w:rsidRPr="00607633">
        <w:rPr>
          <w:i/>
          <w:iCs/>
        </w:rPr>
        <w:t xml:space="preserve"> l'utilisation des numéros E.164 en tant qu'identificateurs des OTT". </w:t>
      </w:r>
      <w:r w:rsidR="00D25921" w:rsidRPr="00607633">
        <w:t xml:space="preserve">En outre, la CE 2 de l'UIT-T </w:t>
      </w:r>
      <w:r w:rsidR="00D73915" w:rsidRPr="00607633">
        <w:t>élabore actuellement un projet de Recommandation UIT-T</w:t>
      </w:r>
      <w:r w:rsidR="00DC4230" w:rsidRPr="00607633">
        <w:t xml:space="preserve"> E.dit </w:t>
      </w:r>
      <w:r w:rsidR="00DC4230" w:rsidRPr="00607633">
        <w:rPr>
          <w:i/>
          <w:iCs/>
        </w:rPr>
        <w:t>"</w:t>
      </w:r>
      <w:r w:rsidR="00D25921" w:rsidRPr="00607633">
        <w:rPr>
          <w:i/>
          <w:iCs/>
        </w:rPr>
        <w:t>T</w:t>
      </w:r>
      <w:r w:rsidR="00DC4230" w:rsidRPr="00607633">
        <w:rPr>
          <w:i/>
          <w:iCs/>
        </w:rPr>
        <w:t>rafic considéré comme inacceptable</w:t>
      </w:r>
      <w:r w:rsidR="00D73915" w:rsidRPr="00607633">
        <w:rPr>
          <w:i/>
          <w:iCs/>
        </w:rPr>
        <w:t>"</w:t>
      </w:r>
      <w:r w:rsidR="00D73915" w:rsidRPr="00607633">
        <w:t xml:space="preserve"> et un projet de Recommandation UIT-T</w:t>
      </w:r>
      <w:r w:rsidR="00DC4230" w:rsidRPr="00607633">
        <w:t xml:space="preserve"> E.ACP </w:t>
      </w:r>
      <w:r w:rsidR="00DC4230" w:rsidRPr="00607633">
        <w:rPr>
          <w:i/>
          <w:iCs/>
        </w:rPr>
        <w:t>"Procédures d'appel alternatives"</w:t>
      </w:r>
      <w:r w:rsidR="00DC4230" w:rsidRPr="00607633">
        <w:t>.</w:t>
      </w:r>
    </w:p>
    <w:p w14:paraId="1C172DFA" w14:textId="77777777" w:rsidR="00DC4230" w:rsidRPr="00607633" w:rsidRDefault="00DC4230" w:rsidP="0077196B">
      <w:pPr>
        <w:spacing w:before="360"/>
        <w:jc w:val="center"/>
      </w:pPr>
      <w:r w:rsidRPr="00607633">
        <w:t>______________</w:t>
      </w:r>
    </w:p>
    <w:sectPr w:rsidR="00DC4230" w:rsidRPr="00607633" w:rsidSect="005C3890">
      <w:headerReference w:type="even" r:id="rId97"/>
      <w:headerReference w:type="default" r:id="rId98"/>
      <w:footerReference w:type="even" r:id="rId99"/>
      <w:footerReference w:type="first" r:id="rId10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EB56B" w14:textId="77777777" w:rsidR="007B3814" w:rsidRDefault="007B3814">
      <w:r>
        <w:separator/>
      </w:r>
    </w:p>
  </w:endnote>
  <w:endnote w:type="continuationSeparator" w:id="0">
    <w:p w14:paraId="0B3ACE46" w14:textId="77777777" w:rsidR="007B3814" w:rsidRDefault="007B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3121" w14:textId="40486B31" w:rsidR="007554B6" w:rsidRPr="00E61479" w:rsidRDefault="002D410C">
    <w:pPr>
      <w:pStyle w:val="Footer"/>
      <w:rPr>
        <w:lang w:val="fr-CH"/>
      </w:rPr>
    </w:pPr>
    <w:r>
      <w:fldChar w:fldCharType="begin"/>
    </w:r>
    <w:r w:rsidRPr="00E61479">
      <w:rPr>
        <w:lang w:val="fr-CH"/>
      </w:rPr>
      <w:instrText xml:space="preserve"> FILENAME \p \* MERGEFORMAT </w:instrText>
    </w:r>
    <w:r>
      <w:fldChar w:fldCharType="separate"/>
    </w:r>
    <w:r w:rsidR="00365228">
      <w:rPr>
        <w:lang w:val="fr-CH"/>
      </w:rPr>
      <w:t>P:\FRA\SG\CONSEIL\C20\000\033F.docx</w:t>
    </w:r>
    <w:r>
      <w:fldChar w:fldCharType="end"/>
    </w:r>
    <w:r w:rsidR="007554B6" w:rsidRPr="00E61479">
      <w:rPr>
        <w:lang w:val="fr-CH"/>
      </w:rPr>
      <w:tab/>
    </w:r>
    <w:r w:rsidR="007554B6">
      <w:fldChar w:fldCharType="begin"/>
    </w:r>
    <w:r w:rsidR="007554B6">
      <w:instrText xml:space="preserve"> savedate \@ dd.MM.yy </w:instrText>
    </w:r>
    <w:r w:rsidR="007554B6">
      <w:fldChar w:fldCharType="separate"/>
    </w:r>
    <w:r w:rsidR="00AB458D">
      <w:t>09.04.20</w:t>
    </w:r>
    <w:r w:rsidR="007554B6">
      <w:fldChar w:fldCharType="end"/>
    </w:r>
    <w:r w:rsidR="007554B6" w:rsidRPr="00E61479">
      <w:rPr>
        <w:lang w:val="fr-CH"/>
      </w:rPr>
      <w:tab/>
    </w:r>
    <w:r w:rsidR="007554B6">
      <w:fldChar w:fldCharType="begin"/>
    </w:r>
    <w:r w:rsidR="007554B6">
      <w:instrText xml:space="preserve"> printdate \@ dd.MM.yy </w:instrText>
    </w:r>
    <w:r w:rsidR="007554B6">
      <w:fldChar w:fldCharType="separate"/>
    </w:r>
    <w:r w:rsidR="00365228">
      <w:t>08.04.20</w:t>
    </w:r>
    <w:r w:rsidR="007554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68EB" w14:textId="77777777" w:rsidR="007554B6" w:rsidRDefault="007554B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9AB1" w14:textId="77777777" w:rsidR="007B3814" w:rsidRDefault="007B3814">
      <w:r>
        <w:t>____________________</w:t>
      </w:r>
    </w:p>
  </w:footnote>
  <w:footnote w:type="continuationSeparator" w:id="0">
    <w:p w14:paraId="15A02A23" w14:textId="77777777" w:rsidR="007B3814" w:rsidRDefault="007B3814">
      <w:r>
        <w:continuationSeparator/>
      </w:r>
    </w:p>
  </w:footnote>
  <w:footnote w:id="1">
    <w:p w14:paraId="7662ACFF" w14:textId="4DC182F6" w:rsidR="007554B6" w:rsidRPr="00DE6620" w:rsidRDefault="007554B6" w:rsidP="00582ED3">
      <w:pPr>
        <w:pStyle w:val="FootnoteText"/>
      </w:pPr>
      <w:r>
        <w:rPr>
          <w:rStyle w:val="FootnoteReference"/>
        </w:rPr>
        <w:footnoteRef/>
      </w:r>
      <w:r w:rsidR="00E00ECB">
        <w:tab/>
      </w:r>
      <w:r w:rsidRPr="00E00ECB">
        <w:rPr>
          <w:rFonts w:asciiTheme="minorHAnsi" w:hAnsiTheme="minorHAnsi" w:cstheme="minorHAnsi"/>
          <w:sz w:val="22"/>
          <w:szCs w:val="22"/>
        </w:rPr>
        <w:t xml:space="preserve">Une version plus détaillée du rapport (Document </w:t>
      </w:r>
      <w:hyperlink r:id="rId1" w:history="1">
        <w:r w:rsidRPr="00E00ECB">
          <w:rPr>
            <w:rStyle w:val="Hyperlink"/>
            <w:rFonts w:asciiTheme="minorHAnsi" w:hAnsiTheme="minorHAnsi" w:cstheme="minorHAnsi"/>
            <w:sz w:val="22"/>
            <w:szCs w:val="22"/>
          </w:rPr>
          <w:t>CWG-Internet-14/2-E</w:t>
        </w:r>
      </w:hyperlink>
      <w:r w:rsidRPr="00E00ECB">
        <w:rPr>
          <w:rFonts w:asciiTheme="minorHAnsi" w:hAnsiTheme="minorHAnsi" w:cstheme="minorHAnsi"/>
          <w:sz w:val="22"/>
          <w:szCs w:val="22"/>
        </w:rPr>
        <w:t>) a été présentée au</w:t>
      </w:r>
      <w:r w:rsidR="00C43D30">
        <w:rPr>
          <w:rFonts w:asciiTheme="minorHAnsi" w:hAnsiTheme="minorHAnsi" w:cstheme="minorHAnsi"/>
          <w:sz w:val="22"/>
          <w:szCs w:val="22"/>
        </w:rPr>
        <w:t> </w:t>
      </w:r>
      <w:r w:rsidRPr="00E00ECB">
        <w:rPr>
          <w:rFonts w:asciiTheme="minorHAnsi" w:hAnsiTheme="minorHAnsi" w:cstheme="minorHAnsi"/>
          <w:sz w:val="22"/>
          <w:szCs w:val="22"/>
        </w:rPr>
        <w:t>GTC</w:t>
      </w:r>
      <w:r w:rsidR="00426296">
        <w:rPr>
          <w:rFonts w:asciiTheme="minorHAnsi" w:hAnsiTheme="minorHAnsi" w:cstheme="minorHAnsi"/>
          <w:sz w:val="22"/>
          <w:szCs w:val="22"/>
        </w:rPr>
        <w:noBreakHyphen/>
      </w:r>
      <w:r w:rsidRPr="00E00ECB">
        <w:rPr>
          <w:rFonts w:asciiTheme="minorHAnsi" w:hAnsiTheme="minorHAnsi" w:cstheme="minorHAnsi"/>
          <w:sz w:val="22"/>
          <w:szCs w:val="22"/>
        </w:rPr>
        <w:t>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1A5D" w14:textId="77777777" w:rsidR="007554B6" w:rsidRDefault="007554B6">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379419E" w14:textId="77777777" w:rsidR="007554B6" w:rsidRDefault="007554B6">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94E8" w14:textId="77777777" w:rsidR="007554B6" w:rsidRDefault="007554B6" w:rsidP="00475FB3">
    <w:pPr>
      <w:pStyle w:val="Header"/>
    </w:pPr>
    <w:r>
      <w:fldChar w:fldCharType="begin"/>
    </w:r>
    <w:r>
      <w:instrText>PAGE</w:instrText>
    </w:r>
    <w:r>
      <w:fldChar w:fldCharType="separate"/>
    </w:r>
    <w:r>
      <w:rPr>
        <w:noProof/>
      </w:rPr>
      <w:t>2</w:t>
    </w:r>
    <w:r>
      <w:rPr>
        <w:noProof/>
      </w:rPr>
      <w:fldChar w:fldCharType="end"/>
    </w:r>
  </w:p>
  <w:p w14:paraId="7ADF35AF" w14:textId="413227BE" w:rsidR="007554B6" w:rsidRDefault="007554B6" w:rsidP="00106B19">
    <w:pPr>
      <w:pStyle w:val="Header"/>
    </w:pPr>
    <w:r>
      <w:t>C20/33-F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4C"/>
    <w:rsid w:val="000106CF"/>
    <w:rsid w:val="00010EE0"/>
    <w:rsid w:val="00026086"/>
    <w:rsid w:val="000438F0"/>
    <w:rsid w:val="00083599"/>
    <w:rsid w:val="000846A4"/>
    <w:rsid w:val="00087D03"/>
    <w:rsid w:val="00094EFE"/>
    <w:rsid w:val="000B413C"/>
    <w:rsid w:val="000D0D0A"/>
    <w:rsid w:val="000E5C27"/>
    <w:rsid w:val="000F2C63"/>
    <w:rsid w:val="00103163"/>
    <w:rsid w:val="00106B19"/>
    <w:rsid w:val="00115D93"/>
    <w:rsid w:val="001247A8"/>
    <w:rsid w:val="00134B2A"/>
    <w:rsid w:val="001378C0"/>
    <w:rsid w:val="0014254C"/>
    <w:rsid w:val="0018694A"/>
    <w:rsid w:val="001A3287"/>
    <w:rsid w:val="001A6508"/>
    <w:rsid w:val="001B028A"/>
    <w:rsid w:val="001B498F"/>
    <w:rsid w:val="001D4C31"/>
    <w:rsid w:val="001E1E5F"/>
    <w:rsid w:val="001E27B3"/>
    <w:rsid w:val="001E4D21"/>
    <w:rsid w:val="001F1E43"/>
    <w:rsid w:val="00207CD1"/>
    <w:rsid w:val="00210F70"/>
    <w:rsid w:val="002430AA"/>
    <w:rsid w:val="002477A2"/>
    <w:rsid w:val="00263A51"/>
    <w:rsid w:val="00267E02"/>
    <w:rsid w:val="002A5D44"/>
    <w:rsid w:val="002D410C"/>
    <w:rsid w:val="002E0BC4"/>
    <w:rsid w:val="002F1B76"/>
    <w:rsid w:val="003175C6"/>
    <w:rsid w:val="00334B6F"/>
    <w:rsid w:val="0033568E"/>
    <w:rsid w:val="00355FF5"/>
    <w:rsid w:val="00361350"/>
    <w:rsid w:val="003638A9"/>
    <w:rsid w:val="00365228"/>
    <w:rsid w:val="003C3FAE"/>
    <w:rsid w:val="004038CB"/>
    <w:rsid w:val="0040546F"/>
    <w:rsid w:val="0042404A"/>
    <w:rsid w:val="00426296"/>
    <w:rsid w:val="0044618F"/>
    <w:rsid w:val="004469D7"/>
    <w:rsid w:val="0046769A"/>
    <w:rsid w:val="00475FB3"/>
    <w:rsid w:val="00495801"/>
    <w:rsid w:val="004B5D7D"/>
    <w:rsid w:val="004C37A9"/>
    <w:rsid w:val="004D060D"/>
    <w:rsid w:val="004D7D51"/>
    <w:rsid w:val="004F259E"/>
    <w:rsid w:val="00502E49"/>
    <w:rsid w:val="00511F1D"/>
    <w:rsid w:val="00520F36"/>
    <w:rsid w:val="00540615"/>
    <w:rsid w:val="00540A6D"/>
    <w:rsid w:val="00571EEA"/>
    <w:rsid w:val="00575417"/>
    <w:rsid w:val="005768E1"/>
    <w:rsid w:val="00582ED3"/>
    <w:rsid w:val="0058593D"/>
    <w:rsid w:val="005A467D"/>
    <w:rsid w:val="005B1938"/>
    <w:rsid w:val="005C3890"/>
    <w:rsid w:val="005F7BFE"/>
    <w:rsid w:val="00600017"/>
    <w:rsid w:val="00607633"/>
    <w:rsid w:val="006235CA"/>
    <w:rsid w:val="006643AB"/>
    <w:rsid w:val="006B7387"/>
    <w:rsid w:val="007210CD"/>
    <w:rsid w:val="00731ECD"/>
    <w:rsid w:val="00732045"/>
    <w:rsid w:val="007369DB"/>
    <w:rsid w:val="00747654"/>
    <w:rsid w:val="007554B6"/>
    <w:rsid w:val="00771870"/>
    <w:rsid w:val="0077196B"/>
    <w:rsid w:val="00784F9E"/>
    <w:rsid w:val="007956C2"/>
    <w:rsid w:val="007A187E"/>
    <w:rsid w:val="007B3814"/>
    <w:rsid w:val="007C72C2"/>
    <w:rsid w:val="007D4436"/>
    <w:rsid w:val="007E10B2"/>
    <w:rsid w:val="007F257A"/>
    <w:rsid w:val="007F3665"/>
    <w:rsid w:val="00800037"/>
    <w:rsid w:val="0082292B"/>
    <w:rsid w:val="00833FEF"/>
    <w:rsid w:val="00861D73"/>
    <w:rsid w:val="0086363D"/>
    <w:rsid w:val="0089382B"/>
    <w:rsid w:val="008A4E87"/>
    <w:rsid w:val="008C63DE"/>
    <w:rsid w:val="008D76E6"/>
    <w:rsid w:val="00921B33"/>
    <w:rsid w:val="0092392D"/>
    <w:rsid w:val="0093234A"/>
    <w:rsid w:val="0097204F"/>
    <w:rsid w:val="00977444"/>
    <w:rsid w:val="009C307F"/>
    <w:rsid w:val="009C353C"/>
    <w:rsid w:val="009D68EC"/>
    <w:rsid w:val="009F40A4"/>
    <w:rsid w:val="00A02063"/>
    <w:rsid w:val="00A2113E"/>
    <w:rsid w:val="00A23A51"/>
    <w:rsid w:val="00A24607"/>
    <w:rsid w:val="00A24867"/>
    <w:rsid w:val="00A25CD3"/>
    <w:rsid w:val="00A277DE"/>
    <w:rsid w:val="00A61CF9"/>
    <w:rsid w:val="00A62D48"/>
    <w:rsid w:val="00A82767"/>
    <w:rsid w:val="00A84348"/>
    <w:rsid w:val="00AA05FA"/>
    <w:rsid w:val="00AA332F"/>
    <w:rsid w:val="00AA7BBB"/>
    <w:rsid w:val="00AB458D"/>
    <w:rsid w:val="00AB64A8"/>
    <w:rsid w:val="00AC0266"/>
    <w:rsid w:val="00AD24EC"/>
    <w:rsid w:val="00B309F9"/>
    <w:rsid w:val="00B32B60"/>
    <w:rsid w:val="00B61619"/>
    <w:rsid w:val="00B8709A"/>
    <w:rsid w:val="00BB4545"/>
    <w:rsid w:val="00BC095E"/>
    <w:rsid w:val="00BD37F5"/>
    <w:rsid w:val="00BD4963"/>
    <w:rsid w:val="00BD5873"/>
    <w:rsid w:val="00BE11FF"/>
    <w:rsid w:val="00BE56D9"/>
    <w:rsid w:val="00C04BE3"/>
    <w:rsid w:val="00C25D29"/>
    <w:rsid w:val="00C27A7C"/>
    <w:rsid w:val="00C432C5"/>
    <w:rsid w:val="00C43D30"/>
    <w:rsid w:val="00C73024"/>
    <w:rsid w:val="00CA08ED"/>
    <w:rsid w:val="00CA11AD"/>
    <w:rsid w:val="00CE60F8"/>
    <w:rsid w:val="00CF183B"/>
    <w:rsid w:val="00CF619F"/>
    <w:rsid w:val="00D25921"/>
    <w:rsid w:val="00D375CD"/>
    <w:rsid w:val="00D553A2"/>
    <w:rsid w:val="00D73915"/>
    <w:rsid w:val="00D774D3"/>
    <w:rsid w:val="00D87074"/>
    <w:rsid w:val="00D904E8"/>
    <w:rsid w:val="00DA08C3"/>
    <w:rsid w:val="00DB5A3E"/>
    <w:rsid w:val="00DC22AA"/>
    <w:rsid w:val="00DC4230"/>
    <w:rsid w:val="00DE6620"/>
    <w:rsid w:val="00DF74DD"/>
    <w:rsid w:val="00E00ECB"/>
    <w:rsid w:val="00E11405"/>
    <w:rsid w:val="00E25AD0"/>
    <w:rsid w:val="00E37997"/>
    <w:rsid w:val="00E43BEB"/>
    <w:rsid w:val="00E440E9"/>
    <w:rsid w:val="00E61479"/>
    <w:rsid w:val="00E64FEB"/>
    <w:rsid w:val="00E968FE"/>
    <w:rsid w:val="00EB6350"/>
    <w:rsid w:val="00EE443B"/>
    <w:rsid w:val="00EF2E40"/>
    <w:rsid w:val="00F05008"/>
    <w:rsid w:val="00F075A7"/>
    <w:rsid w:val="00F15B57"/>
    <w:rsid w:val="00F427DB"/>
    <w:rsid w:val="00F461DE"/>
    <w:rsid w:val="00F70CED"/>
    <w:rsid w:val="00F7294B"/>
    <w:rsid w:val="00F906E8"/>
    <w:rsid w:val="00FA5EB1"/>
    <w:rsid w:val="00FA7439"/>
    <w:rsid w:val="00FC4EC0"/>
    <w:rsid w:val="00FF0181"/>
    <w:rsid w:val="00FF26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B4E51"/>
  <w15:docId w15:val="{63847FA2-04E5-4877-8FC9-51B07E4D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14254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4254C"/>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14254C"/>
    <w:rPr>
      <w:color w:val="605E5C"/>
      <w:shd w:val="clear" w:color="auto" w:fill="E1DFDD"/>
    </w:rPr>
  </w:style>
  <w:style w:type="character" w:customStyle="1" w:styleId="HeaderChar">
    <w:name w:val="Header Char"/>
    <w:basedOn w:val="DefaultParagraphFont"/>
    <w:link w:val="Header"/>
    <w:rsid w:val="004B5D7D"/>
    <w:rPr>
      <w:rFonts w:ascii="Calibri" w:hAnsi="Calibri"/>
      <w:sz w:val="18"/>
      <w:lang w:val="fr-FR" w:eastAsia="en-US"/>
    </w:rPr>
  </w:style>
  <w:style w:type="paragraph" w:customStyle="1" w:styleId="Style2">
    <w:name w:val="Style2"/>
    <w:basedOn w:val="Normal"/>
    <w:uiPriority w:val="99"/>
    <w:rsid w:val="00A24867"/>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9381">
      <w:bodyDiv w:val="1"/>
      <w:marLeft w:val="0"/>
      <w:marRight w:val="0"/>
      <w:marTop w:val="0"/>
      <w:marBottom w:val="0"/>
      <w:divBdr>
        <w:top w:val="none" w:sz="0" w:space="0" w:color="auto"/>
        <w:left w:val="none" w:sz="0" w:space="0" w:color="auto"/>
        <w:bottom w:val="none" w:sz="0" w:space="0" w:color="auto"/>
        <w:right w:val="none" w:sz="0" w:space="0" w:color="auto"/>
      </w:divBdr>
      <w:divsChild>
        <w:div w:id="1027680240">
          <w:marLeft w:val="75"/>
          <w:marRight w:val="75"/>
          <w:marTop w:val="0"/>
          <w:marBottom w:val="75"/>
          <w:divBdr>
            <w:top w:val="none" w:sz="0" w:space="0" w:color="auto"/>
            <w:left w:val="none" w:sz="0" w:space="0" w:color="auto"/>
            <w:bottom w:val="none" w:sz="0" w:space="0" w:color="auto"/>
            <w:right w:val="none" w:sz="0" w:space="0" w:color="auto"/>
          </w:divBdr>
          <w:divsChild>
            <w:div w:id="5981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98-2016" TargetMode="External"/><Relationship Id="rId21" Type="http://schemas.openxmlformats.org/officeDocument/2006/relationships/hyperlink" Target="https://www.itu.int/pub/T-RES-T.58-2016" TargetMode="External"/><Relationship Id="rId42" Type="http://schemas.openxmlformats.org/officeDocument/2006/relationships/hyperlink" Target="https://www.itu.int/ITU-T/recommendations/rec.aspx?id=14112" TargetMode="External"/><Relationship Id="rId47" Type="http://schemas.openxmlformats.org/officeDocument/2006/relationships/hyperlink" Target="https://www.itu.int/ITU-T/recommendations/rec.aspx?id=14130" TargetMode="External"/><Relationship Id="rId63" Type="http://schemas.openxmlformats.org/officeDocument/2006/relationships/hyperlink" Target="https://www.itu.int/ITU-T/recommendations/rec.aspx?id=14172" TargetMode="External"/><Relationship Id="rId68" Type="http://schemas.openxmlformats.org/officeDocument/2006/relationships/hyperlink" Target="https://www.itu.int/ITU-T/recommendations/rec.aspx?id=14125" TargetMode="External"/><Relationship Id="rId84" Type="http://schemas.openxmlformats.org/officeDocument/2006/relationships/hyperlink" Target="https://www.itu.int/net4/ITU-D/CDS/sg/index.asp?lg=2&amp;sp=2018&amp;stg=" TargetMode="External"/><Relationship Id="rId89" Type="http://schemas.openxmlformats.org/officeDocument/2006/relationships/hyperlink" Target="https://www.itu.int/fr/ITU-T/ipv6/Pages/default.aspx" TargetMode="External"/><Relationship Id="rId16" Type="http://schemas.openxmlformats.org/officeDocument/2006/relationships/hyperlink" Target="https://www.itu.int/pub/T-RES-T.47-2016" TargetMode="External"/><Relationship Id="rId11" Type="http://schemas.openxmlformats.org/officeDocument/2006/relationships/hyperlink" Target="https://www.itu.int/en/council/2019/Documents/basic-texts/RES-180-F.pdf" TargetMode="External"/><Relationship Id="rId32" Type="http://schemas.openxmlformats.org/officeDocument/2006/relationships/hyperlink" Target="http://www.itu.int/md/S16-CL-C-0033/en" TargetMode="External"/><Relationship Id="rId37" Type="http://schemas.openxmlformats.org/officeDocument/2006/relationships/hyperlink" Target="https://news.itu.int/versatile-video-coding-project-starts-strongly/" TargetMode="External"/><Relationship Id="rId53" Type="http://schemas.openxmlformats.org/officeDocument/2006/relationships/hyperlink" Target="https://www.itu.int/ITU-T/recommendations/rec.aspx?id=13863" TargetMode="External"/><Relationship Id="rId58" Type="http://schemas.openxmlformats.org/officeDocument/2006/relationships/hyperlink" Target="https://www.itu.int/ITU-T/recommendations/rec.aspx?id=14167" TargetMode="External"/><Relationship Id="rId74" Type="http://schemas.openxmlformats.org/officeDocument/2006/relationships/hyperlink" Target="https://www.itu.int/md/S20-CL-C-0018/en" TargetMode="External"/><Relationship Id="rId79" Type="http://schemas.openxmlformats.org/officeDocument/2006/relationships/hyperlink" Target="https://www.itu.int/en/ITU-T/focusgroups/vm/Pages/default.aspx"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itu.int/pub/D-STG-SG01.01.1-2017/fr" TargetMode="External"/><Relationship Id="rId95" Type="http://schemas.openxmlformats.org/officeDocument/2006/relationships/hyperlink" Target="https://www.itu.int/itu-d/tnd-map-public/" TargetMode="External"/><Relationship Id="rId22" Type="http://schemas.openxmlformats.org/officeDocument/2006/relationships/hyperlink" Target="https://www.itu.int/pub/T-RES-T.60-2016" TargetMode="External"/><Relationship Id="rId27" Type="http://schemas.openxmlformats.org/officeDocument/2006/relationships/hyperlink" Target="https://www.itu.int/md/D14-WTDC17-C-0115/en" TargetMode="External"/><Relationship Id="rId43" Type="http://schemas.openxmlformats.org/officeDocument/2006/relationships/hyperlink" Target="https://www.itu.int/ITU-T/recommendations/rec.aspx?id=14124" TargetMode="External"/><Relationship Id="rId48" Type="http://schemas.openxmlformats.org/officeDocument/2006/relationships/hyperlink" Target="https://www.itu.int/ITU-T/recommendations/rec.aspx?id=14131" TargetMode="External"/><Relationship Id="rId64" Type="http://schemas.openxmlformats.org/officeDocument/2006/relationships/hyperlink" Target="https://www.itu.int/ITU-T/recommendations/rec.aspx?id=13864" TargetMode="External"/><Relationship Id="rId69" Type="http://schemas.openxmlformats.org/officeDocument/2006/relationships/hyperlink" Target="https://www.itu.int/ITU-T/recommendations/rec.aspx?id=14141" TargetMode="External"/><Relationship Id="rId80" Type="http://schemas.openxmlformats.org/officeDocument/2006/relationships/hyperlink" Target="https://www.itu.int/en/ITU-T/focusgroups/ai4ee/Pages/default.aspx" TargetMode="External"/><Relationship Id="rId85" Type="http://schemas.openxmlformats.org/officeDocument/2006/relationships/hyperlink" Target="https://www.itu.int/pub/D-STG-SG01/fr" TargetMode="External"/><Relationship Id="rId12" Type="http://schemas.openxmlformats.org/officeDocument/2006/relationships/hyperlink" Target="https://www.itu.int/en/council/2019/Documents/basic-texts/RES-206-F.pdf" TargetMode="External"/><Relationship Id="rId17" Type="http://schemas.openxmlformats.org/officeDocument/2006/relationships/hyperlink" Target="https://www.itu.int/pub/T-RES-T.48-2016" TargetMode="External"/><Relationship Id="rId25" Type="http://schemas.openxmlformats.org/officeDocument/2006/relationships/hyperlink" Target="https://www.itu.int/pub/T-RES-T.75-2016" TargetMode="External"/><Relationship Id="rId33" Type="http://schemas.openxmlformats.org/officeDocument/2006/relationships/hyperlink" Target="https://www.itu.int/md/S17-CL-C-0033/en" TargetMode="External"/><Relationship Id="rId38" Type="http://schemas.openxmlformats.org/officeDocument/2006/relationships/hyperlink" Target="https://www.itu.int/ITU-T/recommendations/rec.aspx?rec=14109&amp;lang=en" TargetMode="External"/><Relationship Id="rId46" Type="http://schemas.openxmlformats.org/officeDocument/2006/relationships/hyperlink" Target="https://www.itu.int/ITU-T/recommendations/rec.aspx?id=14129" TargetMode="External"/><Relationship Id="rId59" Type="http://schemas.openxmlformats.org/officeDocument/2006/relationships/hyperlink" Target="https://www.itu.int/ITU-T/recommendations/rec.aspx?id=14168" TargetMode="External"/><Relationship Id="rId67" Type="http://schemas.openxmlformats.org/officeDocument/2006/relationships/hyperlink" Target="https://www.itu.int/ITU-T/recommendations/rec.aspx?id=14148" TargetMode="External"/><Relationship Id="rId20" Type="http://schemas.openxmlformats.org/officeDocument/2006/relationships/hyperlink" Target="https://www.itu.int/pub/T-RES-T.52-2016" TargetMode="External"/><Relationship Id="rId41" Type="http://schemas.openxmlformats.org/officeDocument/2006/relationships/hyperlink" Target="https://www.itu.int/ITU-T/recommendations/rec.aspx?id=14111" TargetMode="External"/><Relationship Id="rId54" Type="http://schemas.openxmlformats.org/officeDocument/2006/relationships/hyperlink" Target="file:///C:\Users\karyabwi\AppData\Local\Microsoft\Windows\INetCache\Content.Outlook\Y84KUO2J\Y.4459" TargetMode="External"/><Relationship Id="rId62" Type="http://schemas.openxmlformats.org/officeDocument/2006/relationships/hyperlink" Target="https://www.itu.int/ITU-T/recommendations/rec.aspx?id=14171" TargetMode="External"/><Relationship Id="rId70" Type="http://schemas.openxmlformats.org/officeDocument/2006/relationships/hyperlink" Target="https://www.itu.int/ITU-T/recommendations/rec.aspx?id=14143" TargetMode="External"/><Relationship Id="rId75" Type="http://schemas.openxmlformats.org/officeDocument/2006/relationships/hyperlink" Target="https://www.itu.int/en/ITU-T/focusgroups/Pages/default.aspx" TargetMode="External"/><Relationship Id="rId83" Type="http://schemas.openxmlformats.org/officeDocument/2006/relationships/hyperlink" Target="https://www.itu.int/net/ITU-T/res69/Default.aspx" TargetMode="External"/><Relationship Id="rId88" Type="http://schemas.openxmlformats.org/officeDocument/2006/relationships/hyperlink" Target="https://academy.itu.int/index.php?option=com_content&amp;view=article&amp;id=154&amp;Itemid=588&amp;lang=en" TargetMode="External"/><Relationship Id="rId91" Type="http://schemas.openxmlformats.org/officeDocument/2006/relationships/hyperlink" Target="https://www.itu.int/net4/ITU-D/CDS/sg/rgqlist.asp?lg=2&amp;sp=2014&amp;rgq=D14-SG01-RGQ01.1&amp;stg=1" TargetMode="External"/><Relationship Id="rId96" Type="http://schemas.openxmlformats.org/officeDocument/2006/relationships/hyperlink" Target="https://www.itu.int/itu-d/tnd-map/"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itu.int/md/S15-CL-C-0112/en" TargetMode="External"/><Relationship Id="rId23" Type="http://schemas.openxmlformats.org/officeDocument/2006/relationships/hyperlink" Target="https://www.itu.int/pub/T-RES-T.64-2016" TargetMode="External"/><Relationship Id="rId28" Type="http://schemas.openxmlformats.org/officeDocument/2006/relationships/hyperlink" Target="http://www.itu.int/en/action/internet/Documents/Resolution_20_wtdc10.pdf" TargetMode="External"/><Relationship Id="rId36" Type="http://schemas.openxmlformats.org/officeDocument/2006/relationships/hyperlink" Target="https://www.itu.int/itu-t/workprog/wp_search.aspx?isn_sp=3925&amp;isn_status=-1,2&amp;adf=2019-08-17&amp;adt=2020-03-31&amp;pg_size=100&amp;details=0&amp;field=acdefghijo" TargetMode="External"/><Relationship Id="rId49" Type="http://schemas.openxmlformats.org/officeDocument/2006/relationships/hyperlink" Target="https://www.itu.int/ITU-T/recommendations/rec.aspx?id=14132" TargetMode="External"/><Relationship Id="rId57" Type="http://schemas.openxmlformats.org/officeDocument/2006/relationships/hyperlink" Target="https://www.itu.int/ITU-T/recommendations/rec.aspx?id=14166" TargetMode="External"/><Relationship Id="rId10" Type="http://schemas.openxmlformats.org/officeDocument/2006/relationships/hyperlink" Target="https://www.itu.int/en/council/2019/Documents/basic-texts/RES-133-F.pdf" TargetMode="External"/><Relationship Id="rId31" Type="http://schemas.openxmlformats.org/officeDocument/2006/relationships/hyperlink" Target="http://www.itu.int/en/action/internet/Documents/Resolution_45_wtdc14.pdf" TargetMode="External"/><Relationship Id="rId44" Type="http://schemas.openxmlformats.org/officeDocument/2006/relationships/hyperlink" Target="https://www.itu.int/ITU-T/recommendations/rec.aspx?id=14100" TargetMode="External"/><Relationship Id="rId52" Type="http://schemas.openxmlformats.org/officeDocument/2006/relationships/hyperlink" Target="https://www.itu.int/ITU-T/recommendations/rec.aspx?id=14162" TargetMode="External"/><Relationship Id="rId60" Type="http://schemas.openxmlformats.org/officeDocument/2006/relationships/hyperlink" Target="https://www.itu.int/ITU-T/recommendations/rec.aspx?id=14169" TargetMode="External"/><Relationship Id="rId65" Type="http://schemas.openxmlformats.org/officeDocument/2006/relationships/hyperlink" Target="https://www.itu.int/ITU-T/recommendations/rec.aspx?id=13933" TargetMode="External"/><Relationship Id="rId73" Type="http://schemas.openxmlformats.org/officeDocument/2006/relationships/hyperlink" Target="https://www.itu.int/ITU-T/recommendations/rec.aspx?id=13977" TargetMode="External"/><Relationship Id="rId78" Type="http://schemas.openxmlformats.org/officeDocument/2006/relationships/hyperlink" Target="https://www.itu.int/en/ITU-T/focusgroups/ai4h/Pages/default.aspx" TargetMode="External"/><Relationship Id="rId81" Type="http://schemas.openxmlformats.org/officeDocument/2006/relationships/hyperlink" Target="https://www.itu.int/en/ITU-T/focusgroups/ai4ad/Pages/default.aspx" TargetMode="External"/><Relationship Id="rId86" Type="http://schemas.openxmlformats.org/officeDocument/2006/relationships/hyperlink" Target="https://www.itu.int/pub/D-STG-SG02/fr" TargetMode="External"/><Relationship Id="rId94" Type="http://schemas.openxmlformats.org/officeDocument/2006/relationships/hyperlink" Target="http://www.itu.int/ITU-T/inr/enum/"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2019/Documents/basic-texts/RES-102-F.pdf" TargetMode="External"/><Relationship Id="rId13" Type="http://schemas.openxmlformats.org/officeDocument/2006/relationships/hyperlink" Target="http://www.itu.int/md/S09-CL-C-0105" TargetMode="External"/><Relationship Id="rId18" Type="http://schemas.openxmlformats.org/officeDocument/2006/relationships/hyperlink" Target="https://www.itu.int/pub/publications.aspx?lang=en&amp;parent=T-RES-T.49-2016" TargetMode="External"/><Relationship Id="rId39" Type="http://schemas.openxmlformats.org/officeDocument/2006/relationships/hyperlink" Target="https://www.itu.int/ITU-T/recommendations/rec.aspx?id=14102" TargetMode="External"/><Relationship Id="rId34" Type="http://schemas.openxmlformats.org/officeDocument/2006/relationships/hyperlink" Target="https://www.itu.int/md/S18-CL-C-0033/en" TargetMode="External"/><Relationship Id="rId50" Type="http://schemas.openxmlformats.org/officeDocument/2006/relationships/hyperlink" Target="https://www.itu.int/ITU-T/recommendations/rec.aspx?id=14133" TargetMode="External"/><Relationship Id="rId55" Type="http://schemas.openxmlformats.org/officeDocument/2006/relationships/hyperlink" Target="https://www.itu.int/ITU-T/recommendations/rec.aspx?id=14164" TargetMode="External"/><Relationship Id="rId76" Type="http://schemas.openxmlformats.org/officeDocument/2006/relationships/hyperlink" Target="https://www.itu.int/en/ITU-T/focusgroups/ml5g/Pages/default.aspx" TargetMode="External"/><Relationship Id="rId97"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https://www.itu.int/ITU-T/recommendations/rec.aspx?id=14142" TargetMode="External"/><Relationship Id="rId92" Type="http://schemas.openxmlformats.org/officeDocument/2006/relationships/hyperlink" Target="http://www.itu.int/council/groups/CWG-internet/index.html" TargetMode="External"/><Relationship Id="rId2" Type="http://schemas.openxmlformats.org/officeDocument/2006/relationships/styles" Target="styles.xml"/><Relationship Id="rId29" Type="http://schemas.openxmlformats.org/officeDocument/2006/relationships/hyperlink" Target="http://www.itu.int/en/action/internet/Documents/Resolution_30_wtdc14.pdf" TargetMode="External"/><Relationship Id="rId24" Type="http://schemas.openxmlformats.org/officeDocument/2006/relationships/hyperlink" Target="https://www.itu.int/pub/T-RES-T.69-2016" TargetMode="External"/><Relationship Id="rId40" Type="http://schemas.openxmlformats.org/officeDocument/2006/relationships/hyperlink" Target="https://www.itu.int/ITU-T/recommendations/rec.aspx?id=14103" TargetMode="External"/><Relationship Id="rId45" Type="http://schemas.openxmlformats.org/officeDocument/2006/relationships/hyperlink" Target="https://www.itu.int/ITU-T/recommendations/rec.aspx?id=13983" TargetMode="External"/><Relationship Id="rId66" Type="http://schemas.openxmlformats.org/officeDocument/2006/relationships/hyperlink" Target="https://www.itu.int/rec/T-REC-Y.1540-201912-I" TargetMode="External"/><Relationship Id="rId87" Type="http://schemas.openxmlformats.org/officeDocument/2006/relationships/hyperlink" Target="https://academy.itu.int/" TargetMode="External"/><Relationship Id="rId61" Type="http://schemas.openxmlformats.org/officeDocument/2006/relationships/hyperlink" Target="https://www.itu.int/ITU-T/recommendations/rec.aspx?id=14170" TargetMode="External"/><Relationship Id="rId82" Type="http://schemas.openxmlformats.org/officeDocument/2006/relationships/hyperlink" Target="https://www.itu.int/en/ITU-T/focusgroups/qit4n/Pages/default.aspx" TargetMode="External"/><Relationship Id="rId19" Type="http://schemas.openxmlformats.org/officeDocument/2006/relationships/hyperlink" Target="https://www.itu.int/pub/T-RES-T.50-2016" TargetMode="External"/><Relationship Id="rId14" Type="http://schemas.openxmlformats.org/officeDocument/2006/relationships/hyperlink" Target="http://www.itu.int/md/S15-CL-C-0113/en" TargetMode="External"/><Relationship Id="rId30" Type="http://schemas.openxmlformats.org/officeDocument/2006/relationships/hyperlink" Target="http://www.itu.int/en/action/internet/Documents/Resolution_63_wtdc14.pdf" TargetMode="External"/><Relationship Id="rId35" Type="http://schemas.openxmlformats.org/officeDocument/2006/relationships/hyperlink" Target="https://www.itu.int/md/S19-CL-C-0033/en" TargetMode="External"/><Relationship Id="rId56" Type="http://schemas.openxmlformats.org/officeDocument/2006/relationships/hyperlink" Target="https://www.itu.int/ITU-T/recommendations/rec.aspx?id=14165" TargetMode="External"/><Relationship Id="rId77" Type="http://schemas.openxmlformats.org/officeDocument/2006/relationships/hyperlink" Target="https://www.itu.int/en/ITU-T/focusgroups/net2030/Pages/default.aspx" TargetMode="External"/><Relationship Id="rId100" Type="http://schemas.openxmlformats.org/officeDocument/2006/relationships/footer" Target="footer2.xml"/><Relationship Id="rId8" Type="http://schemas.openxmlformats.org/officeDocument/2006/relationships/hyperlink" Target="https://www.itu.int/en/council/2019/Documents/basic-texts/RES-101-F.pdf" TargetMode="External"/><Relationship Id="rId51" Type="http://schemas.openxmlformats.org/officeDocument/2006/relationships/hyperlink" Target="https://www.itu.int/ITU-T/recommendations/rec.aspx?id=14134" TargetMode="External"/><Relationship Id="rId72" Type="http://schemas.openxmlformats.org/officeDocument/2006/relationships/hyperlink" Target="https://www.itu.int/ITU-T/recommendations/rec.aspx?id=14145" TargetMode="External"/><Relationship Id="rId93" Type="http://schemas.openxmlformats.org/officeDocument/2006/relationships/hyperlink" Target="https://www.itu.int/md/S20-CL-C-0051/en" TargetMode="External"/><Relationship Id="rId98" Type="http://schemas.openxmlformats.org/officeDocument/2006/relationships/header" Target="header2.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0-RCLINTPOL14-C-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DD407-6D8C-465F-9B31-B75BE41E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Template>
  <TotalTime>8</TotalTime>
  <Pages>8</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30883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Janin, Patricia</cp:lastModifiedBy>
  <cp:revision>4</cp:revision>
  <cp:lastPrinted>2020-04-08T09:54:00Z</cp:lastPrinted>
  <dcterms:created xsi:type="dcterms:W3CDTF">2020-04-09T09:37:00Z</dcterms:created>
  <dcterms:modified xsi:type="dcterms:W3CDTF">2020-04-09T09:39:00Z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