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90"/>
        <w:tblW w:w="10173" w:type="dxa"/>
        <w:tblLayout w:type="fixed"/>
        <w:tblLook w:val="0000" w:firstRow="0" w:lastRow="0" w:firstColumn="0" w:lastColumn="0" w:noHBand="0" w:noVBand="0"/>
      </w:tblPr>
      <w:tblGrid>
        <w:gridCol w:w="6912"/>
        <w:gridCol w:w="3261"/>
      </w:tblGrid>
      <w:tr w:rsidR="009B5008" w:rsidRPr="0008336A" w14:paraId="481E31E0" w14:textId="77777777" w:rsidTr="00575D39">
        <w:trPr>
          <w:cantSplit/>
        </w:trPr>
        <w:tc>
          <w:tcPr>
            <w:tcW w:w="6912" w:type="dxa"/>
          </w:tcPr>
          <w:p w14:paraId="55794088" w14:textId="77777777" w:rsidR="009B5008" w:rsidRPr="0008336A" w:rsidRDefault="009B5008" w:rsidP="00BD1734">
            <w:pPr>
              <w:spacing w:before="360"/>
            </w:pPr>
            <w:bookmarkStart w:id="0" w:name="dc06"/>
            <w:bookmarkStart w:id="1" w:name="_Toc34307471"/>
            <w:bookmarkStart w:id="2" w:name="_Toc34307549"/>
            <w:bookmarkStart w:id="3" w:name="_Toc34307647"/>
            <w:bookmarkEnd w:id="0"/>
            <w:r w:rsidRPr="0008336A">
              <w:rPr>
                <w:b/>
                <w:bCs/>
                <w:sz w:val="30"/>
                <w:szCs w:val="30"/>
              </w:rPr>
              <w:t>Conseil 2020</w:t>
            </w:r>
            <w:r w:rsidRPr="0008336A">
              <w:rPr>
                <w:rFonts w:ascii="Verdana" w:hAnsi="Verdana"/>
                <w:b/>
                <w:bCs/>
                <w:sz w:val="26"/>
                <w:szCs w:val="26"/>
              </w:rPr>
              <w:br/>
            </w:r>
            <w:r w:rsidRPr="0008336A">
              <w:rPr>
                <w:b/>
                <w:bCs/>
                <w:szCs w:val="24"/>
              </w:rPr>
              <w:t>Genève, 9-19 juin 2020</w:t>
            </w:r>
          </w:p>
        </w:tc>
        <w:tc>
          <w:tcPr>
            <w:tcW w:w="3261" w:type="dxa"/>
          </w:tcPr>
          <w:p w14:paraId="27AD8D9B" w14:textId="77777777" w:rsidR="009B5008" w:rsidRPr="0008336A" w:rsidRDefault="009B5008" w:rsidP="00BD1734">
            <w:pPr>
              <w:spacing w:before="0"/>
            </w:pPr>
            <w:bookmarkStart w:id="4" w:name="ditulogo"/>
            <w:bookmarkEnd w:id="4"/>
            <w:r w:rsidRPr="0008336A">
              <w:rPr>
                <w:noProof/>
                <w:lang w:eastAsia="zh-CN"/>
              </w:rPr>
              <w:drawing>
                <wp:inline distT="0" distB="0" distL="0" distR="0" wp14:anchorId="30FE4006" wp14:editId="24EAFA53">
                  <wp:extent cx="682402" cy="72000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9B5008" w:rsidRPr="0008336A" w14:paraId="18DA638A" w14:textId="77777777" w:rsidTr="00575D39">
        <w:trPr>
          <w:cantSplit/>
          <w:trHeight w:val="20"/>
        </w:trPr>
        <w:tc>
          <w:tcPr>
            <w:tcW w:w="6912" w:type="dxa"/>
            <w:tcBorders>
              <w:bottom w:val="single" w:sz="12" w:space="0" w:color="auto"/>
            </w:tcBorders>
            <w:vAlign w:val="center"/>
          </w:tcPr>
          <w:p w14:paraId="496C2B8D" w14:textId="77777777" w:rsidR="009B5008" w:rsidRPr="0008336A" w:rsidRDefault="009B5008" w:rsidP="00BD1734">
            <w:pPr>
              <w:spacing w:before="0"/>
              <w:rPr>
                <w:b/>
                <w:bCs/>
                <w:sz w:val="26"/>
                <w:szCs w:val="26"/>
              </w:rPr>
            </w:pPr>
          </w:p>
        </w:tc>
        <w:tc>
          <w:tcPr>
            <w:tcW w:w="3261" w:type="dxa"/>
            <w:tcBorders>
              <w:bottom w:val="single" w:sz="12" w:space="0" w:color="auto"/>
            </w:tcBorders>
          </w:tcPr>
          <w:p w14:paraId="55CF9D82" w14:textId="77777777" w:rsidR="009B5008" w:rsidRPr="0008336A" w:rsidRDefault="009B5008" w:rsidP="00BD1734">
            <w:pPr>
              <w:spacing w:before="0"/>
              <w:rPr>
                <w:b/>
                <w:bCs/>
              </w:rPr>
            </w:pPr>
          </w:p>
        </w:tc>
      </w:tr>
      <w:tr w:rsidR="009B5008" w:rsidRPr="0008336A" w14:paraId="30B438BC" w14:textId="77777777" w:rsidTr="00575D39">
        <w:trPr>
          <w:cantSplit/>
          <w:trHeight w:val="20"/>
        </w:trPr>
        <w:tc>
          <w:tcPr>
            <w:tcW w:w="6912" w:type="dxa"/>
            <w:tcBorders>
              <w:top w:val="single" w:sz="12" w:space="0" w:color="auto"/>
            </w:tcBorders>
          </w:tcPr>
          <w:p w14:paraId="0D295A69" w14:textId="77777777" w:rsidR="009B5008" w:rsidRPr="0008336A" w:rsidRDefault="009B5008" w:rsidP="00BD1734">
            <w:pPr>
              <w:spacing w:before="0"/>
              <w:rPr>
                <w:smallCaps/>
                <w:sz w:val="22"/>
              </w:rPr>
            </w:pPr>
          </w:p>
        </w:tc>
        <w:tc>
          <w:tcPr>
            <w:tcW w:w="3261" w:type="dxa"/>
            <w:tcBorders>
              <w:top w:val="single" w:sz="12" w:space="0" w:color="auto"/>
            </w:tcBorders>
          </w:tcPr>
          <w:p w14:paraId="067E273E" w14:textId="77777777" w:rsidR="009B5008" w:rsidRPr="0008336A" w:rsidRDefault="009B5008" w:rsidP="00BD1734">
            <w:pPr>
              <w:spacing w:before="0"/>
              <w:rPr>
                <w:b/>
                <w:bCs/>
              </w:rPr>
            </w:pPr>
          </w:p>
        </w:tc>
      </w:tr>
      <w:tr w:rsidR="009B5008" w:rsidRPr="0008336A" w14:paraId="0953D32F" w14:textId="77777777" w:rsidTr="00575D39">
        <w:trPr>
          <w:cantSplit/>
          <w:trHeight w:val="20"/>
        </w:trPr>
        <w:tc>
          <w:tcPr>
            <w:tcW w:w="6912" w:type="dxa"/>
            <w:vMerge w:val="restart"/>
          </w:tcPr>
          <w:p w14:paraId="0CF15B84" w14:textId="77777777" w:rsidR="009B5008" w:rsidRPr="0008336A" w:rsidRDefault="009B5008" w:rsidP="00BD1734">
            <w:pPr>
              <w:spacing w:before="0"/>
              <w:rPr>
                <w:rFonts w:cs="Times"/>
                <w:b/>
                <w:bCs/>
                <w:szCs w:val="24"/>
              </w:rPr>
            </w:pPr>
            <w:bookmarkStart w:id="5" w:name="dnum" w:colFirst="1" w:colLast="1"/>
            <w:bookmarkStart w:id="6" w:name="dmeeting" w:colFirst="0" w:colLast="0"/>
            <w:r w:rsidRPr="0008336A">
              <w:rPr>
                <w:rFonts w:cs="Times"/>
                <w:b/>
                <w:bCs/>
                <w:szCs w:val="24"/>
              </w:rPr>
              <w:t xml:space="preserve">Point de l'ordre du </w:t>
            </w:r>
            <w:proofErr w:type="gramStart"/>
            <w:r w:rsidRPr="0008336A">
              <w:rPr>
                <w:rFonts w:cs="Times"/>
                <w:b/>
                <w:bCs/>
                <w:szCs w:val="24"/>
              </w:rPr>
              <w:t>jour:</w:t>
            </w:r>
            <w:proofErr w:type="gramEnd"/>
            <w:r w:rsidRPr="0008336A">
              <w:rPr>
                <w:rFonts w:cs="Times"/>
                <w:b/>
                <w:bCs/>
                <w:szCs w:val="24"/>
              </w:rPr>
              <w:t xml:space="preserve"> PL 1.10</w:t>
            </w:r>
          </w:p>
        </w:tc>
        <w:tc>
          <w:tcPr>
            <w:tcW w:w="3261" w:type="dxa"/>
          </w:tcPr>
          <w:p w14:paraId="22509AEA" w14:textId="77777777" w:rsidR="009B5008" w:rsidRPr="0008336A" w:rsidRDefault="009B5008" w:rsidP="00BD1734">
            <w:pPr>
              <w:spacing w:before="0"/>
              <w:rPr>
                <w:b/>
                <w:bCs/>
              </w:rPr>
            </w:pPr>
            <w:r w:rsidRPr="0008336A">
              <w:rPr>
                <w:b/>
                <w:bCs/>
              </w:rPr>
              <w:t>Document C20/28-F</w:t>
            </w:r>
          </w:p>
        </w:tc>
      </w:tr>
      <w:tr w:rsidR="009B5008" w:rsidRPr="0008336A" w14:paraId="12C0A9AF" w14:textId="77777777" w:rsidTr="00575D39">
        <w:trPr>
          <w:cantSplit/>
          <w:trHeight w:val="20"/>
        </w:trPr>
        <w:tc>
          <w:tcPr>
            <w:tcW w:w="6912" w:type="dxa"/>
            <w:vMerge/>
          </w:tcPr>
          <w:p w14:paraId="6FD9732F" w14:textId="77777777" w:rsidR="009B5008" w:rsidRPr="0008336A" w:rsidRDefault="009B5008" w:rsidP="00BD1734">
            <w:pPr>
              <w:shd w:val="solid" w:color="FFFFFF" w:fill="FFFFFF"/>
              <w:spacing w:before="180"/>
              <w:rPr>
                <w:smallCaps/>
              </w:rPr>
            </w:pPr>
            <w:bookmarkStart w:id="7" w:name="ddate" w:colFirst="1" w:colLast="1"/>
            <w:bookmarkEnd w:id="5"/>
            <w:bookmarkEnd w:id="6"/>
          </w:p>
        </w:tc>
        <w:tc>
          <w:tcPr>
            <w:tcW w:w="3261" w:type="dxa"/>
          </w:tcPr>
          <w:p w14:paraId="0424CC5C" w14:textId="77777777" w:rsidR="009B5008" w:rsidRPr="0008336A" w:rsidRDefault="009B5008" w:rsidP="00BD1734">
            <w:pPr>
              <w:spacing w:before="0"/>
              <w:rPr>
                <w:b/>
                <w:bCs/>
              </w:rPr>
            </w:pPr>
            <w:r w:rsidRPr="0008336A">
              <w:rPr>
                <w:b/>
                <w:bCs/>
              </w:rPr>
              <w:t>17 avril 2020</w:t>
            </w:r>
          </w:p>
        </w:tc>
      </w:tr>
      <w:tr w:rsidR="009B5008" w:rsidRPr="0008336A" w14:paraId="5BBC1583" w14:textId="77777777" w:rsidTr="00575D39">
        <w:trPr>
          <w:cantSplit/>
          <w:trHeight w:val="20"/>
        </w:trPr>
        <w:tc>
          <w:tcPr>
            <w:tcW w:w="6912" w:type="dxa"/>
            <w:vMerge/>
          </w:tcPr>
          <w:p w14:paraId="043A6443" w14:textId="77777777" w:rsidR="009B5008" w:rsidRPr="0008336A" w:rsidRDefault="009B5008" w:rsidP="00BD1734">
            <w:pPr>
              <w:shd w:val="solid" w:color="FFFFFF" w:fill="FFFFFF"/>
              <w:spacing w:before="180"/>
              <w:rPr>
                <w:smallCaps/>
              </w:rPr>
            </w:pPr>
            <w:bookmarkStart w:id="8" w:name="dorlang" w:colFirst="1" w:colLast="1"/>
            <w:bookmarkEnd w:id="7"/>
          </w:p>
        </w:tc>
        <w:tc>
          <w:tcPr>
            <w:tcW w:w="3261" w:type="dxa"/>
          </w:tcPr>
          <w:p w14:paraId="4F250EF8" w14:textId="77777777" w:rsidR="009B5008" w:rsidRPr="0008336A" w:rsidRDefault="009B5008" w:rsidP="00BD1734">
            <w:pPr>
              <w:spacing w:before="0"/>
              <w:rPr>
                <w:b/>
                <w:bCs/>
              </w:rPr>
            </w:pPr>
            <w:proofErr w:type="gramStart"/>
            <w:r w:rsidRPr="0008336A">
              <w:rPr>
                <w:b/>
                <w:bCs/>
              </w:rPr>
              <w:t>Original:</w:t>
            </w:r>
            <w:proofErr w:type="gramEnd"/>
            <w:r w:rsidRPr="0008336A">
              <w:rPr>
                <w:b/>
                <w:bCs/>
              </w:rPr>
              <w:t xml:space="preserve"> anglais</w:t>
            </w:r>
          </w:p>
        </w:tc>
      </w:tr>
      <w:tr w:rsidR="009B5008" w:rsidRPr="0008336A" w14:paraId="55C0F4FA" w14:textId="77777777" w:rsidTr="00575D39">
        <w:trPr>
          <w:cantSplit/>
        </w:trPr>
        <w:tc>
          <w:tcPr>
            <w:tcW w:w="10173" w:type="dxa"/>
            <w:gridSpan w:val="2"/>
          </w:tcPr>
          <w:p w14:paraId="59921F20" w14:textId="77777777" w:rsidR="009B5008" w:rsidRPr="0008336A" w:rsidRDefault="009B5008" w:rsidP="00BD1734">
            <w:pPr>
              <w:pStyle w:val="Source"/>
            </w:pPr>
            <w:bookmarkStart w:id="9" w:name="dsource" w:colFirst="0" w:colLast="0"/>
            <w:bookmarkEnd w:id="8"/>
            <w:r w:rsidRPr="0008336A">
              <w:t>Rapport du Secrétaire général</w:t>
            </w:r>
          </w:p>
        </w:tc>
      </w:tr>
      <w:tr w:rsidR="009B5008" w:rsidRPr="0008336A" w14:paraId="49A3010C" w14:textId="77777777" w:rsidTr="00575D39">
        <w:trPr>
          <w:cantSplit/>
        </w:trPr>
        <w:tc>
          <w:tcPr>
            <w:tcW w:w="10173" w:type="dxa"/>
            <w:gridSpan w:val="2"/>
          </w:tcPr>
          <w:p w14:paraId="6682F94E" w14:textId="2FC6F4E8" w:rsidR="009B5008" w:rsidRPr="0008336A" w:rsidRDefault="009B5008" w:rsidP="00BD1734">
            <w:pPr>
              <w:pStyle w:val="Title1"/>
            </w:pPr>
            <w:bookmarkStart w:id="10" w:name="dtitle1" w:colFirst="0" w:colLast="0"/>
            <w:bookmarkEnd w:id="9"/>
            <w:r w:rsidRPr="0008336A">
              <w:t>PLAN OPÉRATIONNEL QUADRIENNAL GLISSANT de l</w:t>
            </w:r>
            <w:r w:rsidR="00BD1734" w:rsidRPr="0008336A">
              <w:t>'</w:t>
            </w:r>
            <w:r w:rsidRPr="0008336A">
              <w:t xml:space="preserve">union </w:t>
            </w:r>
            <w:r w:rsidRPr="0008336A">
              <w:br/>
              <w:t>POUR LA PÉRIODE 2021-2024</w:t>
            </w:r>
          </w:p>
        </w:tc>
      </w:tr>
      <w:bookmarkEnd w:id="10"/>
    </w:tbl>
    <w:p w14:paraId="0D6C0FCA" w14:textId="77777777" w:rsidR="009B5008" w:rsidRPr="0008336A" w:rsidRDefault="009B5008" w:rsidP="00BD1734"/>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9B5008" w:rsidRPr="0008336A" w14:paraId="4A715C72" w14:textId="77777777" w:rsidTr="00575D39">
        <w:trPr>
          <w:trHeight w:val="3372"/>
        </w:trPr>
        <w:tc>
          <w:tcPr>
            <w:tcW w:w="8080" w:type="dxa"/>
            <w:tcBorders>
              <w:top w:val="single" w:sz="12" w:space="0" w:color="auto"/>
              <w:left w:val="single" w:sz="12" w:space="0" w:color="auto"/>
              <w:bottom w:val="single" w:sz="12" w:space="0" w:color="auto"/>
              <w:right w:val="single" w:sz="12" w:space="0" w:color="auto"/>
            </w:tcBorders>
          </w:tcPr>
          <w:p w14:paraId="05A6777A" w14:textId="77777777" w:rsidR="009B5008" w:rsidRPr="0008336A" w:rsidRDefault="009B5008" w:rsidP="00BD1734">
            <w:pPr>
              <w:pStyle w:val="Headingb"/>
            </w:pPr>
            <w:r w:rsidRPr="0008336A">
              <w:t>Résumé</w:t>
            </w:r>
          </w:p>
          <w:p w14:paraId="5E42348C" w14:textId="0FF65C5F" w:rsidR="009B5008" w:rsidRPr="0008336A" w:rsidRDefault="009B5008" w:rsidP="00BD1734">
            <w:pPr>
              <w:rPr>
                <w:bCs/>
              </w:rPr>
            </w:pPr>
            <w:r w:rsidRPr="0008336A">
              <w:t>Le présent document contient le projet de Plan opérationnel quadriennal glissant de l</w:t>
            </w:r>
            <w:r w:rsidR="00BD1734" w:rsidRPr="0008336A">
              <w:t>'</w:t>
            </w:r>
            <w:r w:rsidRPr="0008336A">
              <w:t>Union pour la période 2021-2024.</w:t>
            </w:r>
          </w:p>
          <w:p w14:paraId="2CE6C5AA" w14:textId="4EDF44C6" w:rsidR="009B5008" w:rsidRPr="0008336A" w:rsidRDefault="009B5008" w:rsidP="00BD1734">
            <w:r w:rsidRPr="0008336A">
              <w:t xml:space="preserve">Ce Plan est publié conformément aux numéros ci-après de la Convention de </w:t>
            </w:r>
            <w:proofErr w:type="gramStart"/>
            <w:r w:rsidRPr="0008336A">
              <w:t>l'UIT:</w:t>
            </w:r>
            <w:proofErr w:type="gramEnd"/>
            <w:r w:rsidRPr="0008336A">
              <w:t xml:space="preserve"> numéro 181A (</w:t>
            </w:r>
            <w:r w:rsidR="00F877E6" w:rsidRPr="0008336A">
              <w:t>a</w:t>
            </w:r>
            <w:r w:rsidRPr="0008336A">
              <w:t>rticle 12) pour l'UIT-R, numéro 205A (</w:t>
            </w:r>
            <w:r w:rsidR="00F877E6" w:rsidRPr="0008336A">
              <w:t>a</w:t>
            </w:r>
            <w:r w:rsidRPr="0008336A">
              <w:t>rticle 15) pour l'UIT</w:t>
            </w:r>
            <w:r w:rsidRPr="0008336A">
              <w:noBreakHyphen/>
              <w:t>T, numéro 223A (</w:t>
            </w:r>
            <w:r w:rsidR="00F877E6" w:rsidRPr="0008336A">
              <w:t>a</w:t>
            </w:r>
            <w:r w:rsidRPr="0008336A">
              <w:t>rticle 18) pour l'UIT-D et numéro 87A (</w:t>
            </w:r>
            <w:r w:rsidR="00F877E6" w:rsidRPr="0008336A">
              <w:t>a</w:t>
            </w:r>
            <w:r w:rsidRPr="0008336A">
              <w:t>rticle 5) pour le Secrétariat général.</w:t>
            </w:r>
          </w:p>
          <w:p w14:paraId="2C39C654" w14:textId="77777777" w:rsidR="009B5008" w:rsidRPr="0008336A" w:rsidRDefault="009B5008" w:rsidP="00BD1734">
            <w:pPr>
              <w:pStyle w:val="Headingb"/>
            </w:pPr>
            <w:proofErr w:type="gramStart"/>
            <w:r w:rsidRPr="0008336A">
              <w:t>Suite à</w:t>
            </w:r>
            <w:proofErr w:type="gramEnd"/>
            <w:r w:rsidRPr="0008336A">
              <w:t xml:space="preserve"> donner</w:t>
            </w:r>
          </w:p>
          <w:p w14:paraId="3F7A4780" w14:textId="77777777" w:rsidR="009B5008" w:rsidRPr="0008336A" w:rsidRDefault="009B5008" w:rsidP="00BD1734">
            <w:r w:rsidRPr="0008336A">
              <w:t xml:space="preserve">Le Conseil est invité à </w:t>
            </w:r>
            <w:r w:rsidRPr="0008336A">
              <w:rPr>
                <w:b/>
              </w:rPr>
              <w:t>examiner</w:t>
            </w:r>
            <w:r w:rsidRPr="0008336A">
              <w:rPr>
                <w:bCs/>
              </w:rPr>
              <w:t xml:space="preserve"> </w:t>
            </w:r>
            <w:r w:rsidRPr="0008336A">
              <w:t>et à</w:t>
            </w:r>
            <w:r w:rsidRPr="0008336A">
              <w:rPr>
                <w:bCs/>
              </w:rPr>
              <w:t xml:space="preserve"> </w:t>
            </w:r>
            <w:r w:rsidRPr="0008336A">
              <w:rPr>
                <w:b/>
              </w:rPr>
              <w:t>approuver</w:t>
            </w:r>
            <w:r w:rsidRPr="0008336A">
              <w:t xml:space="preserve"> le projet de Plan opérationnel quadriennal glissant de l'Union pour la période 2021-2024 et à </w:t>
            </w:r>
            <w:r w:rsidRPr="0008336A">
              <w:rPr>
                <w:b/>
              </w:rPr>
              <w:t>adopter</w:t>
            </w:r>
            <w:r w:rsidRPr="0008336A">
              <w:t xml:space="preserve"> le projet de Résolution présenté à l'</w:t>
            </w:r>
            <w:r w:rsidRPr="0008336A">
              <w:rPr>
                <w:bCs/>
              </w:rPr>
              <w:t>Annexe C du présent document</w:t>
            </w:r>
            <w:r w:rsidRPr="0008336A">
              <w:t>.</w:t>
            </w:r>
          </w:p>
          <w:p w14:paraId="5115E22D" w14:textId="77777777" w:rsidR="009B5008" w:rsidRPr="0008336A" w:rsidRDefault="009B5008" w:rsidP="00BD1734">
            <w:pPr>
              <w:pStyle w:val="Table"/>
              <w:keepNext w:val="0"/>
              <w:spacing w:before="0" w:after="0"/>
              <w:rPr>
                <w:rFonts w:ascii="Calibri" w:hAnsi="Calibri"/>
                <w:caps w:val="0"/>
                <w:sz w:val="22"/>
                <w:lang w:val="fr-FR"/>
              </w:rPr>
            </w:pPr>
            <w:r w:rsidRPr="0008336A">
              <w:rPr>
                <w:rFonts w:ascii="Calibri" w:hAnsi="Calibri"/>
                <w:caps w:val="0"/>
                <w:sz w:val="22"/>
                <w:lang w:val="fr-FR"/>
              </w:rPr>
              <w:t>____________</w:t>
            </w:r>
          </w:p>
          <w:p w14:paraId="4F92A8AC" w14:textId="77777777" w:rsidR="009B5008" w:rsidRPr="0008336A" w:rsidRDefault="009B5008" w:rsidP="00BD1734">
            <w:pPr>
              <w:pStyle w:val="Headingb"/>
            </w:pPr>
            <w:r w:rsidRPr="0008336A">
              <w:t>Références</w:t>
            </w:r>
          </w:p>
          <w:p w14:paraId="485D9D89" w14:textId="77777777" w:rsidR="009B5008" w:rsidRPr="0008336A" w:rsidRDefault="00E13D84" w:rsidP="00BD1734">
            <w:pPr>
              <w:spacing w:after="120"/>
              <w:rPr>
                <w:i/>
                <w:iCs/>
              </w:rPr>
            </w:pPr>
            <w:hyperlink r:id="rId12" w:history="1">
              <w:r w:rsidR="009B5008" w:rsidRPr="0008336A">
                <w:rPr>
                  <w:rStyle w:val="Hyperlink"/>
                  <w:i/>
                  <w:iCs/>
                </w:rPr>
                <w:t>Résolution 71 (Rév. Dubaï, 2018) de la Conférence de plénipotentiaires</w:t>
              </w:r>
            </w:hyperlink>
          </w:p>
        </w:tc>
      </w:tr>
    </w:tbl>
    <w:p w14:paraId="79F46CC8" w14:textId="766316A0" w:rsidR="009B5008" w:rsidRPr="0008336A" w:rsidRDefault="009B5008" w:rsidP="00BD1734">
      <w:r w:rsidRPr="0008336A">
        <w:br w:type="page"/>
      </w:r>
    </w:p>
    <w:p w14:paraId="46E5B896" w14:textId="69BFF9BB" w:rsidR="00C857B3" w:rsidRPr="00E13D84" w:rsidRDefault="009E53AC" w:rsidP="009E53AC">
      <w:pPr>
        <w:pStyle w:val="Title4"/>
        <w:spacing w:before="360"/>
        <w:ind w:left="2977"/>
        <w:jc w:val="left"/>
        <w:rPr>
          <w:color w:val="1F497D" w:themeColor="text2"/>
          <w:sz w:val="52"/>
          <w:szCs w:val="54"/>
        </w:rPr>
      </w:pPr>
      <w:bookmarkStart w:id="11" w:name="_Toc39492757"/>
      <w:bookmarkStart w:id="12" w:name="_Toc39493312"/>
      <w:r>
        <w:rPr>
          <w:noProof/>
          <w:color w:val="1F497D" w:themeColor="text2"/>
          <w:sz w:val="52"/>
          <w:szCs w:val="54"/>
        </w:rPr>
        <w:lastRenderedPageBreak/>
        <w:drawing>
          <wp:anchor distT="0" distB="0" distL="114300" distR="114300" simplePos="0" relativeHeight="251714560" behindDoc="1" locked="0" layoutInCell="1" allowOverlap="1" wp14:anchorId="18D8C2A7" wp14:editId="06B937A6">
            <wp:simplePos x="0" y="0"/>
            <wp:positionH relativeFrom="column">
              <wp:posOffset>-696467</wp:posOffset>
            </wp:positionH>
            <wp:positionV relativeFrom="page">
              <wp:posOffset>-115924</wp:posOffset>
            </wp:positionV>
            <wp:extent cx="7639291" cy="10802856"/>
            <wp:effectExtent l="0" t="0" r="0" b="0"/>
            <wp:wrapNone/>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fond.jpg"/>
                    <pic:cNvPicPr/>
                  </pic:nvPicPr>
                  <pic:blipFill>
                    <a:blip r:embed="rId13">
                      <a:extLst>
                        <a:ext uri="{28A0092B-C50C-407E-A947-70E740481C1C}">
                          <a14:useLocalDpi xmlns:a14="http://schemas.microsoft.com/office/drawing/2010/main" val="0"/>
                        </a:ext>
                      </a:extLst>
                    </a:blip>
                    <a:stretch>
                      <a:fillRect/>
                    </a:stretch>
                  </pic:blipFill>
                  <pic:spPr>
                    <a:xfrm>
                      <a:off x="0" y="0"/>
                      <a:ext cx="7639291" cy="10802856"/>
                    </a:xfrm>
                    <a:prstGeom prst="rect">
                      <a:avLst/>
                    </a:prstGeom>
                  </pic:spPr>
                </pic:pic>
              </a:graphicData>
            </a:graphic>
            <wp14:sizeRelH relativeFrom="margin">
              <wp14:pctWidth>0</wp14:pctWidth>
            </wp14:sizeRelH>
            <wp14:sizeRelV relativeFrom="margin">
              <wp14:pctHeight>0</wp14:pctHeight>
            </wp14:sizeRelV>
          </wp:anchor>
        </w:drawing>
      </w:r>
      <w:r w:rsidR="00C857B3" w:rsidRPr="00E13D84">
        <w:rPr>
          <w:color w:val="1F497D" w:themeColor="text2"/>
          <w:sz w:val="52"/>
          <w:szCs w:val="54"/>
        </w:rPr>
        <w:t xml:space="preserve">PROJET DE </w:t>
      </w:r>
      <w:r w:rsidR="00C857B3" w:rsidRPr="00E13D84">
        <w:rPr>
          <w:color w:val="1F497D" w:themeColor="text2"/>
          <w:sz w:val="52"/>
          <w:szCs w:val="54"/>
        </w:rPr>
        <w:br/>
        <w:t xml:space="preserve">PLAN OPÉRATIONNEL </w:t>
      </w:r>
      <w:r>
        <w:rPr>
          <w:color w:val="1F497D" w:themeColor="text2"/>
          <w:sz w:val="52"/>
          <w:szCs w:val="54"/>
        </w:rPr>
        <w:br/>
      </w:r>
      <w:r w:rsidR="00C857B3" w:rsidRPr="00E13D84">
        <w:rPr>
          <w:color w:val="1F497D" w:themeColor="text2"/>
          <w:sz w:val="52"/>
          <w:szCs w:val="54"/>
        </w:rPr>
        <w:t xml:space="preserve">DE L'UIT </w:t>
      </w:r>
      <w:bookmarkEnd w:id="1"/>
      <w:bookmarkEnd w:id="2"/>
      <w:bookmarkEnd w:id="3"/>
      <w:bookmarkEnd w:id="11"/>
      <w:bookmarkEnd w:id="12"/>
    </w:p>
    <w:p w14:paraId="75E73000" w14:textId="22D2A233" w:rsidR="00C857B3" w:rsidRPr="009E53AC" w:rsidRDefault="00C857B3" w:rsidP="009E53AC">
      <w:pPr>
        <w:spacing w:before="9960"/>
        <w:rPr>
          <w:b/>
          <w:bCs/>
          <w:color w:val="FFFFFF" w:themeColor="background1"/>
          <w:sz w:val="36"/>
          <w:szCs w:val="36"/>
        </w:rPr>
      </w:pPr>
      <w:r w:rsidRPr="009E53AC">
        <w:rPr>
          <w:b/>
          <w:bCs/>
          <w:color w:val="FFFFFF" w:themeColor="background1"/>
          <w:sz w:val="36"/>
          <w:szCs w:val="36"/>
        </w:rPr>
        <w:t>Synthèse</w:t>
      </w:r>
    </w:p>
    <w:p w14:paraId="78454B44" w14:textId="77777777" w:rsidR="009E53AC" w:rsidRPr="009E53AC" w:rsidRDefault="00C857B3" w:rsidP="009E53AC">
      <w:pPr>
        <w:spacing w:before="240"/>
        <w:rPr>
          <w:b/>
          <w:bCs/>
          <w:color w:val="FFFFFF" w:themeColor="background1"/>
          <w:sz w:val="36"/>
          <w:szCs w:val="36"/>
        </w:rPr>
      </w:pPr>
      <w:r w:rsidRPr="009E53AC">
        <w:rPr>
          <w:b/>
          <w:bCs/>
          <w:color w:val="FFFFFF" w:themeColor="background1"/>
          <w:sz w:val="36"/>
          <w:szCs w:val="36"/>
        </w:rPr>
        <w:t>Objectifs</w:t>
      </w:r>
    </w:p>
    <w:p w14:paraId="511407EC" w14:textId="15657980" w:rsidR="00C857B3" w:rsidRPr="009E53AC" w:rsidRDefault="00C857B3" w:rsidP="009E53AC">
      <w:pPr>
        <w:spacing w:before="360"/>
        <w:rPr>
          <w:color w:val="1F497D" w:themeColor="text2"/>
        </w:rPr>
      </w:pPr>
      <w:r w:rsidRPr="009E53AC">
        <w:rPr>
          <w:b/>
          <w:bCs/>
          <w:color w:val="FFFFFF" w:themeColor="background1"/>
          <w:sz w:val="36"/>
          <w:szCs w:val="36"/>
        </w:rPr>
        <w:t>Annexes</w:t>
      </w:r>
      <w:r w:rsidRPr="009E53AC">
        <w:rPr>
          <w:color w:val="1F497D" w:themeColor="text2"/>
        </w:rPr>
        <w:br w:type="page"/>
      </w:r>
    </w:p>
    <w:p w14:paraId="5F14CBA6" w14:textId="32F00F52" w:rsidR="00C857B3" w:rsidRPr="009E53AC" w:rsidRDefault="0051547A" w:rsidP="00BD1734">
      <w:pPr>
        <w:pStyle w:val="Title4"/>
        <w:pBdr>
          <w:bottom w:val="single" w:sz="4" w:space="1" w:color="auto"/>
        </w:pBdr>
        <w:jc w:val="left"/>
        <w:rPr>
          <w:color w:val="1F497D" w:themeColor="text2"/>
        </w:rPr>
      </w:pPr>
      <w:bookmarkStart w:id="13" w:name="_Toc34307472"/>
      <w:bookmarkStart w:id="14" w:name="_Toc34307550"/>
      <w:bookmarkStart w:id="15" w:name="_Toc34307648"/>
      <w:bookmarkStart w:id="16" w:name="_Toc39492758"/>
      <w:bookmarkStart w:id="17" w:name="_Toc39493313"/>
      <w:r w:rsidRPr="009E53AC">
        <w:rPr>
          <w:color w:val="1F497D" w:themeColor="text2"/>
        </w:rPr>
        <w:lastRenderedPageBreak/>
        <w:t>Projet de Plan opérationnel de l'UIT pour la période 2021-2024</w:t>
      </w:r>
      <w:bookmarkEnd w:id="13"/>
      <w:bookmarkEnd w:id="14"/>
      <w:bookmarkEnd w:id="15"/>
      <w:bookmarkEnd w:id="16"/>
      <w:bookmarkEnd w:id="17"/>
    </w:p>
    <w:p w14:paraId="730EB9C0" w14:textId="35B7E708" w:rsidR="00F50964" w:rsidRPr="0008336A" w:rsidRDefault="00F50964">
      <w:pPr>
        <w:pStyle w:val="TOC1"/>
        <w:rPr>
          <w:rFonts w:asciiTheme="minorHAnsi" w:eastAsiaTheme="minorEastAsia" w:hAnsiTheme="minorHAnsi" w:cstheme="minorBidi"/>
          <w:noProof/>
          <w:sz w:val="22"/>
          <w:szCs w:val="22"/>
          <w:lang w:eastAsia="en-GB"/>
        </w:rPr>
      </w:pPr>
      <w:r w:rsidRPr="0008336A">
        <w:fldChar w:fldCharType="begin"/>
      </w:r>
      <w:r w:rsidRPr="0008336A">
        <w:instrText xml:space="preserve"> TOC \h \z \t "Title 4;1" </w:instrText>
      </w:r>
      <w:r w:rsidRPr="0008336A">
        <w:fldChar w:fldCharType="separate"/>
      </w:r>
    </w:p>
    <w:p w14:paraId="16F8FC3B" w14:textId="26C7EAEB" w:rsidR="00F50964" w:rsidRPr="0008336A" w:rsidRDefault="00E13D84">
      <w:pPr>
        <w:pStyle w:val="TOC1"/>
        <w:rPr>
          <w:rFonts w:asciiTheme="minorHAnsi" w:eastAsiaTheme="minorEastAsia" w:hAnsiTheme="minorHAnsi" w:cstheme="minorBidi"/>
          <w:noProof/>
          <w:sz w:val="22"/>
          <w:szCs w:val="22"/>
          <w:lang w:eastAsia="en-GB"/>
        </w:rPr>
      </w:pPr>
      <w:hyperlink w:anchor="_Toc39492760" w:history="1">
        <w:r w:rsidR="00F50964" w:rsidRPr="0008336A">
          <w:rPr>
            <w:rStyle w:val="Hyperlink"/>
            <w:noProof/>
          </w:rPr>
          <w:t xml:space="preserve">Partie I – </w:t>
        </w:r>
        <w:r w:rsidR="00F50964" w:rsidRPr="0008336A">
          <w:rPr>
            <w:rStyle w:val="Hyperlink"/>
            <w:bCs/>
            <w:noProof/>
          </w:rPr>
          <w:t>Synthèse</w:t>
        </w:r>
        <w:r w:rsidR="00F50964" w:rsidRPr="0008336A">
          <w:rPr>
            <w:noProof/>
            <w:webHidden/>
          </w:rPr>
          <w:tab/>
        </w:r>
        <w:r w:rsidR="00F50964" w:rsidRPr="0008336A">
          <w:rPr>
            <w:noProof/>
            <w:webHidden/>
          </w:rPr>
          <w:tab/>
        </w:r>
        <w:r w:rsidR="00F50964" w:rsidRPr="0008336A">
          <w:rPr>
            <w:noProof/>
            <w:webHidden/>
          </w:rPr>
          <w:fldChar w:fldCharType="begin"/>
        </w:r>
        <w:r w:rsidR="00F50964" w:rsidRPr="0008336A">
          <w:rPr>
            <w:noProof/>
            <w:webHidden/>
          </w:rPr>
          <w:instrText xml:space="preserve"> PAGEREF _Toc39492760 \h </w:instrText>
        </w:r>
        <w:r w:rsidR="00F50964" w:rsidRPr="0008336A">
          <w:rPr>
            <w:noProof/>
            <w:webHidden/>
          </w:rPr>
        </w:r>
        <w:r w:rsidR="00F50964" w:rsidRPr="0008336A">
          <w:rPr>
            <w:noProof/>
            <w:webHidden/>
          </w:rPr>
          <w:fldChar w:fldCharType="separate"/>
        </w:r>
        <w:r w:rsidR="001C1B0F">
          <w:rPr>
            <w:noProof/>
            <w:webHidden/>
          </w:rPr>
          <w:t>5</w:t>
        </w:r>
        <w:r w:rsidR="00F50964" w:rsidRPr="0008336A">
          <w:rPr>
            <w:noProof/>
            <w:webHidden/>
          </w:rPr>
          <w:fldChar w:fldCharType="end"/>
        </w:r>
      </w:hyperlink>
    </w:p>
    <w:p w14:paraId="0350C299" w14:textId="227EBE7A" w:rsidR="00F50964" w:rsidRPr="0008336A" w:rsidRDefault="00E13D84">
      <w:pPr>
        <w:pStyle w:val="TOC1"/>
        <w:rPr>
          <w:rFonts w:asciiTheme="minorHAnsi" w:eastAsiaTheme="minorEastAsia" w:hAnsiTheme="minorHAnsi" w:cstheme="minorBidi"/>
          <w:noProof/>
          <w:sz w:val="22"/>
          <w:szCs w:val="22"/>
          <w:lang w:eastAsia="en-GB"/>
        </w:rPr>
      </w:pPr>
      <w:hyperlink w:anchor="_Toc39492762" w:history="1">
        <w:r w:rsidR="00F50964" w:rsidRPr="0008336A">
          <w:rPr>
            <w:rStyle w:val="Hyperlink"/>
            <w:noProof/>
          </w:rPr>
          <w:t xml:space="preserve">Partie II – </w:t>
        </w:r>
        <w:r w:rsidR="00F50964" w:rsidRPr="0008336A">
          <w:rPr>
            <w:rStyle w:val="Hyperlink"/>
            <w:bCs/>
            <w:noProof/>
          </w:rPr>
          <w:t>Objectifs</w:t>
        </w:r>
        <w:r w:rsidR="00F50964" w:rsidRPr="0008336A">
          <w:rPr>
            <w:noProof/>
            <w:webHidden/>
          </w:rPr>
          <w:tab/>
        </w:r>
        <w:r w:rsidR="00F50964" w:rsidRPr="0008336A">
          <w:rPr>
            <w:noProof/>
            <w:webHidden/>
          </w:rPr>
          <w:tab/>
        </w:r>
        <w:r w:rsidR="00F50964" w:rsidRPr="0008336A">
          <w:rPr>
            <w:noProof/>
            <w:webHidden/>
          </w:rPr>
          <w:fldChar w:fldCharType="begin"/>
        </w:r>
        <w:r w:rsidR="00F50964" w:rsidRPr="0008336A">
          <w:rPr>
            <w:noProof/>
            <w:webHidden/>
          </w:rPr>
          <w:instrText xml:space="preserve"> PAGEREF _Toc39492762 \h </w:instrText>
        </w:r>
        <w:r w:rsidR="00F50964" w:rsidRPr="0008336A">
          <w:rPr>
            <w:noProof/>
            <w:webHidden/>
          </w:rPr>
        </w:r>
        <w:r w:rsidR="00F50964" w:rsidRPr="0008336A">
          <w:rPr>
            <w:noProof/>
            <w:webHidden/>
          </w:rPr>
          <w:fldChar w:fldCharType="separate"/>
        </w:r>
        <w:r w:rsidR="001C1B0F">
          <w:rPr>
            <w:noProof/>
            <w:webHidden/>
          </w:rPr>
          <w:t>14</w:t>
        </w:r>
        <w:r w:rsidR="00F50964" w:rsidRPr="0008336A">
          <w:rPr>
            <w:noProof/>
            <w:webHidden/>
          </w:rPr>
          <w:fldChar w:fldCharType="end"/>
        </w:r>
      </w:hyperlink>
    </w:p>
    <w:p w14:paraId="37BFA92D" w14:textId="788EBFBE" w:rsidR="00F50964" w:rsidRPr="0008336A" w:rsidRDefault="00E13D84">
      <w:pPr>
        <w:pStyle w:val="TOC1"/>
        <w:rPr>
          <w:rFonts w:asciiTheme="minorHAnsi" w:eastAsiaTheme="minorEastAsia" w:hAnsiTheme="minorHAnsi" w:cstheme="minorBidi"/>
          <w:noProof/>
          <w:sz w:val="22"/>
          <w:szCs w:val="22"/>
          <w:lang w:eastAsia="en-GB"/>
        </w:rPr>
      </w:pPr>
      <w:hyperlink w:anchor="_Toc39492764" w:history="1">
        <w:r w:rsidR="00F50964" w:rsidRPr="0008336A">
          <w:rPr>
            <w:rStyle w:val="Hyperlink"/>
            <w:bCs/>
            <w:noProof/>
          </w:rPr>
          <w:t>Partie III – Annexes</w:t>
        </w:r>
        <w:r w:rsidR="00F50964" w:rsidRPr="0008336A">
          <w:rPr>
            <w:noProof/>
            <w:webHidden/>
          </w:rPr>
          <w:tab/>
        </w:r>
        <w:r w:rsidR="00F50964" w:rsidRPr="0008336A">
          <w:rPr>
            <w:noProof/>
            <w:webHidden/>
          </w:rPr>
          <w:tab/>
        </w:r>
        <w:r w:rsidR="00F50964" w:rsidRPr="0008336A">
          <w:rPr>
            <w:noProof/>
            <w:webHidden/>
          </w:rPr>
          <w:fldChar w:fldCharType="begin"/>
        </w:r>
        <w:r w:rsidR="00F50964" w:rsidRPr="0008336A">
          <w:rPr>
            <w:noProof/>
            <w:webHidden/>
          </w:rPr>
          <w:instrText xml:space="preserve"> PAGEREF _Toc39492764 \h </w:instrText>
        </w:r>
        <w:r w:rsidR="00F50964" w:rsidRPr="0008336A">
          <w:rPr>
            <w:noProof/>
            <w:webHidden/>
          </w:rPr>
        </w:r>
        <w:r w:rsidR="00F50964" w:rsidRPr="0008336A">
          <w:rPr>
            <w:noProof/>
            <w:webHidden/>
          </w:rPr>
          <w:fldChar w:fldCharType="separate"/>
        </w:r>
        <w:r w:rsidR="001C1B0F">
          <w:rPr>
            <w:noProof/>
            <w:webHidden/>
          </w:rPr>
          <w:t>70</w:t>
        </w:r>
        <w:r w:rsidR="00F50964" w:rsidRPr="0008336A">
          <w:rPr>
            <w:noProof/>
            <w:webHidden/>
          </w:rPr>
          <w:fldChar w:fldCharType="end"/>
        </w:r>
      </w:hyperlink>
    </w:p>
    <w:p w14:paraId="229529B6" w14:textId="4ECA014F" w:rsidR="00061EAE" w:rsidRPr="0008336A" w:rsidRDefault="00F50964" w:rsidP="00BD1734">
      <w:r w:rsidRPr="0008336A">
        <w:fldChar w:fldCharType="end"/>
      </w:r>
    </w:p>
    <w:p w14:paraId="7387F67C" w14:textId="77777777" w:rsidR="00061EAE" w:rsidRPr="0008336A" w:rsidRDefault="00061EAE" w:rsidP="00BD1734">
      <w:pPr>
        <w:overflowPunct/>
        <w:autoSpaceDE/>
        <w:autoSpaceDN/>
        <w:adjustRightInd/>
        <w:spacing w:before="0"/>
        <w:textAlignment w:val="auto"/>
      </w:pPr>
      <w:r w:rsidRPr="0008336A">
        <w:br w:type="page"/>
      </w:r>
    </w:p>
    <w:p w14:paraId="651F6182" w14:textId="72D1FB73" w:rsidR="00C857B3" w:rsidRPr="009E53AC" w:rsidRDefault="009E53AC" w:rsidP="0014690C">
      <w:pPr>
        <w:pStyle w:val="Title4"/>
        <w:spacing w:before="360"/>
        <w:ind w:left="2977"/>
        <w:jc w:val="left"/>
        <w:rPr>
          <w:color w:val="1F497D" w:themeColor="text2"/>
          <w:sz w:val="52"/>
          <w:szCs w:val="54"/>
        </w:rPr>
      </w:pPr>
      <w:bookmarkStart w:id="18" w:name="_Toc34307473"/>
      <w:bookmarkStart w:id="19" w:name="_Toc34307551"/>
      <w:bookmarkStart w:id="20" w:name="_Toc34307649"/>
      <w:bookmarkStart w:id="21" w:name="_Toc39492759"/>
      <w:bookmarkStart w:id="22" w:name="_Toc39493314"/>
      <w:r w:rsidRPr="009E53AC">
        <w:rPr>
          <w:noProof/>
          <w:color w:val="1F497D" w:themeColor="text2"/>
          <w:sz w:val="52"/>
          <w:szCs w:val="54"/>
        </w:rPr>
        <w:lastRenderedPageBreak/>
        <w:drawing>
          <wp:anchor distT="0" distB="0" distL="114300" distR="114300" simplePos="0" relativeHeight="251716608" behindDoc="1" locked="0" layoutInCell="1" allowOverlap="1" wp14:anchorId="2E11A6AA" wp14:editId="22400FFB">
            <wp:simplePos x="0" y="0"/>
            <wp:positionH relativeFrom="column">
              <wp:posOffset>-729205</wp:posOffset>
            </wp:positionH>
            <wp:positionV relativeFrom="page">
              <wp:posOffset>26027</wp:posOffset>
            </wp:positionV>
            <wp:extent cx="7639291" cy="10802856"/>
            <wp:effectExtent l="0" t="0" r="0" b="0"/>
            <wp:wrapNone/>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fond.jpg"/>
                    <pic:cNvPicPr/>
                  </pic:nvPicPr>
                  <pic:blipFill>
                    <a:blip r:embed="rId13">
                      <a:extLst>
                        <a:ext uri="{28A0092B-C50C-407E-A947-70E740481C1C}">
                          <a14:useLocalDpi xmlns:a14="http://schemas.microsoft.com/office/drawing/2010/main" val="0"/>
                        </a:ext>
                      </a:extLst>
                    </a:blip>
                    <a:stretch>
                      <a:fillRect/>
                    </a:stretch>
                  </pic:blipFill>
                  <pic:spPr>
                    <a:xfrm>
                      <a:off x="0" y="0"/>
                      <a:ext cx="7639291" cy="10802856"/>
                    </a:xfrm>
                    <a:prstGeom prst="rect">
                      <a:avLst/>
                    </a:prstGeom>
                  </pic:spPr>
                </pic:pic>
              </a:graphicData>
            </a:graphic>
            <wp14:sizeRelH relativeFrom="margin">
              <wp14:pctWidth>0</wp14:pctWidth>
            </wp14:sizeRelH>
            <wp14:sizeRelV relativeFrom="margin">
              <wp14:pctHeight>0</wp14:pctHeight>
            </wp14:sizeRelV>
          </wp:anchor>
        </w:drawing>
      </w:r>
      <w:r w:rsidR="00C857B3" w:rsidRPr="009E53AC">
        <w:rPr>
          <w:color w:val="1F497D" w:themeColor="text2"/>
          <w:sz w:val="52"/>
          <w:szCs w:val="54"/>
        </w:rPr>
        <w:t xml:space="preserve">PROJET DE </w:t>
      </w:r>
      <w:r w:rsidR="00C857B3" w:rsidRPr="009E53AC">
        <w:rPr>
          <w:color w:val="1F497D" w:themeColor="text2"/>
          <w:sz w:val="52"/>
          <w:szCs w:val="54"/>
        </w:rPr>
        <w:br/>
        <w:t xml:space="preserve">PLAN OPÉRATIONNEL </w:t>
      </w:r>
      <w:r w:rsidRPr="009E53AC">
        <w:rPr>
          <w:color w:val="1F497D" w:themeColor="text2"/>
          <w:sz w:val="52"/>
          <w:szCs w:val="54"/>
        </w:rPr>
        <w:br/>
      </w:r>
      <w:r w:rsidR="00C857B3" w:rsidRPr="009E53AC">
        <w:rPr>
          <w:color w:val="1F497D" w:themeColor="text2"/>
          <w:sz w:val="52"/>
          <w:szCs w:val="54"/>
        </w:rPr>
        <w:t xml:space="preserve">DE L'UIT </w:t>
      </w:r>
      <w:bookmarkEnd w:id="18"/>
      <w:bookmarkEnd w:id="19"/>
      <w:bookmarkEnd w:id="20"/>
      <w:bookmarkEnd w:id="21"/>
      <w:bookmarkEnd w:id="22"/>
    </w:p>
    <w:p w14:paraId="7FEC986E" w14:textId="2FC52FC9" w:rsidR="00C857B3" w:rsidRPr="0014690C" w:rsidRDefault="00C857B3" w:rsidP="0014690C">
      <w:pPr>
        <w:spacing w:before="10080"/>
        <w:rPr>
          <w:b/>
          <w:bCs/>
          <w:color w:val="B6DDE8" w:themeColor="accent5" w:themeTint="66"/>
          <w:sz w:val="44"/>
          <w:szCs w:val="44"/>
        </w:rPr>
      </w:pPr>
      <w:r w:rsidRPr="0014690C">
        <w:rPr>
          <w:b/>
          <w:bCs/>
          <w:color w:val="B6DDE8" w:themeColor="accent5" w:themeTint="66"/>
          <w:sz w:val="44"/>
          <w:szCs w:val="44"/>
        </w:rPr>
        <w:t>Synthèse</w:t>
      </w:r>
    </w:p>
    <w:p w14:paraId="32A0BCDB" w14:textId="77777777" w:rsidR="00C857B3" w:rsidRPr="009E53AC" w:rsidRDefault="00C857B3" w:rsidP="00BD1734">
      <w:pPr>
        <w:spacing w:before="240"/>
        <w:rPr>
          <w:b/>
          <w:bCs/>
          <w:color w:val="808080" w:themeColor="background1" w:themeShade="80"/>
          <w:sz w:val="36"/>
          <w:szCs w:val="36"/>
        </w:rPr>
      </w:pPr>
      <w:r w:rsidRPr="009E53AC">
        <w:rPr>
          <w:b/>
          <w:bCs/>
          <w:color w:val="808080" w:themeColor="background1" w:themeShade="80"/>
          <w:sz w:val="36"/>
          <w:szCs w:val="36"/>
        </w:rPr>
        <w:t>Objectifs</w:t>
      </w:r>
    </w:p>
    <w:p w14:paraId="33F7A046" w14:textId="7AD13125" w:rsidR="00C857B3" w:rsidRPr="0008336A" w:rsidRDefault="00C857B3" w:rsidP="0014690C">
      <w:pPr>
        <w:spacing w:before="240"/>
      </w:pPr>
      <w:r w:rsidRPr="009E53AC">
        <w:rPr>
          <w:b/>
          <w:bCs/>
          <w:color w:val="808080" w:themeColor="background1" w:themeShade="80"/>
          <w:sz w:val="36"/>
          <w:szCs w:val="36"/>
        </w:rPr>
        <w:t>Annexes</w:t>
      </w:r>
      <w:r w:rsidRPr="0008336A">
        <w:br w:type="page"/>
      </w:r>
    </w:p>
    <w:p w14:paraId="071E6358" w14:textId="77777777" w:rsidR="00C857B3" w:rsidRPr="0008336A" w:rsidRDefault="00C857B3" w:rsidP="00BD1734">
      <w:pPr>
        <w:pStyle w:val="Title4"/>
        <w:pBdr>
          <w:bottom w:val="single" w:sz="4" w:space="1" w:color="auto"/>
        </w:pBdr>
        <w:jc w:val="left"/>
      </w:pPr>
      <w:bookmarkStart w:id="23" w:name="_Toc34307552"/>
      <w:bookmarkStart w:id="24" w:name="_Toc34307650"/>
      <w:bookmarkStart w:id="25" w:name="_Toc39492760"/>
      <w:bookmarkStart w:id="26" w:name="_Toc39493315"/>
      <w:r w:rsidRPr="0008336A">
        <w:lastRenderedPageBreak/>
        <w:t xml:space="preserve">Partie I – </w:t>
      </w:r>
      <w:r w:rsidRPr="0008336A">
        <w:rPr>
          <w:bCs/>
        </w:rPr>
        <w:t>Synthèse</w:t>
      </w:r>
      <w:bookmarkEnd w:id="23"/>
      <w:bookmarkEnd w:id="24"/>
      <w:bookmarkEnd w:id="25"/>
      <w:bookmarkEnd w:id="26"/>
    </w:p>
    <w:p w14:paraId="1E5DAB39" w14:textId="01574BFC" w:rsidR="001348B2" w:rsidRPr="0008336A" w:rsidRDefault="001348B2" w:rsidP="00BD1734">
      <w:pPr>
        <w:rPr>
          <w:rFonts w:eastAsiaTheme="minorEastAsia"/>
          <w:noProof/>
          <w:lang w:eastAsia="fr-CH"/>
        </w:rPr>
      </w:pPr>
      <w:r w:rsidRPr="0008336A">
        <w:fldChar w:fldCharType="begin"/>
      </w:r>
      <w:r w:rsidRPr="0008336A">
        <w:instrText xml:space="preserve"> TOC \h \z \t "Heading 1;2;Title 4;1" </w:instrText>
      </w:r>
      <w:r w:rsidRPr="0008336A">
        <w:fldChar w:fldCharType="separate"/>
      </w:r>
    </w:p>
    <w:p w14:paraId="336E2523" w14:textId="5521EBA7" w:rsidR="001348B2" w:rsidRPr="0008336A" w:rsidRDefault="00E13D84" w:rsidP="00BD1734">
      <w:pPr>
        <w:pStyle w:val="TOC1"/>
        <w:spacing w:before="480"/>
        <w:rPr>
          <w:rFonts w:eastAsiaTheme="minorEastAsia" w:cstheme="minorBidi"/>
          <w:noProof/>
          <w:sz w:val="22"/>
          <w:szCs w:val="22"/>
          <w:lang w:eastAsia="fr-CH"/>
        </w:rPr>
      </w:pPr>
      <w:hyperlink w:anchor="_Toc34307552" w:history="1">
        <w:r w:rsidR="001348B2" w:rsidRPr="0008336A">
          <w:rPr>
            <w:rStyle w:val="Hyperlink"/>
            <w:noProof/>
          </w:rPr>
          <w:t xml:space="preserve">I – </w:t>
        </w:r>
        <w:r w:rsidR="001348B2" w:rsidRPr="0008336A">
          <w:rPr>
            <w:rStyle w:val="Hyperlink"/>
            <w:bCs/>
            <w:noProof/>
          </w:rPr>
          <w:t>Synthèse</w:t>
        </w:r>
        <w:r w:rsidR="001348B2" w:rsidRPr="0008336A">
          <w:rPr>
            <w:noProof/>
            <w:webHidden/>
          </w:rPr>
          <w:tab/>
        </w:r>
        <w:r w:rsidR="001348B2" w:rsidRPr="0008336A">
          <w:rPr>
            <w:noProof/>
            <w:webHidden/>
          </w:rPr>
          <w:tab/>
        </w:r>
        <w:r w:rsidR="001348B2" w:rsidRPr="0008336A">
          <w:rPr>
            <w:noProof/>
            <w:webHidden/>
          </w:rPr>
          <w:fldChar w:fldCharType="begin"/>
        </w:r>
        <w:r w:rsidR="001348B2" w:rsidRPr="0008336A">
          <w:rPr>
            <w:noProof/>
            <w:webHidden/>
          </w:rPr>
          <w:instrText xml:space="preserve"> PAGEREF _Toc34307552 \h </w:instrText>
        </w:r>
        <w:r w:rsidR="001348B2" w:rsidRPr="0008336A">
          <w:rPr>
            <w:noProof/>
            <w:webHidden/>
          </w:rPr>
        </w:r>
        <w:r w:rsidR="001348B2" w:rsidRPr="0008336A">
          <w:rPr>
            <w:noProof/>
            <w:webHidden/>
          </w:rPr>
          <w:fldChar w:fldCharType="separate"/>
        </w:r>
        <w:r w:rsidR="001C1B0F">
          <w:rPr>
            <w:noProof/>
            <w:webHidden/>
          </w:rPr>
          <w:t>5</w:t>
        </w:r>
        <w:r w:rsidR="001348B2" w:rsidRPr="0008336A">
          <w:rPr>
            <w:noProof/>
            <w:webHidden/>
          </w:rPr>
          <w:fldChar w:fldCharType="end"/>
        </w:r>
      </w:hyperlink>
    </w:p>
    <w:p w14:paraId="23936B96" w14:textId="4E7F8D2F" w:rsidR="001348B2" w:rsidRPr="0008336A" w:rsidRDefault="00E13D84" w:rsidP="00BD1734">
      <w:pPr>
        <w:pStyle w:val="TOC2"/>
        <w:tabs>
          <w:tab w:val="clear" w:pos="964"/>
        </w:tabs>
        <w:ind w:left="1134" w:hanging="567"/>
        <w:rPr>
          <w:rFonts w:eastAsiaTheme="minorEastAsia" w:cstheme="minorBidi"/>
          <w:noProof/>
          <w:sz w:val="22"/>
          <w:szCs w:val="22"/>
          <w:lang w:eastAsia="fr-CH"/>
        </w:rPr>
      </w:pPr>
      <w:hyperlink w:anchor="_Toc34307553" w:history="1">
        <w:r w:rsidR="001348B2" w:rsidRPr="0008336A">
          <w:rPr>
            <w:rStyle w:val="Hyperlink"/>
            <w:noProof/>
          </w:rPr>
          <w:t>I.1</w:t>
        </w:r>
        <w:r w:rsidR="001348B2" w:rsidRPr="0008336A">
          <w:rPr>
            <w:rFonts w:eastAsiaTheme="minorEastAsia" w:cstheme="minorBidi"/>
            <w:noProof/>
            <w:sz w:val="22"/>
            <w:szCs w:val="22"/>
            <w:lang w:eastAsia="fr-CH"/>
          </w:rPr>
          <w:tab/>
        </w:r>
        <w:r w:rsidR="001348B2" w:rsidRPr="0008336A">
          <w:rPr>
            <w:rStyle w:val="Hyperlink"/>
            <w:noProof/>
          </w:rPr>
          <w:t>Avant-propos du Secrétaire général</w:t>
        </w:r>
        <w:r w:rsidR="001348B2" w:rsidRPr="0008336A">
          <w:rPr>
            <w:noProof/>
            <w:webHidden/>
          </w:rPr>
          <w:tab/>
        </w:r>
        <w:r w:rsidR="001348B2" w:rsidRPr="0008336A">
          <w:rPr>
            <w:noProof/>
            <w:webHidden/>
          </w:rPr>
          <w:tab/>
        </w:r>
        <w:r w:rsidR="001348B2" w:rsidRPr="0008336A">
          <w:rPr>
            <w:noProof/>
            <w:webHidden/>
          </w:rPr>
          <w:fldChar w:fldCharType="begin"/>
        </w:r>
        <w:r w:rsidR="001348B2" w:rsidRPr="0008336A">
          <w:rPr>
            <w:noProof/>
            <w:webHidden/>
          </w:rPr>
          <w:instrText xml:space="preserve"> PAGEREF _Toc34307553 \h </w:instrText>
        </w:r>
        <w:r w:rsidR="001348B2" w:rsidRPr="0008336A">
          <w:rPr>
            <w:noProof/>
            <w:webHidden/>
          </w:rPr>
        </w:r>
        <w:r w:rsidR="001348B2" w:rsidRPr="0008336A">
          <w:rPr>
            <w:noProof/>
            <w:webHidden/>
          </w:rPr>
          <w:fldChar w:fldCharType="separate"/>
        </w:r>
        <w:r w:rsidR="001C1B0F">
          <w:rPr>
            <w:noProof/>
            <w:webHidden/>
          </w:rPr>
          <w:t>6</w:t>
        </w:r>
        <w:r w:rsidR="001348B2" w:rsidRPr="0008336A">
          <w:rPr>
            <w:noProof/>
            <w:webHidden/>
          </w:rPr>
          <w:fldChar w:fldCharType="end"/>
        </w:r>
      </w:hyperlink>
    </w:p>
    <w:p w14:paraId="699311FC" w14:textId="63F69D65" w:rsidR="001348B2" w:rsidRPr="0008336A" w:rsidRDefault="00E13D84" w:rsidP="00BD1734">
      <w:pPr>
        <w:pStyle w:val="TOC2"/>
        <w:tabs>
          <w:tab w:val="clear" w:pos="964"/>
        </w:tabs>
        <w:ind w:left="1134" w:hanging="567"/>
        <w:rPr>
          <w:rFonts w:eastAsiaTheme="minorEastAsia" w:cstheme="minorBidi"/>
          <w:noProof/>
          <w:sz w:val="22"/>
          <w:szCs w:val="22"/>
          <w:lang w:eastAsia="fr-CH"/>
        </w:rPr>
      </w:pPr>
      <w:hyperlink w:anchor="_Toc34307554" w:history="1">
        <w:r w:rsidR="001348B2" w:rsidRPr="0008336A">
          <w:rPr>
            <w:rStyle w:val="Hyperlink"/>
            <w:noProof/>
          </w:rPr>
          <w:t>I.2</w:t>
        </w:r>
        <w:r w:rsidR="001348B2" w:rsidRPr="0008336A">
          <w:rPr>
            <w:rFonts w:eastAsiaTheme="minorEastAsia" w:cstheme="minorBidi"/>
            <w:noProof/>
            <w:sz w:val="22"/>
            <w:szCs w:val="22"/>
            <w:lang w:eastAsia="fr-CH"/>
          </w:rPr>
          <w:tab/>
        </w:r>
        <w:r w:rsidR="001348B2" w:rsidRPr="0008336A">
          <w:rPr>
            <w:rStyle w:val="Hyperlink"/>
            <w:noProof/>
          </w:rPr>
          <w:t>Grandes lignes du Plan opérationnel par But, Objectif et Secteur</w:t>
        </w:r>
        <w:r w:rsidR="001348B2" w:rsidRPr="0008336A">
          <w:rPr>
            <w:noProof/>
            <w:webHidden/>
          </w:rPr>
          <w:tab/>
        </w:r>
        <w:r w:rsidR="001348B2" w:rsidRPr="0008336A">
          <w:rPr>
            <w:noProof/>
            <w:webHidden/>
          </w:rPr>
          <w:tab/>
        </w:r>
        <w:r w:rsidR="001348B2" w:rsidRPr="0008336A">
          <w:rPr>
            <w:noProof/>
            <w:webHidden/>
          </w:rPr>
          <w:fldChar w:fldCharType="begin"/>
        </w:r>
        <w:r w:rsidR="001348B2" w:rsidRPr="0008336A">
          <w:rPr>
            <w:noProof/>
            <w:webHidden/>
          </w:rPr>
          <w:instrText xml:space="preserve"> PAGEREF _Toc34307554 \h </w:instrText>
        </w:r>
        <w:r w:rsidR="001348B2" w:rsidRPr="0008336A">
          <w:rPr>
            <w:noProof/>
            <w:webHidden/>
          </w:rPr>
        </w:r>
        <w:r w:rsidR="001348B2" w:rsidRPr="0008336A">
          <w:rPr>
            <w:noProof/>
            <w:webHidden/>
          </w:rPr>
          <w:fldChar w:fldCharType="separate"/>
        </w:r>
        <w:r w:rsidR="001C1B0F">
          <w:rPr>
            <w:noProof/>
            <w:webHidden/>
          </w:rPr>
          <w:t>7</w:t>
        </w:r>
        <w:r w:rsidR="001348B2" w:rsidRPr="0008336A">
          <w:rPr>
            <w:noProof/>
            <w:webHidden/>
          </w:rPr>
          <w:fldChar w:fldCharType="end"/>
        </w:r>
      </w:hyperlink>
    </w:p>
    <w:p w14:paraId="4A25EF1A" w14:textId="514BB564" w:rsidR="001348B2" w:rsidRPr="0008336A" w:rsidRDefault="00E13D84" w:rsidP="00BD1734">
      <w:pPr>
        <w:pStyle w:val="TOC2"/>
        <w:tabs>
          <w:tab w:val="clear" w:pos="964"/>
        </w:tabs>
        <w:ind w:left="1134" w:hanging="567"/>
        <w:rPr>
          <w:rFonts w:eastAsiaTheme="minorEastAsia" w:cstheme="minorBidi"/>
          <w:noProof/>
          <w:sz w:val="22"/>
          <w:szCs w:val="22"/>
          <w:lang w:eastAsia="fr-CH"/>
        </w:rPr>
      </w:pPr>
      <w:hyperlink w:anchor="_Toc34307555" w:history="1">
        <w:r w:rsidR="001348B2" w:rsidRPr="0008336A">
          <w:rPr>
            <w:rStyle w:val="Hyperlink"/>
            <w:noProof/>
          </w:rPr>
          <w:t>I.3</w:t>
        </w:r>
        <w:r w:rsidR="001348B2" w:rsidRPr="0008336A">
          <w:rPr>
            <w:rFonts w:eastAsiaTheme="minorEastAsia" w:cstheme="minorBidi"/>
            <w:noProof/>
            <w:sz w:val="22"/>
            <w:szCs w:val="22"/>
            <w:lang w:eastAsia="fr-CH"/>
          </w:rPr>
          <w:tab/>
        </w:r>
        <w:r w:rsidR="001348B2" w:rsidRPr="0008336A">
          <w:rPr>
            <w:rStyle w:val="Hyperlink"/>
            <w:noProof/>
          </w:rPr>
          <w:t>Grandes lignes du Plan opérationnel par ODD</w:t>
        </w:r>
        <w:r w:rsidR="001348B2" w:rsidRPr="0008336A">
          <w:rPr>
            <w:noProof/>
            <w:webHidden/>
          </w:rPr>
          <w:tab/>
        </w:r>
        <w:r w:rsidR="001348B2" w:rsidRPr="0008336A">
          <w:rPr>
            <w:noProof/>
            <w:webHidden/>
          </w:rPr>
          <w:tab/>
        </w:r>
        <w:r w:rsidR="001348B2" w:rsidRPr="0008336A">
          <w:rPr>
            <w:noProof/>
            <w:webHidden/>
          </w:rPr>
          <w:fldChar w:fldCharType="begin"/>
        </w:r>
        <w:r w:rsidR="001348B2" w:rsidRPr="0008336A">
          <w:rPr>
            <w:noProof/>
            <w:webHidden/>
          </w:rPr>
          <w:instrText xml:space="preserve"> PAGEREF _Toc34307555 \h </w:instrText>
        </w:r>
        <w:r w:rsidR="001348B2" w:rsidRPr="0008336A">
          <w:rPr>
            <w:noProof/>
            <w:webHidden/>
          </w:rPr>
        </w:r>
        <w:r w:rsidR="001348B2" w:rsidRPr="0008336A">
          <w:rPr>
            <w:noProof/>
            <w:webHidden/>
          </w:rPr>
          <w:fldChar w:fldCharType="separate"/>
        </w:r>
        <w:r w:rsidR="001C1B0F">
          <w:rPr>
            <w:noProof/>
            <w:webHidden/>
          </w:rPr>
          <w:t>11</w:t>
        </w:r>
        <w:r w:rsidR="001348B2" w:rsidRPr="0008336A">
          <w:rPr>
            <w:noProof/>
            <w:webHidden/>
          </w:rPr>
          <w:fldChar w:fldCharType="end"/>
        </w:r>
      </w:hyperlink>
    </w:p>
    <w:p w14:paraId="3EC91661" w14:textId="5B39B074" w:rsidR="001348B2" w:rsidRPr="0008336A" w:rsidRDefault="00E13D84" w:rsidP="00BD1734">
      <w:pPr>
        <w:pStyle w:val="TOC2"/>
        <w:tabs>
          <w:tab w:val="clear" w:pos="964"/>
        </w:tabs>
        <w:ind w:left="1134" w:hanging="567"/>
        <w:rPr>
          <w:rFonts w:eastAsiaTheme="minorEastAsia" w:cstheme="minorBidi"/>
          <w:noProof/>
          <w:sz w:val="22"/>
          <w:szCs w:val="22"/>
          <w:lang w:eastAsia="fr-CH"/>
        </w:rPr>
      </w:pPr>
      <w:hyperlink w:anchor="_Toc34307556" w:history="1">
        <w:r w:rsidR="001348B2" w:rsidRPr="0008336A">
          <w:rPr>
            <w:rStyle w:val="Hyperlink"/>
            <w:noProof/>
          </w:rPr>
          <w:t>I.4</w:t>
        </w:r>
        <w:r w:rsidR="001348B2" w:rsidRPr="0008336A">
          <w:rPr>
            <w:rFonts w:eastAsiaTheme="minorEastAsia" w:cstheme="minorBidi"/>
            <w:noProof/>
            <w:sz w:val="22"/>
            <w:szCs w:val="22"/>
            <w:lang w:eastAsia="fr-CH"/>
          </w:rPr>
          <w:tab/>
        </w:r>
        <w:r w:rsidR="001348B2" w:rsidRPr="0008336A">
          <w:rPr>
            <w:rStyle w:val="Hyperlink"/>
            <w:noProof/>
          </w:rPr>
          <w:t>Structure du document</w:t>
        </w:r>
        <w:r w:rsidR="001348B2" w:rsidRPr="0008336A">
          <w:rPr>
            <w:noProof/>
            <w:webHidden/>
          </w:rPr>
          <w:tab/>
        </w:r>
        <w:r w:rsidR="001348B2" w:rsidRPr="0008336A">
          <w:rPr>
            <w:noProof/>
            <w:webHidden/>
          </w:rPr>
          <w:tab/>
        </w:r>
        <w:r w:rsidR="001348B2" w:rsidRPr="0008336A">
          <w:rPr>
            <w:noProof/>
            <w:webHidden/>
          </w:rPr>
          <w:fldChar w:fldCharType="begin"/>
        </w:r>
        <w:r w:rsidR="001348B2" w:rsidRPr="0008336A">
          <w:rPr>
            <w:noProof/>
            <w:webHidden/>
          </w:rPr>
          <w:instrText xml:space="preserve"> PAGEREF _Toc34307556 \h </w:instrText>
        </w:r>
        <w:r w:rsidR="001348B2" w:rsidRPr="0008336A">
          <w:rPr>
            <w:noProof/>
            <w:webHidden/>
          </w:rPr>
        </w:r>
        <w:r w:rsidR="001348B2" w:rsidRPr="0008336A">
          <w:rPr>
            <w:noProof/>
            <w:webHidden/>
          </w:rPr>
          <w:fldChar w:fldCharType="separate"/>
        </w:r>
        <w:r w:rsidR="001C1B0F">
          <w:rPr>
            <w:noProof/>
            <w:webHidden/>
          </w:rPr>
          <w:t>12</w:t>
        </w:r>
        <w:r w:rsidR="001348B2" w:rsidRPr="0008336A">
          <w:rPr>
            <w:noProof/>
            <w:webHidden/>
          </w:rPr>
          <w:fldChar w:fldCharType="end"/>
        </w:r>
      </w:hyperlink>
    </w:p>
    <w:p w14:paraId="397393C6" w14:textId="436C5F34" w:rsidR="00C857B3" w:rsidRPr="0008336A" w:rsidRDefault="001348B2" w:rsidP="00BD1734">
      <w:r w:rsidRPr="0008336A">
        <w:fldChar w:fldCharType="end"/>
      </w:r>
    </w:p>
    <w:p w14:paraId="7AB32195" w14:textId="30DF1586" w:rsidR="00E51CA0" w:rsidRPr="0008336A" w:rsidRDefault="00E51CA0" w:rsidP="00BD1734">
      <w:r w:rsidRPr="0008336A">
        <w:br w:type="page"/>
      </w:r>
    </w:p>
    <w:p w14:paraId="1997ABD9" w14:textId="589DAD20" w:rsidR="00E51CA0" w:rsidRPr="0008336A" w:rsidRDefault="00E51CA0" w:rsidP="00BD1734">
      <w:pPr>
        <w:pStyle w:val="Heading1"/>
      </w:pPr>
      <w:bookmarkStart w:id="27" w:name="_Toc34307475"/>
      <w:bookmarkStart w:id="28" w:name="_Toc34307553"/>
      <w:bookmarkStart w:id="29" w:name="_Toc34307651"/>
      <w:bookmarkStart w:id="30" w:name="_Toc39493316"/>
      <w:r w:rsidRPr="0008336A">
        <w:lastRenderedPageBreak/>
        <w:t>I.1</w:t>
      </w:r>
      <w:r w:rsidRPr="0008336A">
        <w:tab/>
      </w:r>
      <w:r w:rsidR="00FC5835" w:rsidRPr="0008336A">
        <w:t>Avant-propos du Secrétaire général</w:t>
      </w:r>
      <w:bookmarkEnd w:id="27"/>
      <w:bookmarkEnd w:id="28"/>
      <w:bookmarkEnd w:id="29"/>
      <w:bookmarkEnd w:id="30"/>
    </w:p>
    <w:p w14:paraId="5A85BCB4" w14:textId="2CCAC944" w:rsidR="00E51CA0" w:rsidRPr="0008336A" w:rsidRDefault="00E51CA0" w:rsidP="0014690C">
      <w:pPr>
        <w:spacing w:after="240"/>
      </w:pPr>
      <w:r w:rsidRPr="0008336A">
        <w:t>I.1.1</w:t>
      </w:r>
      <w:r w:rsidRPr="0008336A">
        <w:tab/>
      </w:r>
      <w:bookmarkStart w:id="31" w:name="lt_pId029"/>
      <w:r w:rsidR="00EB22C5" w:rsidRPr="0008336A">
        <w:t xml:space="preserve">J'ai l'honneur de présenter le </w:t>
      </w:r>
      <w:r w:rsidR="00AA62D7" w:rsidRPr="0008336A">
        <w:t xml:space="preserve">projet de </w:t>
      </w:r>
      <w:r w:rsidR="00EB22C5" w:rsidRPr="0008336A">
        <w:t>Plan opérationnel de l'Union pour la période</w:t>
      </w:r>
      <w:r w:rsidR="00735C36" w:rsidRPr="0008336A">
        <w:t> </w:t>
      </w:r>
      <w:r w:rsidR="00EB22C5" w:rsidRPr="0008336A">
        <w:t>2021</w:t>
      </w:r>
      <w:r w:rsidR="00E9208A" w:rsidRPr="0008336A">
        <w:noBreakHyphen/>
      </w:r>
      <w:r w:rsidR="00EB22C5" w:rsidRPr="0008336A">
        <w:t>2024 qui est le premier Plan opérationnel témoignant d'une UIT véritablement "unie</w:t>
      </w:r>
      <w:r w:rsidR="00735C36" w:rsidRPr="0008336A">
        <w:t> </w:t>
      </w:r>
      <w:r w:rsidR="00EB22C5" w:rsidRPr="0008336A">
        <w:t>dans l'action".</w:t>
      </w:r>
      <w:bookmarkEnd w:id="31"/>
      <w:r w:rsidR="00853C5C" w:rsidRPr="0008336A">
        <w:t xml:space="preserve"> Établi dans le strict respect du nouveau Plan stratégique de l'UIT pour la période 2020</w:t>
      </w:r>
      <w:r w:rsidR="00E9208A" w:rsidRPr="0008336A">
        <w:noBreakHyphen/>
      </w:r>
      <w:r w:rsidR="00853C5C" w:rsidRPr="0008336A">
        <w:t>2023, adopté par la Conférence de plénipotentiaires de 2018 (PP-18) (Annexe 1 de la Résolution 71), il suit la structure du Plan stratégique, du Plan financier et du budget.</w:t>
      </w:r>
    </w:p>
    <w:p w14:paraId="72049474" w14:textId="5E369FC7" w:rsidR="00853C5C" w:rsidRPr="0008336A" w:rsidRDefault="00E51CA0" w:rsidP="0014690C">
      <w:pPr>
        <w:spacing w:after="240"/>
      </w:pPr>
      <w:r w:rsidRPr="0008336A">
        <w:t>I.1.2</w:t>
      </w:r>
      <w:r w:rsidRPr="0008336A">
        <w:tab/>
      </w:r>
      <w:bookmarkStart w:id="32" w:name="lt_pId032"/>
      <w:r w:rsidR="00853C5C" w:rsidRPr="0008336A">
        <w:t xml:space="preserve">Alors que le Plan stratégique, le Plan financier et le budget étaient déjà des instruments consolidés de l'UIT, les plans opérationnels étaient toujours fondés sur les Secteurs et </w:t>
      </w:r>
      <w:r w:rsidR="00022C52" w:rsidRPr="0008336A">
        <w:t xml:space="preserve">contrastaient avec la </w:t>
      </w:r>
      <w:r w:rsidR="00051011" w:rsidRPr="0008336A">
        <w:t>vision globale que</w:t>
      </w:r>
      <w:r w:rsidR="00B84BF1" w:rsidRPr="0008336A">
        <w:t xml:space="preserve"> ces principaux instruments </w:t>
      </w:r>
      <w:r w:rsidR="00051011" w:rsidRPr="0008336A">
        <w:t>permettaient d'avoir de l'UIT</w:t>
      </w:r>
      <w:r w:rsidR="00B84BF1" w:rsidRPr="0008336A">
        <w:t>.</w:t>
      </w:r>
    </w:p>
    <w:bookmarkEnd w:id="32"/>
    <w:p w14:paraId="2CDC3F34" w14:textId="31686917" w:rsidR="00E51CA0" w:rsidRPr="0008336A" w:rsidRDefault="00E51CA0" w:rsidP="0014690C">
      <w:pPr>
        <w:spacing w:after="240"/>
      </w:pPr>
      <w:r w:rsidRPr="0008336A">
        <w:t>I.1.3</w:t>
      </w:r>
      <w:r w:rsidRPr="0008336A">
        <w:tab/>
        <w:t>Ce nouve</w:t>
      </w:r>
      <w:r w:rsidR="00B84BF1" w:rsidRPr="0008336A">
        <w:t>l</w:t>
      </w:r>
      <w:r w:rsidRPr="0008336A">
        <w:t xml:space="preserve"> outil permet d'améliorer les résultats en établissant les liens qui conviennent entre les informations et les ressources et les</w:t>
      </w:r>
      <w:r w:rsidR="00B84BF1" w:rsidRPr="0008336A">
        <w:t xml:space="preserve"> buts stratégique, les</w:t>
      </w:r>
      <w:r w:rsidRPr="0008336A">
        <w:t xml:space="preserve"> objectifs </w:t>
      </w:r>
      <w:r w:rsidR="00051011" w:rsidRPr="0008336A">
        <w:t xml:space="preserve">stratégiques </w:t>
      </w:r>
      <w:r w:rsidR="00B84BF1" w:rsidRPr="0008336A">
        <w:t>et les produits</w:t>
      </w:r>
      <w:r w:rsidRPr="0008336A">
        <w:t xml:space="preserve">. Il </w:t>
      </w:r>
      <w:r w:rsidR="00B84BF1" w:rsidRPr="0008336A">
        <w:t xml:space="preserve">aide à </w:t>
      </w:r>
      <w:r w:rsidRPr="0008336A">
        <w:t>adapter les stratégies</w:t>
      </w:r>
      <w:r w:rsidR="00B84BF1" w:rsidRPr="0008336A">
        <w:t xml:space="preserve"> et les financements</w:t>
      </w:r>
      <w:r w:rsidRPr="0008336A">
        <w:t xml:space="preserve"> aux plans opérationnels, </w:t>
      </w:r>
      <w:r w:rsidR="00B84BF1" w:rsidRPr="0008336A">
        <w:t>à</w:t>
      </w:r>
      <w:r w:rsidRPr="0008336A">
        <w:t xml:space="preserve"> suivre activement les opérations au jour le jour et </w:t>
      </w:r>
      <w:r w:rsidR="00B84BF1" w:rsidRPr="0008336A">
        <w:t xml:space="preserve">à </w:t>
      </w:r>
      <w:r w:rsidRPr="0008336A">
        <w:t>améliorer la collaboration dans l'Union tout entière.</w:t>
      </w:r>
    </w:p>
    <w:p w14:paraId="71B7E611" w14:textId="0ECDCA9F" w:rsidR="00B84BF1" w:rsidRPr="0008336A" w:rsidRDefault="00E51CA0" w:rsidP="0014690C">
      <w:pPr>
        <w:spacing w:after="240"/>
      </w:pPr>
      <w:r w:rsidRPr="0008336A">
        <w:t>I.1.4</w:t>
      </w:r>
      <w:r w:rsidRPr="0008336A">
        <w:tab/>
      </w:r>
      <w:r w:rsidR="00B84BF1" w:rsidRPr="0008336A">
        <w:t xml:space="preserve">Le présent </w:t>
      </w:r>
      <w:r w:rsidR="00051011" w:rsidRPr="0008336A">
        <w:t>P</w:t>
      </w:r>
      <w:r w:rsidR="00B84BF1" w:rsidRPr="0008336A">
        <w:t>lan donne des informations sur les ressources affectées aux 17 ODD.</w:t>
      </w:r>
    </w:p>
    <w:p w14:paraId="7B2E06DE" w14:textId="330E7969" w:rsidR="00B84BF1" w:rsidRPr="0008336A" w:rsidRDefault="00E51CA0" w:rsidP="0014690C">
      <w:pPr>
        <w:spacing w:after="240"/>
      </w:pPr>
      <w:r w:rsidRPr="0008336A">
        <w:t>I.1.5</w:t>
      </w:r>
      <w:r w:rsidRPr="0008336A">
        <w:tab/>
      </w:r>
      <w:r w:rsidR="00B84BF1" w:rsidRPr="0008336A">
        <w:t xml:space="preserve">Le </w:t>
      </w:r>
      <w:r w:rsidR="00AA62D7" w:rsidRPr="0008336A">
        <w:t xml:space="preserve">projet de </w:t>
      </w:r>
      <w:r w:rsidR="00B84BF1" w:rsidRPr="0008336A">
        <w:t xml:space="preserve">Plan opérationnel de l'UIT pour la période </w:t>
      </w:r>
      <w:r w:rsidRPr="0008336A">
        <w:t xml:space="preserve">2021-2024 </w:t>
      </w:r>
      <w:r w:rsidR="00B84BF1" w:rsidRPr="0008336A">
        <w:t xml:space="preserve">comprend le rapport de mise en </w:t>
      </w:r>
      <w:r w:rsidR="003B576E" w:rsidRPr="0008336A">
        <w:t>œuvre</w:t>
      </w:r>
      <w:r w:rsidR="00B84BF1" w:rsidRPr="0008336A">
        <w:t xml:space="preserve"> pour l'année 2019.</w:t>
      </w:r>
    </w:p>
    <w:p w14:paraId="380CCADC" w14:textId="3332128D" w:rsidR="00B84BF1" w:rsidRPr="0008336A" w:rsidRDefault="00E51CA0" w:rsidP="0014690C">
      <w:pPr>
        <w:spacing w:after="240"/>
      </w:pPr>
      <w:r w:rsidRPr="0008336A">
        <w:t>I.1.6</w:t>
      </w:r>
      <w:r w:rsidRPr="0008336A">
        <w:tab/>
      </w:r>
      <w:r w:rsidR="00B84BF1" w:rsidRPr="0008336A">
        <w:t xml:space="preserve">Compte tenu du niveau limité des ressources dont dispose l'Union pour son fonctionnement, je suis convaincu </w:t>
      </w:r>
      <w:r w:rsidR="00051011" w:rsidRPr="0008336A">
        <w:t>que dès maintenant</w:t>
      </w:r>
      <w:r w:rsidR="00B84BF1" w:rsidRPr="0008336A">
        <w:t xml:space="preserve"> et dans l'avenir, les États Membres, les Membres de Secteur, les Associés et les établissements universitaires participant à nos travaux fourniront à l'UIT les moyens et l'appui nécessaires pour s'acquitter de ses engagements.</w:t>
      </w:r>
    </w:p>
    <w:p w14:paraId="06A07C32" w14:textId="34D6536A" w:rsidR="00E51CA0" w:rsidRPr="0008336A" w:rsidRDefault="00E51CA0" w:rsidP="0014690C">
      <w:pPr>
        <w:spacing w:after="240"/>
      </w:pPr>
      <w:r w:rsidRPr="0008336A">
        <w:t>I.1.7</w:t>
      </w:r>
      <w:r w:rsidRPr="0008336A">
        <w:tab/>
      </w:r>
      <w:r w:rsidR="00B84BF1" w:rsidRPr="0008336A">
        <w:t xml:space="preserve">Par conséquent, j'ai l'honneur de présenter le projet de Plan opérationnel de l'UIT pour la période 2021-2024 à chaque Groupe consultatif pour avis, puis de le présenter au Conseil pour examen et approbation. Le projet de Résolution correspondant fait l'objet </w:t>
      </w:r>
      <w:r w:rsidR="00AA62D7" w:rsidRPr="0008336A">
        <w:t>de l'Annexe C d</w:t>
      </w:r>
      <w:r w:rsidR="00C31764" w:rsidRPr="0008336A">
        <w:t>u</w:t>
      </w:r>
      <w:r w:rsidR="00AA62D7" w:rsidRPr="0008336A">
        <w:t xml:space="preserve"> présent document</w:t>
      </w:r>
      <w:r w:rsidRPr="0008336A">
        <w:t>.</w:t>
      </w:r>
    </w:p>
    <w:p w14:paraId="46911EEA" w14:textId="310654D5" w:rsidR="00E51CA0" w:rsidRPr="0008336A" w:rsidRDefault="00E51CA0" w:rsidP="00BD1734">
      <w:pPr>
        <w:tabs>
          <w:tab w:val="center" w:pos="7088"/>
        </w:tabs>
        <w:spacing w:before="840"/>
        <w:jc w:val="center"/>
      </w:pPr>
      <w:r w:rsidRPr="0008336A">
        <w:t>Houlin Zhao</w:t>
      </w:r>
      <w:r w:rsidR="00A817EC" w:rsidRPr="0008336A">
        <w:br/>
        <w:t>Secrétaire général</w:t>
      </w:r>
    </w:p>
    <w:p w14:paraId="03CCD900" w14:textId="5DD6D6AB" w:rsidR="006515DC" w:rsidRPr="0008336A" w:rsidRDefault="006515DC" w:rsidP="00BD1734">
      <w:pPr>
        <w:overflowPunct/>
        <w:autoSpaceDE/>
        <w:autoSpaceDN/>
        <w:adjustRightInd/>
        <w:spacing w:before="0"/>
        <w:textAlignment w:val="auto"/>
      </w:pPr>
    </w:p>
    <w:p w14:paraId="41E65AEE" w14:textId="77777777" w:rsidR="006515DC" w:rsidRPr="0008336A" w:rsidRDefault="006515DC" w:rsidP="00BD1734">
      <w:pPr>
        <w:overflowPunct/>
        <w:autoSpaceDE/>
        <w:autoSpaceDN/>
        <w:adjustRightInd/>
        <w:spacing w:before="0"/>
        <w:textAlignment w:val="auto"/>
        <w:sectPr w:rsidR="006515DC" w:rsidRPr="0008336A" w:rsidSect="009E53AC">
          <w:headerReference w:type="default" r:id="rId14"/>
          <w:footerReference w:type="default" r:id="rId15"/>
          <w:footerReference w:type="first" r:id="rId16"/>
          <w:pgSz w:w="11907" w:h="16834" w:code="9"/>
          <w:pgMar w:top="1418" w:right="1134" w:bottom="1191" w:left="1134" w:header="720" w:footer="720" w:gutter="0"/>
          <w:paperSrc w:first="15" w:other="15"/>
          <w:cols w:space="720"/>
          <w:titlePg/>
          <w:docGrid w:linePitch="326"/>
        </w:sectPr>
      </w:pPr>
    </w:p>
    <w:p w14:paraId="7DB981BB" w14:textId="2E9F587C" w:rsidR="00E86307" w:rsidRPr="0008336A" w:rsidRDefault="006515DC" w:rsidP="00BD1734">
      <w:pPr>
        <w:pStyle w:val="Heading1"/>
      </w:pPr>
      <w:bookmarkStart w:id="33" w:name="_Toc34307476"/>
      <w:bookmarkStart w:id="34" w:name="_Toc34307554"/>
      <w:bookmarkStart w:id="35" w:name="_Toc34307652"/>
      <w:bookmarkStart w:id="36" w:name="_Toc39493317"/>
      <w:r w:rsidRPr="0008336A">
        <w:lastRenderedPageBreak/>
        <w:t>I.2</w:t>
      </w:r>
      <w:r w:rsidRPr="0008336A">
        <w:tab/>
      </w:r>
      <w:r w:rsidR="00E86307" w:rsidRPr="0008336A">
        <w:t>Grandes lignes du Plan opérationnel par</w:t>
      </w:r>
      <w:r w:rsidRPr="0008336A">
        <w:t xml:space="preserve"> </w:t>
      </w:r>
      <w:r w:rsidR="00E86307" w:rsidRPr="0008336A">
        <w:t xml:space="preserve">But, </w:t>
      </w:r>
      <w:r w:rsidR="004F2271" w:rsidRPr="0008336A">
        <w:t xml:space="preserve">par </w:t>
      </w:r>
      <w:r w:rsidR="00E86307" w:rsidRPr="0008336A">
        <w:t xml:space="preserve">Objectif et </w:t>
      </w:r>
      <w:r w:rsidR="004F2271" w:rsidRPr="0008336A">
        <w:t xml:space="preserve">par </w:t>
      </w:r>
      <w:r w:rsidR="00E86307" w:rsidRPr="0008336A">
        <w:t>Secteur</w:t>
      </w:r>
      <w:bookmarkEnd w:id="33"/>
      <w:bookmarkEnd w:id="34"/>
      <w:bookmarkEnd w:id="35"/>
      <w:bookmarkEnd w:id="36"/>
      <w:r w:rsidR="00E86307" w:rsidRPr="0008336A">
        <w:t xml:space="preserve"> </w:t>
      </w:r>
    </w:p>
    <w:p w14:paraId="217ADADE" w14:textId="321259A0" w:rsidR="00E86307" w:rsidRPr="0008336A" w:rsidRDefault="006515DC" w:rsidP="00BD1734">
      <w:r w:rsidRPr="0008336A">
        <w:t>I.2.1</w:t>
      </w:r>
      <w:r w:rsidRPr="0008336A">
        <w:tab/>
      </w:r>
      <w:r w:rsidR="00E86307" w:rsidRPr="0008336A">
        <w:t xml:space="preserve">Le projet de Plan opérationnel pour la période 2021-2024 porte sur la mise en </w:t>
      </w:r>
      <w:r w:rsidR="003B576E" w:rsidRPr="0008336A">
        <w:t>œuvre</w:t>
      </w:r>
      <w:r w:rsidR="00E86307" w:rsidRPr="0008336A">
        <w:t xml:space="preserve"> de 5 buts stratégiques et de 18 objectifs stratégiques. Il suit la structure des Plan</w:t>
      </w:r>
      <w:r w:rsidR="004F2271" w:rsidRPr="0008336A">
        <w:t>s</w:t>
      </w:r>
      <w:r w:rsidR="00E86307" w:rsidRPr="0008336A">
        <w:t xml:space="preserve"> stratégique et financier pour la période 2020-2023 approuvés par la Conférence de plénipotentiaires de 2018.</w:t>
      </w:r>
    </w:p>
    <w:p w14:paraId="2F8EC88C" w14:textId="5AF12BEB" w:rsidR="00E51CA0" w:rsidRPr="0008336A" w:rsidRDefault="006515DC" w:rsidP="00BD1734">
      <w:pPr>
        <w:spacing w:after="240"/>
      </w:pPr>
      <w:r w:rsidRPr="0008336A">
        <w:t>I.2.2</w:t>
      </w:r>
      <w:r w:rsidRPr="0008336A">
        <w:tab/>
      </w:r>
      <w:r w:rsidR="00E86307" w:rsidRPr="0008336A">
        <w:t>La</w:t>
      </w:r>
      <w:r w:rsidRPr="0008336A">
        <w:t xml:space="preserve"> structure </w:t>
      </w:r>
      <w:r w:rsidR="00E86307" w:rsidRPr="0008336A">
        <w:t xml:space="preserve">du projet de Plan opérationnel pour la période 2021-2024 est la </w:t>
      </w:r>
      <w:proofErr w:type="gramStart"/>
      <w:r w:rsidR="00E86307" w:rsidRPr="0008336A">
        <w:t>suivante</w:t>
      </w:r>
      <w:r w:rsidRPr="0008336A">
        <w:t>:</w:t>
      </w:r>
      <w:proofErr w:type="gramEnd"/>
    </w:p>
    <w:p w14:paraId="725C0AD7" w14:textId="3EA55DF9" w:rsidR="00E51CA0" w:rsidRPr="0008336A" w:rsidRDefault="004F2271" w:rsidP="00BD1734">
      <w:pPr>
        <w:jc w:val="center"/>
      </w:pPr>
      <w:r w:rsidRPr="0008336A">
        <w:rPr>
          <w:noProof/>
        </w:rPr>
        <mc:AlternateContent>
          <mc:Choice Requires="wps">
            <w:drawing>
              <wp:anchor distT="0" distB="0" distL="114300" distR="114300" simplePos="0" relativeHeight="251713536" behindDoc="0" locked="0" layoutInCell="1" allowOverlap="1" wp14:anchorId="1FC2F1F5" wp14:editId="0106A097">
                <wp:simplePos x="0" y="0"/>
                <wp:positionH relativeFrom="column">
                  <wp:posOffset>3916981</wp:posOffset>
                </wp:positionH>
                <wp:positionV relativeFrom="paragraph">
                  <wp:posOffset>1717287</wp:posOffset>
                </wp:positionV>
                <wp:extent cx="301794" cy="97137"/>
                <wp:effectExtent l="7303"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1794" cy="97137"/>
                        </a:xfrm>
                        <a:prstGeom prst="rect">
                          <a:avLst/>
                        </a:prstGeom>
                        <a:solidFill>
                          <a:srgbClr val="FFFFFF"/>
                        </a:solidFill>
                        <a:ln w="9525">
                          <a:noFill/>
                          <a:miter lim="800000"/>
                          <a:headEnd/>
                          <a:tailEnd/>
                        </a:ln>
                      </wps:spPr>
                      <wps:txbx>
                        <w:txbxContent>
                          <w:p w14:paraId="13293DE2" w14:textId="42CF7AA6" w:rsidR="00E13D84" w:rsidRPr="004F2271" w:rsidRDefault="00E13D84" w:rsidP="004F2271">
                            <w:pPr>
                              <w:spacing w:before="0"/>
                              <w:jc w:val="center"/>
                              <w:rPr>
                                <w:sz w:val="10"/>
                                <w:szCs w:val="10"/>
                                <w:lang w:val="en-US"/>
                              </w:rPr>
                            </w:pPr>
                            <w:r>
                              <w:rPr>
                                <w:sz w:val="10"/>
                                <w:szCs w:val="10"/>
                              </w:rPr>
                              <w:t>R</w:t>
                            </w:r>
                            <w:r w:rsidRPr="004F2271">
                              <w:rPr>
                                <w:sz w:val="10"/>
                                <w:szCs w:val="10"/>
                              </w:rPr>
                              <w:t>ésultat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2F1F5" id="_x0000_t202" coordsize="21600,21600" o:spt="202" path="m,l,21600r21600,l21600,xe">
                <v:stroke joinstyle="miter"/>
                <v:path gradientshapeok="t" o:connecttype="rect"/>
              </v:shapetype>
              <v:shape id="Text Box 2" o:spid="_x0000_s1026" type="#_x0000_t202" style="position:absolute;left:0;text-align:left;margin-left:308.4pt;margin-top:135.2pt;width:23.75pt;height:7.6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" stroked="f">
                <v:textbox inset="0,0,0,0">
                  <w:txbxContent>
                    <w:p w14:paraId="13293DE2" w14:textId="42CF7AA6" w:rsidR="00E13D84" w:rsidRPr="004F2271" w:rsidRDefault="00E13D84" w:rsidP="004F2271">
                      <w:pPr>
                        <w:spacing w:before="0"/>
                        <w:jc w:val="center"/>
                        <w:rPr>
                          <w:sz w:val="10"/>
                          <w:szCs w:val="10"/>
                          <w:lang w:val="en-US"/>
                        </w:rPr>
                      </w:pPr>
                      <w:r>
                        <w:rPr>
                          <w:sz w:val="10"/>
                          <w:szCs w:val="10"/>
                        </w:rPr>
                        <w:t>R</w:t>
                      </w:r>
                      <w:r w:rsidRPr="004F2271">
                        <w:rPr>
                          <w:sz w:val="10"/>
                          <w:szCs w:val="10"/>
                        </w:rPr>
                        <w:t>ésultat</w:t>
                      </w:r>
                    </w:p>
                  </w:txbxContent>
                </v:textbox>
              </v:shape>
            </w:pict>
          </mc:Fallback>
        </mc:AlternateContent>
      </w:r>
      <w:r w:rsidRPr="0008336A">
        <w:rPr>
          <w:noProof/>
        </w:rPr>
        <mc:AlternateContent>
          <mc:Choice Requires="wps">
            <w:drawing>
              <wp:anchor distT="0" distB="0" distL="114300" distR="114300" simplePos="0" relativeHeight="251711488" behindDoc="0" locked="0" layoutInCell="1" allowOverlap="1" wp14:anchorId="279D0582" wp14:editId="60C61F94">
                <wp:simplePos x="0" y="0"/>
                <wp:positionH relativeFrom="column">
                  <wp:posOffset>4836463</wp:posOffset>
                </wp:positionH>
                <wp:positionV relativeFrom="paragraph">
                  <wp:posOffset>1699357</wp:posOffset>
                </wp:positionV>
                <wp:extent cx="341194" cy="156919"/>
                <wp:effectExtent l="0" t="3175"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1194" cy="156919"/>
                        </a:xfrm>
                        <a:prstGeom prst="rect">
                          <a:avLst/>
                        </a:prstGeom>
                        <a:solidFill>
                          <a:srgbClr val="FFFFFF"/>
                        </a:solidFill>
                        <a:ln w="9525">
                          <a:noFill/>
                          <a:miter lim="800000"/>
                          <a:headEnd/>
                          <a:tailEnd/>
                        </a:ln>
                      </wps:spPr>
                      <wps:txbx>
                        <w:txbxContent>
                          <w:p w14:paraId="7D25405E" w14:textId="77777777" w:rsidR="00E13D84" w:rsidRPr="004F2271" w:rsidRDefault="00E13D84" w:rsidP="004F2271">
                            <w:pPr>
                              <w:spacing w:before="0"/>
                              <w:jc w:val="center"/>
                              <w:rPr>
                                <w:sz w:val="10"/>
                                <w:szCs w:val="10"/>
                                <w:lang w:val="en-US"/>
                              </w:rPr>
                            </w:pPr>
                            <w:r w:rsidRPr="004F2271">
                              <w:rPr>
                                <w:sz w:val="10"/>
                                <w:szCs w:val="10"/>
                              </w:rPr>
                              <w:t>Indicateur de résultat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0582" id="_x0000_s1027" type="#_x0000_t202" style="position:absolute;left:0;text-align:left;margin-left:380.8pt;margin-top:133.8pt;width:26.85pt;height:12.3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" stroked="f">
                <v:textbox inset="0,0,0,0">
                  <w:txbxContent>
                    <w:p w14:paraId="7D25405E" w14:textId="77777777" w:rsidR="00E13D84" w:rsidRPr="004F2271" w:rsidRDefault="00E13D84" w:rsidP="004F2271">
                      <w:pPr>
                        <w:spacing w:before="0"/>
                        <w:jc w:val="center"/>
                        <w:rPr>
                          <w:sz w:val="10"/>
                          <w:szCs w:val="10"/>
                          <w:lang w:val="en-US"/>
                        </w:rPr>
                      </w:pPr>
                      <w:r w:rsidRPr="004F2271">
                        <w:rPr>
                          <w:sz w:val="10"/>
                          <w:szCs w:val="10"/>
                        </w:rPr>
                        <w:t>Indicateur de résultat</w:t>
                      </w:r>
                    </w:p>
                  </w:txbxContent>
                </v:textbox>
              </v:shape>
            </w:pict>
          </mc:Fallback>
        </mc:AlternateContent>
      </w:r>
      <w:r w:rsidRPr="0008336A">
        <w:rPr>
          <w:noProof/>
        </w:rPr>
        <mc:AlternateContent>
          <mc:Choice Requires="wps">
            <w:drawing>
              <wp:anchor distT="0" distB="0" distL="114300" distR="114300" simplePos="0" relativeHeight="251709440" behindDoc="0" locked="0" layoutInCell="1" allowOverlap="1" wp14:anchorId="01297201" wp14:editId="679F3E99">
                <wp:simplePos x="0" y="0"/>
                <wp:positionH relativeFrom="column">
                  <wp:posOffset>5770030</wp:posOffset>
                </wp:positionH>
                <wp:positionV relativeFrom="paragraph">
                  <wp:posOffset>1708355</wp:posOffset>
                </wp:positionV>
                <wp:extent cx="341194" cy="156919"/>
                <wp:effectExtent l="0" t="3175"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1194" cy="156919"/>
                        </a:xfrm>
                        <a:prstGeom prst="rect">
                          <a:avLst/>
                        </a:prstGeom>
                        <a:solidFill>
                          <a:srgbClr val="FFFFFF"/>
                        </a:solidFill>
                        <a:ln w="9525">
                          <a:noFill/>
                          <a:miter lim="800000"/>
                          <a:headEnd/>
                          <a:tailEnd/>
                        </a:ln>
                      </wps:spPr>
                      <wps:txbx>
                        <w:txbxContent>
                          <w:p w14:paraId="37E5C031" w14:textId="71ACF468" w:rsidR="00E13D84" w:rsidRPr="004F2271" w:rsidRDefault="00E13D84" w:rsidP="004F2271">
                            <w:pPr>
                              <w:spacing w:before="0"/>
                              <w:jc w:val="center"/>
                              <w:rPr>
                                <w:sz w:val="10"/>
                                <w:szCs w:val="10"/>
                                <w:lang w:val="en-US"/>
                              </w:rPr>
                            </w:pPr>
                            <w:r w:rsidRPr="004F2271">
                              <w:rPr>
                                <w:sz w:val="10"/>
                                <w:szCs w:val="10"/>
                              </w:rPr>
                              <w:t>Indicateur de r</w:t>
                            </w:r>
                            <w:r>
                              <w:rPr>
                                <w:sz w:val="10"/>
                                <w:szCs w:val="10"/>
                              </w:rPr>
                              <w:t>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97201" id="_x0000_s1028" type="#_x0000_t202" style="position:absolute;left:0;text-align:left;margin-left:454.35pt;margin-top:134.5pt;width:26.85pt;height:12.3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" stroked="f">
                <v:textbox inset="0,0,0,0">
                  <w:txbxContent>
                    <w:p w14:paraId="37E5C031" w14:textId="71ACF468" w:rsidR="00E13D84" w:rsidRPr="004F2271" w:rsidRDefault="00E13D84" w:rsidP="004F2271">
                      <w:pPr>
                        <w:spacing w:before="0"/>
                        <w:jc w:val="center"/>
                        <w:rPr>
                          <w:sz w:val="10"/>
                          <w:szCs w:val="10"/>
                          <w:lang w:val="en-US"/>
                        </w:rPr>
                      </w:pPr>
                      <w:r w:rsidRPr="004F2271">
                        <w:rPr>
                          <w:sz w:val="10"/>
                          <w:szCs w:val="10"/>
                        </w:rPr>
                        <w:t>Indicateur de r</w:t>
                      </w:r>
                      <w:r>
                        <w:rPr>
                          <w:sz w:val="10"/>
                          <w:szCs w:val="10"/>
                        </w:rPr>
                        <w:t>isque</w:t>
                      </w:r>
                    </w:p>
                  </w:txbxContent>
                </v:textbox>
              </v:shape>
            </w:pict>
          </mc:Fallback>
        </mc:AlternateContent>
      </w:r>
      <w:r w:rsidRPr="0008336A">
        <w:rPr>
          <w:noProof/>
        </w:rPr>
        <mc:AlternateContent>
          <mc:Choice Requires="wps">
            <w:drawing>
              <wp:anchor distT="0" distB="0" distL="114300" distR="114300" simplePos="0" relativeHeight="251707392" behindDoc="0" locked="0" layoutInCell="1" allowOverlap="1" wp14:anchorId="334AC762" wp14:editId="036AEBD3">
                <wp:simplePos x="0" y="0"/>
                <wp:positionH relativeFrom="column">
                  <wp:posOffset>6032633</wp:posOffset>
                </wp:positionH>
                <wp:positionV relativeFrom="paragraph">
                  <wp:posOffset>1609526</wp:posOffset>
                </wp:positionV>
                <wp:extent cx="682388" cy="341194"/>
                <wp:effectExtent l="0" t="0" r="3810" b="19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88" cy="341194"/>
                        </a:xfrm>
                        <a:prstGeom prst="rect">
                          <a:avLst/>
                        </a:prstGeom>
                        <a:solidFill>
                          <a:srgbClr val="FFFFFF"/>
                        </a:solidFill>
                        <a:ln w="9525">
                          <a:noFill/>
                          <a:miter lim="800000"/>
                          <a:headEnd/>
                          <a:tailEnd/>
                        </a:ln>
                      </wps:spPr>
                      <wps:txbx>
                        <w:txbxContent>
                          <w:p w14:paraId="0A68148A" w14:textId="30E694A5" w:rsidR="00E13D84" w:rsidRPr="004F2271" w:rsidRDefault="00E13D84" w:rsidP="004F2271">
                            <w:pPr>
                              <w:spacing w:before="0"/>
                              <w:jc w:val="center"/>
                              <w:rPr>
                                <w:sz w:val="22"/>
                                <w:szCs w:val="22"/>
                                <w:lang w:val="en-US"/>
                              </w:rPr>
                            </w:pPr>
                            <w:r w:rsidRPr="004F2271">
                              <w:rPr>
                                <w:sz w:val="22"/>
                                <w:szCs w:val="22"/>
                              </w:rPr>
                              <w:t xml:space="preserve">Indicateur de </w:t>
                            </w:r>
                            <w:r>
                              <w:rPr>
                                <w:sz w:val="22"/>
                                <w:szCs w:val="22"/>
                              </w:rPr>
                              <w:t>risque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AC762" id="_x0000_s1029" type="#_x0000_t202" style="position:absolute;left:0;text-align:left;margin-left:475pt;margin-top:126.75pt;width:53.75pt;height:2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" stroked="f">
                <v:textbox inset="0,0,0,0">
                  <w:txbxContent>
                    <w:p w14:paraId="0A68148A" w14:textId="30E694A5" w:rsidR="00E13D84" w:rsidRPr="004F2271" w:rsidRDefault="00E13D84" w:rsidP="004F2271">
                      <w:pPr>
                        <w:spacing w:before="0"/>
                        <w:jc w:val="center"/>
                        <w:rPr>
                          <w:sz w:val="22"/>
                          <w:szCs w:val="22"/>
                          <w:lang w:val="en-US"/>
                        </w:rPr>
                      </w:pPr>
                      <w:r w:rsidRPr="004F2271">
                        <w:rPr>
                          <w:sz w:val="22"/>
                          <w:szCs w:val="22"/>
                        </w:rPr>
                        <w:t xml:space="preserve">Indicateur de </w:t>
                      </w:r>
                      <w:r>
                        <w:rPr>
                          <w:sz w:val="22"/>
                          <w:szCs w:val="22"/>
                        </w:rPr>
                        <w:t>risque</w:t>
                      </w:r>
                    </w:p>
                  </w:txbxContent>
                </v:textbox>
              </v:shape>
            </w:pict>
          </mc:Fallback>
        </mc:AlternateContent>
      </w:r>
      <w:r w:rsidRPr="0008336A">
        <w:rPr>
          <w:noProof/>
        </w:rPr>
        <mc:AlternateContent>
          <mc:Choice Requires="wps">
            <w:drawing>
              <wp:anchor distT="0" distB="0" distL="114300" distR="114300" simplePos="0" relativeHeight="251705344" behindDoc="0" locked="0" layoutInCell="1" allowOverlap="1" wp14:anchorId="65CA4546" wp14:editId="331F4859">
                <wp:simplePos x="0" y="0"/>
                <wp:positionH relativeFrom="column">
                  <wp:posOffset>5090937</wp:posOffset>
                </wp:positionH>
                <wp:positionV relativeFrom="paragraph">
                  <wp:posOffset>1609526</wp:posOffset>
                </wp:positionV>
                <wp:extent cx="702462" cy="341194"/>
                <wp:effectExtent l="0" t="0" r="2540" b="19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462" cy="341194"/>
                        </a:xfrm>
                        <a:prstGeom prst="rect">
                          <a:avLst/>
                        </a:prstGeom>
                        <a:solidFill>
                          <a:srgbClr val="FFFFFF"/>
                        </a:solidFill>
                        <a:ln w="9525">
                          <a:noFill/>
                          <a:miter lim="800000"/>
                          <a:headEnd/>
                          <a:tailEnd/>
                        </a:ln>
                      </wps:spPr>
                      <wps:txbx>
                        <w:txbxContent>
                          <w:p w14:paraId="3A8E74E8" w14:textId="71FCC73F" w:rsidR="00E13D84" w:rsidRPr="004F2271" w:rsidRDefault="00E13D84" w:rsidP="004F2271">
                            <w:pPr>
                              <w:spacing w:before="0"/>
                              <w:jc w:val="center"/>
                              <w:rPr>
                                <w:sz w:val="22"/>
                                <w:szCs w:val="22"/>
                                <w:lang w:val="en-US"/>
                              </w:rPr>
                            </w:pPr>
                            <w:r w:rsidRPr="004F2271">
                              <w:rPr>
                                <w:sz w:val="22"/>
                                <w:szCs w:val="22"/>
                              </w:rPr>
                              <w:t>Indicateur de résultat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A4546" id="_x0000_s1030" type="#_x0000_t202" style="position:absolute;left:0;text-align:left;margin-left:400.85pt;margin-top:126.75pt;width:55.3pt;height:2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" stroked="f">
                <v:textbox inset="0,0,0,0">
                  <w:txbxContent>
                    <w:p w14:paraId="3A8E74E8" w14:textId="71FCC73F" w:rsidR="00E13D84" w:rsidRPr="004F2271" w:rsidRDefault="00E13D84" w:rsidP="004F2271">
                      <w:pPr>
                        <w:spacing w:before="0"/>
                        <w:jc w:val="center"/>
                        <w:rPr>
                          <w:sz w:val="22"/>
                          <w:szCs w:val="22"/>
                          <w:lang w:val="en-US"/>
                        </w:rPr>
                      </w:pPr>
                      <w:r w:rsidRPr="004F2271">
                        <w:rPr>
                          <w:sz w:val="22"/>
                          <w:szCs w:val="22"/>
                        </w:rPr>
                        <w:t>Indicateur de résultat</w:t>
                      </w:r>
                    </w:p>
                  </w:txbxContent>
                </v:textbox>
              </v:shape>
            </w:pict>
          </mc:Fallback>
        </mc:AlternateContent>
      </w:r>
      <w:r w:rsidRPr="0008336A">
        <w:rPr>
          <w:noProof/>
        </w:rPr>
        <mc:AlternateContent>
          <mc:Choice Requires="wps">
            <w:drawing>
              <wp:anchor distT="0" distB="0" distL="114300" distR="114300" simplePos="0" relativeHeight="251703296" behindDoc="0" locked="0" layoutInCell="1" allowOverlap="1" wp14:anchorId="1ED6C0EF" wp14:editId="761B82CC">
                <wp:simplePos x="0" y="0"/>
                <wp:positionH relativeFrom="column">
                  <wp:posOffset>4142105</wp:posOffset>
                </wp:positionH>
                <wp:positionV relativeFrom="paragraph">
                  <wp:posOffset>1656705</wp:posOffset>
                </wp:positionV>
                <wp:extent cx="682388" cy="1404620"/>
                <wp:effectExtent l="0" t="0" r="381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88" cy="1404620"/>
                        </a:xfrm>
                        <a:prstGeom prst="rect">
                          <a:avLst/>
                        </a:prstGeom>
                        <a:solidFill>
                          <a:srgbClr val="FFFFFF"/>
                        </a:solidFill>
                        <a:ln w="9525">
                          <a:noFill/>
                          <a:miter lim="800000"/>
                          <a:headEnd/>
                          <a:tailEnd/>
                        </a:ln>
                      </wps:spPr>
                      <wps:txbx>
                        <w:txbxContent>
                          <w:p w14:paraId="0E470EC8" w14:textId="72A3361E" w:rsidR="00E13D84" w:rsidRPr="0051547A" w:rsidRDefault="00E13D84" w:rsidP="004F2271">
                            <w:pPr>
                              <w:spacing w:before="0"/>
                              <w:jc w:val="center"/>
                              <w:rPr>
                                <w:lang w:val="en-US"/>
                              </w:rPr>
                            </w:pPr>
                            <w:r>
                              <w:t>Résultat</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1ED6C0EF" id="_x0000_s1031" type="#_x0000_t202" style="position:absolute;left:0;text-align:left;margin-left:326.15pt;margin-top:130.45pt;width:53.75pt;height:110.6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" stroked="f">
                <v:textbox style="mso-fit-shape-to-text:t" inset="0,0,0,0">
                  <w:txbxContent>
                    <w:p w14:paraId="0E470EC8" w14:textId="72A3361E" w:rsidR="00E13D84" w:rsidRPr="0051547A" w:rsidRDefault="00E13D84" w:rsidP="004F2271">
                      <w:pPr>
                        <w:spacing w:before="0"/>
                        <w:jc w:val="center"/>
                        <w:rPr>
                          <w:lang w:val="en-US"/>
                        </w:rPr>
                      </w:pPr>
                      <w:r>
                        <w:t>Résultat</w:t>
                      </w:r>
                    </w:p>
                  </w:txbxContent>
                </v:textbox>
              </v:shape>
            </w:pict>
          </mc:Fallback>
        </mc:AlternateContent>
      </w:r>
      <w:r w:rsidRPr="0008336A">
        <w:rPr>
          <w:noProof/>
        </w:rPr>
        <mc:AlternateContent>
          <mc:Choice Requires="wps">
            <w:drawing>
              <wp:anchor distT="0" distB="0" distL="114300" distR="114300" simplePos="0" relativeHeight="251701248" behindDoc="0" locked="0" layoutInCell="1" allowOverlap="1" wp14:anchorId="6C0B52FB" wp14:editId="3FA15BF8">
                <wp:simplePos x="0" y="0"/>
                <wp:positionH relativeFrom="column">
                  <wp:posOffset>3159296</wp:posOffset>
                </wp:positionH>
                <wp:positionV relativeFrom="paragraph">
                  <wp:posOffset>3206589</wp:posOffset>
                </wp:positionV>
                <wp:extent cx="764275"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5" cy="1404620"/>
                        </a:xfrm>
                        <a:prstGeom prst="rect">
                          <a:avLst/>
                        </a:prstGeom>
                        <a:solidFill>
                          <a:srgbClr val="FFFFFF"/>
                        </a:solidFill>
                        <a:ln w="9525">
                          <a:noFill/>
                          <a:miter lim="800000"/>
                          <a:headEnd/>
                          <a:tailEnd/>
                        </a:ln>
                      </wps:spPr>
                      <wps:txbx>
                        <w:txbxContent>
                          <w:p w14:paraId="17A78DDC" w14:textId="543FF7BE" w:rsidR="00E13D84" w:rsidRPr="0051547A" w:rsidRDefault="00E13D84" w:rsidP="004F2271">
                            <w:pPr>
                              <w:spacing w:before="0"/>
                              <w:jc w:val="center"/>
                              <w:rPr>
                                <w:lang w:val="en-US"/>
                              </w:rPr>
                            </w:pPr>
                            <w:r>
                              <w:t>Activités</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6C0B52FB" id="_x0000_s1032" type="#_x0000_t202" style="position:absolute;left:0;text-align:left;margin-left:248.75pt;margin-top:252.5pt;width:60.2pt;height:110.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" stroked="f">
                <v:textbox style="mso-fit-shape-to-text:t" inset="0,0,0,0">
                  <w:txbxContent>
                    <w:p w14:paraId="17A78DDC" w14:textId="543FF7BE" w:rsidR="00E13D84" w:rsidRPr="0051547A" w:rsidRDefault="00E13D84" w:rsidP="004F2271">
                      <w:pPr>
                        <w:spacing w:before="0"/>
                        <w:jc w:val="center"/>
                        <w:rPr>
                          <w:lang w:val="en-US"/>
                        </w:rPr>
                      </w:pPr>
                      <w:r>
                        <w:t>Activités</w:t>
                      </w:r>
                    </w:p>
                  </w:txbxContent>
                </v:textbox>
              </v:shape>
            </w:pict>
          </mc:Fallback>
        </mc:AlternateContent>
      </w:r>
      <w:r w:rsidRPr="0008336A">
        <w:rPr>
          <w:noProof/>
        </w:rPr>
        <mc:AlternateContent>
          <mc:Choice Requires="wps">
            <w:drawing>
              <wp:anchor distT="0" distB="0" distL="114300" distR="114300" simplePos="0" relativeHeight="251699200" behindDoc="0" locked="0" layoutInCell="1" allowOverlap="1" wp14:anchorId="4926A4AE" wp14:editId="58F5A5E4">
                <wp:simplePos x="0" y="0"/>
                <wp:positionH relativeFrom="column">
                  <wp:posOffset>3166281</wp:posOffset>
                </wp:positionH>
                <wp:positionV relativeFrom="paragraph">
                  <wp:posOffset>2505056</wp:posOffset>
                </wp:positionV>
                <wp:extent cx="764275"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5" cy="1404620"/>
                        </a:xfrm>
                        <a:prstGeom prst="rect">
                          <a:avLst/>
                        </a:prstGeom>
                        <a:solidFill>
                          <a:srgbClr val="FFFFFF"/>
                        </a:solidFill>
                        <a:ln w="9525">
                          <a:noFill/>
                          <a:miter lim="800000"/>
                          <a:headEnd/>
                          <a:tailEnd/>
                        </a:ln>
                      </wps:spPr>
                      <wps:txbx>
                        <w:txbxContent>
                          <w:p w14:paraId="711F4103" w14:textId="42FDA2DD" w:rsidR="00E13D84" w:rsidRPr="0051547A" w:rsidRDefault="00E13D84" w:rsidP="004F2271">
                            <w:pPr>
                              <w:spacing w:before="0"/>
                              <w:jc w:val="center"/>
                              <w:rPr>
                                <w:lang w:val="en-US"/>
                              </w:rPr>
                            </w:pPr>
                            <w:r>
                              <w:t>Produits</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4926A4AE" id="_x0000_s1033" type="#_x0000_t202" style="position:absolute;left:0;text-align:left;margin-left:249.3pt;margin-top:197.25pt;width:60.2pt;height:110.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" stroked="f">
                <v:textbox style="mso-fit-shape-to-text:t" inset="0,0,0,0">
                  <w:txbxContent>
                    <w:p w14:paraId="711F4103" w14:textId="42FDA2DD" w:rsidR="00E13D84" w:rsidRPr="0051547A" w:rsidRDefault="00E13D84" w:rsidP="004F2271">
                      <w:pPr>
                        <w:spacing w:before="0"/>
                        <w:jc w:val="center"/>
                        <w:rPr>
                          <w:lang w:val="en-US"/>
                        </w:rPr>
                      </w:pPr>
                      <w:r>
                        <w:t>Produits</w:t>
                      </w:r>
                    </w:p>
                  </w:txbxContent>
                </v:textbox>
              </v:shape>
            </w:pict>
          </mc:Fallback>
        </mc:AlternateContent>
      </w:r>
      <w:r w:rsidRPr="0008336A">
        <w:rPr>
          <w:noProof/>
        </w:rPr>
        <mc:AlternateContent>
          <mc:Choice Requires="wps">
            <w:drawing>
              <wp:anchor distT="0" distB="0" distL="114300" distR="114300" simplePos="0" relativeHeight="251697152" behindDoc="0" locked="0" layoutInCell="1" allowOverlap="1" wp14:anchorId="59A37190" wp14:editId="09205949">
                <wp:simplePos x="0" y="0"/>
                <wp:positionH relativeFrom="column">
                  <wp:posOffset>3146131</wp:posOffset>
                </wp:positionH>
                <wp:positionV relativeFrom="paragraph">
                  <wp:posOffset>1609526</wp:posOffset>
                </wp:positionV>
                <wp:extent cx="764275"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5" cy="1404620"/>
                        </a:xfrm>
                        <a:prstGeom prst="rect">
                          <a:avLst/>
                        </a:prstGeom>
                        <a:solidFill>
                          <a:srgbClr val="FFFFFF"/>
                        </a:solidFill>
                        <a:ln w="9525">
                          <a:noFill/>
                          <a:miter lim="800000"/>
                          <a:headEnd/>
                          <a:tailEnd/>
                        </a:ln>
                      </wps:spPr>
                      <wps:txbx>
                        <w:txbxContent>
                          <w:p w14:paraId="3711E8AB" w14:textId="7AB7AD55" w:rsidR="00E13D84" w:rsidRPr="0051547A" w:rsidRDefault="00E13D84" w:rsidP="004F2271">
                            <w:pPr>
                              <w:spacing w:before="0"/>
                              <w:jc w:val="center"/>
                              <w:rPr>
                                <w:lang w:val="en-US"/>
                              </w:rPr>
                            </w:pPr>
                            <w:r>
                              <w:t>Objectifs</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59A37190" id="_x0000_s1034" type="#_x0000_t202" style="position:absolute;left:0;text-align:left;margin-left:247.75pt;margin-top:126.75pt;width:60.2pt;height:110.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" stroked="f">
                <v:textbox style="mso-fit-shape-to-text:t" inset="0,0,0,0">
                  <w:txbxContent>
                    <w:p w14:paraId="3711E8AB" w14:textId="7AB7AD55" w:rsidR="00E13D84" w:rsidRPr="0051547A" w:rsidRDefault="00E13D84" w:rsidP="004F2271">
                      <w:pPr>
                        <w:spacing w:before="0"/>
                        <w:jc w:val="center"/>
                        <w:rPr>
                          <w:lang w:val="en-US"/>
                        </w:rPr>
                      </w:pPr>
                      <w:r>
                        <w:t>Objectifs</w:t>
                      </w:r>
                    </w:p>
                  </w:txbxContent>
                </v:textbox>
              </v:shape>
            </w:pict>
          </mc:Fallback>
        </mc:AlternateContent>
      </w:r>
      <w:r w:rsidRPr="0008336A">
        <w:rPr>
          <w:noProof/>
        </w:rPr>
        <mc:AlternateContent>
          <mc:Choice Requires="wps">
            <w:drawing>
              <wp:anchor distT="0" distB="0" distL="114300" distR="114300" simplePos="0" relativeHeight="251695104" behindDoc="0" locked="0" layoutInCell="1" allowOverlap="1" wp14:anchorId="01248137" wp14:editId="76CCAE04">
                <wp:simplePos x="0" y="0"/>
                <wp:positionH relativeFrom="column">
                  <wp:posOffset>3330375</wp:posOffset>
                </wp:positionH>
                <wp:positionV relativeFrom="paragraph">
                  <wp:posOffset>510881</wp:posOffset>
                </wp:positionV>
                <wp:extent cx="382137"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37" cy="1404620"/>
                        </a:xfrm>
                        <a:prstGeom prst="rect">
                          <a:avLst/>
                        </a:prstGeom>
                        <a:solidFill>
                          <a:srgbClr val="FFFFFF"/>
                        </a:solidFill>
                        <a:ln w="9525">
                          <a:noFill/>
                          <a:miter lim="800000"/>
                          <a:headEnd/>
                          <a:tailEnd/>
                        </a:ln>
                      </wps:spPr>
                      <wps:txbx>
                        <w:txbxContent>
                          <w:p w14:paraId="757E489A" w14:textId="65451DBA" w:rsidR="00E13D84" w:rsidRPr="0051547A" w:rsidRDefault="00E13D84" w:rsidP="004F2271">
                            <w:pPr>
                              <w:spacing w:before="0"/>
                              <w:jc w:val="center"/>
                              <w:rPr>
                                <w:lang w:val="en-US"/>
                              </w:rPr>
                            </w:pPr>
                            <w:r>
                              <w:t>Buts</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01248137" id="_x0000_s1035" type="#_x0000_t202" style="position:absolute;left:0;text-align:left;margin-left:262.25pt;margin-top:40.25pt;width:30.1pt;height:110.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" stroked="f">
                <v:textbox style="mso-fit-shape-to-text:t" inset="0,0,0,0">
                  <w:txbxContent>
                    <w:p w14:paraId="757E489A" w14:textId="65451DBA" w:rsidR="00E13D84" w:rsidRPr="0051547A" w:rsidRDefault="00E13D84" w:rsidP="004F2271">
                      <w:pPr>
                        <w:spacing w:before="0"/>
                        <w:jc w:val="center"/>
                        <w:rPr>
                          <w:lang w:val="en-US"/>
                        </w:rPr>
                      </w:pPr>
                      <w:r>
                        <w:t>Buts</w:t>
                      </w:r>
                    </w:p>
                  </w:txbxContent>
                </v:textbox>
              </v:shape>
            </w:pict>
          </mc:Fallback>
        </mc:AlternateContent>
      </w:r>
      <w:r w:rsidR="006515DC" w:rsidRPr="0008336A">
        <w:rPr>
          <w:noProof/>
        </w:rPr>
        <w:drawing>
          <wp:inline distT="0" distB="0" distL="0" distR="0" wp14:anchorId="129BCD52" wp14:editId="67AD77B9">
            <wp:extent cx="5233496" cy="36576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44621"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34757" cy="3658481"/>
                    </a:xfrm>
                    <a:prstGeom prst="rect">
                      <a:avLst/>
                    </a:prstGeom>
                    <a:noFill/>
                    <a:ln>
                      <a:noFill/>
                    </a:ln>
                  </pic:spPr>
                </pic:pic>
              </a:graphicData>
            </a:graphic>
          </wp:inline>
        </w:drawing>
      </w:r>
    </w:p>
    <w:p w14:paraId="74D5CA31" w14:textId="77777777" w:rsidR="004F2271" w:rsidRPr="0008336A" w:rsidRDefault="004F2271" w:rsidP="00BD1734">
      <w:pPr>
        <w:overflowPunct/>
        <w:autoSpaceDE/>
        <w:autoSpaceDN/>
        <w:adjustRightInd/>
        <w:spacing w:before="0"/>
        <w:textAlignment w:val="auto"/>
        <w:rPr>
          <w:b/>
          <w:bCs/>
        </w:rPr>
      </w:pPr>
      <w:bookmarkStart w:id="37" w:name="lt_pId056"/>
    </w:p>
    <w:p w14:paraId="702BC84A" w14:textId="3C537CFF" w:rsidR="007744EB" w:rsidRPr="0008336A" w:rsidRDefault="007744EB" w:rsidP="00BD1734">
      <w:pPr>
        <w:overflowPunct/>
        <w:autoSpaceDE/>
        <w:autoSpaceDN/>
        <w:adjustRightInd/>
        <w:spacing w:before="0"/>
        <w:textAlignment w:val="auto"/>
        <w:rPr>
          <w:b/>
          <w:bCs/>
        </w:rPr>
      </w:pPr>
      <w:r w:rsidRPr="0008336A">
        <w:rPr>
          <w:b/>
          <w:bCs/>
        </w:rPr>
        <w:br w:type="page"/>
      </w:r>
    </w:p>
    <w:p w14:paraId="69EF2889" w14:textId="77777777" w:rsidR="00735C36" w:rsidRPr="0008336A" w:rsidRDefault="00735C36" w:rsidP="00BD1734">
      <w:pPr>
        <w:overflowPunct/>
        <w:autoSpaceDE/>
        <w:autoSpaceDN/>
        <w:adjustRightInd/>
        <w:spacing w:before="0"/>
        <w:textAlignment w:val="auto"/>
        <w:rPr>
          <w:b/>
          <w:bCs/>
        </w:rPr>
      </w:pPr>
    </w:p>
    <w:p w14:paraId="12802317" w14:textId="2AAFECAA" w:rsidR="006515DC" w:rsidRPr="0008336A" w:rsidRDefault="00E86307" w:rsidP="00735C36">
      <w:pPr>
        <w:pStyle w:val="Tabletitle"/>
        <w:spacing w:before="240"/>
      </w:pPr>
      <w:r w:rsidRPr="0008336A">
        <w:t>Ventilation des ressources par But et par Secteur pour la période</w:t>
      </w:r>
      <w:r w:rsidR="002221E0" w:rsidRPr="0008336A">
        <w:t xml:space="preserve"> 2021-2024</w:t>
      </w:r>
      <w:bookmarkEnd w:id="37"/>
    </w:p>
    <w:p w14:paraId="0F76804A" w14:textId="384FD7D1" w:rsidR="007C4FDB" w:rsidRPr="0008336A" w:rsidRDefault="007C4FDB" w:rsidP="00BD1734">
      <w:pPr>
        <w:pStyle w:val="Tabletext"/>
        <w:jc w:val="right"/>
        <w:rPr>
          <w:i/>
          <w:iCs/>
          <w:sz w:val="20"/>
        </w:rPr>
      </w:pPr>
      <w:r w:rsidRPr="0008336A">
        <w:rPr>
          <w:i/>
          <w:iCs/>
          <w:sz w:val="20"/>
        </w:rPr>
        <w:t>En milliers de CHF</w:t>
      </w:r>
    </w:p>
    <w:bookmarkStart w:id="38" w:name="_MON_1644927342"/>
    <w:bookmarkEnd w:id="38"/>
    <w:p w14:paraId="6EE39F82" w14:textId="47EC3AA6" w:rsidR="002221E0" w:rsidRPr="0008336A" w:rsidRDefault="00735C36" w:rsidP="00BD1734">
      <w:pPr>
        <w:rPr>
          <w:b/>
          <w:bCs/>
        </w:rPr>
      </w:pPr>
      <w:r w:rsidRPr="0008336A">
        <w:rPr>
          <w:lang w:eastAsia="zh-CN"/>
        </w:rPr>
        <w:object w:dxaOrig="12924" w:dyaOrig="3919" w14:anchorId="6A330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35pt;height:206.35pt" o:ole="">
            <v:imagedata r:id="rId18" o:title=""/>
          </v:shape>
          <o:OLEObject Type="Embed" ProgID="Excel.Sheet.12" ShapeID="_x0000_i1025" DrawAspect="Content" ObjectID="_1650187638" r:id="rId19"/>
        </w:object>
      </w:r>
    </w:p>
    <w:p w14:paraId="2FF366ED" w14:textId="77777777" w:rsidR="00E435B8" w:rsidRPr="0008336A" w:rsidRDefault="00E435B8" w:rsidP="00BD1734">
      <w:pPr>
        <w:overflowPunct/>
        <w:autoSpaceDE/>
        <w:autoSpaceDN/>
        <w:adjustRightInd/>
        <w:spacing w:before="0"/>
        <w:textAlignment w:val="auto"/>
      </w:pPr>
    </w:p>
    <w:p w14:paraId="02E1C758" w14:textId="72BBF6AE" w:rsidR="002221E0" w:rsidRPr="0008336A" w:rsidRDefault="002221E0" w:rsidP="00BD1734">
      <w:pPr>
        <w:overflowPunct/>
        <w:autoSpaceDE/>
        <w:autoSpaceDN/>
        <w:adjustRightInd/>
        <w:spacing w:before="0"/>
        <w:textAlignment w:val="auto"/>
      </w:pPr>
      <w:r w:rsidRPr="0008336A">
        <w:br w:type="page"/>
      </w:r>
    </w:p>
    <w:p w14:paraId="3EBC52E7" w14:textId="708726E9" w:rsidR="002221E0" w:rsidRPr="0008336A" w:rsidRDefault="00C212A4" w:rsidP="00BD1734">
      <w:pPr>
        <w:pStyle w:val="Tabletitle"/>
      </w:pPr>
      <w:r w:rsidRPr="0008336A">
        <w:lastRenderedPageBreak/>
        <w:t>Ventilation des ressources par But pour la période 2021-2024</w:t>
      </w:r>
    </w:p>
    <w:bookmarkStart w:id="39" w:name="_MON_1644926118"/>
    <w:bookmarkEnd w:id="39"/>
    <w:p w14:paraId="016F8A85" w14:textId="259BB860" w:rsidR="002221E0" w:rsidRPr="0008336A" w:rsidRDefault="0014690C" w:rsidP="00BD1734">
      <w:pPr>
        <w:spacing w:after="160"/>
        <w:jc w:val="both"/>
      </w:pPr>
      <w:r w:rsidRPr="0008336A">
        <w:rPr>
          <w:lang w:eastAsia="zh-CN"/>
        </w:rPr>
        <w:object w:dxaOrig="30930" w:dyaOrig="14160" w14:anchorId="6122D54D">
          <v:shape id="_x0000_i1026" type="#_x0000_t75" style="width:720.65pt;height:368.15pt" o:ole="">
            <v:imagedata r:id="rId20" o:title=""/>
          </v:shape>
          <o:OLEObject Type="Embed" ProgID="Excel.Sheet.12" ShapeID="_x0000_i1026" DrawAspect="Content" ObjectID="_1650187639" r:id="rId21"/>
        </w:object>
      </w:r>
    </w:p>
    <w:p w14:paraId="3C08F56E" w14:textId="601EA622" w:rsidR="00284DE0" w:rsidRPr="0008336A" w:rsidRDefault="00284DE0" w:rsidP="00BD1734">
      <w:pPr>
        <w:overflowPunct/>
        <w:autoSpaceDE/>
        <w:autoSpaceDN/>
        <w:adjustRightInd/>
        <w:spacing w:before="0"/>
        <w:textAlignment w:val="auto"/>
      </w:pPr>
      <w:r w:rsidRPr="0008336A">
        <w:br w:type="page"/>
      </w:r>
    </w:p>
    <w:p w14:paraId="12D8576C" w14:textId="3BA109C6" w:rsidR="002221E0" w:rsidRPr="0008336A" w:rsidRDefault="00C212A4" w:rsidP="00BD1734">
      <w:pPr>
        <w:pStyle w:val="Tabletitle"/>
      </w:pPr>
      <w:bookmarkStart w:id="40" w:name="lt_pId058"/>
      <w:r w:rsidRPr="0008336A">
        <w:lastRenderedPageBreak/>
        <w:t>Ventilation des ressources par But et par Objectif pour la période 2021-2024</w:t>
      </w:r>
      <w:bookmarkEnd w:id="40"/>
    </w:p>
    <w:bookmarkStart w:id="41" w:name="_MON_1644134390"/>
    <w:bookmarkEnd w:id="41"/>
    <w:p w14:paraId="42193A17" w14:textId="3328337E" w:rsidR="00284DE0" w:rsidRPr="0008336A" w:rsidRDefault="007C4FDB" w:rsidP="00BD1734">
      <w:r w:rsidRPr="0008336A">
        <w:object w:dxaOrig="22438" w:dyaOrig="9740" w14:anchorId="5CD6635D">
          <v:shape id="_x0000_i1027" type="#_x0000_t75" style="width:741.6pt;height:381.8pt" o:ole="">
            <v:imagedata r:id="rId22" o:title=""/>
          </v:shape>
          <o:OLEObject Type="Embed" ProgID="Excel.Sheet.12" ShapeID="_x0000_i1027" DrawAspect="Content" ObjectID="_1650187640" r:id="rId23"/>
        </w:object>
      </w:r>
    </w:p>
    <w:p w14:paraId="3C2F2ACC" w14:textId="44D1A430" w:rsidR="007744EB" w:rsidRPr="0008336A" w:rsidRDefault="007744EB" w:rsidP="00BD1734">
      <w:pPr>
        <w:overflowPunct/>
        <w:autoSpaceDE/>
        <w:autoSpaceDN/>
        <w:adjustRightInd/>
        <w:spacing w:before="0"/>
        <w:textAlignment w:val="auto"/>
      </w:pPr>
      <w:r w:rsidRPr="0008336A">
        <w:br w:type="page"/>
      </w:r>
    </w:p>
    <w:p w14:paraId="3449F4AB" w14:textId="4F9F7E4B" w:rsidR="007744EB" w:rsidRPr="0008336A" w:rsidRDefault="007744EB" w:rsidP="00BD1734">
      <w:pPr>
        <w:pStyle w:val="Heading1"/>
      </w:pPr>
      <w:bookmarkStart w:id="42" w:name="_Toc34307477"/>
      <w:bookmarkStart w:id="43" w:name="_Toc34307555"/>
      <w:bookmarkStart w:id="44" w:name="_Toc34307653"/>
      <w:bookmarkStart w:id="45" w:name="_Toc39493318"/>
      <w:r w:rsidRPr="0008336A">
        <w:lastRenderedPageBreak/>
        <w:t>I.3</w:t>
      </w:r>
      <w:r w:rsidRPr="0008336A">
        <w:tab/>
      </w:r>
      <w:r w:rsidR="00C212A4" w:rsidRPr="0008336A">
        <w:t>Grandes lignes du Plan opérationnel par ODD</w:t>
      </w:r>
      <w:bookmarkEnd w:id="42"/>
      <w:bookmarkEnd w:id="43"/>
      <w:bookmarkEnd w:id="44"/>
      <w:bookmarkEnd w:id="45"/>
    </w:p>
    <w:p w14:paraId="4C46A8FE" w14:textId="7C6185D6" w:rsidR="00C212A4" w:rsidRPr="0008336A" w:rsidRDefault="007744EB" w:rsidP="00BD1734">
      <w:pPr>
        <w:spacing w:after="240"/>
      </w:pPr>
      <w:r w:rsidRPr="0008336A">
        <w:t>I.3.1</w:t>
      </w:r>
      <w:r w:rsidRPr="0008336A">
        <w:tab/>
      </w:r>
      <w:r w:rsidR="00C212A4" w:rsidRPr="0008336A">
        <w:t>La ventilation des ressources par O</w:t>
      </w:r>
      <w:r w:rsidR="00416C0C" w:rsidRPr="0008336A">
        <w:t>bjectif de développement durable (O</w:t>
      </w:r>
      <w:r w:rsidR="00C212A4" w:rsidRPr="0008336A">
        <w:t>DD</w:t>
      </w:r>
      <w:r w:rsidR="00416C0C" w:rsidRPr="0008336A">
        <w:t>)</w:t>
      </w:r>
      <w:r w:rsidR="00C212A4" w:rsidRPr="0008336A">
        <w:t xml:space="preserve"> est présentée plus en détail dans l'Annexe B du présent Document (montants en milliers CHF).</w:t>
      </w:r>
    </w:p>
    <w:p w14:paraId="1F854BE2" w14:textId="6788DA01" w:rsidR="007744EB" w:rsidRPr="0008336A" w:rsidRDefault="000E032B" w:rsidP="00BD1734">
      <w:r w:rsidRPr="0008336A">
        <w:rPr>
          <w:noProof/>
        </w:rPr>
        <mc:AlternateContent>
          <mc:Choice Requires="wps">
            <w:drawing>
              <wp:anchor distT="45720" distB="45720" distL="114300" distR="114300" simplePos="0" relativeHeight="251692032" behindDoc="0" locked="0" layoutInCell="1" allowOverlap="1" wp14:anchorId="4D0AF904" wp14:editId="1592D112">
                <wp:simplePos x="0" y="0"/>
                <wp:positionH relativeFrom="column">
                  <wp:posOffset>7759074</wp:posOffset>
                </wp:positionH>
                <wp:positionV relativeFrom="paragraph">
                  <wp:posOffset>3211451</wp:posOffset>
                </wp:positionV>
                <wp:extent cx="1050878" cy="382137"/>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878" cy="382137"/>
                        </a:xfrm>
                        <a:prstGeom prst="rect">
                          <a:avLst/>
                        </a:prstGeom>
                        <a:solidFill>
                          <a:srgbClr val="FFFFFF"/>
                        </a:solidFill>
                        <a:ln w="9525">
                          <a:noFill/>
                          <a:miter lim="800000"/>
                          <a:headEnd/>
                          <a:tailEnd/>
                        </a:ln>
                      </wps:spPr>
                      <wps:txbx>
                        <w:txbxContent>
                          <w:p w14:paraId="60C9FE25" w14:textId="32263AEE" w:rsidR="00E13D84" w:rsidRPr="007C4FDB" w:rsidRDefault="00E13D84" w:rsidP="00A45A32">
                            <w:pPr>
                              <w:spacing w:before="0"/>
                              <w:jc w:val="center"/>
                              <w:rPr>
                                <w:sz w:val="18"/>
                                <w:szCs w:val="18"/>
                              </w:rPr>
                            </w:pPr>
                            <w:r>
                              <w:rPr>
                                <w:sz w:val="18"/>
                                <w:szCs w:val="18"/>
                              </w:rPr>
                              <w:t>Objectif</w:t>
                            </w:r>
                            <w:r w:rsidRPr="007C4FDB">
                              <w:rPr>
                                <w:sz w:val="18"/>
                                <w:szCs w:val="18"/>
                              </w:rPr>
                              <w:t xml:space="preserve"> </w:t>
                            </w:r>
                            <w:proofErr w:type="gramStart"/>
                            <w:r>
                              <w:rPr>
                                <w:sz w:val="18"/>
                                <w:szCs w:val="18"/>
                              </w:rPr>
                              <w:t>8</w:t>
                            </w:r>
                            <w:r w:rsidRPr="007C4FDB">
                              <w:rPr>
                                <w:sz w:val="18"/>
                                <w:szCs w:val="18"/>
                              </w:rPr>
                              <w:t>;</w:t>
                            </w:r>
                            <w:proofErr w:type="gramEnd"/>
                            <w:r w:rsidRPr="007C4FDB">
                              <w:rPr>
                                <w:sz w:val="18"/>
                                <w:szCs w:val="18"/>
                              </w:rPr>
                              <w:t xml:space="preserve"> </w:t>
                            </w:r>
                            <w:r>
                              <w:rPr>
                                <w:sz w:val="18"/>
                                <w:szCs w:val="18"/>
                              </w:rPr>
                              <w:t>20 273</w:t>
                            </w:r>
                            <w:r w:rsidRPr="007C4FDB">
                              <w:rPr>
                                <w:sz w:val="18"/>
                                <w:szCs w:val="18"/>
                              </w:rPr>
                              <w:t xml:space="preserve">; </w:t>
                            </w:r>
                            <w:r>
                              <w:rPr>
                                <w:sz w:val="18"/>
                                <w:szCs w:val="18"/>
                              </w:rPr>
                              <w:br/>
                              <w:t>3,07</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AF904" id="_x0000_s1036" type="#_x0000_t202" style="position:absolute;margin-left:610.95pt;margin-top:252.85pt;width:82.75pt;height:30.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" stroked="f">
                <v:textbox>
                  <w:txbxContent>
                    <w:p w14:paraId="60C9FE25" w14:textId="32263AEE" w:rsidR="00E13D84" w:rsidRPr="007C4FDB" w:rsidRDefault="00E13D84" w:rsidP="00A45A32">
                      <w:pPr>
                        <w:spacing w:before="0"/>
                        <w:jc w:val="center"/>
                        <w:rPr>
                          <w:sz w:val="18"/>
                          <w:szCs w:val="18"/>
                        </w:rPr>
                      </w:pPr>
                      <w:r>
                        <w:rPr>
                          <w:sz w:val="18"/>
                          <w:szCs w:val="18"/>
                        </w:rPr>
                        <w:t>Objectif</w:t>
                      </w:r>
                      <w:r w:rsidRPr="007C4FDB">
                        <w:rPr>
                          <w:sz w:val="18"/>
                          <w:szCs w:val="18"/>
                        </w:rPr>
                        <w:t xml:space="preserve"> </w:t>
                      </w:r>
                      <w:proofErr w:type="gramStart"/>
                      <w:r>
                        <w:rPr>
                          <w:sz w:val="18"/>
                          <w:szCs w:val="18"/>
                        </w:rPr>
                        <w:t>8</w:t>
                      </w:r>
                      <w:r w:rsidRPr="007C4FDB">
                        <w:rPr>
                          <w:sz w:val="18"/>
                          <w:szCs w:val="18"/>
                        </w:rPr>
                        <w:t>;</w:t>
                      </w:r>
                      <w:proofErr w:type="gramEnd"/>
                      <w:r w:rsidRPr="007C4FDB">
                        <w:rPr>
                          <w:sz w:val="18"/>
                          <w:szCs w:val="18"/>
                        </w:rPr>
                        <w:t xml:space="preserve"> </w:t>
                      </w:r>
                      <w:r>
                        <w:rPr>
                          <w:sz w:val="18"/>
                          <w:szCs w:val="18"/>
                        </w:rPr>
                        <w:t>20 273</w:t>
                      </w:r>
                      <w:r w:rsidRPr="007C4FDB">
                        <w:rPr>
                          <w:sz w:val="18"/>
                          <w:szCs w:val="18"/>
                        </w:rPr>
                        <w:t xml:space="preserve">; </w:t>
                      </w:r>
                      <w:r>
                        <w:rPr>
                          <w:sz w:val="18"/>
                          <w:szCs w:val="18"/>
                        </w:rPr>
                        <w:br/>
                        <w:t>3,07</w:t>
                      </w:r>
                      <w:r w:rsidRPr="007C4FDB">
                        <w:rPr>
                          <w:sz w:val="18"/>
                          <w:szCs w:val="18"/>
                        </w:rPr>
                        <w:t>%</w:t>
                      </w:r>
                    </w:p>
                  </w:txbxContent>
                </v:textbox>
              </v:shape>
            </w:pict>
          </mc:Fallback>
        </mc:AlternateContent>
      </w:r>
      <w:r w:rsidRPr="0008336A">
        <w:rPr>
          <w:noProof/>
        </w:rPr>
        <mc:AlternateContent>
          <mc:Choice Requires="wps">
            <w:drawing>
              <wp:anchor distT="45720" distB="45720" distL="114300" distR="114300" simplePos="0" relativeHeight="251689984" behindDoc="0" locked="0" layoutInCell="1" allowOverlap="1" wp14:anchorId="6B4CF611" wp14:editId="42D0E401">
                <wp:simplePos x="0" y="0"/>
                <wp:positionH relativeFrom="column">
                  <wp:posOffset>7813666</wp:posOffset>
                </wp:positionH>
                <wp:positionV relativeFrom="paragraph">
                  <wp:posOffset>2290227</wp:posOffset>
                </wp:positionV>
                <wp:extent cx="1050271" cy="357809"/>
                <wp:effectExtent l="0" t="0" r="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71" cy="357809"/>
                        </a:xfrm>
                        <a:prstGeom prst="rect">
                          <a:avLst/>
                        </a:prstGeom>
                        <a:solidFill>
                          <a:srgbClr val="FFFFFF"/>
                        </a:solidFill>
                        <a:ln w="9525">
                          <a:noFill/>
                          <a:miter lim="800000"/>
                          <a:headEnd/>
                          <a:tailEnd/>
                        </a:ln>
                      </wps:spPr>
                      <wps:txbx>
                        <w:txbxContent>
                          <w:p w14:paraId="79973F10" w14:textId="371372AB"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Pr>
                                <w:sz w:val="18"/>
                                <w:szCs w:val="18"/>
                              </w:rPr>
                              <w:t>7</w:t>
                            </w:r>
                            <w:r w:rsidRPr="007C4FDB">
                              <w:rPr>
                                <w:sz w:val="18"/>
                                <w:szCs w:val="18"/>
                              </w:rPr>
                              <w:t>;</w:t>
                            </w:r>
                            <w:proofErr w:type="gramEnd"/>
                            <w:r w:rsidRPr="007C4FDB">
                              <w:rPr>
                                <w:sz w:val="18"/>
                                <w:szCs w:val="18"/>
                              </w:rPr>
                              <w:t xml:space="preserve"> </w:t>
                            </w:r>
                            <w:r>
                              <w:rPr>
                                <w:sz w:val="18"/>
                                <w:szCs w:val="18"/>
                              </w:rPr>
                              <w:t>19 870</w:t>
                            </w:r>
                            <w:r w:rsidRPr="007C4FDB">
                              <w:rPr>
                                <w:sz w:val="18"/>
                                <w:szCs w:val="18"/>
                              </w:rPr>
                              <w:t xml:space="preserve">; </w:t>
                            </w:r>
                            <w:r>
                              <w:rPr>
                                <w:sz w:val="18"/>
                                <w:szCs w:val="18"/>
                              </w:rPr>
                              <w:br/>
                              <w:t>3,01</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CF611" id="_x0000_s1037" type="#_x0000_t202" style="position:absolute;margin-left:615.25pt;margin-top:180.35pt;width:82.7pt;height:28.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2OIgIAACQ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" stroked="f">
                <v:textbox>
                  <w:txbxContent>
                    <w:p w14:paraId="79973F10" w14:textId="371372AB"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Pr>
                          <w:sz w:val="18"/>
                          <w:szCs w:val="18"/>
                        </w:rPr>
                        <w:t>7</w:t>
                      </w:r>
                      <w:r w:rsidRPr="007C4FDB">
                        <w:rPr>
                          <w:sz w:val="18"/>
                          <w:szCs w:val="18"/>
                        </w:rPr>
                        <w:t>;</w:t>
                      </w:r>
                      <w:proofErr w:type="gramEnd"/>
                      <w:r w:rsidRPr="007C4FDB">
                        <w:rPr>
                          <w:sz w:val="18"/>
                          <w:szCs w:val="18"/>
                        </w:rPr>
                        <w:t xml:space="preserve"> </w:t>
                      </w:r>
                      <w:r>
                        <w:rPr>
                          <w:sz w:val="18"/>
                          <w:szCs w:val="18"/>
                        </w:rPr>
                        <w:t>19 870</w:t>
                      </w:r>
                      <w:r w:rsidRPr="007C4FDB">
                        <w:rPr>
                          <w:sz w:val="18"/>
                          <w:szCs w:val="18"/>
                        </w:rPr>
                        <w:t xml:space="preserve">; </w:t>
                      </w:r>
                      <w:r>
                        <w:rPr>
                          <w:sz w:val="18"/>
                          <w:szCs w:val="18"/>
                        </w:rPr>
                        <w:br/>
                        <w:t>3,01</w:t>
                      </w:r>
                      <w:r w:rsidRPr="007C4FDB">
                        <w:rPr>
                          <w:sz w:val="18"/>
                          <w:szCs w:val="18"/>
                        </w:rPr>
                        <w:t>%</w:t>
                      </w:r>
                    </w:p>
                  </w:txbxContent>
                </v:textbox>
              </v:shape>
            </w:pict>
          </mc:Fallback>
        </mc:AlternateContent>
      </w:r>
      <w:r w:rsidRPr="0008336A">
        <w:rPr>
          <w:noProof/>
        </w:rPr>
        <mc:AlternateContent>
          <mc:Choice Requires="wps">
            <w:drawing>
              <wp:anchor distT="45720" distB="45720" distL="114300" distR="114300" simplePos="0" relativeHeight="251687936" behindDoc="0" locked="0" layoutInCell="1" allowOverlap="1" wp14:anchorId="132BD79A" wp14:editId="48074FDA">
                <wp:simplePos x="0" y="0"/>
                <wp:positionH relativeFrom="column">
                  <wp:posOffset>7786370</wp:posOffset>
                </wp:positionH>
                <wp:positionV relativeFrom="paragraph">
                  <wp:posOffset>1867146</wp:posOffset>
                </wp:positionV>
                <wp:extent cx="1016758" cy="375314"/>
                <wp:effectExtent l="0" t="0" r="0"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8" cy="375314"/>
                        </a:xfrm>
                        <a:prstGeom prst="rect">
                          <a:avLst/>
                        </a:prstGeom>
                        <a:solidFill>
                          <a:srgbClr val="FFFFFF"/>
                        </a:solidFill>
                        <a:ln w="9525">
                          <a:noFill/>
                          <a:miter lim="800000"/>
                          <a:headEnd/>
                          <a:tailEnd/>
                        </a:ln>
                      </wps:spPr>
                      <wps:txbx>
                        <w:txbxContent>
                          <w:p w14:paraId="7A962A42" w14:textId="210C3B71"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Pr>
                                <w:sz w:val="18"/>
                                <w:szCs w:val="18"/>
                              </w:rPr>
                              <w:t>6</w:t>
                            </w:r>
                            <w:r w:rsidRPr="007C4FDB">
                              <w:rPr>
                                <w:sz w:val="18"/>
                                <w:szCs w:val="18"/>
                              </w:rPr>
                              <w:t>;</w:t>
                            </w:r>
                            <w:proofErr w:type="gramEnd"/>
                            <w:r w:rsidRPr="007C4FDB">
                              <w:rPr>
                                <w:sz w:val="18"/>
                                <w:szCs w:val="18"/>
                              </w:rPr>
                              <w:t xml:space="preserve"> </w:t>
                            </w:r>
                            <w:r>
                              <w:rPr>
                                <w:sz w:val="18"/>
                                <w:szCs w:val="18"/>
                              </w:rPr>
                              <w:t xml:space="preserve">9 602; </w:t>
                            </w:r>
                            <w:r>
                              <w:rPr>
                                <w:sz w:val="18"/>
                                <w:szCs w:val="18"/>
                              </w:rPr>
                              <w:br/>
                            </w:r>
                            <w:r w:rsidRPr="007C4FDB">
                              <w:rPr>
                                <w:sz w:val="18"/>
                                <w:szCs w:val="18"/>
                              </w:rPr>
                              <w:t>1,</w:t>
                            </w:r>
                            <w:r>
                              <w:rPr>
                                <w:sz w:val="18"/>
                                <w:szCs w:val="18"/>
                              </w:rPr>
                              <w:t>45</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BD79A" id="_x0000_s1038" type="#_x0000_t202" style="position:absolute;margin-left:613.1pt;margin-top:147pt;width:80.05pt;height:29.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" stroked="f">
                <v:textbox>
                  <w:txbxContent>
                    <w:p w14:paraId="7A962A42" w14:textId="210C3B71"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Pr>
                          <w:sz w:val="18"/>
                          <w:szCs w:val="18"/>
                        </w:rPr>
                        <w:t>6</w:t>
                      </w:r>
                      <w:r w:rsidRPr="007C4FDB">
                        <w:rPr>
                          <w:sz w:val="18"/>
                          <w:szCs w:val="18"/>
                        </w:rPr>
                        <w:t>;</w:t>
                      </w:r>
                      <w:proofErr w:type="gramEnd"/>
                      <w:r w:rsidRPr="007C4FDB">
                        <w:rPr>
                          <w:sz w:val="18"/>
                          <w:szCs w:val="18"/>
                        </w:rPr>
                        <w:t xml:space="preserve"> </w:t>
                      </w:r>
                      <w:r>
                        <w:rPr>
                          <w:sz w:val="18"/>
                          <w:szCs w:val="18"/>
                        </w:rPr>
                        <w:t xml:space="preserve">9 602; </w:t>
                      </w:r>
                      <w:r>
                        <w:rPr>
                          <w:sz w:val="18"/>
                          <w:szCs w:val="18"/>
                        </w:rPr>
                        <w:br/>
                      </w:r>
                      <w:r w:rsidRPr="007C4FDB">
                        <w:rPr>
                          <w:sz w:val="18"/>
                          <w:szCs w:val="18"/>
                        </w:rPr>
                        <w:t>1,</w:t>
                      </w:r>
                      <w:r>
                        <w:rPr>
                          <w:sz w:val="18"/>
                          <w:szCs w:val="18"/>
                        </w:rPr>
                        <w:t>45</w:t>
                      </w:r>
                      <w:r w:rsidRPr="007C4FDB">
                        <w:rPr>
                          <w:sz w:val="18"/>
                          <w:szCs w:val="18"/>
                        </w:rPr>
                        <w:t>%</w:t>
                      </w:r>
                    </w:p>
                  </w:txbxContent>
                </v:textbox>
              </v:shape>
            </w:pict>
          </mc:Fallback>
        </mc:AlternateContent>
      </w:r>
      <w:r w:rsidRPr="0008336A">
        <w:rPr>
          <w:noProof/>
        </w:rPr>
        <mc:AlternateContent>
          <mc:Choice Requires="wps">
            <w:drawing>
              <wp:anchor distT="45720" distB="45720" distL="114300" distR="114300" simplePos="0" relativeHeight="251685888" behindDoc="0" locked="0" layoutInCell="1" allowOverlap="1" wp14:anchorId="1951F686" wp14:editId="2F39554D">
                <wp:simplePos x="0" y="0"/>
                <wp:positionH relativeFrom="column">
                  <wp:posOffset>6169111</wp:posOffset>
                </wp:positionH>
                <wp:positionV relativeFrom="paragraph">
                  <wp:posOffset>1751140</wp:posOffset>
                </wp:positionV>
                <wp:extent cx="1399986" cy="223520"/>
                <wp:effectExtent l="0" t="0" r="0" b="508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986" cy="223520"/>
                        </a:xfrm>
                        <a:prstGeom prst="rect">
                          <a:avLst/>
                        </a:prstGeom>
                        <a:solidFill>
                          <a:srgbClr val="FFFFFF"/>
                        </a:solidFill>
                        <a:ln w="9525">
                          <a:noFill/>
                          <a:miter lim="800000"/>
                          <a:headEnd/>
                          <a:tailEnd/>
                        </a:ln>
                      </wps:spPr>
                      <wps:txbx>
                        <w:txbxContent>
                          <w:p w14:paraId="27B4890A" w14:textId="1E8E8EC6"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Pr>
                                <w:sz w:val="18"/>
                                <w:szCs w:val="18"/>
                              </w:rPr>
                              <w:t>5</w:t>
                            </w:r>
                            <w:r w:rsidRPr="007C4FDB">
                              <w:rPr>
                                <w:sz w:val="18"/>
                                <w:szCs w:val="18"/>
                              </w:rPr>
                              <w:t>;</w:t>
                            </w:r>
                            <w:proofErr w:type="gramEnd"/>
                            <w:r w:rsidRPr="007C4FDB">
                              <w:rPr>
                                <w:sz w:val="18"/>
                                <w:szCs w:val="18"/>
                              </w:rPr>
                              <w:t xml:space="preserve"> </w:t>
                            </w:r>
                            <w:r>
                              <w:rPr>
                                <w:sz w:val="18"/>
                                <w:szCs w:val="18"/>
                              </w:rPr>
                              <w:t>38 972</w:t>
                            </w:r>
                            <w:r w:rsidRPr="007C4FDB">
                              <w:rPr>
                                <w:sz w:val="18"/>
                                <w:szCs w:val="18"/>
                              </w:rPr>
                              <w:t xml:space="preserve">; </w:t>
                            </w:r>
                            <w:r>
                              <w:rPr>
                                <w:sz w:val="18"/>
                                <w:szCs w:val="18"/>
                              </w:rPr>
                              <w:t>5,90</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1F686" id="_x0000_s1039" type="#_x0000_t202" style="position:absolute;margin-left:485.75pt;margin-top:137.9pt;width:110.25pt;height:17.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" stroked="f">
                <v:textbox>
                  <w:txbxContent>
                    <w:p w14:paraId="27B4890A" w14:textId="1E8E8EC6"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Pr>
                          <w:sz w:val="18"/>
                          <w:szCs w:val="18"/>
                        </w:rPr>
                        <w:t>5</w:t>
                      </w:r>
                      <w:r w:rsidRPr="007C4FDB">
                        <w:rPr>
                          <w:sz w:val="18"/>
                          <w:szCs w:val="18"/>
                        </w:rPr>
                        <w:t>;</w:t>
                      </w:r>
                      <w:proofErr w:type="gramEnd"/>
                      <w:r w:rsidRPr="007C4FDB">
                        <w:rPr>
                          <w:sz w:val="18"/>
                          <w:szCs w:val="18"/>
                        </w:rPr>
                        <w:t xml:space="preserve"> </w:t>
                      </w:r>
                      <w:r>
                        <w:rPr>
                          <w:sz w:val="18"/>
                          <w:szCs w:val="18"/>
                        </w:rPr>
                        <w:t>38 972</w:t>
                      </w:r>
                      <w:r w:rsidRPr="007C4FDB">
                        <w:rPr>
                          <w:sz w:val="18"/>
                          <w:szCs w:val="18"/>
                        </w:rPr>
                        <w:t xml:space="preserve">; </w:t>
                      </w:r>
                      <w:r>
                        <w:rPr>
                          <w:sz w:val="18"/>
                          <w:szCs w:val="18"/>
                        </w:rPr>
                        <w:t>5,90</w:t>
                      </w:r>
                      <w:r w:rsidRPr="007C4FDB">
                        <w:rPr>
                          <w:sz w:val="18"/>
                          <w:szCs w:val="18"/>
                        </w:rPr>
                        <w:t>%</w:t>
                      </w:r>
                    </w:p>
                  </w:txbxContent>
                </v:textbox>
              </v:shape>
            </w:pict>
          </mc:Fallback>
        </mc:AlternateContent>
      </w:r>
      <w:r w:rsidRPr="0008336A">
        <w:rPr>
          <w:noProof/>
        </w:rPr>
        <mc:AlternateContent>
          <mc:Choice Requires="wps">
            <w:drawing>
              <wp:anchor distT="45720" distB="45720" distL="114300" distR="114300" simplePos="0" relativeHeight="251683840" behindDoc="0" locked="0" layoutInCell="1" allowOverlap="1" wp14:anchorId="6EF73EB7" wp14:editId="6A86610F">
                <wp:simplePos x="0" y="0"/>
                <wp:positionH relativeFrom="column">
                  <wp:posOffset>7056215</wp:posOffset>
                </wp:positionH>
                <wp:positionV relativeFrom="paragraph">
                  <wp:posOffset>1143815</wp:posOffset>
                </wp:positionV>
                <wp:extent cx="1439839" cy="223520"/>
                <wp:effectExtent l="0" t="0" r="8255" b="50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839" cy="223520"/>
                        </a:xfrm>
                        <a:prstGeom prst="rect">
                          <a:avLst/>
                        </a:prstGeom>
                        <a:solidFill>
                          <a:srgbClr val="FFFFFF"/>
                        </a:solidFill>
                        <a:ln w="9525">
                          <a:noFill/>
                          <a:miter lim="800000"/>
                          <a:headEnd/>
                          <a:tailEnd/>
                        </a:ln>
                      </wps:spPr>
                      <wps:txbx>
                        <w:txbxContent>
                          <w:p w14:paraId="31ADCB87" w14:textId="5C757FB4"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Pr>
                                <w:sz w:val="18"/>
                                <w:szCs w:val="18"/>
                              </w:rPr>
                              <w:t>4</w:t>
                            </w:r>
                            <w:r w:rsidRPr="007C4FDB">
                              <w:rPr>
                                <w:sz w:val="18"/>
                                <w:szCs w:val="18"/>
                              </w:rPr>
                              <w:t>;</w:t>
                            </w:r>
                            <w:proofErr w:type="gramEnd"/>
                            <w:r w:rsidRPr="007C4FDB">
                              <w:rPr>
                                <w:sz w:val="18"/>
                                <w:szCs w:val="18"/>
                              </w:rPr>
                              <w:t xml:space="preserve"> </w:t>
                            </w:r>
                            <w:r>
                              <w:rPr>
                                <w:sz w:val="18"/>
                                <w:szCs w:val="18"/>
                              </w:rPr>
                              <w:t>26 531</w:t>
                            </w:r>
                            <w:r w:rsidRPr="007C4FDB">
                              <w:rPr>
                                <w:sz w:val="18"/>
                                <w:szCs w:val="18"/>
                              </w:rPr>
                              <w:t xml:space="preserve">; </w:t>
                            </w:r>
                            <w:r>
                              <w:rPr>
                                <w:sz w:val="18"/>
                                <w:szCs w:val="18"/>
                              </w:rPr>
                              <w:t>4,01</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73EB7" id="_x0000_s1040" type="#_x0000_t202" style="position:absolute;margin-left:555.6pt;margin-top:90.05pt;width:113.35pt;height:17.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" stroked="f">
                <v:textbox>
                  <w:txbxContent>
                    <w:p w14:paraId="31ADCB87" w14:textId="5C757FB4"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Pr>
                          <w:sz w:val="18"/>
                          <w:szCs w:val="18"/>
                        </w:rPr>
                        <w:t>4</w:t>
                      </w:r>
                      <w:r w:rsidRPr="007C4FDB">
                        <w:rPr>
                          <w:sz w:val="18"/>
                          <w:szCs w:val="18"/>
                        </w:rPr>
                        <w:t>;</w:t>
                      </w:r>
                      <w:proofErr w:type="gramEnd"/>
                      <w:r w:rsidRPr="007C4FDB">
                        <w:rPr>
                          <w:sz w:val="18"/>
                          <w:szCs w:val="18"/>
                        </w:rPr>
                        <w:t xml:space="preserve"> </w:t>
                      </w:r>
                      <w:r>
                        <w:rPr>
                          <w:sz w:val="18"/>
                          <w:szCs w:val="18"/>
                        </w:rPr>
                        <w:t>26 531</w:t>
                      </w:r>
                      <w:r w:rsidRPr="007C4FDB">
                        <w:rPr>
                          <w:sz w:val="18"/>
                          <w:szCs w:val="18"/>
                        </w:rPr>
                        <w:t xml:space="preserve">; </w:t>
                      </w:r>
                      <w:r>
                        <w:rPr>
                          <w:sz w:val="18"/>
                          <w:szCs w:val="18"/>
                        </w:rPr>
                        <w:t>4,01</w:t>
                      </w:r>
                      <w:r w:rsidRPr="007C4FDB">
                        <w:rPr>
                          <w:sz w:val="18"/>
                          <w:szCs w:val="18"/>
                        </w:rPr>
                        <w:t>%</w:t>
                      </w:r>
                    </w:p>
                  </w:txbxContent>
                </v:textbox>
              </v:shape>
            </w:pict>
          </mc:Fallback>
        </mc:AlternateContent>
      </w:r>
      <w:r w:rsidRPr="0008336A">
        <w:rPr>
          <w:noProof/>
        </w:rPr>
        <mc:AlternateContent>
          <mc:Choice Requires="wps">
            <w:drawing>
              <wp:anchor distT="45720" distB="45720" distL="114300" distR="114300" simplePos="0" relativeHeight="251681792" behindDoc="0" locked="0" layoutInCell="1" allowOverlap="1" wp14:anchorId="358451E6" wp14:editId="1DD3B60A">
                <wp:simplePos x="0" y="0"/>
                <wp:positionH relativeFrom="column">
                  <wp:posOffset>6312412</wp:posOffset>
                </wp:positionH>
                <wp:positionV relativeFrom="paragraph">
                  <wp:posOffset>823093</wp:posOffset>
                </wp:positionV>
                <wp:extent cx="1460310" cy="223520"/>
                <wp:effectExtent l="0" t="0" r="6985"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10" cy="223520"/>
                        </a:xfrm>
                        <a:prstGeom prst="rect">
                          <a:avLst/>
                        </a:prstGeom>
                        <a:solidFill>
                          <a:srgbClr val="FFFFFF"/>
                        </a:solidFill>
                        <a:ln w="9525">
                          <a:noFill/>
                          <a:miter lim="800000"/>
                          <a:headEnd/>
                          <a:tailEnd/>
                        </a:ln>
                      </wps:spPr>
                      <wps:txbx>
                        <w:txbxContent>
                          <w:p w14:paraId="2311CCEC" w14:textId="2EA86B97"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Pr>
                                <w:sz w:val="18"/>
                                <w:szCs w:val="18"/>
                              </w:rPr>
                              <w:t>3</w:t>
                            </w:r>
                            <w:r w:rsidRPr="007C4FDB">
                              <w:rPr>
                                <w:sz w:val="18"/>
                                <w:szCs w:val="18"/>
                              </w:rPr>
                              <w:t>;</w:t>
                            </w:r>
                            <w:proofErr w:type="gramEnd"/>
                            <w:r w:rsidRPr="007C4FDB">
                              <w:rPr>
                                <w:sz w:val="18"/>
                                <w:szCs w:val="18"/>
                              </w:rPr>
                              <w:t xml:space="preserve"> </w:t>
                            </w:r>
                            <w:r>
                              <w:rPr>
                                <w:sz w:val="18"/>
                                <w:szCs w:val="18"/>
                              </w:rPr>
                              <w:t>41 793</w:t>
                            </w:r>
                            <w:r w:rsidRPr="007C4FDB">
                              <w:rPr>
                                <w:sz w:val="18"/>
                                <w:szCs w:val="18"/>
                              </w:rPr>
                              <w:t xml:space="preserve">; </w:t>
                            </w:r>
                            <w:r>
                              <w:rPr>
                                <w:sz w:val="18"/>
                                <w:szCs w:val="18"/>
                              </w:rPr>
                              <w:t>6,32</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451E6" id="_x0000_s1041" type="#_x0000_t202" style="position:absolute;margin-left:497.05pt;margin-top:64.8pt;width:115pt;height:17.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" stroked="f">
                <v:textbox>
                  <w:txbxContent>
                    <w:p w14:paraId="2311CCEC" w14:textId="2EA86B97"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Pr>
                          <w:sz w:val="18"/>
                          <w:szCs w:val="18"/>
                        </w:rPr>
                        <w:t>3</w:t>
                      </w:r>
                      <w:r w:rsidRPr="007C4FDB">
                        <w:rPr>
                          <w:sz w:val="18"/>
                          <w:szCs w:val="18"/>
                        </w:rPr>
                        <w:t>;</w:t>
                      </w:r>
                      <w:proofErr w:type="gramEnd"/>
                      <w:r w:rsidRPr="007C4FDB">
                        <w:rPr>
                          <w:sz w:val="18"/>
                          <w:szCs w:val="18"/>
                        </w:rPr>
                        <w:t xml:space="preserve"> </w:t>
                      </w:r>
                      <w:r>
                        <w:rPr>
                          <w:sz w:val="18"/>
                          <w:szCs w:val="18"/>
                        </w:rPr>
                        <w:t>41 793</w:t>
                      </w:r>
                      <w:r w:rsidRPr="007C4FDB">
                        <w:rPr>
                          <w:sz w:val="18"/>
                          <w:szCs w:val="18"/>
                        </w:rPr>
                        <w:t xml:space="preserve">; </w:t>
                      </w:r>
                      <w:r>
                        <w:rPr>
                          <w:sz w:val="18"/>
                          <w:szCs w:val="18"/>
                        </w:rPr>
                        <w:t>6,32</w:t>
                      </w:r>
                      <w:r w:rsidRPr="007C4FDB">
                        <w:rPr>
                          <w:sz w:val="18"/>
                          <w:szCs w:val="18"/>
                        </w:rPr>
                        <w:t>%</w:t>
                      </w:r>
                    </w:p>
                  </w:txbxContent>
                </v:textbox>
              </v:shape>
            </w:pict>
          </mc:Fallback>
        </mc:AlternateContent>
      </w:r>
      <w:r w:rsidRPr="0008336A">
        <w:rPr>
          <w:noProof/>
        </w:rPr>
        <mc:AlternateContent>
          <mc:Choice Requires="wps">
            <w:drawing>
              <wp:anchor distT="45720" distB="45720" distL="114300" distR="114300" simplePos="0" relativeHeight="251679744" behindDoc="0" locked="0" layoutInCell="1" allowOverlap="1" wp14:anchorId="16BCC2D3" wp14:editId="3B7D9C53">
                <wp:simplePos x="0" y="0"/>
                <wp:positionH relativeFrom="column">
                  <wp:posOffset>5827916</wp:posOffset>
                </wp:positionH>
                <wp:positionV relativeFrom="paragraph">
                  <wp:posOffset>556961</wp:posOffset>
                </wp:positionV>
                <wp:extent cx="1426191" cy="223520"/>
                <wp:effectExtent l="0" t="0" r="3175" b="50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191" cy="223520"/>
                        </a:xfrm>
                        <a:prstGeom prst="rect">
                          <a:avLst/>
                        </a:prstGeom>
                        <a:solidFill>
                          <a:srgbClr val="FFFFFF"/>
                        </a:solidFill>
                        <a:ln w="9525">
                          <a:noFill/>
                          <a:miter lim="800000"/>
                          <a:headEnd/>
                          <a:tailEnd/>
                        </a:ln>
                      </wps:spPr>
                      <wps:txbx>
                        <w:txbxContent>
                          <w:p w14:paraId="0CDD938F" w14:textId="3BF257BF"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2;</w:t>
                            </w:r>
                            <w:proofErr w:type="gramEnd"/>
                            <w:r w:rsidRPr="007C4FDB">
                              <w:rPr>
                                <w:sz w:val="18"/>
                                <w:szCs w:val="18"/>
                              </w:rPr>
                              <w:t xml:space="preserve"> </w:t>
                            </w:r>
                            <w:r>
                              <w:rPr>
                                <w:sz w:val="18"/>
                                <w:szCs w:val="18"/>
                              </w:rPr>
                              <w:t>11 149</w:t>
                            </w:r>
                            <w:r w:rsidRPr="007C4FDB">
                              <w:rPr>
                                <w:sz w:val="18"/>
                                <w:szCs w:val="18"/>
                              </w:rPr>
                              <w:t>; 1,</w:t>
                            </w:r>
                            <w:r>
                              <w:rPr>
                                <w:sz w:val="18"/>
                                <w:szCs w:val="18"/>
                              </w:rPr>
                              <w:t>69</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C2D3" id="_x0000_s1042" type="#_x0000_t202" style="position:absolute;margin-left:458.9pt;margin-top:43.85pt;width:112.3pt;height:17.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" stroked="f">
                <v:textbox>
                  <w:txbxContent>
                    <w:p w14:paraId="0CDD938F" w14:textId="3BF257BF"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2;</w:t>
                      </w:r>
                      <w:proofErr w:type="gramEnd"/>
                      <w:r w:rsidRPr="007C4FDB">
                        <w:rPr>
                          <w:sz w:val="18"/>
                          <w:szCs w:val="18"/>
                        </w:rPr>
                        <w:t xml:space="preserve"> </w:t>
                      </w:r>
                      <w:r>
                        <w:rPr>
                          <w:sz w:val="18"/>
                          <w:szCs w:val="18"/>
                        </w:rPr>
                        <w:t>11 149</w:t>
                      </w:r>
                      <w:r w:rsidRPr="007C4FDB">
                        <w:rPr>
                          <w:sz w:val="18"/>
                          <w:szCs w:val="18"/>
                        </w:rPr>
                        <w:t>; 1,</w:t>
                      </w:r>
                      <w:r>
                        <w:rPr>
                          <w:sz w:val="18"/>
                          <w:szCs w:val="18"/>
                        </w:rPr>
                        <w:t>69</w:t>
                      </w:r>
                      <w:r w:rsidRPr="007C4FDB">
                        <w:rPr>
                          <w:sz w:val="18"/>
                          <w:szCs w:val="18"/>
                        </w:rPr>
                        <w:t>%</w:t>
                      </w:r>
                    </w:p>
                  </w:txbxContent>
                </v:textbox>
              </v:shape>
            </w:pict>
          </mc:Fallback>
        </mc:AlternateContent>
      </w:r>
      <w:r w:rsidRPr="0008336A">
        <w:rPr>
          <w:noProof/>
        </w:rPr>
        <mc:AlternateContent>
          <mc:Choice Requires="wps">
            <w:drawing>
              <wp:anchor distT="45720" distB="45720" distL="114300" distR="114300" simplePos="0" relativeHeight="251677696" behindDoc="0" locked="0" layoutInCell="1" allowOverlap="1" wp14:anchorId="055EAFA4" wp14:editId="1D19E775">
                <wp:simplePos x="0" y="0"/>
                <wp:positionH relativeFrom="column">
                  <wp:posOffset>4394901</wp:posOffset>
                </wp:positionH>
                <wp:positionV relativeFrom="paragraph">
                  <wp:posOffset>556961</wp:posOffset>
                </wp:positionV>
                <wp:extent cx="1364776" cy="223520"/>
                <wp:effectExtent l="0" t="0" r="6985"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23520"/>
                        </a:xfrm>
                        <a:prstGeom prst="rect">
                          <a:avLst/>
                        </a:prstGeom>
                        <a:solidFill>
                          <a:srgbClr val="FFFFFF"/>
                        </a:solidFill>
                        <a:ln w="9525">
                          <a:noFill/>
                          <a:miter lim="800000"/>
                          <a:headEnd/>
                          <a:tailEnd/>
                        </a:ln>
                      </wps:spPr>
                      <wps:txbx>
                        <w:txbxContent>
                          <w:p w14:paraId="5D357B19" w14:textId="1FEC0F6B"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w:t>
                            </w:r>
                            <w:proofErr w:type="gramEnd"/>
                            <w:r w:rsidRPr="007C4FDB">
                              <w:rPr>
                                <w:sz w:val="18"/>
                                <w:szCs w:val="18"/>
                              </w:rPr>
                              <w:t xml:space="preserve"> </w:t>
                            </w:r>
                            <w:r>
                              <w:rPr>
                                <w:sz w:val="18"/>
                                <w:szCs w:val="18"/>
                              </w:rPr>
                              <w:t>41 652</w:t>
                            </w:r>
                            <w:r w:rsidRPr="007C4FDB">
                              <w:rPr>
                                <w:sz w:val="18"/>
                                <w:szCs w:val="18"/>
                              </w:rPr>
                              <w:t xml:space="preserve">; </w:t>
                            </w:r>
                            <w:r>
                              <w:rPr>
                                <w:sz w:val="18"/>
                                <w:szCs w:val="18"/>
                              </w:rPr>
                              <w:t>6,30</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EAFA4" id="_x0000_s1043" type="#_x0000_t202" style="position:absolute;margin-left:346.05pt;margin-top:43.85pt;width:107.45pt;height:17.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" stroked="f">
                <v:textbox>
                  <w:txbxContent>
                    <w:p w14:paraId="5D357B19" w14:textId="1FEC0F6B"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w:t>
                      </w:r>
                      <w:proofErr w:type="gramEnd"/>
                      <w:r w:rsidRPr="007C4FDB">
                        <w:rPr>
                          <w:sz w:val="18"/>
                          <w:szCs w:val="18"/>
                        </w:rPr>
                        <w:t xml:space="preserve"> </w:t>
                      </w:r>
                      <w:r>
                        <w:rPr>
                          <w:sz w:val="18"/>
                          <w:szCs w:val="18"/>
                        </w:rPr>
                        <w:t>41 652</w:t>
                      </w:r>
                      <w:r w:rsidRPr="007C4FDB">
                        <w:rPr>
                          <w:sz w:val="18"/>
                          <w:szCs w:val="18"/>
                        </w:rPr>
                        <w:t xml:space="preserve">; </w:t>
                      </w:r>
                      <w:r>
                        <w:rPr>
                          <w:sz w:val="18"/>
                          <w:szCs w:val="18"/>
                        </w:rPr>
                        <w:t>6,30</w:t>
                      </w:r>
                      <w:r w:rsidRPr="007C4FDB">
                        <w:rPr>
                          <w:sz w:val="18"/>
                          <w:szCs w:val="18"/>
                        </w:rPr>
                        <w:t>%</w:t>
                      </w:r>
                    </w:p>
                  </w:txbxContent>
                </v:textbox>
              </v:shape>
            </w:pict>
          </mc:Fallback>
        </mc:AlternateContent>
      </w:r>
      <w:r w:rsidRPr="0008336A">
        <w:rPr>
          <w:noProof/>
        </w:rPr>
        <mc:AlternateContent>
          <mc:Choice Requires="wps">
            <w:drawing>
              <wp:anchor distT="45720" distB="45720" distL="114300" distR="114300" simplePos="0" relativeHeight="251675648" behindDoc="0" locked="0" layoutInCell="1" allowOverlap="1" wp14:anchorId="280A5D87" wp14:editId="3646315F">
                <wp:simplePos x="0" y="0"/>
                <wp:positionH relativeFrom="column">
                  <wp:posOffset>2880001</wp:posOffset>
                </wp:positionH>
                <wp:positionV relativeFrom="paragraph">
                  <wp:posOffset>570609</wp:posOffset>
                </wp:positionV>
                <wp:extent cx="1454576" cy="2235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576" cy="223520"/>
                        </a:xfrm>
                        <a:prstGeom prst="rect">
                          <a:avLst/>
                        </a:prstGeom>
                        <a:solidFill>
                          <a:srgbClr val="FFFFFF"/>
                        </a:solidFill>
                        <a:ln w="9525">
                          <a:noFill/>
                          <a:miter lim="800000"/>
                          <a:headEnd/>
                          <a:tailEnd/>
                        </a:ln>
                      </wps:spPr>
                      <wps:txbx>
                        <w:txbxContent>
                          <w:p w14:paraId="629109CF" w14:textId="713E4D5B"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w:t>
                            </w:r>
                            <w:r>
                              <w:rPr>
                                <w:sz w:val="18"/>
                                <w:szCs w:val="18"/>
                              </w:rPr>
                              <w:t>7</w:t>
                            </w:r>
                            <w:r w:rsidRPr="007C4FDB">
                              <w:rPr>
                                <w:sz w:val="18"/>
                                <w:szCs w:val="18"/>
                              </w:rPr>
                              <w:t>;</w:t>
                            </w:r>
                            <w:proofErr w:type="gramEnd"/>
                            <w:r w:rsidRPr="007C4FDB">
                              <w:rPr>
                                <w:sz w:val="18"/>
                                <w:szCs w:val="18"/>
                              </w:rPr>
                              <w:t xml:space="preserve"> </w:t>
                            </w:r>
                            <w:r>
                              <w:rPr>
                                <w:sz w:val="18"/>
                                <w:szCs w:val="18"/>
                              </w:rPr>
                              <w:t>47 629</w:t>
                            </w:r>
                            <w:r w:rsidRPr="007C4FDB">
                              <w:rPr>
                                <w:sz w:val="18"/>
                                <w:szCs w:val="18"/>
                              </w:rPr>
                              <w:t xml:space="preserve">; </w:t>
                            </w:r>
                            <w:r>
                              <w:rPr>
                                <w:sz w:val="18"/>
                                <w:szCs w:val="18"/>
                              </w:rPr>
                              <w:t>7,21</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A5D87" id="_x0000_s1044" type="#_x0000_t202" style="position:absolute;margin-left:226.75pt;margin-top:44.95pt;width:114.55pt;height:17.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" stroked="f">
                <v:textbox>
                  <w:txbxContent>
                    <w:p w14:paraId="629109CF" w14:textId="713E4D5B"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w:t>
                      </w:r>
                      <w:r>
                        <w:rPr>
                          <w:sz w:val="18"/>
                          <w:szCs w:val="18"/>
                        </w:rPr>
                        <w:t>7</w:t>
                      </w:r>
                      <w:r w:rsidRPr="007C4FDB">
                        <w:rPr>
                          <w:sz w:val="18"/>
                          <w:szCs w:val="18"/>
                        </w:rPr>
                        <w:t>;</w:t>
                      </w:r>
                      <w:proofErr w:type="gramEnd"/>
                      <w:r w:rsidRPr="007C4FDB">
                        <w:rPr>
                          <w:sz w:val="18"/>
                          <w:szCs w:val="18"/>
                        </w:rPr>
                        <w:t xml:space="preserve"> </w:t>
                      </w:r>
                      <w:r>
                        <w:rPr>
                          <w:sz w:val="18"/>
                          <w:szCs w:val="18"/>
                        </w:rPr>
                        <w:t>47 629</w:t>
                      </w:r>
                      <w:r w:rsidRPr="007C4FDB">
                        <w:rPr>
                          <w:sz w:val="18"/>
                          <w:szCs w:val="18"/>
                        </w:rPr>
                        <w:t xml:space="preserve">; </w:t>
                      </w:r>
                      <w:r>
                        <w:rPr>
                          <w:sz w:val="18"/>
                          <w:szCs w:val="18"/>
                        </w:rPr>
                        <w:t>7,21</w:t>
                      </w:r>
                      <w:r w:rsidRPr="007C4FDB">
                        <w:rPr>
                          <w:sz w:val="18"/>
                          <w:szCs w:val="18"/>
                        </w:rPr>
                        <w:t>%</w:t>
                      </w:r>
                    </w:p>
                  </w:txbxContent>
                </v:textbox>
              </v:shape>
            </w:pict>
          </mc:Fallback>
        </mc:AlternateContent>
      </w:r>
      <w:r w:rsidRPr="0008336A">
        <w:rPr>
          <w:noProof/>
        </w:rPr>
        <mc:AlternateContent>
          <mc:Choice Requires="wps">
            <w:drawing>
              <wp:anchor distT="45720" distB="45720" distL="114300" distR="114300" simplePos="0" relativeHeight="251694080" behindDoc="0" locked="0" layoutInCell="1" allowOverlap="1" wp14:anchorId="5D6CBA80" wp14:editId="7777BD05">
                <wp:simplePos x="0" y="0"/>
                <wp:positionH relativeFrom="column">
                  <wp:posOffset>3746633</wp:posOffset>
                </wp:positionH>
                <wp:positionV relativeFrom="paragraph">
                  <wp:posOffset>3689123</wp:posOffset>
                </wp:positionV>
                <wp:extent cx="1576316" cy="230588"/>
                <wp:effectExtent l="0" t="0" r="508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316" cy="230588"/>
                        </a:xfrm>
                        <a:prstGeom prst="rect">
                          <a:avLst/>
                        </a:prstGeom>
                        <a:solidFill>
                          <a:srgbClr val="FFFFFF"/>
                        </a:solidFill>
                        <a:ln w="9525">
                          <a:noFill/>
                          <a:miter lim="800000"/>
                          <a:headEnd/>
                          <a:tailEnd/>
                        </a:ln>
                      </wps:spPr>
                      <wps:txbx>
                        <w:txbxContent>
                          <w:p w14:paraId="4434FD53" w14:textId="7860442F" w:rsidR="00E13D84" w:rsidRPr="007C4FDB" w:rsidRDefault="00E13D84" w:rsidP="00A45A32">
                            <w:pPr>
                              <w:spacing w:before="0"/>
                              <w:jc w:val="center"/>
                              <w:rPr>
                                <w:sz w:val="18"/>
                                <w:szCs w:val="18"/>
                              </w:rPr>
                            </w:pPr>
                            <w:r>
                              <w:rPr>
                                <w:sz w:val="18"/>
                                <w:szCs w:val="18"/>
                              </w:rPr>
                              <w:t>Objectif</w:t>
                            </w:r>
                            <w:r w:rsidRPr="007C4FDB">
                              <w:rPr>
                                <w:sz w:val="18"/>
                                <w:szCs w:val="18"/>
                              </w:rPr>
                              <w:t xml:space="preserve"> </w:t>
                            </w:r>
                            <w:proofErr w:type="gramStart"/>
                            <w:r>
                              <w:rPr>
                                <w:sz w:val="18"/>
                                <w:szCs w:val="18"/>
                              </w:rPr>
                              <w:t>9;</w:t>
                            </w:r>
                            <w:proofErr w:type="gramEnd"/>
                            <w:r>
                              <w:rPr>
                                <w:sz w:val="18"/>
                                <w:szCs w:val="18"/>
                              </w:rPr>
                              <w:t xml:space="preserve"> 241 055</w:t>
                            </w:r>
                            <w:r w:rsidRPr="007C4FDB">
                              <w:rPr>
                                <w:sz w:val="18"/>
                                <w:szCs w:val="18"/>
                              </w:rPr>
                              <w:t xml:space="preserve">; </w:t>
                            </w:r>
                            <w:r>
                              <w:rPr>
                                <w:sz w:val="18"/>
                                <w:szCs w:val="18"/>
                              </w:rPr>
                              <w:t>36,47</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CBA80" id="_x0000_s1045" type="#_x0000_t202" style="position:absolute;margin-left:295pt;margin-top:290.5pt;width:124.1pt;height:18.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" stroked="f">
                <v:textbox>
                  <w:txbxContent>
                    <w:p w14:paraId="4434FD53" w14:textId="7860442F" w:rsidR="00E13D84" w:rsidRPr="007C4FDB" w:rsidRDefault="00E13D84" w:rsidP="00A45A32">
                      <w:pPr>
                        <w:spacing w:before="0"/>
                        <w:jc w:val="center"/>
                        <w:rPr>
                          <w:sz w:val="18"/>
                          <w:szCs w:val="18"/>
                        </w:rPr>
                      </w:pPr>
                      <w:r>
                        <w:rPr>
                          <w:sz w:val="18"/>
                          <w:szCs w:val="18"/>
                        </w:rPr>
                        <w:t>Objectif</w:t>
                      </w:r>
                      <w:r w:rsidRPr="007C4FDB">
                        <w:rPr>
                          <w:sz w:val="18"/>
                          <w:szCs w:val="18"/>
                        </w:rPr>
                        <w:t xml:space="preserve"> </w:t>
                      </w:r>
                      <w:proofErr w:type="gramStart"/>
                      <w:r>
                        <w:rPr>
                          <w:sz w:val="18"/>
                          <w:szCs w:val="18"/>
                        </w:rPr>
                        <w:t>9;</w:t>
                      </w:r>
                      <w:proofErr w:type="gramEnd"/>
                      <w:r>
                        <w:rPr>
                          <w:sz w:val="18"/>
                          <w:szCs w:val="18"/>
                        </w:rPr>
                        <w:t xml:space="preserve"> 241 055</w:t>
                      </w:r>
                      <w:r w:rsidRPr="007C4FDB">
                        <w:rPr>
                          <w:sz w:val="18"/>
                          <w:szCs w:val="18"/>
                        </w:rPr>
                        <w:t xml:space="preserve">; </w:t>
                      </w:r>
                      <w:r>
                        <w:rPr>
                          <w:sz w:val="18"/>
                          <w:szCs w:val="18"/>
                        </w:rPr>
                        <w:t>36,47</w:t>
                      </w:r>
                      <w:r w:rsidRPr="007C4FDB">
                        <w:rPr>
                          <w:sz w:val="18"/>
                          <w:szCs w:val="18"/>
                        </w:rPr>
                        <w:t>%</w:t>
                      </w:r>
                    </w:p>
                  </w:txbxContent>
                </v:textbox>
              </v:shape>
            </w:pict>
          </mc:Fallback>
        </mc:AlternateContent>
      </w:r>
      <w:r w:rsidRPr="0008336A">
        <w:rPr>
          <w:noProof/>
        </w:rPr>
        <mc:AlternateContent>
          <mc:Choice Requires="wps">
            <w:drawing>
              <wp:anchor distT="45720" distB="45720" distL="114300" distR="114300" simplePos="0" relativeHeight="251673600" behindDoc="0" locked="0" layoutInCell="1" allowOverlap="1" wp14:anchorId="504476CA" wp14:editId="5BFDD0E5">
                <wp:simplePos x="0" y="0"/>
                <wp:positionH relativeFrom="column">
                  <wp:posOffset>1146734</wp:posOffset>
                </wp:positionH>
                <wp:positionV relativeFrom="paragraph">
                  <wp:posOffset>2221988</wp:posOffset>
                </wp:positionV>
                <wp:extent cx="1453487" cy="223520"/>
                <wp:effectExtent l="0" t="0" r="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223520"/>
                        </a:xfrm>
                        <a:prstGeom prst="rect">
                          <a:avLst/>
                        </a:prstGeom>
                        <a:solidFill>
                          <a:srgbClr val="FFFFFF"/>
                        </a:solidFill>
                        <a:ln w="9525">
                          <a:noFill/>
                          <a:miter lim="800000"/>
                          <a:headEnd/>
                          <a:tailEnd/>
                        </a:ln>
                      </wps:spPr>
                      <wps:txbx>
                        <w:txbxContent>
                          <w:p w14:paraId="2BEE3DFD" w14:textId="53E53A50"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w:t>
                            </w:r>
                            <w:r>
                              <w:rPr>
                                <w:sz w:val="18"/>
                                <w:szCs w:val="18"/>
                              </w:rPr>
                              <w:t>0</w:t>
                            </w:r>
                            <w:r w:rsidRPr="007C4FDB">
                              <w:rPr>
                                <w:sz w:val="18"/>
                                <w:szCs w:val="18"/>
                              </w:rPr>
                              <w:t>;</w:t>
                            </w:r>
                            <w:proofErr w:type="gramEnd"/>
                            <w:r w:rsidRPr="007C4FDB">
                              <w:rPr>
                                <w:sz w:val="18"/>
                                <w:szCs w:val="18"/>
                              </w:rPr>
                              <w:t xml:space="preserve"> </w:t>
                            </w:r>
                            <w:r>
                              <w:rPr>
                                <w:sz w:val="18"/>
                                <w:szCs w:val="18"/>
                              </w:rPr>
                              <w:t>37 826</w:t>
                            </w:r>
                            <w:r w:rsidRPr="007C4FDB">
                              <w:rPr>
                                <w:sz w:val="18"/>
                                <w:szCs w:val="18"/>
                              </w:rPr>
                              <w:t xml:space="preserve">; </w:t>
                            </w:r>
                            <w:r>
                              <w:rPr>
                                <w:sz w:val="18"/>
                                <w:szCs w:val="18"/>
                              </w:rPr>
                              <w:t>5,72</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476CA" id="_x0000_s1046" type="#_x0000_t202" style="position:absolute;margin-left:90.3pt;margin-top:174.95pt;width:114.45pt;height:17.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" stroked="f">
                <v:textbox>
                  <w:txbxContent>
                    <w:p w14:paraId="2BEE3DFD" w14:textId="53E53A50"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w:t>
                      </w:r>
                      <w:r>
                        <w:rPr>
                          <w:sz w:val="18"/>
                          <w:szCs w:val="18"/>
                        </w:rPr>
                        <w:t>0</w:t>
                      </w:r>
                      <w:r w:rsidRPr="007C4FDB">
                        <w:rPr>
                          <w:sz w:val="18"/>
                          <w:szCs w:val="18"/>
                        </w:rPr>
                        <w:t>;</w:t>
                      </w:r>
                      <w:proofErr w:type="gramEnd"/>
                      <w:r w:rsidRPr="007C4FDB">
                        <w:rPr>
                          <w:sz w:val="18"/>
                          <w:szCs w:val="18"/>
                        </w:rPr>
                        <w:t xml:space="preserve"> </w:t>
                      </w:r>
                      <w:r>
                        <w:rPr>
                          <w:sz w:val="18"/>
                          <w:szCs w:val="18"/>
                        </w:rPr>
                        <w:t>37 826</w:t>
                      </w:r>
                      <w:r w:rsidRPr="007C4FDB">
                        <w:rPr>
                          <w:sz w:val="18"/>
                          <w:szCs w:val="18"/>
                        </w:rPr>
                        <w:t xml:space="preserve">; </w:t>
                      </w:r>
                      <w:r>
                        <w:rPr>
                          <w:sz w:val="18"/>
                          <w:szCs w:val="18"/>
                        </w:rPr>
                        <w:t>5,72</w:t>
                      </w:r>
                      <w:r w:rsidRPr="007C4FDB">
                        <w:rPr>
                          <w:sz w:val="18"/>
                          <w:szCs w:val="18"/>
                        </w:rPr>
                        <w:t>%</w:t>
                      </w:r>
                    </w:p>
                  </w:txbxContent>
                </v:textbox>
              </v:shape>
            </w:pict>
          </mc:Fallback>
        </mc:AlternateContent>
      </w:r>
      <w:r w:rsidRPr="0008336A">
        <w:rPr>
          <w:noProof/>
        </w:rPr>
        <mc:AlternateContent>
          <mc:Choice Requires="wps">
            <w:drawing>
              <wp:anchor distT="45720" distB="45720" distL="114300" distR="114300" simplePos="0" relativeHeight="251671552" behindDoc="0" locked="0" layoutInCell="1" allowOverlap="1" wp14:anchorId="6A2CC615" wp14:editId="41D355A1">
                <wp:simplePos x="0" y="0"/>
                <wp:positionH relativeFrom="column">
                  <wp:posOffset>1208149</wp:posOffset>
                </wp:positionH>
                <wp:positionV relativeFrom="paragraph">
                  <wp:posOffset>1873970</wp:posOffset>
                </wp:positionV>
                <wp:extent cx="1467134" cy="22352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134" cy="223520"/>
                        </a:xfrm>
                        <a:prstGeom prst="rect">
                          <a:avLst/>
                        </a:prstGeom>
                        <a:solidFill>
                          <a:srgbClr val="FFFFFF"/>
                        </a:solidFill>
                        <a:ln w="9525">
                          <a:noFill/>
                          <a:miter lim="800000"/>
                          <a:headEnd/>
                          <a:tailEnd/>
                        </a:ln>
                      </wps:spPr>
                      <wps:txbx>
                        <w:txbxContent>
                          <w:p w14:paraId="33DDD2CE" w14:textId="1D62862C"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w:t>
                            </w:r>
                            <w:r>
                              <w:rPr>
                                <w:sz w:val="18"/>
                                <w:szCs w:val="18"/>
                              </w:rPr>
                              <w:t>1</w:t>
                            </w:r>
                            <w:r w:rsidRPr="007C4FDB">
                              <w:rPr>
                                <w:sz w:val="18"/>
                                <w:szCs w:val="18"/>
                              </w:rPr>
                              <w:t>;</w:t>
                            </w:r>
                            <w:proofErr w:type="gramEnd"/>
                            <w:r w:rsidRPr="007C4FDB">
                              <w:rPr>
                                <w:sz w:val="18"/>
                                <w:szCs w:val="18"/>
                              </w:rPr>
                              <w:t xml:space="preserve"> </w:t>
                            </w:r>
                            <w:r>
                              <w:rPr>
                                <w:sz w:val="18"/>
                                <w:szCs w:val="18"/>
                              </w:rPr>
                              <w:t>38 831</w:t>
                            </w:r>
                            <w:r w:rsidRPr="007C4FDB">
                              <w:rPr>
                                <w:sz w:val="18"/>
                                <w:szCs w:val="18"/>
                              </w:rPr>
                              <w:t xml:space="preserve">; </w:t>
                            </w:r>
                            <w:r>
                              <w:rPr>
                                <w:sz w:val="18"/>
                                <w:szCs w:val="18"/>
                              </w:rPr>
                              <w:t>5,88</w:t>
                            </w:r>
                            <w:r w:rsidRPr="007C4FD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CC615" id="_x0000_s1047" type="#_x0000_t202" style="position:absolute;margin-left:95.15pt;margin-top:147.55pt;width:115.5pt;height:17.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" stroked="f">
                <v:textbox>
                  <w:txbxContent>
                    <w:p w14:paraId="33DDD2CE" w14:textId="1D62862C"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w:t>
                      </w:r>
                      <w:r>
                        <w:rPr>
                          <w:sz w:val="18"/>
                          <w:szCs w:val="18"/>
                        </w:rPr>
                        <w:t>1</w:t>
                      </w:r>
                      <w:r w:rsidRPr="007C4FDB">
                        <w:rPr>
                          <w:sz w:val="18"/>
                          <w:szCs w:val="18"/>
                        </w:rPr>
                        <w:t>;</w:t>
                      </w:r>
                      <w:proofErr w:type="gramEnd"/>
                      <w:r w:rsidRPr="007C4FDB">
                        <w:rPr>
                          <w:sz w:val="18"/>
                          <w:szCs w:val="18"/>
                        </w:rPr>
                        <w:t xml:space="preserve"> </w:t>
                      </w:r>
                      <w:r>
                        <w:rPr>
                          <w:sz w:val="18"/>
                          <w:szCs w:val="18"/>
                        </w:rPr>
                        <w:t>38 831</w:t>
                      </w:r>
                      <w:r w:rsidRPr="007C4FDB">
                        <w:rPr>
                          <w:sz w:val="18"/>
                          <w:szCs w:val="18"/>
                        </w:rPr>
                        <w:t xml:space="preserve">; </w:t>
                      </w:r>
                      <w:r>
                        <w:rPr>
                          <w:sz w:val="18"/>
                          <w:szCs w:val="18"/>
                        </w:rPr>
                        <w:t>5,88</w:t>
                      </w:r>
                      <w:r w:rsidRPr="007C4FDB">
                        <w:rPr>
                          <w:sz w:val="18"/>
                          <w:szCs w:val="18"/>
                        </w:rPr>
                        <w:t>%</w:t>
                      </w:r>
                    </w:p>
                  </w:txbxContent>
                </v:textbox>
              </v:shape>
            </w:pict>
          </mc:Fallback>
        </mc:AlternateContent>
      </w:r>
      <w:r w:rsidR="00416C0C" w:rsidRPr="0008336A">
        <w:rPr>
          <w:noProof/>
        </w:rPr>
        <mc:AlternateContent>
          <mc:Choice Requires="wps">
            <w:drawing>
              <wp:anchor distT="45720" distB="45720" distL="114300" distR="114300" simplePos="0" relativeHeight="251669504" behindDoc="0" locked="0" layoutInCell="1" allowOverlap="1" wp14:anchorId="30E3B391" wp14:editId="2AC1E50C">
                <wp:simplePos x="0" y="0"/>
                <wp:positionH relativeFrom="column">
                  <wp:posOffset>89033</wp:posOffset>
                </wp:positionH>
                <wp:positionV relativeFrom="paragraph">
                  <wp:posOffset>1396299</wp:posOffset>
                </wp:positionV>
                <wp:extent cx="1433015" cy="223520"/>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5" cy="223520"/>
                        </a:xfrm>
                        <a:prstGeom prst="rect">
                          <a:avLst/>
                        </a:prstGeom>
                        <a:solidFill>
                          <a:srgbClr val="FFFFFF"/>
                        </a:solidFill>
                        <a:ln w="9525">
                          <a:noFill/>
                          <a:miter lim="800000"/>
                          <a:headEnd/>
                          <a:tailEnd/>
                        </a:ln>
                      </wps:spPr>
                      <wps:txbx>
                        <w:txbxContent>
                          <w:p w14:paraId="403374D8" w14:textId="24E131A0" w:rsidR="00E13D84" w:rsidRPr="007C4FDB" w:rsidRDefault="00E13D84" w:rsidP="00416C0C">
                            <w:pPr>
                              <w:spacing w:before="0"/>
                              <w:rPr>
                                <w:sz w:val="18"/>
                                <w:szCs w:val="18"/>
                              </w:rPr>
                            </w:pPr>
                            <w:r>
                              <w:rPr>
                                <w:sz w:val="18"/>
                                <w:szCs w:val="18"/>
                              </w:rPr>
                              <w:t>Objectif</w:t>
                            </w:r>
                            <w:r w:rsidRPr="007C4FDB">
                              <w:rPr>
                                <w:sz w:val="18"/>
                                <w:szCs w:val="18"/>
                              </w:rPr>
                              <w:t xml:space="preserve"> </w:t>
                            </w:r>
                            <w:proofErr w:type="gramStart"/>
                            <w:r w:rsidRPr="007C4FDB">
                              <w:rPr>
                                <w:sz w:val="18"/>
                                <w:szCs w:val="18"/>
                              </w:rPr>
                              <w:t>12;</w:t>
                            </w:r>
                            <w:proofErr w:type="gramEnd"/>
                            <w:r w:rsidRPr="007C4FDB">
                              <w:rPr>
                                <w:sz w:val="18"/>
                                <w:szCs w:val="18"/>
                              </w:rPr>
                              <w:t xml:space="preserve"> 12 738; 1,93%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3B391" id="_x0000_s1048" type="#_x0000_t202" style="position:absolute;margin-left:7pt;margin-top:109.95pt;width:112.85pt;height:17.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" stroked="f">
                <v:textbox>
                  <w:txbxContent>
                    <w:p w14:paraId="403374D8" w14:textId="24E131A0" w:rsidR="00E13D84" w:rsidRPr="007C4FDB" w:rsidRDefault="00E13D84" w:rsidP="00416C0C">
                      <w:pPr>
                        <w:spacing w:before="0"/>
                        <w:rPr>
                          <w:sz w:val="18"/>
                          <w:szCs w:val="18"/>
                        </w:rPr>
                      </w:pPr>
                      <w:r>
                        <w:rPr>
                          <w:sz w:val="18"/>
                          <w:szCs w:val="18"/>
                        </w:rPr>
                        <w:t>Objectif</w:t>
                      </w:r>
                      <w:r w:rsidRPr="007C4FDB">
                        <w:rPr>
                          <w:sz w:val="18"/>
                          <w:szCs w:val="18"/>
                        </w:rPr>
                        <w:t xml:space="preserve"> </w:t>
                      </w:r>
                      <w:proofErr w:type="gramStart"/>
                      <w:r w:rsidRPr="007C4FDB">
                        <w:rPr>
                          <w:sz w:val="18"/>
                          <w:szCs w:val="18"/>
                        </w:rPr>
                        <w:t>12;</w:t>
                      </w:r>
                      <w:proofErr w:type="gramEnd"/>
                      <w:r w:rsidRPr="007C4FDB">
                        <w:rPr>
                          <w:sz w:val="18"/>
                          <w:szCs w:val="18"/>
                        </w:rPr>
                        <w:t xml:space="preserve"> 12 738; 1,93%</w:t>
                      </w:r>
                    </w:p>
                  </w:txbxContent>
                </v:textbox>
              </v:shape>
            </w:pict>
          </mc:Fallback>
        </mc:AlternateContent>
      </w:r>
      <w:r w:rsidR="00416C0C" w:rsidRPr="0008336A">
        <w:rPr>
          <w:noProof/>
        </w:rPr>
        <mc:AlternateContent>
          <mc:Choice Requires="wps">
            <w:drawing>
              <wp:anchor distT="45720" distB="45720" distL="114300" distR="114300" simplePos="0" relativeHeight="251667456" behindDoc="0" locked="0" layoutInCell="1" allowOverlap="1" wp14:anchorId="5950C4BE" wp14:editId="205C520D">
                <wp:simplePos x="0" y="0"/>
                <wp:positionH relativeFrom="column">
                  <wp:posOffset>341516</wp:posOffset>
                </wp:positionH>
                <wp:positionV relativeFrom="paragraph">
                  <wp:posOffset>1157463</wp:posOffset>
                </wp:positionV>
                <wp:extent cx="1428855" cy="22352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855" cy="223520"/>
                        </a:xfrm>
                        <a:prstGeom prst="rect">
                          <a:avLst/>
                        </a:prstGeom>
                        <a:solidFill>
                          <a:srgbClr val="FFFFFF"/>
                        </a:solidFill>
                        <a:ln w="9525">
                          <a:noFill/>
                          <a:miter lim="800000"/>
                          <a:headEnd/>
                          <a:tailEnd/>
                        </a:ln>
                      </wps:spPr>
                      <wps:txbx>
                        <w:txbxContent>
                          <w:p w14:paraId="3B3017AF" w14:textId="26A7E32A"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13;</w:t>
                            </w:r>
                            <w:proofErr w:type="gramEnd"/>
                            <w:r w:rsidRPr="007C4FDB">
                              <w:rPr>
                                <w:sz w:val="18"/>
                                <w:szCs w:val="18"/>
                              </w:rPr>
                              <w:t xml:space="preserve"> 23 819; 3,60%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0C4BE" id="_x0000_s1049" type="#_x0000_t202" style="position:absolute;margin-left:26.9pt;margin-top:91.15pt;width:112.5pt;height:17.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" stroked="f">
                <v:textbox>
                  <w:txbxContent>
                    <w:p w14:paraId="3B3017AF" w14:textId="26A7E32A"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13;</w:t>
                      </w:r>
                      <w:proofErr w:type="gramEnd"/>
                      <w:r w:rsidRPr="007C4FDB">
                        <w:rPr>
                          <w:sz w:val="18"/>
                          <w:szCs w:val="18"/>
                        </w:rPr>
                        <w:t xml:space="preserve"> 23 819; 3,60%</w:t>
                      </w:r>
                    </w:p>
                  </w:txbxContent>
                </v:textbox>
              </v:shape>
            </w:pict>
          </mc:Fallback>
        </mc:AlternateContent>
      </w:r>
      <w:r w:rsidR="00416C0C" w:rsidRPr="0008336A">
        <w:rPr>
          <w:noProof/>
        </w:rPr>
        <mc:AlternateContent>
          <mc:Choice Requires="wps">
            <w:drawing>
              <wp:anchor distT="45720" distB="45720" distL="114300" distR="114300" simplePos="0" relativeHeight="251665408" behindDoc="0" locked="0" layoutInCell="1" allowOverlap="1" wp14:anchorId="7BE65F3F" wp14:editId="5179F0B1">
                <wp:simplePos x="0" y="0"/>
                <wp:positionH relativeFrom="column">
                  <wp:posOffset>546233</wp:posOffset>
                </wp:positionH>
                <wp:positionV relativeFrom="paragraph">
                  <wp:posOffset>911803</wp:posOffset>
                </wp:positionV>
                <wp:extent cx="1514901" cy="223520"/>
                <wp:effectExtent l="0" t="0" r="9525"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901" cy="223520"/>
                        </a:xfrm>
                        <a:prstGeom prst="rect">
                          <a:avLst/>
                        </a:prstGeom>
                        <a:solidFill>
                          <a:srgbClr val="FFFFFF"/>
                        </a:solidFill>
                        <a:ln w="9525">
                          <a:noFill/>
                          <a:miter lim="800000"/>
                          <a:headEnd/>
                          <a:tailEnd/>
                        </a:ln>
                      </wps:spPr>
                      <wps:txbx>
                        <w:txbxContent>
                          <w:p w14:paraId="6A84BAD9" w14:textId="5C491CE8"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14;</w:t>
                            </w:r>
                            <w:proofErr w:type="gramEnd"/>
                            <w:r w:rsidRPr="007C4FDB">
                              <w:rPr>
                                <w:sz w:val="18"/>
                                <w:szCs w:val="18"/>
                              </w:rPr>
                              <w:t xml:space="preserve"> 12 073; 1,83%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65F3F" id="_x0000_s1050" type="#_x0000_t202" style="position:absolute;margin-left:43pt;margin-top:71.8pt;width:119.3pt;height:17.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" stroked="f">
                <v:textbox>
                  <w:txbxContent>
                    <w:p w14:paraId="6A84BAD9" w14:textId="5C491CE8"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14;</w:t>
                      </w:r>
                      <w:proofErr w:type="gramEnd"/>
                      <w:r w:rsidRPr="007C4FDB">
                        <w:rPr>
                          <w:sz w:val="18"/>
                          <w:szCs w:val="18"/>
                        </w:rPr>
                        <w:t xml:space="preserve"> 12 073; 1,83%</w:t>
                      </w:r>
                    </w:p>
                  </w:txbxContent>
                </v:textbox>
              </v:shape>
            </w:pict>
          </mc:Fallback>
        </mc:AlternateContent>
      </w:r>
      <w:r w:rsidR="00416C0C" w:rsidRPr="0008336A">
        <w:rPr>
          <w:noProof/>
        </w:rPr>
        <mc:AlternateContent>
          <mc:Choice Requires="wps">
            <w:drawing>
              <wp:anchor distT="45720" distB="45720" distL="114300" distR="114300" simplePos="0" relativeHeight="251663360" behindDoc="0" locked="0" layoutInCell="1" allowOverlap="1" wp14:anchorId="2893F4FB" wp14:editId="158859AD">
                <wp:simplePos x="0" y="0"/>
                <wp:positionH relativeFrom="column">
                  <wp:posOffset>532585</wp:posOffset>
                </wp:positionH>
                <wp:positionV relativeFrom="paragraph">
                  <wp:posOffset>638848</wp:posOffset>
                </wp:positionV>
                <wp:extent cx="1398684" cy="238836"/>
                <wp:effectExtent l="0" t="0" r="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684" cy="238836"/>
                        </a:xfrm>
                        <a:prstGeom prst="rect">
                          <a:avLst/>
                        </a:prstGeom>
                        <a:solidFill>
                          <a:srgbClr val="FFFFFF"/>
                        </a:solidFill>
                        <a:ln w="9525">
                          <a:noFill/>
                          <a:miter lim="800000"/>
                          <a:headEnd/>
                          <a:tailEnd/>
                        </a:ln>
                      </wps:spPr>
                      <wps:txbx>
                        <w:txbxContent>
                          <w:p w14:paraId="6A225552" w14:textId="09F5210C"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15;</w:t>
                            </w:r>
                            <w:proofErr w:type="gramEnd"/>
                            <w:r w:rsidRPr="007C4FDB">
                              <w:rPr>
                                <w:sz w:val="18"/>
                                <w:szCs w:val="18"/>
                              </w:rPr>
                              <w:t xml:space="preserve"> 5 719; 0,87%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3F4FB" id="_x0000_s1051" type="#_x0000_t202" style="position:absolute;margin-left:41.95pt;margin-top:50.3pt;width:110.15pt;height:18.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" stroked="f">
                <v:textbox>
                  <w:txbxContent>
                    <w:p w14:paraId="6A225552" w14:textId="09F5210C"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15;</w:t>
                      </w:r>
                      <w:proofErr w:type="gramEnd"/>
                      <w:r w:rsidRPr="007C4FDB">
                        <w:rPr>
                          <w:sz w:val="18"/>
                          <w:szCs w:val="18"/>
                        </w:rPr>
                        <w:t xml:space="preserve"> 5 719; 0,87%</w:t>
                      </w:r>
                    </w:p>
                  </w:txbxContent>
                </v:textbox>
              </v:shape>
            </w:pict>
          </mc:Fallback>
        </mc:AlternateContent>
      </w:r>
      <w:r w:rsidR="00416C0C" w:rsidRPr="0008336A">
        <w:rPr>
          <w:noProof/>
        </w:rPr>
        <mc:AlternateContent>
          <mc:Choice Requires="wps">
            <w:drawing>
              <wp:anchor distT="45720" distB="45720" distL="114300" distR="114300" simplePos="0" relativeHeight="251661312" behindDoc="0" locked="0" layoutInCell="1" allowOverlap="1" wp14:anchorId="04F740E7" wp14:editId="16A7CBAD">
                <wp:simplePos x="0" y="0"/>
                <wp:positionH relativeFrom="column">
                  <wp:posOffset>1249092</wp:posOffset>
                </wp:positionH>
                <wp:positionV relativeFrom="paragraph">
                  <wp:posOffset>372717</wp:posOffset>
                </wp:positionV>
                <wp:extent cx="1439839" cy="246490"/>
                <wp:effectExtent l="0" t="0" r="8255"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839" cy="246490"/>
                        </a:xfrm>
                        <a:prstGeom prst="rect">
                          <a:avLst/>
                        </a:prstGeom>
                        <a:solidFill>
                          <a:srgbClr val="FFFFFF"/>
                        </a:solidFill>
                        <a:ln w="9525">
                          <a:noFill/>
                          <a:miter lim="800000"/>
                          <a:headEnd/>
                          <a:tailEnd/>
                        </a:ln>
                      </wps:spPr>
                      <wps:txbx>
                        <w:txbxContent>
                          <w:p w14:paraId="31A5CAA1" w14:textId="4B87F274"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16;</w:t>
                            </w:r>
                            <w:proofErr w:type="gramEnd"/>
                            <w:r w:rsidRPr="007C4FDB">
                              <w:rPr>
                                <w:sz w:val="18"/>
                                <w:szCs w:val="18"/>
                              </w:rPr>
                              <w:t xml:space="preserve"> 31 391; 4,75%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740E7" id="_x0000_s1052" type="#_x0000_t202" style="position:absolute;margin-left:98.35pt;margin-top:29.35pt;width:113.35pt;height:1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" stroked="f">
                <v:textbox>
                  <w:txbxContent>
                    <w:p w14:paraId="31A5CAA1" w14:textId="4B87F274" w:rsidR="00E13D84" w:rsidRPr="007C4FDB" w:rsidRDefault="00E13D84" w:rsidP="007C4FDB">
                      <w:pPr>
                        <w:spacing w:before="0"/>
                        <w:jc w:val="center"/>
                        <w:rPr>
                          <w:sz w:val="18"/>
                          <w:szCs w:val="18"/>
                        </w:rPr>
                      </w:pPr>
                      <w:r>
                        <w:rPr>
                          <w:sz w:val="18"/>
                          <w:szCs w:val="18"/>
                        </w:rPr>
                        <w:t>Objectif</w:t>
                      </w:r>
                      <w:r w:rsidRPr="007C4FDB">
                        <w:rPr>
                          <w:sz w:val="18"/>
                          <w:szCs w:val="18"/>
                        </w:rPr>
                        <w:t xml:space="preserve"> </w:t>
                      </w:r>
                      <w:proofErr w:type="gramStart"/>
                      <w:r w:rsidRPr="007C4FDB">
                        <w:rPr>
                          <w:sz w:val="18"/>
                          <w:szCs w:val="18"/>
                        </w:rPr>
                        <w:t>16;</w:t>
                      </w:r>
                      <w:proofErr w:type="gramEnd"/>
                      <w:r w:rsidRPr="007C4FDB">
                        <w:rPr>
                          <w:sz w:val="18"/>
                          <w:szCs w:val="18"/>
                        </w:rPr>
                        <w:t xml:space="preserve"> 31 391; 4,75%</w:t>
                      </w:r>
                    </w:p>
                  </w:txbxContent>
                </v:textbox>
              </v:shape>
            </w:pict>
          </mc:Fallback>
        </mc:AlternateContent>
      </w:r>
      <w:r w:rsidR="00416C0C" w:rsidRPr="0008336A">
        <w:rPr>
          <w:noProof/>
        </w:rPr>
        <mc:AlternateContent>
          <mc:Choice Requires="wps">
            <w:drawing>
              <wp:anchor distT="45720" distB="45720" distL="114300" distR="114300" simplePos="0" relativeHeight="251659264" behindDoc="0" locked="0" layoutInCell="1" allowOverlap="1" wp14:anchorId="02C63195" wp14:editId="7D50D8E4">
                <wp:simplePos x="0" y="0"/>
                <wp:positionH relativeFrom="column">
                  <wp:posOffset>1232222</wp:posOffset>
                </wp:positionH>
                <wp:positionV relativeFrom="paragraph">
                  <wp:posOffset>44952</wp:posOffset>
                </wp:positionV>
                <wp:extent cx="6432606" cy="294198"/>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06" cy="294198"/>
                        </a:xfrm>
                        <a:prstGeom prst="rect">
                          <a:avLst/>
                        </a:prstGeom>
                        <a:solidFill>
                          <a:srgbClr val="FFFFFF"/>
                        </a:solidFill>
                        <a:ln w="9525">
                          <a:noFill/>
                          <a:miter lim="800000"/>
                          <a:headEnd/>
                          <a:tailEnd/>
                        </a:ln>
                      </wps:spPr>
                      <wps:txbx>
                        <w:txbxContent>
                          <w:p w14:paraId="2599A6A6" w14:textId="3810FD3E" w:rsidR="00E13D84" w:rsidRDefault="00E13D84" w:rsidP="007C4FDB">
                            <w:pPr>
                              <w:spacing w:before="0" w:after="40"/>
                              <w:jc w:val="center"/>
                            </w:pPr>
                            <w:r>
                              <w:t>Ventilation des ressources par Objectif de développement durable (ODD) pour la période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63195" id="_x0000_s1053" type="#_x0000_t202" style="position:absolute;margin-left:97.05pt;margin-top:3.55pt;width:506.5pt;height:2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b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" stroked="f">
                <v:textbox>
                  <w:txbxContent>
                    <w:p w14:paraId="2599A6A6" w14:textId="3810FD3E" w:rsidR="00E13D84" w:rsidRDefault="00E13D84" w:rsidP="007C4FDB">
                      <w:pPr>
                        <w:spacing w:before="0" w:after="40"/>
                        <w:jc w:val="center"/>
                      </w:pPr>
                      <w:r>
                        <w:t>Ventilation des ressources par Objectif de développement durable (ODD) pour la période 2021-2024</w:t>
                      </w:r>
                    </w:p>
                  </w:txbxContent>
                </v:textbox>
              </v:shape>
            </w:pict>
          </mc:Fallback>
        </mc:AlternateContent>
      </w:r>
      <w:r w:rsidR="007744EB" w:rsidRPr="0008336A">
        <w:rPr>
          <w:noProof/>
        </w:rPr>
        <w:drawing>
          <wp:inline distT="0" distB="0" distL="0" distR="0" wp14:anchorId="78E64621" wp14:editId="5E89F668">
            <wp:extent cx="8888730" cy="528279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21458"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888730" cy="5282790"/>
                    </a:xfrm>
                    <a:prstGeom prst="rect">
                      <a:avLst/>
                    </a:prstGeom>
                    <a:noFill/>
                    <a:ln>
                      <a:noFill/>
                    </a:ln>
                  </pic:spPr>
                </pic:pic>
              </a:graphicData>
            </a:graphic>
          </wp:inline>
        </w:drawing>
      </w:r>
    </w:p>
    <w:p w14:paraId="2B4F94BD" w14:textId="424B0AEE" w:rsidR="007744EB" w:rsidRPr="0008336A" w:rsidRDefault="007744EB" w:rsidP="00BD1734">
      <w:pPr>
        <w:pStyle w:val="Heading1"/>
      </w:pPr>
      <w:bookmarkStart w:id="46" w:name="_Toc34307478"/>
      <w:bookmarkStart w:id="47" w:name="_Toc34307556"/>
      <w:bookmarkStart w:id="48" w:name="_Toc34307654"/>
      <w:bookmarkStart w:id="49" w:name="_Toc39493319"/>
      <w:r w:rsidRPr="0008336A">
        <w:lastRenderedPageBreak/>
        <w:t>I.4</w:t>
      </w:r>
      <w:r w:rsidRPr="0008336A">
        <w:tab/>
      </w:r>
      <w:r w:rsidR="00C212A4" w:rsidRPr="0008336A">
        <w:t>Structure du document</w:t>
      </w:r>
      <w:bookmarkEnd w:id="46"/>
      <w:bookmarkEnd w:id="47"/>
      <w:bookmarkEnd w:id="48"/>
      <w:bookmarkEnd w:id="49"/>
    </w:p>
    <w:p w14:paraId="434AF0F3" w14:textId="47FFEF53" w:rsidR="007744EB" w:rsidRPr="0008336A" w:rsidRDefault="007744EB" w:rsidP="00BD1734">
      <w:r w:rsidRPr="0008336A">
        <w:t>I.4.1</w:t>
      </w:r>
      <w:r w:rsidRPr="0008336A">
        <w:tab/>
      </w:r>
      <w:r w:rsidR="00EC4C63" w:rsidRPr="0008336A">
        <w:t xml:space="preserve">Le document contenant le Plan opérationnel comprend 3 </w:t>
      </w:r>
      <w:proofErr w:type="gramStart"/>
      <w:r w:rsidR="00EC4C63" w:rsidRPr="0008336A">
        <w:t>parties</w:t>
      </w:r>
      <w:r w:rsidRPr="0008336A">
        <w:t>:</w:t>
      </w:r>
      <w:proofErr w:type="gramEnd"/>
    </w:p>
    <w:p w14:paraId="2D0A6608" w14:textId="04B9E6FF" w:rsidR="007744EB" w:rsidRPr="0008336A" w:rsidRDefault="007744EB" w:rsidP="00BD1734">
      <w:pPr>
        <w:pStyle w:val="enumlev1"/>
      </w:pPr>
      <w:r w:rsidRPr="0008336A">
        <w:t>•</w:t>
      </w:r>
      <w:r w:rsidRPr="0008336A">
        <w:tab/>
      </w:r>
      <w:r w:rsidR="00EC4C63" w:rsidRPr="0008336A">
        <w:t xml:space="preserve">La </w:t>
      </w:r>
      <w:r w:rsidRPr="0008336A">
        <w:t>Part</w:t>
      </w:r>
      <w:r w:rsidR="00680DF8" w:rsidRPr="0008336A">
        <w:t>i</w:t>
      </w:r>
      <w:r w:rsidR="00EC4C63" w:rsidRPr="0008336A">
        <w:t>e</w:t>
      </w:r>
      <w:r w:rsidRPr="0008336A">
        <w:t xml:space="preserve"> 1 </w:t>
      </w:r>
      <w:r w:rsidR="00EC4C63" w:rsidRPr="0008336A">
        <w:t>est une synthèse</w:t>
      </w:r>
    </w:p>
    <w:p w14:paraId="3D4591B7" w14:textId="6ADF7B08" w:rsidR="00EC4C63" w:rsidRPr="0008336A" w:rsidRDefault="007744EB" w:rsidP="00BD1734">
      <w:pPr>
        <w:pStyle w:val="enumlev1"/>
      </w:pPr>
      <w:r w:rsidRPr="0008336A">
        <w:t>•</w:t>
      </w:r>
      <w:r w:rsidRPr="0008336A">
        <w:tab/>
      </w:r>
      <w:r w:rsidR="00EC4C63" w:rsidRPr="0008336A">
        <w:t xml:space="preserve">La </w:t>
      </w:r>
      <w:r w:rsidRPr="0008336A">
        <w:t>Part</w:t>
      </w:r>
      <w:r w:rsidR="00EC4C63" w:rsidRPr="0008336A">
        <w:t>ie</w:t>
      </w:r>
      <w:r w:rsidRPr="0008336A">
        <w:t xml:space="preserve"> 2 </w:t>
      </w:r>
      <w:r w:rsidR="00EC4C63" w:rsidRPr="0008336A">
        <w:t xml:space="preserve">contient le rapport d'activité pour 2019 et le Plan opérationnel pour la période 2021-2024 au niveau des </w:t>
      </w:r>
      <w:proofErr w:type="gramStart"/>
      <w:r w:rsidR="00EC4C63" w:rsidRPr="0008336A">
        <w:t>objectifs:</w:t>
      </w:r>
      <w:proofErr w:type="gramEnd"/>
    </w:p>
    <w:p w14:paraId="27701AFC" w14:textId="14167BE9" w:rsidR="007744EB" w:rsidRPr="0014690C" w:rsidRDefault="00EC4C63" w:rsidP="00735C36">
      <w:pPr>
        <w:ind w:left="567"/>
        <w:rPr>
          <w:i/>
          <w:iCs/>
          <w:color w:val="4F81BD" w:themeColor="accent1"/>
        </w:rPr>
      </w:pPr>
      <w:r w:rsidRPr="0014690C">
        <w:rPr>
          <w:i/>
          <w:iCs/>
          <w:color w:val="4F81BD" w:themeColor="accent1"/>
        </w:rPr>
        <w:t xml:space="preserve">Pour chaque objectif, les informations suivantes sont </w:t>
      </w:r>
      <w:proofErr w:type="gramStart"/>
      <w:r w:rsidRPr="0014690C">
        <w:rPr>
          <w:i/>
          <w:iCs/>
          <w:color w:val="4F81BD" w:themeColor="accent1"/>
        </w:rPr>
        <w:t>données</w:t>
      </w:r>
      <w:r w:rsidR="007744EB" w:rsidRPr="0014690C">
        <w:rPr>
          <w:i/>
          <w:iCs/>
          <w:color w:val="4F81BD" w:themeColor="accent1"/>
        </w:rPr>
        <w:t>:</w:t>
      </w:r>
      <w:proofErr w:type="gramEnd"/>
    </w:p>
    <w:p w14:paraId="12C80A12" w14:textId="36546674" w:rsidR="007744EB" w:rsidRPr="0008336A" w:rsidRDefault="007744EB" w:rsidP="00BD1734">
      <w:pPr>
        <w:pStyle w:val="enumlev2"/>
      </w:pPr>
      <w:r w:rsidRPr="0008336A">
        <w:t>–</w:t>
      </w:r>
      <w:r w:rsidRPr="0008336A">
        <w:tab/>
        <w:t xml:space="preserve">Description </w:t>
      </w:r>
      <w:r w:rsidR="00EC4C63" w:rsidRPr="0008336A">
        <w:t>de l'</w:t>
      </w:r>
      <w:r w:rsidR="00680DF8" w:rsidRPr="0008336A">
        <w:t>o</w:t>
      </w:r>
      <w:r w:rsidR="00EC4C63" w:rsidRPr="0008336A">
        <w:t>bjectif</w:t>
      </w:r>
    </w:p>
    <w:p w14:paraId="1F371AD3" w14:textId="3522987C" w:rsidR="007744EB" w:rsidRPr="0008336A" w:rsidRDefault="007744EB" w:rsidP="00BD1734">
      <w:pPr>
        <w:pStyle w:val="enumlev2"/>
      </w:pPr>
      <w:r w:rsidRPr="0008336A">
        <w:t>–</w:t>
      </w:r>
      <w:r w:rsidRPr="0008336A">
        <w:tab/>
      </w:r>
      <w:r w:rsidR="00EC4C63" w:rsidRPr="0008336A">
        <w:t>Résumé de l'imputation des coûts pour</w:t>
      </w:r>
      <w:r w:rsidRPr="0008336A">
        <w:t xml:space="preserve"> 2019 </w:t>
      </w:r>
      <w:r w:rsidR="003364C7" w:rsidRPr="0008336A">
        <w:t>(</w:t>
      </w:r>
      <w:r w:rsidR="005325E3" w:rsidRPr="0008336A">
        <w:t xml:space="preserve">réorganisé </w:t>
      </w:r>
      <w:r w:rsidR="00713324" w:rsidRPr="0008336A">
        <w:t>conformément à la</w:t>
      </w:r>
      <w:r w:rsidR="003364C7" w:rsidRPr="0008336A">
        <w:t xml:space="preserve"> structure </w:t>
      </w:r>
      <w:r w:rsidR="00713324" w:rsidRPr="0008336A">
        <w:t>des objectifs du</w:t>
      </w:r>
      <w:r w:rsidR="003364C7" w:rsidRPr="0008336A">
        <w:t xml:space="preserve"> Plan stratégique pour la période 202</w:t>
      </w:r>
      <w:r w:rsidR="00713324" w:rsidRPr="0008336A">
        <w:t>0</w:t>
      </w:r>
      <w:r w:rsidR="003364C7" w:rsidRPr="0008336A">
        <w:t xml:space="preserve">-2023) </w:t>
      </w:r>
      <w:r w:rsidR="00EC4C63" w:rsidRPr="0008336A">
        <w:t>et pour les exercices</w:t>
      </w:r>
      <w:r w:rsidRPr="0008336A">
        <w:t xml:space="preserve"> 2021 </w:t>
      </w:r>
      <w:r w:rsidR="00EC4C63" w:rsidRPr="0008336A">
        <w:t>à</w:t>
      </w:r>
      <w:r w:rsidRPr="0008336A">
        <w:t xml:space="preserve"> 2024</w:t>
      </w:r>
    </w:p>
    <w:p w14:paraId="190AA870" w14:textId="0B40A158" w:rsidR="00EC4C63" w:rsidRPr="0008336A" w:rsidRDefault="007744EB" w:rsidP="00BD1734">
      <w:pPr>
        <w:pStyle w:val="enumlev2"/>
      </w:pPr>
      <w:r w:rsidRPr="0008336A">
        <w:t>–</w:t>
      </w:r>
      <w:r w:rsidRPr="0008336A">
        <w:tab/>
      </w:r>
      <w:r w:rsidR="00EC4C63" w:rsidRPr="0008336A">
        <w:t xml:space="preserve">Rapport d'activité pour </w:t>
      </w:r>
      <w:r w:rsidRPr="0008336A">
        <w:t>2019</w:t>
      </w:r>
      <w:r w:rsidR="00EC4C63" w:rsidRPr="0008336A">
        <w:t xml:space="preserve">, </w:t>
      </w:r>
      <w:r w:rsidR="00680DF8" w:rsidRPr="0008336A">
        <w:t>avec la déclaration sur les</w:t>
      </w:r>
      <w:r w:rsidR="00EC4C63" w:rsidRPr="0008336A">
        <w:t xml:space="preserve"> résultats obtenus, </w:t>
      </w:r>
      <w:r w:rsidR="00680DF8" w:rsidRPr="0008336A">
        <w:t>l</w:t>
      </w:r>
      <w:r w:rsidR="00EC4C63" w:rsidRPr="0008336A">
        <w:t xml:space="preserve">es mesures et </w:t>
      </w:r>
      <w:r w:rsidR="00680DF8" w:rsidRPr="0008336A">
        <w:t>l</w:t>
      </w:r>
      <w:r w:rsidR="00EC4C63" w:rsidRPr="0008336A">
        <w:t>es facteurs de risque</w:t>
      </w:r>
    </w:p>
    <w:p w14:paraId="77A22692" w14:textId="716DEC60" w:rsidR="007744EB" w:rsidRPr="0008336A" w:rsidRDefault="007744EB" w:rsidP="00BD1734">
      <w:pPr>
        <w:pStyle w:val="enumlev2"/>
      </w:pPr>
      <w:r w:rsidRPr="0008336A">
        <w:t>–</w:t>
      </w:r>
      <w:r w:rsidRPr="0008336A">
        <w:tab/>
      </w:r>
      <w:r w:rsidR="00EC4C63" w:rsidRPr="0008336A">
        <w:t>Déclaration de</w:t>
      </w:r>
      <w:r w:rsidR="00680DF8" w:rsidRPr="0008336A">
        <w:t xml:space="preserve"> 2021 sur les</w:t>
      </w:r>
      <w:r w:rsidR="00EC4C63" w:rsidRPr="0008336A">
        <w:t xml:space="preserve"> principaux résultats attendus, </w:t>
      </w:r>
      <w:r w:rsidR="00680DF8" w:rsidRPr="0008336A">
        <w:t>l</w:t>
      </w:r>
      <w:r w:rsidR="00EC4C63" w:rsidRPr="0008336A">
        <w:t xml:space="preserve">es mesures et </w:t>
      </w:r>
      <w:r w:rsidR="00680DF8" w:rsidRPr="0008336A">
        <w:t>l</w:t>
      </w:r>
      <w:r w:rsidR="00EC4C63" w:rsidRPr="0008336A">
        <w:t>es principaux indicateurs de risque.</w:t>
      </w:r>
    </w:p>
    <w:p w14:paraId="608C4175" w14:textId="30B35F73" w:rsidR="00AA62D7" w:rsidRPr="0008336A" w:rsidRDefault="00520D85" w:rsidP="00BD1734">
      <w:r w:rsidRPr="0008336A">
        <w:t>•</w:t>
      </w:r>
      <w:r w:rsidR="007744EB" w:rsidRPr="0008336A">
        <w:tab/>
      </w:r>
      <w:r w:rsidR="005325E3" w:rsidRPr="0008336A">
        <w:t>On trouvera dans l</w:t>
      </w:r>
      <w:r w:rsidR="00EC4C63" w:rsidRPr="0008336A">
        <w:t xml:space="preserve">a Partie </w:t>
      </w:r>
      <w:r w:rsidR="007744EB" w:rsidRPr="0008336A">
        <w:t xml:space="preserve">3 </w:t>
      </w:r>
      <w:r w:rsidR="00EC4C63" w:rsidRPr="0008336A">
        <w:t>des informations supplémentaires sur les produits et les ODD</w:t>
      </w:r>
      <w:r w:rsidR="003364C7" w:rsidRPr="0008336A">
        <w:t>, ainsi que le projet de Résolution</w:t>
      </w:r>
      <w:r w:rsidR="00EC4C63" w:rsidRPr="0008336A">
        <w:t>.</w:t>
      </w:r>
    </w:p>
    <w:p w14:paraId="63E6FB28" w14:textId="77777777" w:rsidR="00392ACA" w:rsidRPr="0008336A" w:rsidRDefault="00392ACA" w:rsidP="00BD1734">
      <w:pPr>
        <w:sectPr w:rsidR="00392ACA" w:rsidRPr="0008336A" w:rsidSect="00392ACA">
          <w:headerReference w:type="default" r:id="rId25"/>
          <w:footerReference w:type="default" r:id="rId26"/>
          <w:pgSz w:w="16834" w:h="11907" w:orient="landscape" w:code="9"/>
          <w:pgMar w:top="1134" w:right="1418" w:bottom="1134" w:left="1418" w:header="720" w:footer="720" w:gutter="0"/>
          <w:paperSrc w:first="7" w:other="7"/>
          <w:cols w:space="720"/>
          <w:docGrid w:linePitch="326"/>
        </w:sectPr>
      </w:pPr>
    </w:p>
    <w:p w14:paraId="12D4EA12" w14:textId="39A1740D" w:rsidR="00575D39" w:rsidRPr="0014690C" w:rsidRDefault="0014690C" w:rsidP="0014690C">
      <w:pPr>
        <w:pStyle w:val="Title4"/>
        <w:ind w:left="3119"/>
        <w:jc w:val="left"/>
        <w:rPr>
          <w:color w:val="1F497D" w:themeColor="text2"/>
          <w:sz w:val="52"/>
          <w:szCs w:val="52"/>
        </w:rPr>
      </w:pPr>
      <w:bookmarkStart w:id="50" w:name="_Toc34307479"/>
      <w:bookmarkStart w:id="51" w:name="_Toc34307557"/>
      <w:bookmarkStart w:id="52" w:name="_Toc34307655"/>
      <w:bookmarkStart w:id="53" w:name="_Toc39492761"/>
      <w:bookmarkStart w:id="54" w:name="_Toc39493320"/>
      <w:r>
        <w:rPr>
          <w:noProof/>
          <w:color w:val="1F497D" w:themeColor="text2"/>
          <w:sz w:val="52"/>
          <w:szCs w:val="54"/>
        </w:rPr>
        <w:lastRenderedPageBreak/>
        <w:drawing>
          <wp:anchor distT="0" distB="0" distL="114300" distR="114300" simplePos="0" relativeHeight="251718656" behindDoc="1" locked="0" layoutInCell="1" allowOverlap="1" wp14:anchorId="41DE6107" wp14:editId="3E6258BD">
            <wp:simplePos x="0" y="0"/>
            <wp:positionH relativeFrom="column">
              <wp:posOffset>-705646</wp:posOffset>
            </wp:positionH>
            <wp:positionV relativeFrom="page">
              <wp:posOffset>4429</wp:posOffset>
            </wp:positionV>
            <wp:extent cx="7639291" cy="10802856"/>
            <wp:effectExtent l="0" t="0" r="0" b="0"/>
            <wp:wrapNone/>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fond.jpg"/>
                    <pic:cNvPicPr/>
                  </pic:nvPicPr>
                  <pic:blipFill>
                    <a:blip r:embed="rId13">
                      <a:extLst>
                        <a:ext uri="{28A0092B-C50C-407E-A947-70E740481C1C}">
                          <a14:useLocalDpi xmlns:a14="http://schemas.microsoft.com/office/drawing/2010/main" val="0"/>
                        </a:ext>
                      </a:extLst>
                    </a:blip>
                    <a:stretch>
                      <a:fillRect/>
                    </a:stretch>
                  </pic:blipFill>
                  <pic:spPr>
                    <a:xfrm>
                      <a:off x="0" y="0"/>
                      <a:ext cx="7639291" cy="10802856"/>
                    </a:xfrm>
                    <a:prstGeom prst="rect">
                      <a:avLst/>
                    </a:prstGeom>
                  </pic:spPr>
                </pic:pic>
              </a:graphicData>
            </a:graphic>
            <wp14:sizeRelH relativeFrom="margin">
              <wp14:pctWidth>0</wp14:pctWidth>
            </wp14:sizeRelH>
            <wp14:sizeRelV relativeFrom="margin">
              <wp14:pctHeight>0</wp14:pctHeight>
            </wp14:sizeRelV>
          </wp:anchor>
        </w:drawing>
      </w:r>
      <w:r w:rsidR="00575D39" w:rsidRPr="0014690C">
        <w:rPr>
          <w:color w:val="1F497D" w:themeColor="text2"/>
          <w:sz w:val="52"/>
          <w:szCs w:val="52"/>
        </w:rPr>
        <w:t xml:space="preserve">PROJET DE </w:t>
      </w:r>
      <w:r w:rsidR="00575D39" w:rsidRPr="0014690C">
        <w:rPr>
          <w:color w:val="1F497D" w:themeColor="text2"/>
          <w:sz w:val="52"/>
          <w:szCs w:val="52"/>
        </w:rPr>
        <w:br/>
        <w:t xml:space="preserve">PLAN OPÉRATIONNEL </w:t>
      </w:r>
      <w:r w:rsidRPr="0014690C">
        <w:rPr>
          <w:color w:val="1F497D" w:themeColor="text2"/>
          <w:sz w:val="52"/>
          <w:szCs w:val="52"/>
        </w:rPr>
        <w:br/>
      </w:r>
      <w:r w:rsidR="00575D39" w:rsidRPr="0014690C">
        <w:rPr>
          <w:color w:val="1F497D" w:themeColor="text2"/>
          <w:sz w:val="52"/>
          <w:szCs w:val="52"/>
        </w:rPr>
        <w:t>DE L'UIT</w:t>
      </w:r>
      <w:bookmarkEnd w:id="50"/>
      <w:bookmarkEnd w:id="51"/>
      <w:bookmarkEnd w:id="52"/>
      <w:bookmarkEnd w:id="53"/>
      <w:bookmarkEnd w:id="54"/>
    </w:p>
    <w:p w14:paraId="0D24671E" w14:textId="7B565255" w:rsidR="00575D39" w:rsidRPr="0014690C" w:rsidRDefault="00575D39" w:rsidP="0014690C">
      <w:pPr>
        <w:tabs>
          <w:tab w:val="clear" w:pos="567"/>
          <w:tab w:val="clear" w:pos="1134"/>
          <w:tab w:val="clear" w:pos="1701"/>
          <w:tab w:val="clear" w:pos="2268"/>
          <w:tab w:val="clear" w:pos="2835"/>
          <w:tab w:val="left" w:pos="794"/>
          <w:tab w:val="left" w:pos="1191"/>
          <w:tab w:val="left" w:pos="1588"/>
          <w:tab w:val="left" w:pos="1985"/>
        </w:tabs>
        <w:spacing w:before="9840"/>
        <w:rPr>
          <w:rFonts w:asciiTheme="minorHAnsi" w:hAnsiTheme="minorHAnsi"/>
          <w:color w:val="808080" w:themeColor="background1" w:themeShade="80"/>
          <w:sz w:val="36"/>
          <w:szCs w:val="36"/>
        </w:rPr>
      </w:pPr>
      <w:r w:rsidRPr="0014690C">
        <w:rPr>
          <w:rFonts w:asciiTheme="minorHAnsi" w:hAnsiTheme="minorHAnsi"/>
          <w:color w:val="808080" w:themeColor="background1" w:themeShade="80"/>
          <w:sz w:val="36"/>
          <w:szCs w:val="36"/>
        </w:rPr>
        <w:t>Synthèse</w:t>
      </w:r>
    </w:p>
    <w:p w14:paraId="4894B4AD" w14:textId="77777777" w:rsidR="00575D39" w:rsidRPr="0014690C" w:rsidRDefault="00575D39" w:rsidP="00BD1734">
      <w:pPr>
        <w:tabs>
          <w:tab w:val="clear" w:pos="567"/>
          <w:tab w:val="clear" w:pos="1134"/>
          <w:tab w:val="clear" w:pos="1701"/>
          <w:tab w:val="clear" w:pos="2268"/>
          <w:tab w:val="clear" w:pos="2835"/>
          <w:tab w:val="left" w:pos="794"/>
          <w:tab w:val="left" w:pos="1191"/>
          <w:tab w:val="left" w:pos="1588"/>
          <w:tab w:val="left" w:pos="1985"/>
        </w:tabs>
        <w:spacing w:before="240"/>
        <w:rPr>
          <w:rFonts w:asciiTheme="minorHAnsi" w:hAnsiTheme="minorHAnsi"/>
          <w:b/>
          <w:bCs/>
          <w:color w:val="B6DDE8" w:themeColor="accent5" w:themeTint="66"/>
          <w:sz w:val="44"/>
          <w:szCs w:val="44"/>
        </w:rPr>
      </w:pPr>
      <w:r w:rsidRPr="0014690C">
        <w:rPr>
          <w:rFonts w:asciiTheme="minorHAnsi" w:hAnsiTheme="minorHAnsi"/>
          <w:b/>
          <w:bCs/>
          <w:color w:val="B6DDE8" w:themeColor="accent5" w:themeTint="66"/>
          <w:sz w:val="44"/>
          <w:szCs w:val="44"/>
        </w:rPr>
        <w:t>Objectifs</w:t>
      </w:r>
    </w:p>
    <w:p w14:paraId="7DFF6EC7" w14:textId="1C2E29C0" w:rsidR="00575D39" w:rsidRPr="0008336A" w:rsidRDefault="00575D39" w:rsidP="0014690C">
      <w:pPr>
        <w:tabs>
          <w:tab w:val="clear" w:pos="567"/>
          <w:tab w:val="clear" w:pos="1134"/>
          <w:tab w:val="clear" w:pos="1701"/>
          <w:tab w:val="clear" w:pos="2268"/>
          <w:tab w:val="clear" w:pos="2835"/>
          <w:tab w:val="left" w:pos="794"/>
          <w:tab w:val="left" w:pos="1191"/>
          <w:tab w:val="left" w:pos="1588"/>
          <w:tab w:val="left" w:pos="1985"/>
        </w:tabs>
        <w:spacing w:before="240"/>
        <w:rPr>
          <w:rFonts w:asciiTheme="minorHAnsi" w:hAnsiTheme="minorHAnsi"/>
        </w:rPr>
      </w:pPr>
      <w:r w:rsidRPr="0014690C">
        <w:rPr>
          <w:rFonts w:asciiTheme="minorHAnsi" w:hAnsiTheme="minorHAnsi"/>
          <w:color w:val="808080" w:themeColor="background1" w:themeShade="80"/>
          <w:sz w:val="36"/>
          <w:szCs w:val="36"/>
        </w:rPr>
        <w:t>Annexes</w:t>
      </w:r>
      <w:r w:rsidRPr="0008336A">
        <w:rPr>
          <w:rFonts w:asciiTheme="minorHAnsi" w:hAnsiTheme="minorHAnsi"/>
        </w:rPr>
        <w:br w:type="page"/>
      </w:r>
    </w:p>
    <w:p w14:paraId="4B49D6A8" w14:textId="77777777" w:rsidR="00575D39" w:rsidRPr="0014690C" w:rsidRDefault="00575D39" w:rsidP="00BD1734">
      <w:pPr>
        <w:pStyle w:val="Title4"/>
        <w:pBdr>
          <w:bottom w:val="single" w:sz="4" w:space="1" w:color="auto"/>
        </w:pBdr>
        <w:jc w:val="left"/>
        <w:rPr>
          <w:color w:val="1F497D" w:themeColor="text2"/>
        </w:rPr>
      </w:pPr>
      <w:bookmarkStart w:id="55" w:name="_Toc34307558"/>
      <w:bookmarkStart w:id="56" w:name="_Toc34307656"/>
      <w:bookmarkStart w:id="57" w:name="_Toc39492762"/>
      <w:bookmarkStart w:id="58" w:name="_Toc39493321"/>
      <w:r w:rsidRPr="0014690C">
        <w:rPr>
          <w:color w:val="1F497D" w:themeColor="text2"/>
        </w:rPr>
        <w:lastRenderedPageBreak/>
        <w:t xml:space="preserve">Partie II – </w:t>
      </w:r>
      <w:r w:rsidRPr="0014690C">
        <w:rPr>
          <w:bCs/>
          <w:color w:val="1F497D" w:themeColor="text2"/>
        </w:rPr>
        <w:t>Objectif</w:t>
      </w:r>
      <w:bookmarkEnd w:id="55"/>
      <w:bookmarkEnd w:id="56"/>
      <w:r w:rsidRPr="0014690C">
        <w:rPr>
          <w:bCs/>
          <w:color w:val="1F497D" w:themeColor="text2"/>
        </w:rPr>
        <w:t>s</w:t>
      </w:r>
      <w:bookmarkEnd w:id="57"/>
      <w:bookmarkEnd w:id="58"/>
    </w:p>
    <w:p w14:paraId="15B25A3C" w14:textId="77777777" w:rsidR="00737CC2" w:rsidRPr="0008336A" w:rsidRDefault="00575D39" w:rsidP="00737CC2">
      <w:pPr>
        <w:pStyle w:val="TOC2"/>
        <w:rPr>
          <w:noProof/>
        </w:rPr>
      </w:pPr>
      <w:r w:rsidRPr="0008336A">
        <w:fldChar w:fldCharType="begin"/>
      </w:r>
      <w:r w:rsidRPr="0008336A">
        <w:instrText xml:space="preserve"> TOC \o "1-1" \h \z \t "Title 4;1" </w:instrText>
      </w:r>
      <w:r w:rsidRPr="0008336A">
        <w:fldChar w:fldCharType="separate"/>
      </w:r>
      <w:r w:rsidR="00737CC2" w:rsidRPr="0008336A">
        <w:rPr>
          <w:noProof/>
        </w:rPr>
        <w:fldChar w:fldCharType="begin"/>
      </w:r>
      <w:r w:rsidR="00737CC2" w:rsidRPr="0008336A">
        <w:rPr>
          <w:noProof/>
        </w:rPr>
        <w:instrText xml:space="preserve"> TOC \h \z \t "Heading 1;1;Title 4;2" </w:instrText>
      </w:r>
      <w:r w:rsidR="00737CC2" w:rsidRPr="0008336A">
        <w:rPr>
          <w:noProof/>
        </w:rPr>
        <w:fldChar w:fldCharType="separate"/>
      </w:r>
    </w:p>
    <w:p w14:paraId="30FD496F" w14:textId="4D41D35B" w:rsidR="00737CC2" w:rsidRPr="0008336A" w:rsidRDefault="00E13D84">
      <w:pPr>
        <w:pStyle w:val="TOC2"/>
        <w:rPr>
          <w:rFonts w:asciiTheme="minorHAnsi" w:eastAsiaTheme="minorEastAsia" w:hAnsiTheme="minorHAnsi" w:cstheme="minorBidi"/>
          <w:noProof/>
          <w:sz w:val="22"/>
          <w:szCs w:val="22"/>
          <w:lang w:eastAsia="en-GB"/>
        </w:rPr>
      </w:pPr>
      <w:hyperlink w:anchor="_Toc39493321" w:history="1">
        <w:r w:rsidR="00737CC2" w:rsidRPr="0008336A">
          <w:rPr>
            <w:rStyle w:val="Hyperlink"/>
            <w:noProof/>
          </w:rPr>
          <w:t xml:space="preserve">Partie II – </w:t>
        </w:r>
        <w:r w:rsidR="00737CC2" w:rsidRPr="0008336A">
          <w:rPr>
            <w:rStyle w:val="Hyperlink"/>
            <w:bCs/>
            <w:noProof/>
          </w:rPr>
          <w:t>Objectifs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_Toc39493321 \h </w:instrText>
        </w:r>
        <w:r w:rsidR="00737CC2" w:rsidRPr="0008336A">
          <w:rPr>
            <w:noProof/>
            <w:webHidden/>
          </w:rPr>
        </w:r>
        <w:r w:rsidR="00737CC2" w:rsidRPr="0008336A">
          <w:rPr>
            <w:noProof/>
            <w:webHidden/>
          </w:rPr>
          <w:fldChar w:fldCharType="separate"/>
        </w:r>
        <w:r w:rsidR="001C1B0F">
          <w:rPr>
            <w:noProof/>
            <w:webHidden/>
          </w:rPr>
          <w:t>14</w:t>
        </w:r>
        <w:r w:rsidR="00737CC2" w:rsidRPr="0008336A">
          <w:rPr>
            <w:noProof/>
            <w:webHidden/>
          </w:rPr>
          <w:fldChar w:fldCharType="end"/>
        </w:r>
      </w:hyperlink>
    </w:p>
    <w:p w14:paraId="7FF6E7E9" w14:textId="1346E23A" w:rsidR="00737CC2" w:rsidRPr="0008336A" w:rsidRDefault="00E13D84" w:rsidP="003F7F42">
      <w:pPr>
        <w:pStyle w:val="TOC1"/>
        <w:ind w:hanging="397"/>
        <w:rPr>
          <w:rFonts w:asciiTheme="minorHAnsi" w:eastAsiaTheme="minorEastAsia" w:hAnsiTheme="minorHAnsi" w:cstheme="minorBidi"/>
          <w:noProof/>
          <w:sz w:val="22"/>
          <w:szCs w:val="22"/>
          <w:lang w:eastAsia="en-GB"/>
        </w:rPr>
      </w:pPr>
      <w:hyperlink w:anchor="_Toc39493322" w:history="1">
        <w:r w:rsidR="00737CC2" w:rsidRPr="0008336A">
          <w:rPr>
            <w:rStyle w:val="Hyperlink"/>
            <w:noProof/>
          </w:rPr>
          <w:t>II.0</w:t>
        </w:r>
        <w:r w:rsidR="00737CC2" w:rsidRPr="0008336A">
          <w:rPr>
            <w:rFonts w:asciiTheme="minorHAnsi" w:eastAsiaTheme="minorEastAsia" w:hAnsiTheme="minorHAnsi" w:cstheme="minorBidi"/>
            <w:noProof/>
            <w:sz w:val="22"/>
            <w:szCs w:val="22"/>
            <w:lang w:eastAsia="en-GB"/>
          </w:rPr>
          <w:tab/>
        </w:r>
        <w:r w:rsidR="00737CC2" w:rsidRPr="0008336A">
          <w:rPr>
            <w:rStyle w:val="Hyperlink"/>
            <w:noProof/>
          </w:rPr>
          <w:t>Résumé</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_Toc39493322 \h </w:instrText>
        </w:r>
        <w:r w:rsidR="00737CC2" w:rsidRPr="0008336A">
          <w:rPr>
            <w:noProof/>
            <w:webHidden/>
          </w:rPr>
        </w:r>
        <w:r w:rsidR="00737CC2" w:rsidRPr="0008336A">
          <w:rPr>
            <w:noProof/>
            <w:webHidden/>
          </w:rPr>
          <w:fldChar w:fldCharType="separate"/>
        </w:r>
        <w:r w:rsidR="001C1B0F">
          <w:rPr>
            <w:noProof/>
            <w:webHidden/>
          </w:rPr>
          <w:t>15</w:t>
        </w:r>
        <w:r w:rsidR="00737CC2" w:rsidRPr="0008336A">
          <w:rPr>
            <w:noProof/>
            <w:webHidden/>
          </w:rPr>
          <w:fldChar w:fldCharType="end"/>
        </w:r>
      </w:hyperlink>
    </w:p>
    <w:p w14:paraId="3E2BC583" w14:textId="34A80DE0" w:rsidR="00737CC2" w:rsidRPr="0008336A" w:rsidRDefault="00E13D84" w:rsidP="003F7F42">
      <w:pPr>
        <w:pStyle w:val="TOC1"/>
        <w:ind w:hanging="397"/>
        <w:rPr>
          <w:rFonts w:asciiTheme="minorHAnsi" w:eastAsiaTheme="minorEastAsia" w:hAnsiTheme="minorHAnsi" w:cstheme="minorBidi"/>
          <w:noProof/>
          <w:sz w:val="22"/>
          <w:szCs w:val="22"/>
          <w:lang w:eastAsia="en-GB"/>
        </w:rPr>
      </w:pPr>
      <w:hyperlink w:anchor="_Toc39493323" w:history="1">
        <w:r w:rsidR="00737CC2" w:rsidRPr="0008336A">
          <w:rPr>
            <w:rStyle w:val="Hyperlink"/>
            <w:noProof/>
          </w:rPr>
          <w:t>II.1</w:t>
        </w:r>
        <w:r w:rsidR="00737CC2" w:rsidRPr="0008336A">
          <w:rPr>
            <w:rFonts w:asciiTheme="minorHAnsi" w:eastAsiaTheme="minorEastAsia" w:hAnsiTheme="minorHAnsi" w:cstheme="minorBidi"/>
            <w:noProof/>
            <w:sz w:val="22"/>
            <w:szCs w:val="22"/>
            <w:lang w:eastAsia="en-GB"/>
          </w:rPr>
          <w:tab/>
        </w:r>
        <w:r w:rsidR="00737CC2" w:rsidRPr="0008336A">
          <w:rPr>
            <w:rStyle w:val="Hyperlink"/>
            <w:noProof/>
          </w:rPr>
          <w:t>Objectifs intersectoriels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_Toc39493323 \h </w:instrText>
        </w:r>
        <w:r w:rsidR="00737CC2" w:rsidRPr="0008336A">
          <w:rPr>
            <w:noProof/>
            <w:webHidden/>
          </w:rPr>
        </w:r>
        <w:r w:rsidR="00737CC2" w:rsidRPr="0008336A">
          <w:rPr>
            <w:noProof/>
            <w:webHidden/>
          </w:rPr>
          <w:fldChar w:fldCharType="separate"/>
        </w:r>
        <w:r w:rsidR="001C1B0F">
          <w:rPr>
            <w:noProof/>
            <w:webHidden/>
          </w:rPr>
          <w:t>16</w:t>
        </w:r>
        <w:r w:rsidR="00737CC2" w:rsidRPr="0008336A">
          <w:rPr>
            <w:noProof/>
            <w:webHidden/>
          </w:rPr>
          <w:fldChar w:fldCharType="end"/>
        </w:r>
      </w:hyperlink>
    </w:p>
    <w:p w14:paraId="304513C6" w14:textId="7C115BA1"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24" w:history="1">
        <w:r w:rsidR="00737CC2" w:rsidRPr="0008336A">
          <w:rPr>
            <w:rStyle w:val="Hyperlink"/>
            <w:noProof/>
          </w:rPr>
          <w:t>II.1.1 – I.1 Collaboration</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_Toc39493324 \h </w:instrText>
        </w:r>
        <w:r w:rsidR="00737CC2" w:rsidRPr="0008336A">
          <w:rPr>
            <w:noProof/>
            <w:webHidden/>
          </w:rPr>
        </w:r>
        <w:r w:rsidR="00737CC2" w:rsidRPr="0008336A">
          <w:rPr>
            <w:noProof/>
            <w:webHidden/>
          </w:rPr>
          <w:fldChar w:fldCharType="separate"/>
        </w:r>
        <w:r w:rsidR="001C1B0F">
          <w:rPr>
            <w:noProof/>
            <w:webHidden/>
          </w:rPr>
          <w:t>17</w:t>
        </w:r>
        <w:r w:rsidR="00737CC2" w:rsidRPr="0008336A">
          <w:rPr>
            <w:noProof/>
            <w:webHidden/>
          </w:rPr>
          <w:fldChar w:fldCharType="end"/>
        </w:r>
      </w:hyperlink>
    </w:p>
    <w:p w14:paraId="65145CF5" w14:textId="1B165553"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25" w:history="1">
        <w:r w:rsidR="00737CC2" w:rsidRPr="0008336A">
          <w:rPr>
            <w:rStyle w:val="Hyperlink"/>
            <w:noProof/>
          </w:rPr>
          <w:t>II.1.2 – I.2 Nouvelles tendances en matière de télécommunications/TIC</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_Toc39493325 \h </w:instrText>
        </w:r>
        <w:r w:rsidR="00737CC2" w:rsidRPr="0008336A">
          <w:rPr>
            <w:noProof/>
            <w:webHidden/>
          </w:rPr>
        </w:r>
        <w:r w:rsidR="00737CC2" w:rsidRPr="0008336A">
          <w:rPr>
            <w:noProof/>
            <w:webHidden/>
          </w:rPr>
          <w:fldChar w:fldCharType="separate"/>
        </w:r>
        <w:r w:rsidR="001C1B0F">
          <w:rPr>
            <w:noProof/>
            <w:webHidden/>
          </w:rPr>
          <w:t>19</w:t>
        </w:r>
        <w:r w:rsidR="00737CC2" w:rsidRPr="0008336A">
          <w:rPr>
            <w:noProof/>
            <w:webHidden/>
          </w:rPr>
          <w:fldChar w:fldCharType="end"/>
        </w:r>
      </w:hyperlink>
    </w:p>
    <w:p w14:paraId="593F0E86" w14:textId="5B777E03"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26" w:history="1">
        <w:r w:rsidR="00737CC2" w:rsidRPr="0008336A">
          <w:rPr>
            <w:rStyle w:val="Hyperlink"/>
            <w:bCs/>
            <w:noProof/>
          </w:rPr>
          <w:t>II</w:t>
        </w:r>
        <w:r w:rsidR="00737CC2" w:rsidRPr="0008336A">
          <w:rPr>
            <w:rStyle w:val="Hyperlink"/>
            <w:noProof/>
          </w:rPr>
          <w:t>.1.3 – I.3 Accessibilité des télécommunications/TIC</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_Toc39493326 \h </w:instrText>
        </w:r>
        <w:r w:rsidR="00737CC2" w:rsidRPr="0008336A">
          <w:rPr>
            <w:noProof/>
            <w:webHidden/>
          </w:rPr>
        </w:r>
        <w:r w:rsidR="00737CC2" w:rsidRPr="0008336A">
          <w:rPr>
            <w:noProof/>
            <w:webHidden/>
          </w:rPr>
          <w:fldChar w:fldCharType="separate"/>
        </w:r>
        <w:r w:rsidR="001C1B0F">
          <w:rPr>
            <w:noProof/>
            <w:webHidden/>
          </w:rPr>
          <w:t>21</w:t>
        </w:r>
        <w:r w:rsidR="00737CC2" w:rsidRPr="0008336A">
          <w:rPr>
            <w:noProof/>
            <w:webHidden/>
          </w:rPr>
          <w:fldChar w:fldCharType="end"/>
        </w:r>
      </w:hyperlink>
    </w:p>
    <w:p w14:paraId="631D1D9E" w14:textId="7469D784"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27" w:history="1">
        <w:r w:rsidR="00737CC2" w:rsidRPr="0008336A">
          <w:rPr>
            <w:rStyle w:val="Hyperlink"/>
            <w:noProof/>
          </w:rPr>
          <w:t>II.1.4 – I.4 Égalité hommes/femmes et inclusion</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_Toc39493327 \h </w:instrText>
        </w:r>
        <w:r w:rsidR="00737CC2" w:rsidRPr="0008336A">
          <w:rPr>
            <w:noProof/>
            <w:webHidden/>
          </w:rPr>
        </w:r>
        <w:r w:rsidR="00737CC2" w:rsidRPr="0008336A">
          <w:rPr>
            <w:noProof/>
            <w:webHidden/>
          </w:rPr>
          <w:fldChar w:fldCharType="separate"/>
        </w:r>
        <w:r w:rsidR="001C1B0F">
          <w:rPr>
            <w:noProof/>
            <w:webHidden/>
          </w:rPr>
          <w:t>24</w:t>
        </w:r>
        <w:r w:rsidR="00737CC2" w:rsidRPr="0008336A">
          <w:rPr>
            <w:noProof/>
            <w:webHidden/>
          </w:rPr>
          <w:fldChar w:fldCharType="end"/>
        </w:r>
      </w:hyperlink>
    </w:p>
    <w:p w14:paraId="6F0628A9" w14:textId="46A2F150"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28" w:history="1">
        <w:r w:rsidR="00737CC2" w:rsidRPr="0008336A">
          <w:rPr>
            <w:rStyle w:val="Hyperlink"/>
            <w:noProof/>
          </w:rPr>
          <w:t>II.1.5 – I.5 Environnement durable</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_Toc39493328 \h </w:instrText>
        </w:r>
        <w:r w:rsidR="00737CC2" w:rsidRPr="0008336A">
          <w:rPr>
            <w:noProof/>
            <w:webHidden/>
          </w:rPr>
        </w:r>
        <w:r w:rsidR="00737CC2" w:rsidRPr="0008336A">
          <w:rPr>
            <w:noProof/>
            <w:webHidden/>
          </w:rPr>
          <w:fldChar w:fldCharType="separate"/>
        </w:r>
        <w:r w:rsidR="001C1B0F">
          <w:rPr>
            <w:noProof/>
            <w:webHidden/>
          </w:rPr>
          <w:t>26</w:t>
        </w:r>
        <w:r w:rsidR="00737CC2" w:rsidRPr="0008336A">
          <w:rPr>
            <w:noProof/>
            <w:webHidden/>
          </w:rPr>
          <w:fldChar w:fldCharType="end"/>
        </w:r>
      </w:hyperlink>
    </w:p>
    <w:p w14:paraId="5A52DBAC" w14:textId="31AA9F8D"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29" w:history="1">
        <w:r w:rsidR="00737CC2" w:rsidRPr="0008336A">
          <w:rPr>
            <w:rStyle w:val="Hyperlink"/>
            <w:noProof/>
          </w:rPr>
          <w:t>II.1.6 – I.6 Réduction des chevauchements et des doubles emplois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_Toc39493329 \h </w:instrText>
        </w:r>
        <w:r w:rsidR="00737CC2" w:rsidRPr="0008336A">
          <w:rPr>
            <w:noProof/>
            <w:webHidden/>
          </w:rPr>
        </w:r>
        <w:r w:rsidR="00737CC2" w:rsidRPr="0008336A">
          <w:rPr>
            <w:noProof/>
            <w:webHidden/>
          </w:rPr>
          <w:fldChar w:fldCharType="separate"/>
        </w:r>
        <w:r w:rsidR="001C1B0F">
          <w:rPr>
            <w:noProof/>
            <w:webHidden/>
          </w:rPr>
          <w:t>27</w:t>
        </w:r>
        <w:r w:rsidR="00737CC2" w:rsidRPr="0008336A">
          <w:rPr>
            <w:noProof/>
            <w:webHidden/>
          </w:rPr>
          <w:fldChar w:fldCharType="end"/>
        </w:r>
      </w:hyperlink>
    </w:p>
    <w:p w14:paraId="37C22E20" w14:textId="176B0FDA" w:rsidR="00737CC2" w:rsidRPr="0008336A" w:rsidRDefault="00E13D84" w:rsidP="003F7F42">
      <w:pPr>
        <w:pStyle w:val="TOC1"/>
        <w:ind w:hanging="397"/>
        <w:rPr>
          <w:rFonts w:asciiTheme="minorHAnsi" w:eastAsiaTheme="minorEastAsia" w:hAnsiTheme="minorHAnsi" w:cstheme="minorBidi"/>
          <w:noProof/>
          <w:sz w:val="22"/>
          <w:szCs w:val="22"/>
          <w:lang w:eastAsia="en-GB"/>
        </w:rPr>
      </w:pPr>
      <w:hyperlink w:anchor="_Toc39493330" w:history="1">
        <w:r w:rsidR="00737CC2" w:rsidRPr="0008336A">
          <w:rPr>
            <w:rStyle w:val="Hyperlink"/>
            <w:noProof/>
          </w:rPr>
          <w:t>II.2</w:t>
        </w:r>
        <w:r w:rsidR="00737CC2" w:rsidRPr="0008336A">
          <w:rPr>
            <w:rFonts w:asciiTheme="minorHAnsi" w:eastAsiaTheme="minorEastAsia" w:hAnsiTheme="minorHAnsi" w:cstheme="minorBidi"/>
            <w:noProof/>
            <w:sz w:val="22"/>
            <w:szCs w:val="22"/>
            <w:lang w:eastAsia="en-GB"/>
          </w:rPr>
          <w:tab/>
        </w:r>
        <w:r w:rsidR="00737CC2" w:rsidRPr="0008336A">
          <w:rPr>
            <w:rStyle w:val="Hyperlink"/>
            <w:noProof/>
          </w:rPr>
          <w:t>Objectifs du Secteur des radiocommunications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_Toc39493330 \h </w:instrText>
        </w:r>
        <w:r w:rsidR="00737CC2" w:rsidRPr="0008336A">
          <w:rPr>
            <w:noProof/>
            <w:webHidden/>
          </w:rPr>
        </w:r>
        <w:r w:rsidR="00737CC2" w:rsidRPr="0008336A">
          <w:rPr>
            <w:noProof/>
            <w:webHidden/>
          </w:rPr>
          <w:fldChar w:fldCharType="separate"/>
        </w:r>
        <w:r w:rsidR="001C1B0F">
          <w:rPr>
            <w:noProof/>
            <w:webHidden/>
          </w:rPr>
          <w:t>30</w:t>
        </w:r>
        <w:r w:rsidR="00737CC2" w:rsidRPr="0008336A">
          <w:rPr>
            <w:noProof/>
            <w:webHidden/>
          </w:rPr>
          <w:fldChar w:fldCharType="end"/>
        </w:r>
      </w:hyperlink>
    </w:p>
    <w:p w14:paraId="2F7056E5" w14:textId="561BF51E"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31" w:history="1">
        <w:r w:rsidR="00737CC2" w:rsidRPr="0008336A">
          <w:rPr>
            <w:rStyle w:val="Hyperlink"/>
            <w:noProof/>
          </w:rPr>
          <w:t>II.2.1 – R.1 Réglementation et gestion du spectre/des orbites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_Toc39493331 \h </w:instrText>
        </w:r>
        <w:r w:rsidR="00737CC2" w:rsidRPr="0008336A">
          <w:rPr>
            <w:noProof/>
            <w:webHidden/>
          </w:rPr>
        </w:r>
        <w:r w:rsidR="00737CC2" w:rsidRPr="0008336A">
          <w:rPr>
            <w:noProof/>
            <w:webHidden/>
          </w:rPr>
          <w:fldChar w:fldCharType="separate"/>
        </w:r>
        <w:r w:rsidR="001C1B0F">
          <w:rPr>
            <w:noProof/>
            <w:webHidden/>
          </w:rPr>
          <w:t>31</w:t>
        </w:r>
        <w:r w:rsidR="00737CC2" w:rsidRPr="0008336A">
          <w:rPr>
            <w:noProof/>
            <w:webHidden/>
          </w:rPr>
          <w:fldChar w:fldCharType="end"/>
        </w:r>
      </w:hyperlink>
    </w:p>
    <w:p w14:paraId="03C25DCC" w14:textId="12319892"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32" w:history="1">
        <w:r w:rsidR="00737CC2" w:rsidRPr="0008336A">
          <w:rPr>
            <w:rStyle w:val="Hyperlink"/>
            <w:noProof/>
          </w:rPr>
          <w:t>II.2.2 – R.2 Normes relatives aux radiocommunications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_Toc39493332 \h </w:instrText>
        </w:r>
        <w:r w:rsidR="00737CC2" w:rsidRPr="0008336A">
          <w:rPr>
            <w:noProof/>
            <w:webHidden/>
          </w:rPr>
        </w:r>
        <w:r w:rsidR="00737CC2" w:rsidRPr="0008336A">
          <w:rPr>
            <w:noProof/>
            <w:webHidden/>
          </w:rPr>
          <w:fldChar w:fldCharType="separate"/>
        </w:r>
        <w:r w:rsidR="001C1B0F">
          <w:rPr>
            <w:noProof/>
            <w:webHidden/>
          </w:rPr>
          <w:t>35</w:t>
        </w:r>
        <w:r w:rsidR="00737CC2" w:rsidRPr="0008336A">
          <w:rPr>
            <w:noProof/>
            <w:webHidden/>
          </w:rPr>
          <w:fldChar w:fldCharType="end"/>
        </w:r>
      </w:hyperlink>
    </w:p>
    <w:p w14:paraId="5294FCFA" w14:textId="670D12E8"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33" w:history="1">
        <w:r w:rsidR="00737CC2" w:rsidRPr="0008336A">
          <w:rPr>
            <w:rStyle w:val="Hyperlink"/>
            <w:noProof/>
          </w:rPr>
          <w:t>II.2.3 – R.3 Échange de connaissances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_Toc39493333 \h </w:instrText>
        </w:r>
        <w:r w:rsidR="00737CC2" w:rsidRPr="0008336A">
          <w:rPr>
            <w:noProof/>
            <w:webHidden/>
          </w:rPr>
        </w:r>
        <w:r w:rsidR="00737CC2" w:rsidRPr="0008336A">
          <w:rPr>
            <w:noProof/>
            <w:webHidden/>
          </w:rPr>
          <w:fldChar w:fldCharType="separate"/>
        </w:r>
        <w:r w:rsidR="001C1B0F">
          <w:rPr>
            <w:noProof/>
            <w:webHidden/>
          </w:rPr>
          <w:t>40</w:t>
        </w:r>
        <w:r w:rsidR="00737CC2" w:rsidRPr="0008336A">
          <w:rPr>
            <w:noProof/>
            <w:webHidden/>
          </w:rPr>
          <w:fldChar w:fldCharType="end"/>
        </w:r>
      </w:hyperlink>
    </w:p>
    <w:p w14:paraId="38B9E08E" w14:textId="0E94EE71" w:rsidR="00737CC2" w:rsidRPr="0008336A" w:rsidRDefault="00E13D84" w:rsidP="003F7F42">
      <w:pPr>
        <w:pStyle w:val="TOC1"/>
        <w:ind w:hanging="397"/>
        <w:rPr>
          <w:rFonts w:asciiTheme="minorHAnsi" w:eastAsiaTheme="minorEastAsia" w:hAnsiTheme="minorHAnsi" w:cstheme="minorBidi"/>
          <w:noProof/>
          <w:sz w:val="22"/>
          <w:szCs w:val="22"/>
          <w:lang w:eastAsia="en-GB"/>
        </w:rPr>
      </w:pPr>
      <w:hyperlink w:anchor="_Toc39493334" w:history="1">
        <w:r w:rsidR="00737CC2" w:rsidRPr="0008336A">
          <w:rPr>
            <w:rStyle w:val="Hyperlink"/>
            <w:noProof/>
          </w:rPr>
          <w:t>II.3</w:t>
        </w:r>
        <w:r w:rsidR="00737CC2" w:rsidRPr="0008336A">
          <w:rPr>
            <w:rFonts w:asciiTheme="minorHAnsi" w:eastAsiaTheme="minorEastAsia" w:hAnsiTheme="minorHAnsi" w:cstheme="minorBidi"/>
            <w:noProof/>
            <w:sz w:val="22"/>
            <w:szCs w:val="22"/>
            <w:lang w:eastAsia="en-GB"/>
          </w:rPr>
          <w:tab/>
        </w:r>
        <w:r w:rsidR="00737CC2" w:rsidRPr="0008336A">
          <w:rPr>
            <w:rStyle w:val="Hyperlink"/>
            <w:noProof/>
          </w:rPr>
          <w:t>Objectifs du Secteur de la normalisation des télécommunications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_Toc39493334 \h </w:instrText>
        </w:r>
        <w:r w:rsidR="00737CC2" w:rsidRPr="0008336A">
          <w:rPr>
            <w:noProof/>
            <w:webHidden/>
          </w:rPr>
        </w:r>
        <w:r w:rsidR="00737CC2" w:rsidRPr="0008336A">
          <w:rPr>
            <w:noProof/>
            <w:webHidden/>
          </w:rPr>
          <w:fldChar w:fldCharType="separate"/>
        </w:r>
        <w:r w:rsidR="001C1B0F">
          <w:rPr>
            <w:noProof/>
            <w:webHidden/>
          </w:rPr>
          <w:t>42</w:t>
        </w:r>
        <w:r w:rsidR="00737CC2" w:rsidRPr="0008336A">
          <w:rPr>
            <w:noProof/>
            <w:webHidden/>
          </w:rPr>
          <w:fldChar w:fldCharType="end"/>
        </w:r>
      </w:hyperlink>
    </w:p>
    <w:p w14:paraId="4DE88A57" w14:textId="51E6981D"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35" w:history="1">
        <w:r w:rsidR="00737CC2" w:rsidRPr="0008336A">
          <w:rPr>
            <w:rStyle w:val="Hyperlink"/>
            <w:noProof/>
          </w:rPr>
          <w:t>II.3.1 – T.1 Élaboration de normes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_Toc39493335 \h </w:instrText>
        </w:r>
        <w:r w:rsidR="00737CC2" w:rsidRPr="0008336A">
          <w:rPr>
            <w:noProof/>
            <w:webHidden/>
          </w:rPr>
        </w:r>
        <w:r w:rsidR="00737CC2" w:rsidRPr="0008336A">
          <w:rPr>
            <w:noProof/>
            <w:webHidden/>
          </w:rPr>
          <w:fldChar w:fldCharType="separate"/>
        </w:r>
        <w:r w:rsidR="001C1B0F">
          <w:rPr>
            <w:noProof/>
            <w:webHidden/>
          </w:rPr>
          <w:t>43</w:t>
        </w:r>
        <w:r w:rsidR="00737CC2" w:rsidRPr="0008336A">
          <w:rPr>
            <w:noProof/>
            <w:webHidden/>
          </w:rPr>
          <w:fldChar w:fldCharType="end"/>
        </w:r>
      </w:hyperlink>
    </w:p>
    <w:p w14:paraId="6D1014E1" w14:textId="72A146D2"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36" w:history="1">
        <w:r w:rsidR="00737CC2" w:rsidRPr="0008336A">
          <w:rPr>
            <w:rStyle w:val="Hyperlink"/>
            <w:noProof/>
          </w:rPr>
          <w:t>II.3.2 – T.2 Réduire l'écart en matière de normalisation</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_Toc39493336 \h </w:instrText>
        </w:r>
        <w:r w:rsidR="00737CC2" w:rsidRPr="0008336A">
          <w:rPr>
            <w:noProof/>
            <w:webHidden/>
          </w:rPr>
        </w:r>
        <w:r w:rsidR="00737CC2" w:rsidRPr="0008336A">
          <w:rPr>
            <w:noProof/>
            <w:webHidden/>
          </w:rPr>
          <w:fldChar w:fldCharType="separate"/>
        </w:r>
        <w:r w:rsidR="001C1B0F">
          <w:rPr>
            <w:noProof/>
            <w:webHidden/>
          </w:rPr>
          <w:t>45</w:t>
        </w:r>
        <w:r w:rsidR="00737CC2" w:rsidRPr="0008336A">
          <w:rPr>
            <w:noProof/>
            <w:webHidden/>
          </w:rPr>
          <w:fldChar w:fldCharType="end"/>
        </w:r>
      </w:hyperlink>
    </w:p>
    <w:p w14:paraId="1CFDDD72" w14:textId="60599673"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37" w:history="1">
        <w:r w:rsidR="00737CC2" w:rsidRPr="0008336A">
          <w:rPr>
            <w:rStyle w:val="Hyperlink"/>
            <w:noProof/>
          </w:rPr>
          <w:t>II.3.3 – T.3 Ressources de télécommunications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_Toc39493337 \h </w:instrText>
        </w:r>
        <w:r w:rsidR="00737CC2" w:rsidRPr="0008336A">
          <w:rPr>
            <w:noProof/>
            <w:webHidden/>
          </w:rPr>
        </w:r>
        <w:r w:rsidR="00737CC2" w:rsidRPr="0008336A">
          <w:rPr>
            <w:noProof/>
            <w:webHidden/>
          </w:rPr>
          <w:fldChar w:fldCharType="separate"/>
        </w:r>
        <w:r w:rsidR="001C1B0F">
          <w:rPr>
            <w:noProof/>
            <w:webHidden/>
          </w:rPr>
          <w:t>47</w:t>
        </w:r>
        <w:r w:rsidR="00737CC2" w:rsidRPr="0008336A">
          <w:rPr>
            <w:noProof/>
            <w:webHidden/>
          </w:rPr>
          <w:fldChar w:fldCharType="end"/>
        </w:r>
      </w:hyperlink>
    </w:p>
    <w:p w14:paraId="522532DC" w14:textId="2532CD4C"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38" w:history="1">
        <w:r w:rsidR="00737CC2" w:rsidRPr="0008336A">
          <w:rPr>
            <w:rStyle w:val="Hyperlink"/>
            <w:noProof/>
          </w:rPr>
          <w:t>II.3.4 – T.4 Échange de connaissances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_Toc39493338 \h </w:instrText>
        </w:r>
        <w:r w:rsidR="00737CC2" w:rsidRPr="0008336A">
          <w:rPr>
            <w:noProof/>
            <w:webHidden/>
          </w:rPr>
        </w:r>
        <w:r w:rsidR="00737CC2" w:rsidRPr="0008336A">
          <w:rPr>
            <w:noProof/>
            <w:webHidden/>
          </w:rPr>
          <w:fldChar w:fldCharType="separate"/>
        </w:r>
        <w:r w:rsidR="001C1B0F">
          <w:rPr>
            <w:noProof/>
            <w:webHidden/>
          </w:rPr>
          <w:t>49</w:t>
        </w:r>
        <w:r w:rsidR="00737CC2" w:rsidRPr="0008336A">
          <w:rPr>
            <w:noProof/>
            <w:webHidden/>
          </w:rPr>
          <w:fldChar w:fldCharType="end"/>
        </w:r>
      </w:hyperlink>
    </w:p>
    <w:p w14:paraId="781CF098" w14:textId="343C16B4"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39" w:history="1">
        <w:r w:rsidR="00737CC2" w:rsidRPr="0008336A">
          <w:rPr>
            <w:rStyle w:val="Hyperlink"/>
            <w:noProof/>
          </w:rPr>
          <w:t>II.3.5 – T.5 Coopération avec les organismes de normalisation</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_Toc39493339 \h </w:instrText>
        </w:r>
        <w:r w:rsidR="00737CC2" w:rsidRPr="0008336A">
          <w:rPr>
            <w:noProof/>
            <w:webHidden/>
          </w:rPr>
        </w:r>
        <w:r w:rsidR="00737CC2" w:rsidRPr="0008336A">
          <w:rPr>
            <w:noProof/>
            <w:webHidden/>
          </w:rPr>
          <w:fldChar w:fldCharType="separate"/>
        </w:r>
        <w:r w:rsidR="001C1B0F">
          <w:rPr>
            <w:noProof/>
            <w:webHidden/>
          </w:rPr>
          <w:t>51</w:t>
        </w:r>
        <w:r w:rsidR="00737CC2" w:rsidRPr="0008336A">
          <w:rPr>
            <w:noProof/>
            <w:webHidden/>
          </w:rPr>
          <w:fldChar w:fldCharType="end"/>
        </w:r>
      </w:hyperlink>
    </w:p>
    <w:p w14:paraId="0946ECC9" w14:textId="27766235" w:rsidR="00737CC2" w:rsidRPr="0008336A" w:rsidRDefault="00E13D84" w:rsidP="003F7F42">
      <w:pPr>
        <w:pStyle w:val="TOC1"/>
        <w:ind w:hanging="397"/>
        <w:rPr>
          <w:rFonts w:asciiTheme="minorHAnsi" w:eastAsiaTheme="minorEastAsia" w:hAnsiTheme="minorHAnsi" w:cstheme="minorBidi"/>
          <w:noProof/>
          <w:sz w:val="22"/>
          <w:szCs w:val="22"/>
          <w:lang w:eastAsia="en-GB"/>
        </w:rPr>
      </w:pPr>
      <w:hyperlink w:anchor="_Toc39493340" w:history="1">
        <w:r w:rsidR="00737CC2" w:rsidRPr="0008336A">
          <w:rPr>
            <w:rStyle w:val="Hyperlink"/>
            <w:noProof/>
          </w:rPr>
          <w:t>II.4</w:t>
        </w:r>
        <w:r w:rsidR="00737CC2" w:rsidRPr="0008336A">
          <w:rPr>
            <w:rFonts w:asciiTheme="minorHAnsi" w:eastAsiaTheme="minorEastAsia" w:hAnsiTheme="minorHAnsi" w:cstheme="minorBidi"/>
            <w:noProof/>
            <w:sz w:val="22"/>
            <w:szCs w:val="22"/>
            <w:lang w:eastAsia="en-GB"/>
          </w:rPr>
          <w:tab/>
        </w:r>
        <w:r w:rsidR="00737CC2" w:rsidRPr="0008336A">
          <w:rPr>
            <w:rStyle w:val="Hyperlink"/>
            <w:noProof/>
          </w:rPr>
          <w:t>Objectifs du Secteur du développement des télécommunications</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_Toc39493340 \h </w:instrText>
        </w:r>
        <w:r w:rsidR="00737CC2" w:rsidRPr="0008336A">
          <w:rPr>
            <w:noProof/>
            <w:webHidden/>
          </w:rPr>
        </w:r>
        <w:r w:rsidR="00737CC2" w:rsidRPr="0008336A">
          <w:rPr>
            <w:noProof/>
            <w:webHidden/>
          </w:rPr>
          <w:fldChar w:fldCharType="separate"/>
        </w:r>
        <w:r w:rsidR="001C1B0F">
          <w:rPr>
            <w:noProof/>
            <w:webHidden/>
          </w:rPr>
          <w:t>53</w:t>
        </w:r>
        <w:r w:rsidR="00737CC2" w:rsidRPr="0008336A">
          <w:rPr>
            <w:noProof/>
            <w:webHidden/>
          </w:rPr>
          <w:fldChar w:fldCharType="end"/>
        </w:r>
      </w:hyperlink>
    </w:p>
    <w:p w14:paraId="00F68E59" w14:textId="05DCA300"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41" w:history="1">
        <w:r w:rsidR="00737CC2" w:rsidRPr="0008336A">
          <w:rPr>
            <w:rStyle w:val="Hyperlink"/>
            <w:noProof/>
          </w:rPr>
          <w:t>II.4.1 – D.1 Coordination</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_Toc39493341 \h </w:instrText>
        </w:r>
        <w:r w:rsidR="00737CC2" w:rsidRPr="0008336A">
          <w:rPr>
            <w:noProof/>
            <w:webHidden/>
          </w:rPr>
        </w:r>
        <w:r w:rsidR="00737CC2" w:rsidRPr="0008336A">
          <w:rPr>
            <w:noProof/>
            <w:webHidden/>
          </w:rPr>
          <w:fldChar w:fldCharType="separate"/>
        </w:r>
        <w:r w:rsidR="001C1B0F">
          <w:rPr>
            <w:noProof/>
            <w:webHidden/>
          </w:rPr>
          <w:t>54</w:t>
        </w:r>
        <w:r w:rsidR="00737CC2" w:rsidRPr="0008336A">
          <w:rPr>
            <w:noProof/>
            <w:webHidden/>
          </w:rPr>
          <w:fldChar w:fldCharType="end"/>
        </w:r>
      </w:hyperlink>
    </w:p>
    <w:p w14:paraId="0DBFB012" w14:textId="6BCA4889"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42" w:history="1">
        <w:r w:rsidR="00737CC2" w:rsidRPr="0008336A">
          <w:rPr>
            <w:rStyle w:val="Hyperlink"/>
            <w:noProof/>
          </w:rPr>
          <w:t>II.4.2 – D.2 Infrastructure moderne et sûre pour les télécommunications/TIC</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_Toc39493342 \h </w:instrText>
        </w:r>
        <w:r w:rsidR="00737CC2" w:rsidRPr="0008336A">
          <w:rPr>
            <w:noProof/>
            <w:webHidden/>
          </w:rPr>
        </w:r>
        <w:r w:rsidR="00737CC2" w:rsidRPr="0008336A">
          <w:rPr>
            <w:noProof/>
            <w:webHidden/>
          </w:rPr>
          <w:fldChar w:fldCharType="separate"/>
        </w:r>
        <w:r w:rsidR="001C1B0F">
          <w:rPr>
            <w:noProof/>
            <w:webHidden/>
          </w:rPr>
          <w:t>58</w:t>
        </w:r>
        <w:r w:rsidR="00737CC2" w:rsidRPr="0008336A">
          <w:rPr>
            <w:noProof/>
            <w:webHidden/>
          </w:rPr>
          <w:fldChar w:fldCharType="end"/>
        </w:r>
      </w:hyperlink>
    </w:p>
    <w:p w14:paraId="0DD25DD0" w14:textId="1E009C43"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43" w:history="1">
        <w:r w:rsidR="00737CC2" w:rsidRPr="0008336A">
          <w:rPr>
            <w:rStyle w:val="Hyperlink"/>
            <w:noProof/>
          </w:rPr>
          <w:t>II.4.3 – D.3 Environnement favorable</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_Toc39493343 \h </w:instrText>
        </w:r>
        <w:r w:rsidR="00737CC2" w:rsidRPr="0008336A">
          <w:rPr>
            <w:noProof/>
            <w:webHidden/>
          </w:rPr>
        </w:r>
        <w:r w:rsidR="00737CC2" w:rsidRPr="0008336A">
          <w:rPr>
            <w:noProof/>
            <w:webHidden/>
          </w:rPr>
          <w:fldChar w:fldCharType="separate"/>
        </w:r>
        <w:r w:rsidR="001C1B0F">
          <w:rPr>
            <w:noProof/>
            <w:webHidden/>
          </w:rPr>
          <w:t>61</w:t>
        </w:r>
        <w:r w:rsidR="00737CC2" w:rsidRPr="0008336A">
          <w:rPr>
            <w:noProof/>
            <w:webHidden/>
          </w:rPr>
          <w:fldChar w:fldCharType="end"/>
        </w:r>
      </w:hyperlink>
    </w:p>
    <w:p w14:paraId="5A65A72D" w14:textId="3BA7001F" w:rsidR="00737CC2" w:rsidRPr="0008336A" w:rsidRDefault="00E13D84" w:rsidP="003F7F42">
      <w:pPr>
        <w:pStyle w:val="TOC1"/>
        <w:ind w:firstLine="29"/>
        <w:rPr>
          <w:rFonts w:asciiTheme="minorHAnsi" w:eastAsiaTheme="minorEastAsia" w:hAnsiTheme="minorHAnsi" w:cstheme="minorBidi"/>
          <w:noProof/>
          <w:sz w:val="22"/>
          <w:szCs w:val="22"/>
          <w:lang w:eastAsia="en-GB"/>
        </w:rPr>
      </w:pPr>
      <w:hyperlink w:anchor="_Toc39493344" w:history="1">
        <w:r w:rsidR="00737CC2" w:rsidRPr="0008336A">
          <w:rPr>
            <w:rStyle w:val="Hyperlink"/>
            <w:noProof/>
          </w:rPr>
          <w:t>II.4.4 – D.4 Société de l'information inclusive</w:t>
        </w:r>
        <w:r w:rsidR="00737CC2" w:rsidRPr="0008336A">
          <w:rPr>
            <w:noProof/>
            <w:webHidden/>
          </w:rPr>
          <w:tab/>
        </w:r>
        <w:r w:rsidR="003F7F42" w:rsidRPr="0008336A">
          <w:rPr>
            <w:noProof/>
            <w:webHidden/>
          </w:rPr>
          <w:tab/>
        </w:r>
        <w:r w:rsidR="00737CC2" w:rsidRPr="0008336A">
          <w:rPr>
            <w:noProof/>
            <w:webHidden/>
          </w:rPr>
          <w:fldChar w:fldCharType="begin"/>
        </w:r>
        <w:r w:rsidR="00737CC2" w:rsidRPr="0008336A">
          <w:rPr>
            <w:noProof/>
            <w:webHidden/>
          </w:rPr>
          <w:instrText xml:space="preserve"> PAGEREF _Toc39493344 \h </w:instrText>
        </w:r>
        <w:r w:rsidR="00737CC2" w:rsidRPr="0008336A">
          <w:rPr>
            <w:noProof/>
            <w:webHidden/>
          </w:rPr>
        </w:r>
        <w:r w:rsidR="00737CC2" w:rsidRPr="0008336A">
          <w:rPr>
            <w:noProof/>
            <w:webHidden/>
          </w:rPr>
          <w:fldChar w:fldCharType="separate"/>
        </w:r>
        <w:r w:rsidR="001C1B0F">
          <w:rPr>
            <w:noProof/>
            <w:webHidden/>
          </w:rPr>
          <w:t>65</w:t>
        </w:r>
        <w:r w:rsidR="00737CC2" w:rsidRPr="0008336A">
          <w:rPr>
            <w:noProof/>
            <w:webHidden/>
          </w:rPr>
          <w:fldChar w:fldCharType="end"/>
        </w:r>
      </w:hyperlink>
    </w:p>
    <w:p w14:paraId="2613297F" w14:textId="2EB0FEFF" w:rsidR="00575D39" w:rsidRPr="0008336A" w:rsidRDefault="00737CC2" w:rsidP="00BD1734">
      <w:pPr>
        <w:pStyle w:val="TOC2"/>
      </w:pPr>
      <w:r w:rsidRPr="0008336A">
        <w:rPr>
          <w:noProof/>
        </w:rPr>
        <w:fldChar w:fldCharType="end"/>
      </w:r>
      <w:r w:rsidR="00575D39" w:rsidRPr="0008336A">
        <w:fldChar w:fldCharType="end"/>
      </w:r>
      <w:r w:rsidR="00575D39" w:rsidRPr="0008336A">
        <w:br w:type="page"/>
      </w:r>
    </w:p>
    <w:p w14:paraId="482BB764" w14:textId="732E42A6" w:rsidR="00575D39" w:rsidRPr="0014690C" w:rsidRDefault="00575D39" w:rsidP="00BD1734">
      <w:pPr>
        <w:pStyle w:val="Heading1"/>
        <w:rPr>
          <w:color w:val="0070C0"/>
        </w:rPr>
      </w:pPr>
      <w:bookmarkStart w:id="59" w:name="_Toc34307481"/>
      <w:bookmarkStart w:id="60" w:name="_Toc34307559"/>
      <w:bookmarkStart w:id="61" w:name="_Toc34307657"/>
      <w:bookmarkStart w:id="62" w:name="_Toc39493322"/>
      <w:r w:rsidRPr="0014690C">
        <w:rPr>
          <w:color w:val="0070C0"/>
        </w:rPr>
        <w:lastRenderedPageBreak/>
        <w:t>II.0</w:t>
      </w:r>
      <w:r w:rsidRPr="0014690C">
        <w:rPr>
          <w:color w:val="0070C0"/>
        </w:rPr>
        <w:tab/>
      </w:r>
      <w:bookmarkEnd w:id="59"/>
      <w:bookmarkEnd w:id="60"/>
      <w:bookmarkEnd w:id="61"/>
      <w:r w:rsidRPr="0014690C">
        <w:rPr>
          <w:color w:val="0070C0"/>
        </w:rPr>
        <w:t>Résumé</w:t>
      </w:r>
      <w:bookmarkEnd w:id="62"/>
    </w:p>
    <w:p w14:paraId="50275164"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b/>
          <w:bCs/>
        </w:rPr>
        <w:t>II.0.1</w:t>
      </w:r>
      <w:r w:rsidRPr="0008336A">
        <w:rPr>
          <w:rFonts w:asciiTheme="minorHAnsi" w:hAnsiTheme="minorHAnsi"/>
          <w:b/>
          <w:bCs/>
        </w:rPr>
        <w:tab/>
      </w:r>
      <w:r w:rsidRPr="0008336A">
        <w:rPr>
          <w:rFonts w:asciiTheme="minorHAnsi" w:hAnsiTheme="minorHAnsi"/>
        </w:rPr>
        <w:t xml:space="preserve">Le projet de Plan opérationnel de l'UIT pour la période 2021-2024 donne des informations concernant la mise en œuvre de 18 objectifs stratégiques subdivisés comme </w:t>
      </w:r>
      <w:proofErr w:type="gramStart"/>
      <w:r w:rsidRPr="0008336A">
        <w:rPr>
          <w:rFonts w:asciiTheme="minorHAnsi" w:hAnsiTheme="minorHAnsi"/>
        </w:rPr>
        <w:t>suit:</w:t>
      </w:r>
      <w:proofErr w:type="gramEnd"/>
    </w:p>
    <w:p w14:paraId="0F6A4FE9" w14:textId="77777777" w:rsidR="00575D39" w:rsidRPr="0008336A" w:rsidRDefault="00575D39" w:rsidP="00BD1734">
      <w:pPr>
        <w:pStyle w:val="enumlev1"/>
      </w:pPr>
      <w:r w:rsidRPr="0008336A">
        <w:t>−</w:t>
      </w:r>
      <w:r w:rsidRPr="0008336A">
        <w:tab/>
        <w:t xml:space="preserve">6 Objectifs </w:t>
      </w:r>
      <w:proofErr w:type="gramStart"/>
      <w:r w:rsidRPr="0008336A">
        <w:t>intersectoriels;</w:t>
      </w:r>
      <w:proofErr w:type="gramEnd"/>
    </w:p>
    <w:p w14:paraId="7C88444E" w14:textId="77777777" w:rsidR="00575D39" w:rsidRPr="0008336A" w:rsidRDefault="00575D39" w:rsidP="00BD1734">
      <w:pPr>
        <w:pStyle w:val="enumlev1"/>
      </w:pPr>
      <w:r w:rsidRPr="0008336A">
        <w:t>−</w:t>
      </w:r>
      <w:r w:rsidRPr="0008336A">
        <w:tab/>
        <w:t xml:space="preserve">3 Objectifs du Secteur des </w:t>
      </w:r>
      <w:proofErr w:type="gramStart"/>
      <w:r w:rsidRPr="0008336A">
        <w:t>radiocommunications;</w:t>
      </w:r>
      <w:proofErr w:type="gramEnd"/>
    </w:p>
    <w:p w14:paraId="12B15A0D" w14:textId="77777777" w:rsidR="00575D39" w:rsidRPr="0008336A" w:rsidRDefault="00575D39" w:rsidP="00BD1734">
      <w:pPr>
        <w:pStyle w:val="enumlev1"/>
      </w:pPr>
      <w:r w:rsidRPr="0008336A">
        <w:t>−</w:t>
      </w:r>
      <w:r w:rsidRPr="0008336A">
        <w:tab/>
        <w:t xml:space="preserve">5 Objectifs du Secteur de la normalisation des </w:t>
      </w:r>
      <w:proofErr w:type="gramStart"/>
      <w:r w:rsidRPr="0008336A">
        <w:t>télécommunications;</w:t>
      </w:r>
      <w:proofErr w:type="gramEnd"/>
    </w:p>
    <w:p w14:paraId="38D865FC" w14:textId="77777777" w:rsidR="00575D39" w:rsidRPr="0008336A" w:rsidRDefault="00575D39" w:rsidP="00BD1734">
      <w:pPr>
        <w:pStyle w:val="enumlev1"/>
      </w:pPr>
      <w:r w:rsidRPr="0008336A">
        <w:t>−</w:t>
      </w:r>
      <w:r w:rsidRPr="0008336A">
        <w:tab/>
        <w:t>4 Objectifs du Secteur de développement des télécommunications.</w:t>
      </w:r>
    </w:p>
    <w:p w14:paraId="60CD5667"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b/>
          <w:bCs/>
        </w:rPr>
        <w:t>II.0.2</w:t>
      </w:r>
      <w:r w:rsidRPr="0008336A">
        <w:rPr>
          <w:rFonts w:asciiTheme="minorHAnsi" w:hAnsiTheme="minorHAnsi"/>
          <w:b/>
          <w:bCs/>
        </w:rPr>
        <w:tab/>
      </w:r>
      <w:r w:rsidRPr="0008336A">
        <w:rPr>
          <w:rFonts w:asciiTheme="minorHAnsi" w:hAnsiTheme="minorHAnsi"/>
        </w:rPr>
        <w:t xml:space="preserve">Pour chaque Objectif, les informations suivantes sont </w:t>
      </w:r>
      <w:proofErr w:type="gramStart"/>
      <w:r w:rsidRPr="0008336A">
        <w:rPr>
          <w:rFonts w:asciiTheme="minorHAnsi" w:hAnsiTheme="minorHAnsi"/>
        </w:rPr>
        <w:t>données:</w:t>
      </w:r>
      <w:proofErr w:type="gramEnd"/>
    </w:p>
    <w:p w14:paraId="40788FCD" w14:textId="77777777" w:rsidR="00575D39" w:rsidRPr="0008336A" w:rsidRDefault="00575D39" w:rsidP="00BD1734">
      <w:pPr>
        <w:pStyle w:val="enumlev1"/>
      </w:pPr>
      <w:r w:rsidRPr="0008336A">
        <w:t>−</w:t>
      </w:r>
      <w:r w:rsidRPr="0008336A">
        <w:tab/>
        <w:t>Description de l'Objectif.</w:t>
      </w:r>
    </w:p>
    <w:p w14:paraId="6C3171E7" w14:textId="77777777" w:rsidR="00575D39" w:rsidRPr="0008336A" w:rsidRDefault="00575D39" w:rsidP="00BD1734">
      <w:pPr>
        <w:pStyle w:val="enumlev1"/>
      </w:pPr>
      <w:r w:rsidRPr="0008336A">
        <w:t>−</w:t>
      </w:r>
      <w:r w:rsidRPr="0008336A">
        <w:tab/>
        <w:t>Résumé de l'imputation de coûts pour 2019 et pour la période 2021-2024.</w:t>
      </w:r>
    </w:p>
    <w:p w14:paraId="3FEBA13B" w14:textId="77777777" w:rsidR="00575D39" w:rsidRPr="0008336A" w:rsidRDefault="00575D39" w:rsidP="00BD1734">
      <w:pPr>
        <w:pStyle w:val="enumlev1"/>
      </w:pPr>
      <w:r w:rsidRPr="0008336A">
        <w:t>−</w:t>
      </w:r>
      <w:r w:rsidRPr="0008336A">
        <w:tab/>
        <w:t>Rapport d'activité pour 2019.</w:t>
      </w:r>
    </w:p>
    <w:p w14:paraId="4D952714" w14:textId="77777777" w:rsidR="00575D39" w:rsidRPr="0008336A" w:rsidRDefault="00575D39" w:rsidP="00BD1734">
      <w:pPr>
        <w:pStyle w:val="enumlev1"/>
      </w:pPr>
      <w:r w:rsidRPr="0008336A">
        <w:t>−</w:t>
      </w:r>
      <w:r w:rsidRPr="0008336A">
        <w:tab/>
        <w:t>Déclaration 2021 sur les résultats attendus, la mesure et les indicateurs de risque.</w:t>
      </w:r>
    </w:p>
    <w:p w14:paraId="6E091184"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b/>
          <w:bCs/>
        </w:rPr>
        <w:t>II.0.3</w:t>
      </w:r>
      <w:r w:rsidRPr="0008336A">
        <w:rPr>
          <w:rFonts w:asciiTheme="minorHAnsi" w:hAnsiTheme="minorHAnsi"/>
          <w:b/>
          <w:bCs/>
        </w:rPr>
        <w:tab/>
      </w:r>
      <w:r w:rsidRPr="0008336A">
        <w:rPr>
          <w:rFonts w:asciiTheme="minorHAnsi" w:hAnsiTheme="minorHAnsi"/>
        </w:rPr>
        <w:t>Le diagramme ci-dessous montre la ventilation des ressources par Objectif pour la période 2021-</w:t>
      </w:r>
      <w:proofErr w:type="gramStart"/>
      <w:r w:rsidRPr="0008336A">
        <w:rPr>
          <w:rFonts w:asciiTheme="minorHAnsi" w:hAnsiTheme="minorHAnsi"/>
        </w:rPr>
        <w:t>2024:</w:t>
      </w:r>
      <w:proofErr w:type="gramEnd"/>
    </w:p>
    <w:p w14:paraId="6CF1DA54"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jc w:val="center"/>
        <w:rPr>
          <w:rFonts w:asciiTheme="minorHAnsi" w:hAnsiTheme="minorHAnsi"/>
        </w:rPr>
      </w:pPr>
      <w:r w:rsidRPr="0008336A">
        <w:rPr>
          <w:rFonts w:asciiTheme="minorHAnsi" w:hAnsiTheme="minorHAnsi"/>
        </w:rPr>
        <w:object w:dxaOrig="21758" w:dyaOrig="12607" w14:anchorId="1B65FEF5">
          <v:shape id="_x0000_i1028" type="#_x0000_t75" style="width:455.85pt;height:289.95pt" o:ole="">
            <v:imagedata r:id="rId27" o:title=""/>
          </v:shape>
          <o:OLEObject Type="Embed" ProgID="Excel.Sheet.12" ShapeID="_x0000_i1028" DrawAspect="Content" ObjectID="_1650187641" r:id="rId28"/>
        </w:object>
      </w:r>
    </w:p>
    <w:p w14:paraId="1551BF94"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p>
    <w:p w14:paraId="7C2F5C5D"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sectPr w:rsidR="00575D39" w:rsidRPr="0008336A" w:rsidSect="00392ACA">
          <w:pgSz w:w="11907" w:h="16834" w:code="9"/>
          <w:pgMar w:top="1418" w:right="1134" w:bottom="1418" w:left="1134" w:header="720" w:footer="720" w:gutter="0"/>
          <w:paperSrc w:first="7" w:other="7"/>
          <w:cols w:space="720"/>
          <w:docGrid w:linePitch="326"/>
        </w:sectPr>
      </w:pPr>
    </w:p>
    <w:p w14:paraId="3FF7668D" w14:textId="1A885B24" w:rsidR="00575D39" w:rsidRPr="0014690C" w:rsidRDefault="00575D39" w:rsidP="00BD1734">
      <w:pPr>
        <w:pStyle w:val="Heading1"/>
        <w:rPr>
          <w:color w:val="0070C0"/>
        </w:rPr>
      </w:pPr>
      <w:bookmarkStart w:id="63" w:name="_Toc34307482"/>
      <w:bookmarkStart w:id="64" w:name="_Toc34307560"/>
      <w:bookmarkStart w:id="65" w:name="_Toc34307658"/>
      <w:bookmarkStart w:id="66" w:name="_Toc39493323"/>
      <w:r w:rsidRPr="0014690C">
        <w:rPr>
          <w:color w:val="0070C0"/>
        </w:rPr>
        <w:lastRenderedPageBreak/>
        <w:t>II.1</w:t>
      </w:r>
      <w:r w:rsidRPr="0014690C">
        <w:rPr>
          <w:color w:val="0070C0"/>
        </w:rPr>
        <w:tab/>
        <w:t>Objectifs intersectoriels</w:t>
      </w:r>
      <w:bookmarkEnd w:id="63"/>
      <w:bookmarkEnd w:id="64"/>
      <w:bookmarkEnd w:id="65"/>
      <w:bookmarkEnd w:id="66"/>
    </w:p>
    <w:p w14:paraId="1126185A"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Six Objectifs intersectoriels sont prévus pour la période 2021-2024, représentant 10,41% du total des ressources prévues de l'Union pour cette période.</w:t>
      </w:r>
    </w:p>
    <w:p w14:paraId="7D80E219" w14:textId="77777777" w:rsidR="00575D39" w:rsidRPr="0008336A" w:rsidRDefault="00575D39" w:rsidP="00BD1734">
      <w:pPr>
        <w:pStyle w:val="Tabletitle"/>
      </w:pPr>
      <w:r w:rsidRPr="0008336A">
        <w:t>Objectifs intersectoriels</w:t>
      </w:r>
      <w:r w:rsidRPr="0008336A">
        <w:br/>
        <w:t>Coûts prévus pour 2021-2024</w:t>
      </w:r>
      <w:r w:rsidRPr="0008336A">
        <w:br/>
        <w:t>Ventilation par composante de coût</w:t>
      </w:r>
    </w:p>
    <w:bookmarkStart w:id="67" w:name="_MON_1644901255"/>
    <w:bookmarkEnd w:id="67"/>
    <w:p w14:paraId="546EDC21" w14:textId="464092D2" w:rsidR="00575D39" w:rsidRPr="0008336A" w:rsidRDefault="00E0596C"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5990" w:dyaOrig="5701" w14:anchorId="32F2C4DC">
          <v:shape id="_x0000_i1029" type="#_x0000_t75" style="width:729.15pt;height:256.85pt" o:ole="">
            <v:imagedata r:id="rId29" o:title=""/>
          </v:shape>
          <o:OLEObject Type="Embed" ProgID="Excel.Sheet.12" ShapeID="_x0000_i1029" DrawAspect="Content" ObjectID="_1650187642" r:id="rId30"/>
        </w:object>
      </w:r>
    </w:p>
    <w:p w14:paraId="3BFFD25A" w14:textId="77777777" w:rsidR="00575D39" w:rsidRPr="0008336A" w:rsidRDefault="00575D39" w:rsidP="00BD173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rPr>
      </w:pPr>
      <w:r w:rsidRPr="0008336A">
        <w:rPr>
          <w:rFonts w:asciiTheme="minorHAnsi" w:hAnsiTheme="minorHAnsi"/>
        </w:rPr>
        <w:br w:type="page"/>
      </w:r>
    </w:p>
    <w:p w14:paraId="6035A3E8" w14:textId="4C14BCA9" w:rsidR="00575D39" w:rsidRPr="0014690C" w:rsidRDefault="00575D39" w:rsidP="00BD1734">
      <w:pPr>
        <w:pStyle w:val="Heading1"/>
        <w:rPr>
          <w:color w:val="1F497D" w:themeColor="text2"/>
        </w:rPr>
      </w:pPr>
      <w:bookmarkStart w:id="68" w:name="_Toc34307483"/>
      <w:bookmarkStart w:id="69" w:name="_Toc34307561"/>
      <w:bookmarkStart w:id="70" w:name="_Toc34307659"/>
      <w:bookmarkStart w:id="71" w:name="_Toc39493324"/>
      <w:r w:rsidRPr="0014690C">
        <w:rPr>
          <w:color w:val="1F497D" w:themeColor="text2"/>
        </w:rPr>
        <w:lastRenderedPageBreak/>
        <w:t>II.1.1 – I.1 Collaboration</w:t>
      </w:r>
      <w:bookmarkEnd w:id="68"/>
      <w:bookmarkEnd w:id="69"/>
      <w:bookmarkEnd w:id="70"/>
      <w:bookmarkEnd w:id="71"/>
    </w:p>
    <w:p w14:paraId="04DDD3A0" w14:textId="77777777" w:rsidR="00575D39" w:rsidRPr="0014690C" w:rsidRDefault="00575D39" w:rsidP="00BD1734">
      <w:pPr>
        <w:pStyle w:val="Headingb"/>
        <w:rPr>
          <w:i/>
          <w:iCs/>
          <w:color w:val="C0504D" w:themeColor="accent2"/>
        </w:rPr>
      </w:pPr>
      <w:bookmarkStart w:id="72" w:name="lt_pId102"/>
      <w:r w:rsidRPr="0014690C">
        <w:rPr>
          <w:i/>
          <w:iCs/>
          <w:color w:val="C0504D" w:themeColor="accent2"/>
        </w:rPr>
        <w:t xml:space="preserve">Description </w:t>
      </w:r>
      <w:bookmarkEnd w:id="72"/>
      <w:r w:rsidRPr="0014690C">
        <w:rPr>
          <w:i/>
          <w:iCs/>
          <w:color w:val="C0504D" w:themeColor="accent2"/>
        </w:rPr>
        <w:t>de l'Objectif</w:t>
      </w:r>
    </w:p>
    <w:p w14:paraId="4D0C5A85"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Encourager une collaboration plus étroite entre toutes les parties prenantes de l'écosystème des télécommunications/TIC.</w:t>
      </w:r>
    </w:p>
    <w:p w14:paraId="6DF97F66"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73" w:name="lt_pId104"/>
      <w:r w:rsidRPr="0008336A">
        <w:rPr>
          <w:rFonts w:asciiTheme="minorHAnsi" w:hAnsiTheme="minorHAnsi"/>
        </w:rPr>
        <w:t>L'Objectif I.1 utilise 62,54% des ressources prévues pour les Objectifs intersectoriels ou 6,52% des ressources prévues de l'UIT pour 2021-2024.</w:t>
      </w:r>
      <w:bookmarkEnd w:id="73"/>
    </w:p>
    <w:p w14:paraId="17995927" w14:textId="77777777" w:rsidR="00575D39" w:rsidRPr="0014690C" w:rsidRDefault="00575D39" w:rsidP="00BD1734">
      <w:pPr>
        <w:pStyle w:val="Headingb"/>
        <w:rPr>
          <w:i/>
          <w:iCs/>
          <w:color w:val="C0504D" w:themeColor="accent2"/>
        </w:rPr>
      </w:pPr>
      <w:r w:rsidRPr="0014690C">
        <w:rPr>
          <w:i/>
          <w:iCs/>
          <w:color w:val="C0504D" w:themeColor="accent2"/>
        </w:rPr>
        <w:t>Résumé de l'imputation des coûts</w:t>
      </w:r>
    </w:p>
    <w:bookmarkStart w:id="74" w:name="_MON_1649249885"/>
    <w:bookmarkEnd w:id="74"/>
    <w:p w14:paraId="70FDF2A0" w14:textId="62216166" w:rsidR="00575D39" w:rsidRPr="0008336A" w:rsidRDefault="00E0596C" w:rsidP="00BD1734">
      <w:pPr>
        <w:tabs>
          <w:tab w:val="clear" w:pos="567"/>
          <w:tab w:val="clear" w:pos="1134"/>
          <w:tab w:val="clear" w:pos="1701"/>
          <w:tab w:val="clear" w:pos="2268"/>
          <w:tab w:val="clear" w:pos="2835"/>
          <w:tab w:val="left" w:pos="794"/>
          <w:tab w:val="left" w:pos="1191"/>
          <w:tab w:val="left" w:pos="1588"/>
          <w:tab w:val="left" w:pos="1985"/>
        </w:tabs>
        <w:jc w:val="center"/>
        <w:rPr>
          <w:rFonts w:asciiTheme="minorHAnsi" w:hAnsiTheme="minorHAnsi"/>
        </w:rPr>
      </w:pPr>
      <w:r w:rsidRPr="0008336A">
        <w:rPr>
          <w:rFonts w:asciiTheme="minorHAnsi" w:hAnsiTheme="minorHAnsi"/>
        </w:rPr>
        <w:object w:dxaOrig="13259" w:dyaOrig="3573" w14:anchorId="26770D2E">
          <v:shape id="_x0000_i1030" type="#_x0000_t75" style="width:649.7pt;height:175.1pt" o:ole="">
            <v:imagedata r:id="rId31" o:title=""/>
          </v:shape>
          <o:OLEObject Type="Embed" ProgID="Excel.Sheet.12" ShapeID="_x0000_i1030" DrawAspect="Content" ObjectID="_1650187643" r:id="rId32"/>
        </w:object>
      </w:r>
    </w:p>
    <w:p w14:paraId="1D92DC2B"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p>
    <w:p w14:paraId="2615294D"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br w:type="page"/>
      </w:r>
    </w:p>
    <w:p w14:paraId="2B7D0930" w14:textId="77777777" w:rsidR="00575D39" w:rsidRPr="0014690C" w:rsidRDefault="00575D39" w:rsidP="00C843AA">
      <w:pPr>
        <w:pStyle w:val="Headingb"/>
        <w:spacing w:before="0" w:after="120"/>
        <w:rPr>
          <w:color w:val="C0504D" w:themeColor="accent2"/>
        </w:rPr>
      </w:pPr>
      <w:r w:rsidRPr="0014690C">
        <w:rPr>
          <w:color w:val="C0504D" w:themeColor="accent2"/>
        </w:rPr>
        <w:lastRenderedPageBreak/>
        <w:t>Rapport d'activité 2019</w:t>
      </w:r>
    </w:p>
    <w:tbl>
      <w:tblPr>
        <w:tblW w:w="14459" w:type="dxa"/>
        <w:tblInd w:w="-284" w:type="dxa"/>
        <w:tblLook w:val="04A0" w:firstRow="1" w:lastRow="0" w:firstColumn="1" w:lastColumn="0" w:noHBand="0" w:noVBand="1"/>
      </w:tblPr>
      <w:tblGrid>
        <w:gridCol w:w="4537"/>
        <w:gridCol w:w="6804"/>
        <w:gridCol w:w="3118"/>
      </w:tblGrid>
      <w:tr w:rsidR="00575D39" w:rsidRPr="0008336A" w14:paraId="1AF73552" w14:textId="77777777" w:rsidTr="00C843AA">
        <w:tc>
          <w:tcPr>
            <w:tcW w:w="4537" w:type="dxa"/>
            <w:tcBorders>
              <w:top w:val="nil"/>
              <w:left w:val="nil"/>
              <w:bottom w:val="single" w:sz="8" w:space="0" w:color="5B9BD5"/>
              <w:right w:val="dotted" w:sz="4" w:space="0" w:color="BDD6EE"/>
            </w:tcBorders>
          </w:tcPr>
          <w:p w14:paraId="76D64A94" w14:textId="77777777" w:rsidR="00575D39" w:rsidRPr="0008336A" w:rsidRDefault="00575D39" w:rsidP="00C843AA">
            <w:pPr>
              <w:pStyle w:val="Tablehead"/>
              <w:spacing w:before="40" w:after="40"/>
              <w:rPr>
                <w:i/>
                <w:iCs/>
              </w:rPr>
            </w:pPr>
            <w:r w:rsidRPr="0014690C">
              <w:rPr>
                <w:i/>
                <w:iCs/>
                <w:color w:val="365F91" w:themeColor="accent1" w:themeShade="BF"/>
              </w:rPr>
              <w:t>Résultats obtenus</w:t>
            </w:r>
          </w:p>
        </w:tc>
        <w:tc>
          <w:tcPr>
            <w:tcW w:w="6804" w:type="dxa"/>
            <w:tcBorders>
              <w:top w:val="nil"/>
              <w:left w:val="dotted" w:sz="4" w:space="0" w:color="BDD6EE"/>
              <w:bottom w:val="single" w:sz="8" w:space="0" w:color="5B9BD5"/>
              <w:right w:val="dotted" w:sz="4" w:space="0" w:color="BDD6EE"/>
            </w:tcBorders>
          </w:tcPr>
          <w:p w14:paraId="15F80F4C" w14:textId="77777777" w:rsidR="00575D39" w:rsidRPr="0008336A" w:rsidRDefault="00575D39" w:rsidP="00C843AA">
            <w:pPr>
              <w:pStyle w:val="Tablehead"/>
              <w:spacing w:before="40" w:after="40"/>
              <w:rPr>
                <w:i/>
                <w:iCs/>
              </w:rPr>
            </w:pPr>
            <w:r w:rsidRPr="0014690C">
              <w:rPr>
                <w:i/>
                <w:iCs/>
                <w:color w:val="365F91" w:themeColor="accent1" w:themeShade="BF"/>
              </w:rPr>
              <w:t xml:space="preserve">Mesure </w:t>
            </w:r>
          </w:p>
        </w:tc>
        <w:tc>
          <w:tcPr>
            <w:tcW w:w="3118" w:type="dxa"/>
            <w:tcBorders>
              <w:top w:val="nil"/>
              <w:left w:val="dotted" w:sz="4" w:space="0" w:color="BDD6EE"/>
              <w:bottom w:val="single" w:sz="8" w:space="0" w:color="5B9BD5"/>
              <w:right w:val="nil"/>
            </w:tcBorders>
          </w:tcPr>
          <w:p w14:paraId="686F9014" w14:textId="77777777" w:rsidR="00575D39" w:rsidRPr="0008336A" w:rsidRDefault="00575D39" w:rsidP="00C843AA">
            <w:pPr>
              <w:pStyle w:val="Tablehead"/>
              <w:spacing w:before="40" w:after="40"/>
              <w:rPr>
                <w:i/>
                <w:iCs/>
              </w:rPr>
            </w:pPr>
            <w:r w:rsidRPr="0014690C">
              <w:rPr>
                <w:i/>
                <w:iCs/>
                <w:color w:val="365F91" w:themeColor="accent1" w:themeShade="BF"/>
              </w:rPr>
              <w:t xml:space="preserve">Risque </w:t>
            </w:r>
          </w:p>
        </w:tc>
      </w:tr>
      <w:tr w:rsidR="00575D39" w:rsidRPr="0008336A" w14:paraId="06EFDBE4" w14:textId="77777777" w:rsidTr="00C843AA">
        <w:tc>
          <w:tcPr>
            <w:tcW w:w="4537" w:type="dxa"/>
            <w:tcBorders>
              <w:top w:val="single" w:sz="8" w:space="0" w:color="5B9BD5"/>
              <w:left w:val="nil"/>
              <w:bottom w:val="single" w:sz="4" w:space="0" w:color="BDD6EE"/>
              <w:right w:val="dotted" w:sz="4" w:space="0" w:color="BDD6EE"/>
            </w:tcBorders>
          </w:tcPr>
          <w:p w14:paraId="18C54D67" w14:textId="77777777" w:rsidR="00575D39" w:rsidRPr="0008336A" w:rsidRDefault="00575D39" w:rsidP="00C843AA">
            <w:pPr>
              <w:pStyle w:val="Tabletext"/>
              <w:spacing w:before="40" w:after="40"/>
            </w:pPr>
            <w:r w:rsidRPr="0008336A">
              <w:t>Renforcement de la collaboration entre les parties prenantes concernées, aboutissant à l'amélioration de l'efficacité de l'environnement des télécommunications/TIC.</w:t>
            </w:r>
          </w:p>
        </w:tc>
        <w:tc>
          <w:tcPr>
            <w:tcW w:w="6804" w:type="dxa"/>
            <w:tcBorders>
              <w:top w:val="single" w:sz="8" w:space="0" w:color="5B9BD5"/>
              <w:left w:val="dotted" w:sz="4" w:space="0" w:color="BDD6EE"/>
              <w:bottom w:val="single" w:sz="4" w:space="0" w:color="BDD6EE"/>
              <w:right w:val="dotted" w:sz="4" w:space="0" w:color="BDD6EE"/>
            </w:tcBorders>
          </w:tcPr>
          <w:p w14:paraId="64372E40" w14:textId="77777777" w:rsidR="00575D39" w:rsidRPr="0008336A" w:rsidRDefault="00575D39" w:rsidP="00C843AA">
            <w:pPr>
              <w:pStyle w:val="Tabletext"/>
              <w:spacing w:before="40" w:after="40"/>
            </w:pPr>
            <w:bookmarkStart w:id="75" w:name="lt_pId112"/>
            <w:r w:rsidRPr="0008336A">
              <w:t>Une nouvelle question a été ajoutée à l'enquête annuelle menée auprès des Membres des Secteurs de l'UIT (mesure à compter de 2019, les résultats ne sont pas encore disponibles) pour évaluer comment l'amélioration de la collaboration est perçue par la plupart des parties prenantes.</w:t>
            </w:r>
            <w:bookmarkEnd w:id="75"/>
          </w:p>
        </w:tc>
        <w:tc>
          <w:tcPr>
            <w:tcW w:w="3118" w:type="dxa"/>
            <w:tcBorders>
              <w:top w:val="single" w:sz="8" w:space="0" w:color="5B9BD5"/>
              <w:left w:val="dotted" w:sz="4" w:space="0" w:color="BDD6EE"/>
              <w:bottom w:val="single" w:sz="4" w:space="0" w:color="BDD6EE"/>
              <w:right w:val="nil"/>
            </w:tcBorders>
          </w:tcPr>
          <w:p w14:paraId="33F6322E" w14:textId="77777777" w:rsidR="00575D39" w:rsidRPr="0008336A" w:rsidRDefault="00575D39" w:rsidP="00C843AA">
            <w:pPr>
              <w:pStyle w:val="Tabletext"/>
              <w:spacing w:before="40" w:after="40"/>
            </w:pPr>
            <w:bookmarkStart w:id="76" w:name="lt_pId113"/>
            <w:r w:rsidRPr="0008336A">
              <w:t>Le risque de dispersion a été maîtrisé grâce à la bonne tenue des réunions et manifestations.</w:t>
            </w:r>
            <w:bookmarkEnd w:id="76"/>
          </w:p>
        </w:tc>
      </w:tr>
      <w:tr w:rsidR="00575D39" w:rsidRPr="0008336A" w14:paraId="00B3B774" w14:textId="77777777" w:rsidTr="00C843AA">
        <w:tc>
          <w:tcPr>
            <w:tcW w:w="4537" w:type="dxa"/>
            <w:tcBorders>
              <w:top w:val="single" w:sz="4" w:space="0" w:color="BDD6EE"/>
              <w:left w:val="nil"/>
              <w:bottom w:val="single" w:sz="4" w:space="0" w:color="BDD6EE"/>
              <w:right w:val="dotted" w:sz="4" w:space="0" w:color="BDD6EE"/>
            </w:tcBorders>
          </w:tcPr>
          <w:p w14:paraId="3AD370C0" w14:textId="0B76E3EA" w:rsidR="00575D39" w:rsidRPr="0008336A" w:rsidRDefault="00575D39" w:rsidP="00C843AA">
            <w:pPr>
              <w:pStyle w:val="Tabletext"/>
              <w:spacing w:before="40" w:after="40"/>
            </w:pPr>
            <w:bookmarkStart w:id="77" w:name="lt_pId114"/>
            <w:r w:rsidRPr="0008336A">
              <w:t>Renforcement de la participation (sur les plans de la qualité et de la quantité) aux principales manifestations et principaux forums multi</w:t>
            </w:r>
            <w:r w:rsidRPr="0008336A">
              <w:noBreakHyphen/>
              <w:t>parties prenantes organisés par l'UIT</w:t>
            </w:r>
            <w:bookmarkEnd w:id="77"/>
            <w:r w:rsidRPr="0008336A">
              <w:t>.</w:t>
            </w:r>
          </w:p>
        </w:tc>
        <w:tc>
          <w:tcPr>
            <w:tcW w:w="6804" w:type="dxa"/>
            <w:tcBorders>
              <w:top w:val="single" w:sz="4" w:space="0" w:color="BDD6EE"/>
              <w:left w:val="dotted" w:sz="4" w:space="0" w:color="BDD6EE"/>
              <w:bottom w:val="single" w:sz="4" w:space="0" w:color="BDD6EE"/>
              <w:right w:val="dotted" w:sz="4" w:space="0" w:color="BDD6EE"/>
            </w:tcBorders>
          </w:tcPr>
          <w:p w14:paraId="5C99550F" w14:textId="77777777" w:rsidR="00575D39" w:rsidRPr="0008336A" w:rsidRDefault="00575D39" w:rsidP="00C843AA">
            <w:pPr>
              <w:pStyle w:val="Tabletext"/>
              <w:spacing w:before="40" w:after="40"/>
            </w:pPr>
            <w:bookmarkStart w:id="78" w:name="lt_pId115"/>
            <w:r w:rsidRPr="0008336A">
              <w:t xml:space="preserve">Un plus grand nombre de membres de l'UIT déclarent (dans le cadre de l'enquête) que les TIC/télécommunications contribuent à la mise en œuvre des ODD et du Programme de développement durable à l'horizon 2030 des Nations Unies. </w:t>
            </w:r>
            <w:bookmarkEnd w:id="78"/>
            <w:r w:rsidRPr="0008336A">
              <w:t>Nombre et qualité des participants aux grandes manifestations (par ex. Forum du SMSI et Telecom).</w:t>
            </w:r>
          </w:p>
        </w:tc>
        <w:tc>
          <w:tcPr>
            <w:tcW w:w="3118" w:type="dxa"/>
            <w:tcBorders>
              <w:top w:val="single" w:sz="4" w:space="0" w:color="BDD6EE"/>
              <w:left w:val="dotted" w:sz="4" w:space="0" w:color="BDD6EE"/>
              <w:bottom w:val="single" w:sz="4" w:space="0" w:color="BDD6EE"/>
              <w:right w:val="nil"/>
            </w:tcBorders>
          </w:tcPr>
          <w:p w14:paraId="0160FC17" w14:textId="77777777" w:rsidR="00575D39" w:rsidRPr="0008336A" w:rsidRDefault="00575D39" w:rsidP="00C843AA">
            <w:pPr>
              <w:pStyle w:val="Tabletext"/>
              <w:spacing w:before="40" w:after="40"/>
            </w:pPr>
          </w:p>
        </w:tc>
      </w:tr>
    </w:tbl>
    <w:p w14:paraId="0991A05B" w14:textId="77777777" w:rsidR="00575D39" w:rsidRPr="0014690C" w:rsidRDefault="00575D39" w:rsidP="0098571D">
      <w:pPr>
        <w:pStyle w:val="Headingb"/>
        <w:spacing w:before="120" w:after="120"/>
        <w:rPr>
          <w:i/>
          <w:iCs/>
          <w:color w:val="C0504D" w:themeColor="accent2"/>
        </w:rPr>
      </w:pPr>
      <w:r w:rsidRPr="0014690C">
        <w:rPr>
          <w:i/>
          <w:iCs/>
          <w:color w:val="C0504D" w:themeColor="accent2"/>
        </w:rPr>
        <w:t xml:space="preserve">Déclaration 2021 </w:t>
      </w:r>
      <w:bookmarkStart w:id="79" w:name="lt_pId118"/>
      <w:r w:rsidRPr="0014690C">
        <w:rPr>
          <w:i/>
          <w:iCs/>
          <w:color w:val="C0504D" w:themeColor="accent2"/>
        </w:rPr>
        <w:t>sur les résultats attendus, la mesure et les indicateurs de risque</w:t>
      </w:r>
    </w:p>
    <w:tbl>
      <w:tblPr>
        <w:tblStyle w:val="GridTable1Light-Accent12"/>
        <w:tblW w:w="14459" w:type="dxa"/>
        <w:tblInd w:w="-289" w:type="dxa"/>
        <w:tblLook w:val="04A0" w:firstRow="1" w:lastRow="0" w:firstColumn="1" w:lastColumn="0" w:noHBand="0" w:noVBand="1"/>
      </w:tblPr>
      <w:tblGrid>
        <w:gridCol w:w="4537"/>
        <w:gridCol w:w="6809"/>
        <w:gridCol w:w="3113"/>
      </w:tblGrid>
      <w:tr w:rsidR="00575D39" w:rsidRPr="0008336A" w14:paraId="2DA52920" w14:textId="77777777" w:rsidTr="00C84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7" w:type="dxa"/>
          </w:tcPr>
          <w:bookmarkEnd w:id="79"/>
          <w:p w14:paraId="32C17F6A" w14:textId="77777777" w:rsidR="00575D39" w:rsidRPr="0008336A" w:rsidRDefault="00575D39" w:rsidP="00C843AA">
            <w:pPr>
              <w:pStyle w:val="Tablehead"/>
              <w:spacing w:before="40" w:after="40"/>
              <w:rPr>
                <w:b/>
                <w:bCs w:val="0"/>
                <w:i/>
                <w:iCs/>
              </w:rPr>
            </w:pPr>
            <w:r w:rsidRPr="0014690C">
              <w:rPr>
                <w:b/>
                <w:bCs w:val="0"/>
                <w:i/>
                <w:iCs/>
                <w:color w:val="365F91" w:themeColor="accent1" w:themeShade="BF"/>
              </w:rPr>
              <w:t>Résultats</w:t>
            </w:r>
          </w:p>
        </w:tc>
        <w:tc>
          <w:tcPr>
            <w:tcW w:w="6809" w:type="dxa"/>
          </w:tcPr>
          <w:p w14:paraId="4441C11F" w14:textId="77777777" w:rsidR="00575D39" w:rsidRPr="0008336A" w:rsidRDefault="00575D39" w:rsidP="00C843AA">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i/>
                <w:iCs/>
              </w:rPr>
            </w:pPr>
            <w:r w:rsidRPr="0014690C">
              <w:rPr>
                <w:b/>
                <w:bCs w:val="0"/>
                <w:i/>
                <w:iCs/>
                <w:color w:val="365F91" w:themeColor="accent1" w:themeShade="BF"/>
              </w:rPr>
              <w:t>Indicateurs de résultats</w:t>
            </w:r>
          </w:p>
        </w:tc>
        <w:tc>
          <w:tcPr>
            <w:tcW w:w="3113" w:type="dxa"/>
          </w:tcPr>
          <w:p w14:paraId="299AAB2A" w14:textId="77777777" w:rsidR="00575D39" w:rsidRPr="0008336A" w:rsidRDefault="00575D39" w:rsidP="00C843AA">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i/>
                <w:iCs/>
              </w:rPr>
            </w:pPr>
            <w:r w:rsidRPr="0014690C">
              <w:rPr>
                <w:b/>
                <w:bCs w:val="0"/>
                <w:i/>
                <w:iCs/>
                <w:color w:val="365F91" w:themeColor="accent1" w:themeShade="BF"/>
              </w:rPr>
              <w:t>Indicateurs de risque</w:t>
            </w:r>
          </w:p>
        </w:tc>
      </w:tr>
      <w:tr w:rsidR="00575D39" w:rsidRPr="0008336A" w14:paraId="78181944" w14:textId="77777777" w:rsidTr="00C843AA">
        <w:tc>
          <w:tcPr>
            <w:cnfStyle w:val="001000000000" w:firstRow="0" w:lastRow="0" w:firstColumn="1" w:lastColumn="0" w:oddVBand="0" w:evenVBand="0" w:oddHBand="0" w:evenHBand="0" w:firstRowFirstColumn="0" w:firstRowLastColumn="0" w:lastRowFirstColumn="0" w:lastRowLastColumn="0"/>
            <w:tcW w:w="4537" w:type="dxa"/>
          </w:tcPr>
          <w:p w14:paraId="34277350" w14:textId="77777777" w:rsidR="00575D39" w:rsidRPr="0008336A" w:rsidRDefault="00575D39" w:rsidP="00C843AA">
            <w:pPr>
              <w:pStyle w:val="Tabletext"/>
              <w:spacing w:before="40" w:after="40"/>
              <w:rPr>
                <w:b w:val="0"/>
                <w:bCs w:val="0"/>
              </w:rPr>
            </w:pPr>
            <w:r w:rsidRPr="0008336A">
              <w:rPr>
                <w:b w:val="0"/>
                <w:bCs w:val="0"/>
              </w:rPr>
              <w:t>Renforcement de la collaboration entre les parties prenantes concernées.</w:t>
            </w:r>
          </w:p>
        </w:tc>
        <w:tc>
          <w:tcPr>
            <w:tcW w:w="6809" w:type="dxa"/>
          </w:tcPr>
          <w:p w14:paraId="687F90DD" w14:textId="77777777" w:rsidR="00575D39" w:rsidRPr="0008336A" w:rsidRDefault="00575D39" w:rsidP="00C843AA">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pays/parties prenantes représentés/niveau de représentation (SMSI/Telecom).</w:t>
            </w:r>
          </w:p>
        </w:tc>
        <w:tc>
          <w:tcPr>
            <w:tcW w:w="3113" w:type="dxa"/>
          </w:tcPr>
          <w:p w14:paraId="00E54F19" w14:textId="77777777" w:rsidR="00575D39" w:rsidRPr="0008336A" w:rsidRDefault="00575D39" w:rsidP="00C843AA">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rFonts w:eastAsia="SimSun"/>
              </w:rPr>
              <w:t>Difficulté croissante de nouer un dialogue avec le public (nouveaux acteurs, nombreuses organisations concurrentes).</w:t>
            </w:r>
          </w:p>
        </w:tc>
      </w:tr>
      <w:tr w:rsidR="00575D39" w:rsidRPr="0008336A" w14:paraId="5BD93C17" w14:textId="77777777" w:rsidTr="00C843AA">
        <w:tc>
          <w:tcPr>
            <w:cnfStyle w:val="001000000000" w:firstRow="0" w:lastRow="0" w:firstColumn="1" w:lastColumn="0" w:oddVBand="0" w:evenVBand="0" w:oddHBand="0" w:evenHBand="0" w:firstRowFirstColumn="0" w:firstRowLastColumn="0" w:lastRowFirstColumn="0" w:lastRowLastColumn="0"/>
            <w:tcW w:w="4537" w:type="dxa"/>
          </w:tcPr>
          <w:p w14:paraId="4F8E45D5" w14:textId="77777777" w:rsidR="00575D39" w:rsidRPr="0008336A" w:rsidRDefault="00575D39" w:rsidP="00C843AA">
            <w:pPr>
              <w:pStyle w:val="Tabletext"/>
              <w:spacing w:before="40" w:after="40"/>
              <w:rPr>
                <w:b w:val="0"/>
                <w:bCs w:val="0"/>
              </w:rPr>
            </w:pPr>
            <w:r w:rsidRPr="0008336A">
              <w:rPr>
                <w:b w:val="0"/>
                <w:bCs w:val="0"/>
              </w:rPr>
              <w:t>Renforcement des synergies nées des partenariats concernant les télécommunications/TIC.</w:t>
            </w:r>
          </w:p>
        </w:tc>
        <w:tc>
          <w:tcPr>
            <w:tcW w:w="6809" w:type="dxa"/>
          </w:tcPr>
          <w:p w14:paraId="2019D2A0" w14:textId="77777777" w:rsidR="00575D39" w:rsidRPr="0008336A" w:rsidRDefault="00575D39" w:rsidP="00C843AA">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Pourcentage de Membres indiquant que les Recommandations/normes/bonnes pratiques de l'UIT sont utilisées en vue de faciliter la conclusion de partenariats.</w:t>
            </w:r>
          </w:p>
        </w:tc>
        <w:tc>
          <w:tcPr>
            <w:tcW w:w="3113" w:type="dxa"/>
          </w:tcPr>
          <w:p w14:paraId="19B1FA3A" w14:textId="77777777" w:rsidR="00575D39" w:rsidRPr="0008336A" w:rsidRDefault="00575D39" w:rsidP="00C843AA">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Manque de soutien/d'engagement de la part des partenaires et des pays.</w:t>
            </w:r>
          </w:p>
        </w:tc>
      </w:tr>
      <w:tr w:rsidR="00575D39" w:rsidRPr="0008336A" w14:paraId="239A6C4D" w14:textId="77777777" w:rsidTr="00C843AA">
        <w:tc>
          <w:tcPr>
            <w:cnfStyle w:val="001000000000" w:firstRow="0" w:lastRow="0" w:firstColumn="1" w:lastColumn="0" w:oddVBand="0" w:evenVBand="0" w:oddHBand="0" w:evenHBand="0" w:firstRowFirstColumn="0" w:firstRowLastColumn="0" w:lastRowFirstColumn="0" w:lastRowLastColumn="0"/>
            <w:tcW w:w="4537" w:type="dxa"/>
          </w:tcPr>
          <w:p w14:paraId="37E320F6" w14:textId="77777777" w:rsidR="00575D39" w:rsidRPr="0008336A" w:rsidRDefault="00575D39" w:rsidP="00C843AA">
            <w:pPr>
              <w:pStyle w:val="Tabletext"/>
              <w:spacing w:before="40" w:after="40"/>
              <w:rPr>
                <w:b w:val="0"/>
                <w:bCs w:val="0"/>
              </w:rPr>
            </w:pPr>
            <w:r w:rsidRPr="0008336A">
              <w:rPr>
                <w:b w:val="0"/>
                <w:bCs w:val="0"/>
              </w:rPr>
              <w:t>Meilleure reconnaissance des télécommunications/TIC, en tant que catalyseur intersectoriel pour la mise en œuvre des grandes orientations du SMSI et du Programme de développement durable à l'horizon 2030.</w:t>
            </w:r>
          </w:p>
        </w:tc>
        <w:tc>
          <w:tcPr>
            <w:tcW w:w="6809" w:type="dxa"/>
          </w:tcPr>
          <w:p w14:paraId="1F7458B5" w14:textId="77777777" w:rsidR="00575D39" w:rsidRPr="0008336A" w:rsidRDefault="00575D39" w:rsidP="00C843AA">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Pourcentage de Membres qui estiment que les télécommunications/TIC contribuent à la réalisation des ODD et du Programme 2030 des Nations Unies.</w:t>
            </w:r>
          </w:p>
        </w:tc>
        <w:tc>
          <w:tcPr>
            <w:tcW w:w="3113" w:type="dxa"/>
          </w:tcPr>
          <w:p w14:paraId="4D7BDB57" w14:textId="77777777" w:rsidR="00575D39" w:rsidRPr="0008336A" w:rsidRDefault="00575D39" w:rsidP="00C843AA">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Insuffisance des ressources humaines et financières.</w:t>
            </w:r>
          </w:p>
        </w:tc>
      </w:tr>
      <w:tr w:rsidR="00575D39" w:rsidRPr="0008336A" w14:paraId="38649C1B" w14:textId="77777777" w:rsidTr="00C843AA">
        <w:tc>
          <w:tcPr>
            <w:cnfStyle w:val="001000000000" w:firstRow="0" w:lastRow="0" w:firstColumn="1" w:lastColumn="0" w:oddVBand="0" w:evenVBand="0" w:oddHBand="0" w:evenHBand="0" w:firstRowFirstColumn="0" w:firstRowLastColumn="0" w:lastRowFirstColumn="0" w:lastRowLastColumn="0"/>
            <w:tcW w:w="4537" w:type="dxa"/>
          </w:tcPr>
          <w:p w14:paraId="76399BB0" w14:textId="77777777" w:rsidR="00575D39" w:rsidRPr="0008336A" w:rsidRDefault="00575D39" w:rsidP="00C843AA">
            <w:pPr>
              <w:pStyle w:val="Tabletext"/>
              <w:spacing w:before="40" w:after="40"/>
              <w:rPr>
                <w:b w:val="0"/>
                <w:bCs w:val="0"/>
              </w:rPr>
            </w:pPr>
            <w:r w:rsidRPr="0008336A">
              <w:rPr>
                <w:b w:val="0"/>
                <w:bCs w:val="0"/>
              </w:rPr>
              <w:t>Appui accru aux membres de l'UIT dans l'élaboration et la fourniture de produits et de services TIC.</w:t>
            </w:r>
          </w:p>
        </w:tc>
        <w:tc>
          <w:tcPr>
            <w:tcW w:w="6809" w:type="dxa"/>
          </w:tcPr>
          <w:p w14:paraId="1B16A75A" w14:textId="77777777" w:rsidR="00575D39" w:rsidRPr="0008336A" w:rsidRDefault="00575D39" w:rsidP="00C843AA">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Pourcentage de Membres indiquant que les Recommandations/normes/bonnes pratiques de l'UIT sont utilisées pour concevoir de nouveaux réseaux et produits de télécommunication.</w:t>
            </w:r>
          </w:p>
          <w:p w14:paraId="4F1ED746" w14:textId="77777777" w:rsidR="00575D39" w:rsidRPr="0008336A" w:rsidRDefault="00575D39" w:rsidP="00C843AA">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Pourcentage de Membres satisfaits du service à la clientèle de l'UIT.</w:t>
            </w:r>
          </w:p>
        </w:tc>
        <w:tc>
          <w:tcPr>
            <w:tcW w:w="3113" w:type="dxa"/>
          </w:tcPr>
          <w:p w14:paraId="6D357F61" w14:textId="77777777" w:rsidR="00575D39" w:rsidRPr="0008336A" w:rsidRDefault="00575D39" w:rsidP="00C843AA">
            <w:pPr>
              <w:pStyle w:val="Tabletext"/>
              <w:spacing w:before="40" w:after="40"/>
              <w:cnfStyle w:val="000000000000" w:firstRow="0" w:lastRow="0" w:firstColumn="0" w:lastColumn="0" w:oddVBand="0" w:evenVBand="0" w:oddHBand="0" w:evenHBand="0" w:firstRowFirstColumn="0" w:firstRowLastColumn="0" w:lastRowFirstColumn="0" w:lastRowLastColumn="0"/>
            </w:pPr>
          </w:p>
        </w:tc>
      </w:tr>
    </w:tbl>
    <w:p w14:paraId="658B124D" w14:textId="0AB0ED2B" w:rsidR="00575D39" w:rsidRPr="00C843AA" w:rsidRDefault="00575D39" w:rsidP="00BD1734">
      <w:pPr>
        <w:pStyle w:val="Heading1"/>
        <w:rPr>
          <w:color w:val="1F497D" w:themeColor="text2"/>
        </w:rPr>
      </w:pPr>
      <w:bookmarkStart w:id="80" w:name="_Toc34307484"/>
      <w:bookmarkStart w:id="81" w:name="_Toc34307562"/>
      <w:bookmarkStart w:id="82" w:name="_Toc34307660"/>
      <w:bookmarkStart w:id="83" w:name="_Toc39493325"/>
      <w:r w:rsidRPr="00C843AA">
        <w:rPr>
          <w:color w:val="1F497D" w:themeColor="text2"/>
        </w:rPr>
        <w:lastRenderedPageBreak/>
        <w:t>II.1.2 – I.2 Nouvelles tendances en matière de télécommunications/TIC</w:t>
      </w:r>
      <w:bookmarkEnd w:id="80"/>
      <w:bookmarkEnd w:id="81"/>
      <w:bookmarkEnd w:id="82"/>
      <w:bookmarkEnd w:id="83"/>
    </w:p>
    <w:p w14:paraId="2349FF7F" w14:textId="77777777" w:rsidR="00575D39" w:rsidRPr="00C843AA" w:rsidRDefault="00575D39" w:rsidP="00BD1734">
      <w:pPr>
        <w:pStyle w:val="Headingb"/>
        <w:rPr>
          <w:i/>
          <w:iCs/>
          <w:color w:val="C0504D" w:themeColor="accent2"/>
        </w:rPr>
      </w:pPr>
      <w:r w:rsidRPr="00C843AA">
        <w:rPr>
          <w:i/>
          <w:iCs/>
          <w:color w:val="C0504D" w:themeColor="accent2"/>
        </w:rPr>
        <w:t>Description de l'Objectif</w:t>
      </w:r>
    </w:p>
    <w:p w14:paraId="68DB77B6"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84" w:name="lt_pId137"/>
      <w:r w:rsidRPr="0008336A">
        <w:rPr>
          <w:rFonts w:asciiTheme="minorHAnsi" w:hAnsiTheme="minorHAnsi"/>
        </w:rPr>
        <w:t>Améliorer l'identification, la prise en compte et l'analyse de la transformation numérique et des nouvelles tendances dans l'environnement des télécommunications/TIC.</w:t>
      </w:r>
    </w:p>
    <w:p w14:paraId="468C7362"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85" w:name="lt_pId161"/>
      <w:r w:rsidRPr="0008336A">
        <w:rPr>
          <w:rFonts w:asciiTheme="minorHAnsi" w:hAnsiTheme="minorHAnsi"/>
        </w:rPr>
        <w:t>L'Objectif I.2 utilise 18,36% des ressources prévues pour les Objectifs intersectoriels ou 1,91% des ressources prévues de l'UIT pour 2021-2024.</w:t>
      </w:r>
    </w:p>
    <w:bookmarkEnd w:id="84"/>
    <w:bookmarkEnd w:id="85"/>
    <w:p w14:paraId="15335085" w14:textId="77777777" w:rsidR="00575D39" w:rsidRPr="00C843AA" w:rsidRDefault="00575D39" w:rsidP="00BD1734">
      <w:pPr>
        <w:pStyle w:val="Headingb"/>
        <w:rPr>
          <w:i/>
          <w:iCs/>
          <w:color w:val="C0504D" w:themeColor="accent2"/>
        </w:rPr>
      </w:pPr>
      <w:r w:rsidRPr="00C843AA">
        <w:rPr>
          <w:i/>
          <w:iCs/>
          <w:color w:val="C0504D" w:themeColor="accent2"/>
        </w:rPr>
        <w:t>Résumé de l'imputation des coûts</w:t>
      </w:r>
    </w:p>
    <w:bookmarkStart w:id="86" w:name="_MON_1649249966"/>
    <w:bookmarkEnd w:id="86"/>
    <w:p w14:paraId="6CA4B097" w14:textId="4831C144" w:rsidR="00575D39" w:rsidRPr="0008336A" w:rsidRDefault="00814B10"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2760" w:dyaOrig="3780" w14:anchorId="40416EB5">
          <v:shape id="_x0000_i1031" type="#_x0000_t75" style="width:638pt;height:189pt" o:ole="">
            <v:imagedata r:id="rId33" o:title=""/>
          </v:shape>
          <o:OLEObject Type="Embed" ProgID="Excel.Sheet.12" ShapeID="_x0000_i1031" DrawAspect="Content" ObjectID="_1650187644" r:id="rId34"/>
        </w:object>
      </w:r>
    </w:p>
    <w:p w14:paraId="4F0C5AB0" w14:textId="77777777" w:rsidR="00571853" w:rsidRPr="0008336A" w:rsidRDefault="00571853" w:rsidP="00BD1734">
      <w:pPr>
        <w:pStyle w:val="Headingb"/>
        <w:spacing w:after="240"/>
        <w:rPr>
          <w:i/>
          <w:iCs/>
        </w:rPr>
      </w:pPr>
      <w:r w:rsidRPr="0008336A">
        <w:rPr>
          <w:i/>
          <w:iCs/>
        </w:rPr>
        <w:br w:type="page"/>
      </w:r>
    </w:p>
    <w:p w14:paraId="73756628" w14:textId="7612EC9E" w:rsidR="00575D39" w:rsidRPr="00C843AA" w:rsidRDefault="00575D39" w:rsidP="00BD1734">
      <w:pPr>
        <w:pStyle w:val="Headingb"/>
        <w:spacing w:after="240"/>
        <w:rPr>
          <w:i/>
          <w:iCs/>
          <w:color w:val="C0504D" w:themeColor="accent2"/>
        </w:rPr>
      </w:pPr>
      <w:r w:rsidRPr="00C843AA">
        <w:rPr>
          <w:i/>
          <w:iCs/>
          <w:color w:val="C0504D" w:themeColor="accent2"/>
        </w:rPr>
        <w:lastRenderedPageBreak/>
        <w:t>Rapport d'activité 2019</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7359B4FC" w14:textId="77777777" w:rsidTr="00814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79DD090F" w14:textId="77777777" w:rsidR="00575D39" w:rsidRPr="00C843AA" w:rsidRDefault="00575D39" w:rsidP="00BD1734">
            <w:pPr>
              <w:pStyle w:val="Tablehead"/>
              <w:rPr>
                <w:b/>
                <w:bCs w:val="0"/>
                <w:i/>
                <w:iCs/>
                <w:color w:val="365F91" w:themeColor="accent1" w:themeShade="BF"/>
              </w:rPr>
            </w:pPr>
            <w:r w:rsidRPr="00C843AA">
              <w:rPr>
                <w:b/>
                <w:bCs w:val="0"/>
                <w:i/>
                <w:iCs/>
                <w:color w:val="365F91" w:themeColor="accent1" w:themeShade="BF"/>
              </w:rPr>
              <w:t>Résultats obtenus</w:t>
            </w:r>
          </w:p>
        </w:tc>
        <w:tc>
          <w:tcPr>
            <w:tcW w:w="4649" w:type="dxa"/>
          </w:tcPr>
          <w:p w14:paraId="2FB18075"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Mesure</w:t>
            </w:r>
          </w:p>
        </w:tc>
        <w:tc>
          <w:tcPr>
            <w:tcW w:w="4650" w:type="dxa"/>
          </w:tcPr>
          <w:p w14:paraId="4799D3A8"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bookmarkStart w:id="87" w:name="lt_pId143"/>
            <w:r w:rsidRPr="00C843AA">
              <w:rPr>
                <w:b/>
                <w:bCs w:val="0"/>
                <w:i/>
                <w:iCs/>
                <w:color w:val="365F91" w:themeColor="accent1" w:themeShade="BF"/>
              </w:rPr>
              <w:t>Risque</w:t>
            </w:r>
            <w:bookmarkEnd w:id="87"/>
            <w:r w:rsidRPr="00C843AA">
              <w:rPr>
                <w:b/>
                <w:bCs w:val="0"/>
                <w:i/>
                <w:iCs/>
                <w:color w:val="365F91" w:themeColor="accent1" w:themeShade="BF"/>
              </w:rPr>
              <w:t xml:space="preserve"> </w:t>
            </w:r>
          </w:p>
        </w:tc>
      </w:tr>
      <w:tr w:rsidR="00575D39" w:rsidRPr="0008336A" w14:paraId="09095912"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53812966" w14:textId="77777777" w:rsidR="00575D39" w:rsidRPr="0008336A" w:rsidRDefault="00575D39" w:rsidP="00BD1734">
            <w:pPr>
              <w:pStyle w:val="Tabletext"/>
              <w:rPr>
                <w:b w:val="0"/>
                <w:bCs w:val="0"/>
              </w:rPr>
            </w:pPr>
            <w:bookmarkStart w:id="88" w:name="lt_pId144"/>
            <w:r w:rsidRPr="0008336A">
              <w:rPr>
                <w:b w:val="0"/>
                <w:bCs w:val="0"/>
              </w:rPr>
              <w:t>Excellents résultats des groupes spécialisés de l'UIT-T.</w:t>
            </w:r>
          </w:p>
          <w:p w14:paraId="1D1DFFA7" w14:textId="77777777" w:rsidR="00575D39" w:rsidRPr="0008336A" w:rsidRDefault="00575D39" w:rsidP="00BD1734">
            <w:pPr>
              <w:pStyle w:val="Tabletext"/>
              <w:rPr>
                <w:b w:val="0"/>
                <w:bCs w:val="0"/>
              </w:rPr>
            </w:pPr>
            <w:r w:rsidRPr="0008336A">
              <w:rPr>
                <w:b w:val="0"/>
                <w:bCs w:val="0"/>
              </w:rPr>
              <w:t>Augmentation de la participation aux manifestations Kaléidoscope</w:t>
            </w:r>
            <w:bookmarkEnd w:id="88"/>
            <w:r w:rsidRPr="0008336A">
              <w:rPr>
                <w:b w:val="0"/>
                <w:bCs w:val="0"/>
              </w:rPr>
              <w:t xml:space="preserve"> de l'UIT.</w:t>
            </w:r>
          </w:p>
        </w:tc>
        <w:tc>
          <w:tcPr>
            <w:tcW w:w="4649" w:type="dxa"/>
          </w:tcPr>
          <w:p w14:paraId="22E57C1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89" w:name="lt_pId146"/>
            <w:r w:rsidRPr="0008336A">
              <w:t>Le nombre de nouvelles Questions, nouvelles commissions d'études, nouveaux sujets d'étude et nouveaux GT a augmenté.</w:t>
            </w:r>
            <w:bookmarkEnd w:id="89"/>
          </w:p>
          <w:p w14:paraId="58D650B3"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90" w:name="lt_pId147"/>
            <w:r w:rsidRPr="0008336A">
              <w:t>Le nombre de pays soumettant des contributions aux manifestations Kaléidoscope et le nombre de documents publiés dans la bibliothèque de l'IEEE sont en progression.</w:t>
            </w:r>
            <w:bookmarkEnd w:id="90"/>
          </w:p>
        </w:tc>
        <w:tc>
          <w:tcPr>
            <w:tcW w:w="4650" w:type="dxa"/>
          </w:tcPr>
          <w:p w14:paraId="30E2D4C5"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91" w:name="lt_pId148"/>
            <w:r w:rsidRPr="0008336A">
              <w:t>Tous les risques ont été maîtrisés, par exemple incapacité à identifier les grandes tendances, absence de réactivité qui se traduirait par un désengagement des membres et d'autres parties prenantes et risque d'être laissé de côté</w:t>
            </w:r>
            <w:bookmarkEnd w:id="91"/>
            <w:r w:rsidRPr="0008336A">
              <w:t>.</w:t>
            </w:r>
          </w:p>
        </w:tc>
      </w:tr>
    </w:tbl>
    <w:p w14:paraId="46AAB04D" w14:textId="77777777" w:rsidR="00575D39" w:rsidRPr="00C843AA" w:rsidRDefault="00575D39" w:rsidP="00BD1734">
      <w:pPr>
        <w:pStyle w:val="Headingb"/>
        <w:spacing w:before="240" w:after="240"/>
        <w:rPr>
          <w:i/>
          <w:iCs/>
          <w:color w:val="C0504D" w:themeColor="accent2"/>
        </w:rPr>
      </w:pPr>
      <w:r w:rsidRPr="00C843AA">
        <w:rPr>
          <w:i/>
          <w:iCs/>
          <w:color w:val="C0504D" w:themeColor="accent2"/>
        </w:rPr>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119D4B33" w14:textId="77777777" w:rsidTr="00814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1D3A4C9F" w14:textId="77777777" w:rsidR="00575D39" w:rsidRPr="00C843AA" w:rsidRDefault="00575D39" w:rsidP="00BD1734">
            <w:pPr>
              <w:pStyle w:val="Tablehead"/>
              <w:rPr>
                <w:b/>
                <w:bCs w:val="0"/>
                <w:i/>
                <w:iCs/>
                <w:color w:val="365F91" w:themeColor="accent1" w:themeShade="BF"/>
              </w:rPr>
            </w:pPr>
            <w:r w:rsidRPr="00C843AA">
              <w:rPr>
                <w:b/>
                <w:bCs w:val="0"/>
                <w:i/>
                <w:iCs/>
                <w:color w:val="365F91" w:themeColor="accent1" w:themeShade="BF"/>
              </w:rPr>
              <w:t>Résultats</w:t>
            </w:r>
          </w:p>
        </w:tc>
        <w:tc>
          <w:tcPr>
            <w:tcW w:w="4649" w:type="dxa"/>
          </w:tcPr>
          <w:p w14:paraId="609A30A6"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Indicateurs de résultats</w:t>
            </w:r>
          </w:p>
        </w:tc>
        <w:tc>
          <w:tcPr>
            <w:tcW w:w="4650" w:type="dxa"/>
          </w:tcPr>
          <w:p w14:paraId="164935AF"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Indicateurs de risque</w:t>
            </w:r>
          </w:p>
        </w:tc>
      </w:tr>
      <w:tr w:rsidR="00575D39" w:rsidRPr="0008336A" w14:paraId="775CBA8E"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5A5AA816" w14:textId="77777777" w:rsidR="00575D39" w:rsidRPr="0008336A" w:rsidRDefault="00575D39" w:rsidP="00BD1734">
            <w:pPr>
              <w:pStyle w:val="Tabletext"/>
              <w:rPr>
                <w:b w:val="0"/>
                <w:bCs w:val="0"/>
              </w:rPr>
            </w:pPr>
            <w:r w:rsidRPr="0008336A">
              <w:rPr>
                <w:b w:val="0"/>
                <w:bCs w:val="0"/>
              </w:rPr>
              <w:t>Identification, prise en compte et analyse de la transformation numérique et des nouvelles tendances des télécommunications/TIC.</w:t>
            </w:r>
          </w:p>
        </w:tc>
        <w:tc>
          <w:tcPr>
            <w:tcW w:w="4649" w:type="dxa"/>
          </w:tcPr>
          <w:p w14:paraId="62EF358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92" w:name="lt_pId166"/>
            <w:r w:rsidRPr="0008336A">
              <w:t>Résultats des groupes spécialisés de l'UIT-T (produits, nouvelles Questions, nouvelles commissions d'études, nouveaux sujets d'étude, nouveaux GT).</w:t>
            </w:r>
          </w:p>
          <w:bookmarkEnd w:id="92"/>
          <w:p w14:paraId="0DE628B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Contributions aux manifestations Kaléidoscope.</w:t>
            </w:r>
          </w:p>
          <w:p w14:paraId="51B564D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93" w:name="lt_pId168"/>
            <w:r w:rsidRPr="0008336A">
              <w:t xml:space="preserve">Indicateurs tirés du Journal de </w:t>
            </w:r>
            <w:proofErr w:type="gramStart"/>
            <w:r w:rsidRPr="0008336A">
              <w:t>l'UIT:</w:t>
            </w:r>
            <w:proofErr w:type="gramEnd"/>
            <w:r w:rsidRPr="0008336A">
              <w:t xml:space="preserve"> À la découverte des TIC.</w:t>
            </w:r>
            <w:bookmarkEnd w:id="93"/>
          </w:p>
        </w:tc>
        <w:tc>
          <w:tcPr>
            <w:tcW w:w="4650" w:type="dxa"/>
          </w:tcPr>
          <w:p w14:paraId="36EACDA5"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 polyvalence, de souplesse et de préparation du personnel pour s'adapter à l'évolution des besoins.</w:t>
            </w:r>
          </w:p>
          <w:p w14:paraId="68E01399"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94" w:name="lt_pId159"/>
            <w:r w:rsidRPr="0008336A">
              <w:t>Difficultés à valoriser et conserver les talents.</w:t>
            </w:r>
            <w:bookmarkEnd w:id="94"/>
          </w:p>
        </w:tc>
      </w:tr>
      <w:tr w:rsidR="00575D39" w:rsidRPr="0008336A" w14:paraId="327472A6"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3B6DE1F5" w14:textId="77777777" w:rsidR="00575D39" w:rsidRPr="0008336A" w:rsidRDefault="00575D39" w:rsidP="00BD1734">
            <w:pPr>
              <w:pStyle w:val="Tabletext"/>
              <w:rPr>
                <w:b w:val="0"/>
                <w:bCs w:val="0"/>
              </w:rPr>
            </w:pPr>
          </w:p>
        </w:tc>
        <w:tc>
          <w:tcPr>
            <w:tcW w:w="4649" w:type="dxa"/>
          </w:tcPr>
          <w:p w14:paraId="01823DF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95" w:name="lt_pId169"/>
            <w:r w:rsidRPr="0008336A">
              <w:t>Nombre de nouvelles tendances identifiées et analysées par l'UIT.</w:t>
            </w:r>
            <w:bookmarkEnd w:id="95"/>
          </w:p>
        </w:tc>
        <w:tc>
          <w:tcPr>
            <w:tcW w:w="4650" w:type="dxa"/>
          </w:tcPr>
          <w:p w14:paraId="7C8FC48E"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Cadre institutionnel obsolète.</w:t>
            </w:r>
          </w:p>
        </w:tc>
      </w:tr>
      <w:tr w:rsidR="00575D39" w:rsidRPr="0008336A" w14:paraId="54099106"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385F2172" w14:textId="77777777" w:rsidR="00575D39" w:rsidRPr="0008336A" w:rsidRDefault="00575D39" w:rsidP="00BD1734">
            <w:pPr>
              <w:pStyle w:val="Tabletext"/>
              <w:rPr>
                <w:b w:val="0"/>
                <w:bCs w:val="0"/>
              </w:rPr>
            </w:pPr>
          </w:p>
        </w:tc>
        <w:tc>
          <w:tcPr>
            <w:tcW w:w="4649" w:type="dxa"/>
          </w:tcPr>
          <w:p w14:paraId="3492F5C5"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Pourcentage de Membres/fonctionnaires qui estiment que l'UIT effectue un travail efficace concernant l'identification et l'analyse de nouvelles tendances.</w:t>
            </w:r>
          </w:p>
        </w:tc>
        <w:tc>
          <w:tcPr>
            <w:tcW w:w="4650" w:type="dxa"/>
          </w:tcPr>
          <w:p w14:paraId="04EB5AD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47313E36"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0E0D6AA0" w14:textId="77777777" w:rsidR="00575D39" w:rsidRPr="0008336A" w:rsidRDefault="00575D39" w:rsidP="00BD1734">
            <w:pPr>
              <w:pStyle w:val="Tabletext"/>
              <w:rPr>
                <w:b w:val="0"/>
                <w:bCs w:val="0"/>
              </w:rPr>
            </w:pPr>
          </w:p>
        </w:tc>
        <w:tc>
          <w:tcPr>
            <w:tcW w:w="4649" w:type="dxa"/>
          </w:tcPr>
          <w:p w14:paraId="33C02EA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Travail accompli par l'UIT concernant l'identification et l'analyse de nouvelles tendance/la transformation numérique.</w:t>
            </w:r>
          </w:p>
        </w:tc>
        <w:tc>
          <w:tcPr>
            <w:tcW w:w="4650" w:type="dxa"/>
          </w:tcPr>
          <w:p w14:paraId="6EC99A4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0D7731A1" w14:textId="2AC6C161" w:rsidR="00575D39" w:rsidRPr="00C843AA" w:rsidRDefault="00575D39" w:rsidP="00BD1734">
      <w:pPr>
        <w:pStyle w:val="Heading1"/>
        <w:rPr>
          <w:bCs/>
          <w:color w:val="1F497D" w:themeColor="text2"/>
        </w:rPr>
      </w:pPr>
      <w:bookmarkStart w:id="96" w:name="_Toc34307485"/>
      <w:bookmarkStart w:id="97" w:name="_Toc34307563"/>
      <w:bookmarkStart w:id="98" w:name="_Toc34307661"/>
      <w:bookmarkStart w:id="99" w:name="_Toc39493326"/>
      <w:r w:rsidRPr="00C843AA">
        <w:rPr>
          <w:bCs/>
          <w:color w:val="1F497D" w:themeColor="text2"/>
        </w:rPr>
        <w:lastRenderedPageBreak/>
        <w:t>II</w:t>
      </w:r>
      <w:r w:rsidRPr="00C843AA">
        <w:rPr>
          <w:color w:val="1F497D" w:themeColor="text2"/>
        </w:rPr>
        <w:t>.1.3 – I.3 Accessibilité des télécommunications/TIC</w:t>
      </w:r>
      <w:bookmarkEnd w:id="96"/>
      <w:bookmarkEnd w:id="97"/>
      <w:bookmarkEnd w:id="98"/>
      <w:bookmarkEnd w:id="99"/>
    </w:p>
    <w:p w14:paraId="30B7B8CB" w14:textId="77777777" w:rsidR="00575D39" w:rsidRPr="00C843AA" w:rsidRDefault="00575D39" w:rsidP="00BD1734">
      <w:pPr>
        <w:pStyle w:val="Headingb"/>
        <w:rPr>
          <w:i/>
          <w:iCs/>
          <w:color w:val="C0504D" w:themeColor="accent2"/>
        </w:rPr>
      </w:pPr>
      <w:r w:rsidRPr="00C843AA">
        <w:rPr>
          <w:i/>
          <w:iCs/>
          <w:color w:val="C0504D" w:themeColor="accent2"/>
        </w:rPr>
        <w:t>Description de l'Objectif</w:t>
      </w:r>
    </w:p>
    <w:p w14:paraId="13390C48"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00" w:name="lt_pId167"/>
      <w:r w:rsidRPr="0008336A">
        <w:rPr>
          <w:rFonts w:asciiTheme="minorHAnsi" w:hAnsiTheme="minorHAnsi"/>
        </w:rPr>
        <w:t>Améliorer l'accessibilité des télécommunications/TIC pour les personnes handicapées et les personnes ayant des besoins particuliers.</w:t>
      </w:r>
    </w:p>
    <w:p w14:paraId="0E98D30B"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L'Objectif I.3 utilise 1,89% des ressources prévues pour les Objectifs intersectoriels ou 0,20% des ressources prévues de l'UIT pour 2021-2024.</w:t>
      </w:r>
    </w:p>
    <w:bookmarkEnd w:id="100"/>
    <w:p w14:paraId="17E4F8E8" w14:textId="77777777" w:rsidR="00575D39" w:rsidRPr="00C843AA" w:rsidRDefault="00575D39" w:rsidP="00BD1734">
      <w:pPr>
        <w:pStyle w:val="Headingb"/>
        <w:rPr>
          <w:i/>
          <w:iCs/>
          <w:color w:val="C0504D" w:themeColor="accent2"/>
        </w:rPr>
      </w:pPr>
      <w:r w:rsidRPr="00C843AA">
        <w:rPr>
          <w:i/>
          <w:iCs/>
          <w:color w:val="C0504D" w:themeColor="accent2"/>
        </w:rPr>
        <w:t>Récapitulatif de l'imputation des coûts</w:t>
      </w:r>
    </w:p>
    <w:bookmarkStart w:id="101" w:name="_MON_1649250009"/>
    <w:bookmarkEnd w:id="101"/>
    <w:p w14:paraId="462DA0B1"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2735" w:dyaOrig="3915" w14:anchorId="2940FD28">
          <v:shape id="_x0000_i1032" type="#_x0000_t75" style="width:636.75pt;height:195.75pt" o:ole="">
            <v:imagedata r:id="rId35" o:title=""/>
          </v:shape>
          <o:OLEObject Type="Embed" ProgID="Excel.Sheet.12" ShapeID="_x0000_i1032" DrawAspect="Content" ObjectID="_1650187645" r:id="rId36"/>
        </w:object>
      </w:r>
    </w:p>
    <w:p w14:paraId="788CE665" w14:textId="77777777" w:rsidR="00571853" w:rsidRPr="0008336A" w:rsidRDefault="00571853" w:rsidP="00BD1734">
      <w:pPr>
        <w:pStyle w:val="Headingb"/>
        <w:rPr>
          <w:i/>
          <w:iCs/>
        </w:rPr>
      </w:pPr>
      <w:r w:rsidRPr="0008336A">
        <w:rPr>
          <w:i/>
          <w:iCs/>
        </w:rPr>
        <w:br w:type="page"/>
      </w:r>
    </w:p>
    <w:p w14:paraId="5F7A79EB" w14:textId="485ED136" w:rsidR="00575D39" w:rsidRPr="00C843AA" w:rsidRDefault="00575D39" w:rsidP="00BD1734">
      <w:pPr>
        <w:pStyle w:val="Headingb"/>
        <w:spacing w:after="240"/>
        <w:rPr>
          <w:i/>
          <w:iCs/>
          <w:color w:val="C0504D" w:themeColor="accent2"/>
        </w:rPr>
      </w:pPr>
      <w:r w:rsidRPr="00C843AA">
        <w:rPr>
          <w:i/>
          <w:iCs/>
          <w:color w:val="C0504D" w:themeColor="accent2"/>
        </w:rPr>
        <w:lastRenderedPageBreak/>
        <w:t>Rapport d'activité 2019</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2D455434" w14:textId="77777777" w:rsidTr="00814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78A4217B" w14:textId="77777777" w:rsidR="00575D39" w:rsidRPr="00C843AA" w:rsidRDefault="00575D39" w:rsidP="00BD1734">
            <w:pPr>
              <w:pStyle w:val="Tablehead"/>
              <w:rPr>
                <w:b/>
                <w:bCs w:val="0"/>
                <w:i/>
                <w:iCs/>
                <w:color w:val="365F91" w:themeColor="accent1" w:themeShade="BF"/>
              </w:rPr>
            </w:pPr>
            <w:r w:rsidRPr="00C843AA">
              <w:rPr>
                <w:b/>
                <w:bCs w:val="0"/>
                <w:i/>
                <w:iCs/>
                <w:color w:val="365F91" w:themeColor="accent1" w:themeShade="BF"/>
              </w:rPr>
              <w:t>Résultats obtenus</w:t>
            </w:r>
          </w:p>
        </w:tc>
        <w:tc>
          <w:tcPr>
            <w:tcW w:w="4649" w:type="dxa"/>
          </w:tcPr>
          <w:p w14:paraId="4BA56837"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bookmarkStart w:id="102" w:name="lt_pId172"/>
            <w:r w:rsidRPr="00C843AA">
              <w:rPr>
                <w:b/>
                <w:bCs w:val="0"/>
                <w:i/>
                <w:iCs/>
                <w:color w:val="365F91" w:themeColor="accent1" w:themeShade="BF"/>
              </w:rPr>
              <w:t>Mesure</w:t>
            </w:r>
            <w:bookmarkEnd w:id="102"/>
          </w:p>
        </w:tc>
        <w:tc>
          <w:tcPr>
            <w:tcW w:w="4650" w:type="dxa"/>
          </w:tcPr>
          <w:p w14:paraId="239BDBA0"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bookmarkStart w:id="103" w:name="lt_pId173"/>
            <w:r w:rsidRPr="00C843AA">
              <w:rPr>
                <w:b/>
                <w:bCs w:val="0"/>
                <w:i/>
                <w:iCs/>
                <w:color w:val="365F91" w:themeColor="accent1" w:themeShade="BF"/>
              </w:rPr>
              <w:t>Risque</w:t>
            </w:r>
            <w:bookmarkEnd w:id="103"/>
            <w:r w:rsidRPr="00C843AA">
              <w:rPr>
                <w:b/>
                <w:bCs w:val="0"/>
                <w:i/>
                <w:iCs/>
                <w:color w:val="365F91" w:themeColor="accent1" w:themeShade="BF"/>
              </w:rPr>
              <w:t xml:space="preserve"> </w:t>
            </w:r>
          </w:p>
        </w:tc>
      </w:tr>
      <w:tr w:rsidR="00575D39" w:rsidRPr="0008336A" w14:paraId="419B72D1"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57BC28E1" w14:textId="77777777" w:rsidR="00575D39" w:rsidRPr="0008336A" w:rsidRDefault="00575D39" w:rsidP="00BD1734">
            <w:pPr>
              <w:pStyle w:val="Tabletext"/>
              <w:rPr>
                <w:b w:val="0"/>
                <w:bCs w:val="0"/>
              </w:rPr>
            </w:pPr>
            <w:bookmarkStart w:id="104" w:name="lt_pId174"/>
            <w:r w:rsidRPr="0008336A">
              <w:rPr>
                <w:b w:val="0"/>
                <w:bCs w:val="0"/>
              </w:rPr>
              <w:t>Le nombre de pays dotés d'un cadre réglementaire afin de garantir l'accessibilité des TIC pour les personnes handicapées a augmenté.</w:t>
            </w:r>
            <w:bookmarkEnd w:id="104"/>
          </w:p>
          <w:p w14:paraId="68791F58" w14:textId="77777777" w:rsidR="00575D39" w:rsidRPr="0008336A" w:rsidRDefault="00575D39" w:rsidP="00BD1734">
            <w:pPr>
              <w:pStyle w:val="Tabletext"/>
              <w:rPr>
                <w:b w:val="0"/>
                <w:bCs w:val="0"/>
              </w:rPr>
            </w:pPr>
            <w:bookmarkStart w:id="105" w:name="lt_pId175"/>
            <w:r w:rsidRPr="0008336A">
              <w:rPr>
                <w:b w:val="0"/>
                <w:bCs w:val="0"/>
              </w:rPr>
              <w:t>La participation des personnes handicapées/organisations de personnes handicapées aux travaux de l'UIT a augmenté.</w:t>
            </w:r>
            <w:bookmarkEnd w:id="105"/>
          </w:p>
        </w:tc>
        <w:tc>
          <w:tcPr>
            <w:tcW w:w="4649" w:type="dxa"/>
          </w:tcPr>
          <w:p w14:paraId="09B46A7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06" w:name="lt_pId176"/>
            <w:r w:rsidRPr="0008336A">
              <w:t xml:space="preserve">Nombre de pays dotés d'un cadre </w:t>
            </w:r>
            <w:proofErr w:type="gramStart"/>
            <w:r w:rsidRPr="0008336A">
              <w:t>réglementaire:</w:t>
            </w:r>
            <w:proofErr w:type="gramEnd"/>
            <w:r w:rsidRPr="0008336A">
              <w:t xml:space="preserve"> 2016: 48; 2017: 59; 2018: 61; 2019: </w:t>
            </w:r>
            <w:bookmarkEnd w:id="106"/>
            <w:r w:rsidRPr="0008336A">
              <w:t>en cours de mesure.</w:t>
            </w:r>
          </w:p>
          <w:p w14:paraId="6965BFA8"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d'experts et d'organisations de personnes handicapées.</w:t>
            </w:r>
          </w:p>
          <w:p w14:paraId="7F767B1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réunions offrant des services d'interprétation en langue des signes et de sous</w:t>
            </w:r>
            <w:r w:rsidRPr="0008336A">
              <w:noBreakHyphen/>
              <w:t>titrage.</w:t>
            </w:r>
          </w:p>
        </w:tc>
        <w:tc>
          <w:tcPr>
            <w:tcW w:w="4650" w:type="dxa"/>
          </w:tcPr>
          <w:p w14:paraId="7F5D83EF"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07" w:name="lt_pId179"/>
            <w:r w:rsidRPr="0008336A">
              <w:t>Tous les risques ont été maîtrisés. Niveau des ressources suffisant pour répondre à la demande.</w:t>
            </w:r>
            <w:bookmarkEnd w:id="107"/>
          </w:p>
        </w:tc>
      </w:tr>
    </w:tbl>
    <w:p w14:paraId="039093AC" w14:textId="77777777" w:rsidR="00575D39" w:rsidRPr="0008336A" w:rsidRDefault="00575D39" w:rsidP="00BD1734">
      <w:pPr>
        <w:pStyle w:val="Headingb"/>
        <w:spacing w:after="240"/>
        <w:rPr>
          <w:i/>
          <w:iCs/>
        </w:rPr>
      </w:pPr>
      <w:r w:rsidRPr="0008336A">
        <w:br w:type="page"/>
      </w:r>
      <w:r w:rsidRPr="00C843AA">
        <w:rPr>
          <w:i/>
          <w:iCs/>
          <w:color w:val="C0504D" w:themeColor="accent2"/>
        </w:rPr>
        <w:lastRenderedPageBreak/>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7688E161" w14:textId="77777777" w:rsidTr="00814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5C7DD57F" w14:textId="77777777" w:rsidR="00575D39" w:rsidRPr="00C843AA" w:rsidRDefault="00575D39" w:rsidP="00BD1734">
            <w:pPr>
              <w:pStyle w:val="Tablehead"/>
              <w:rPr>
                <w:b/>
                <w:bCs w:val="0"/>
                <w:i/>
                <w:iCs/>
                <w:color w:val="365F91" w:themeColor="accent1" w:themeShade="BF"/>
              </w:rPr>
            </w:pPr>
            <w:r w:rsidRPr="00C843AA">
              <w:rPr>
                <w:b/>
                <w:bCs w:val="0"/>
                <w:i/>
                <w:iCs/>
                <w:color w:val="365F91" w:themeColor="accent1" w:themeShade="BF"/>
              </w:rPr>
              <w:t>Résultats</w:t>
            </w:r>
          </w:p>
        </w:tc>
        <w:tc>
          <w:tcPr>
            <w:tcW w:w="4649" w:type="dxa"/>
          </w:tcPr>
          <w:p w14:paraId="627442D3"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Indicateurs de résultats</w:t>
            </w:r>
          </w:p>
        </w:tc>
        <w:tc>
          <w:tcPr>
            <w:tcW w:w="4650" w:type="dxa"/>
          </w:tcPr>
          <w:p w14:paraId="213482C1"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Indicateurs de risque</w:t>
            </w:r>
          </w:p>
        </w:tc>
      </w:tr>
      <w:tr w:rsidR="00575D39" w:rsidRPr="0008336A" w14:paraId="33E4825D"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7C3B3A13" w14:textId="77777777" w:rsidR="00575D39" w:rsidRPr="0008336A" w:rsidRDefault="00575D39" w:rsidP="00BD1734">
            <w:pPr>
              <w:pStyle w:val="Tabletext"/>
              <w:rPr>
                <w:b w:val="0"/>
                <w:bCs w:val="0"/>
              </w:rPr>
            </w:pPr>
            <w:r w:rsidRPr="0008336A">
              <w:rPr>
                <w:b w:val="0"/>
                <w:bCs w:val="0"/>
              </w:rPr>
              <w:t>Disponibilité accrue d'équipements, de services et d'applications de télécommunication/TIC conformes aux principes de conception universelle.</w:t>
            </w:r>
          </w:p>
        </w:tc>
        <w:tc>
          <w:tcPr>
            <w:tcW w:w="4649" w:type="dxa"/>
          </w:tcPr>
          <w:p w14:paraId="072FE43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08" w:name="lt_pId181"/>
            <w:r w:rsidRPr="0008336A">
              <w:t>Nombre de publications techniques de l'UIT-T dans lesquelles figurent des éléments essentiels pour l'accessibilité des TIC ou portant sur l'amélioration de l'accessibilité/l'intégration d'exigences ou de fonctionnalités relatives à l'accessibilité.</w:t>
            </w:r>
            <w:bookmarkEnd w:id="108"/>
          </w:p>
        </w:tc>
        <w:tc>
          <w:tcPr>
            <w:tcW w:w="4650" w:type="dxa"/>
          </w:tcPr>
          <w:p w14:paraId="5352C874"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 soutien/d'engagement de la part des partenaires et des pays.</w:t>
            </w:r>
          </w:p>
          <w:p w14:paraId="29E0E60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Insuffisance des ressources humaines et financières.</w:t>
            </w:r>
          </w:p>
        </w:tc>
      </w:tr>
      <w:tr w:rsidR="00575D39" w:rsidRPr="0008336A" w14:paraId="1C5E66DA"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606A06FF" w14:textId="77777777" w:rsidR="00575D39" w:rsidRPr="0008336A" w:rsidRDefault="00575D39" w:rsidP="00BD1734">
            <w:pPr>
              <w:pStyle w:val="Tabletext"/>
              <w:rPr>
                <w:b w:val="0"/>
                <w:bCs w:val="0"/>
              </w:rPr>
            </w:pPr>
            <w:r w:rsidRPr="0008336A">
              <w:rPr>
                <w:b w:val="0"/>
                <w:bCs w:val="0"/>
              </w:rPr>
              <w:t>Renforcement de la participation des organisations de personnes handicapées et de personnes ayant des besoins particuliers aux travaux de l'Union.</w:t>
            </w:r>
          </w:p>
        </w:tc>
        <w:tc>
          <w:tcPr>
            <w:tcW w:w="4649" w:type="dxa"/>
          </w:tcPr>
          <w:p w14:paraId="5E9B3CF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publications techniques de l'UIT-T dans lesquelles figurent des éléments essentiels pour l'accessibilité des TIC ou portant sur l'amélioration de l'accessibilité/l'intégration d'exigences ou de fonctionnalités relatives à l'accessibilité.</w:t>
            </w:r>
          </w:p>
        </w:tc>
        <w:tc>
          <w:tcPr>
            <w:tcW w:w="4650" w:type="dxa"/>
          </w:tcPr>
          <w:p w14:paraId="047F2295"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04D85B67"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6C9C7FED" w14:textId="77777777" w:rsidR="00575D39" w:rsidRPr="0008336A" w:rsidRDefault="00575D39" w:rsidP="00BD1734">
            <w:pPr>
              <w:pStyle w:val="Tabletext"/>
              <w:rPr>
                <w:b w:val="0"/>
                <w:bCs w:val="0"/>
              </w:rPr>
            </w:pPr>
            <w:r w:rsidRPr="0008336A">
              <w:rPr>
                <w:b w:val="0"/>
                <w:bCs w:val="0"/>
              </w:rPr>
              <w:t xml:space="preserve">Sensibilisation accrue, y compris par une reconnaissance multilatérale et intergouvernementale, </w:t>
            </w:r>
            <w:proofErr w:type="gramStart"/>
            <w:r w:rsidRPr="0008336A">
              <w:rPr>
                <w:b w:val="0"/>
                <w:bCs w:val="0"/>
              </w:rPr>
              <w:t>à</w:t>
            </w:r>
            <w:proofErr w:type="gramEnd"/>
            <w:r w:rsidRPr="0008336A">
              <w:rPr>
                <w:b w:val="0"/>
                <w:bCs w:val="0"/>
              </w:rPr>
              <w:t xml:space="preserve"> la nécessité d'améliorer l'accès aux télécommunications/TIC pour les personnes handicapées et pour les personnes ayant des besoins particuliers.</w:t>
            </w:r>
          </w:p>
        </w:tc>
        <w:tc>
          <w:tcPr>
            <w:tcW w:w="4649" w:type="dxa"/>
          </w:tcPr>
          <w:p w14:paraId="4AE492EB"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réunions offrant des services d'interprétation en langue des signes et de sous-titrage.</w:t>
            </w:r>
          </w:p>
          <w:p w14:paraId="3DE529E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09" w:name="lt_pId194"/>
            <w:bookmarkStart w:id="110" w:name="lt_pId184"/>
            <w:r w:rsidRPr="0008336A">
              <w:t>Fonds UIT pour l'accessibilité (langue des signes, frais de voyage pour les experts et sous-titrage).</w:t>
            </w:r>
            <w:bookmarkEnd w:id="109"/>
            <w:bookmarkEnd w:id="110"/>
          </w:p>
          <w:p w14:paraId="1B851EF2"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pays dotés de politiques en matière d'accessibilité.</w:t>
            </w:r>
          </w:p>
        </w:tc>
        <w:tc>
          <w:tcPr>
            <w:tcW w:w="4650" w:type="dxa"/>
          </w:tcPr>
          <w:p w14:paraId="5D00DAD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7B37241B"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rPr>
      </w:pPr>
      <w:r w:rsidRPr="0008336A">
        <w:rPr>
          <w:rFonts w:asciiTheme="minorHAnsi" w:hAnsiTheme="minorHAnsi"/>
          <w:b/>
          <w:bCs/>
        </w:rPr>
        <w:br w:type="page"/>
      </w:r>
    </w:p>
    <w:p w14:paraId="0D7107AA" w14:textId="4840CC59" w:rsidR="00575D39" w:rsidRPr="00C843AA" w:rsidRDefault="00575D39" w:rsidP="00BD1734">
      <w:pPr>
        <w:pStyle w:val="Heading1"/>
        <w:rPr>
          <w:color w:val="1F497D" w:themeColor="text2"/>
        </w:rPr>
      </w:pPr>
      <w:bookmarkStart w:id="111" w:name="_Toc34307486"/>
      <w:bookmarkStart w:id="112" w:name="_Toc34307564"/>
      <w:bookmarkStart w:id="113" w:name="_Toc34307662"/>
      <w:bookmarkStart w:id="114" w:name="_Toc39493327"/>
      <w:r w:rsidRPr="00C843AA">
        <w:rPr>
          <w:color w:val="1F497D" w:themeColor="text2"/>
        </w:rPr>
        <w:lastRenderedPageBreak/>
        <w:t>II.1.4 – I.4 Égalité hommes/femmes et inclusion</w:t>
      </w:r>
      <w:bookmarkEnd w:id="111"/>
      <w:bookmarkEnd w:id="112"/>
      <w:bookmarkEnd w:id="113"/>
      <w:bookmarkEnd w:id="114"/>
    </w:p>
    <w:p w14:paraId="443FAEF1" w14:textId="77777777" w:rsidR="00575D39" w:rsidRPr="00C843AA" w:rsidRDefault="00575D39" w:rsidP="00BD1734">
      <w:pPr>
        <w:pStyle w:val="Headingb"/>
        <w:rPr>
          <w:i/>
          <w:iCs/>
          <w:color w:val="C0504D" w:themeColor="accent2"/>
        </w:rPr>
      </w:pPr>
      <w:r w:rsidRPr="00C843AA">
        <w:rPr>
          <w:i/>
          <w:iCs/>
          <w:color w:val="C0504D" w:themeColor="accent2"/>
        </w:rPr>
        <w:t>Description de l'Objectif</w:t>
      </w:r>
    </w:p>
    <w:p w14:paraId="5A273781"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15" w:name="lt_pId199"/>
      <w:r w:rsidRPr="0008336A">
        <w:rPr>
          <w:rFonts w:asciiTheme="minorHAnsi" w:hAnsiTheme="minorHAnsi"/>
        </w:rPr>
        <w:t>Renforcer l'utilisation des télécommunications/TIC au service de l'égalité hommes/femmes et de l'inclusion ainsi que de l'autonomisation des femmes et des jeunes filles.</w:t>
      </w:r>
    </w:p>
    <w:p w14:paraId="2D89358B"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16" w:name="lt_pId191"/>
      <w:r w:rsidRPr="0008336A">
        <w:rPr>
          <w:rFonts w:asciiTheme="minorHAnsi" w:hAnsiTheme="minorHAnsi"/>
        </w:rPr>
        <w:t>L'objectif I.4 utilise 7,47% des ressources prévues pour les Objectifs intersectoriels ou 0,78% des ressources prévues de l'UIT pour 2021-2024.</w:t>
      </w:r>
      <w:bookmarkEnd w:id="116"/>
    </w:p>
    <w:bookmarkEnd w:id="115"/>
    <w:p w14:paraId="03D7DBA2" w14:textId="77777777" w:rsidR="00575D39" w:rsidRPr="00C843AA" w:rsidRDefault="00575D39" w:rsidP="00BD1734">
      <w:pPr>
        <w:pStyle w:val="Headingb"/>
        <w:rPr>
          <w:i/>
          <w:iCs/>
          <w:color w:val="C0504D" w:themeColor="accent2"/>
        </w:rPr>
      </w:pPr>
      <w:r w:rsidRPr="00C843AA">
        <w:rPr>
          <w:i/>
          <w:iCs/>
          <w:color w:val="C0504D" w:themeColor="accent2"/>
        </w:rPr>
        <w:t>Récapitulatif de l'imputation des coûts</w:t>
      </w:r>
    </w:p>
    <w:bookmarkStart w:id="117" w:name="_MON_1649250086"/>
    <w:bookmarkEnd w:id="117"/>
    <w:p w14:paraId="0B1189EE" w14:textId="77777777" w:rsidR="00575D39" w:rsidRPr="0008336A" w:rsidRDefault="00575D39" w:rsidP="00304CD5">
      <w:pPr>
        <w:tabs>
          <w:tab w:val="clear" w:pos="567"/>
          <w:tab w:val="clear" w:pos="1134"/>
          <w:tab w:val="clear" w:pos="1701"/>
          <w:tab w:val="clear" w:pos="2268"/>
          <w:tab w:val="clear" w:pos="2835"/>
          <w:tab w:val="left" w:pos="794"/>
          <w:tab w:val="left" w:pos="1191"/>
          <w:tab w:val="left" w:pos="1588"/>
          <w:tab w:val="left" w:pos="1985"/>
        </w:tabs>
        <w:spacing w:before="0"/>
        <w:rPr>
          <w:rFonts w:asciiTheme="minorHAnsi" w:hAnsiTheme="minorHAnsi"/>
        </w:rPr>
      </w:pPr>
      <w:r w:rsidRPr="0008336A">
        <w:rPr>
          <w:rFonts w:asciiTheme="minorHAnsi" w:hAnsiTheme="minorHAnsi"/>
        </w:rPr>
        <w:object w:dxaOrig="12705" w:dyaOrig="3915" w14:anchorId="3D3CB47C">
          <v:shape id="_x0000_i1033" type="#_x0000_t75" style="width:615.55pt;height:189.7pt" o:ole="">
            <v:imagedata r:id="rId37" o:title=""/>
          </v:shape>
          <o:OLEObject Type="Embed" ProgID="Excel.Sheet.12" ShapeID="_x0000_i1033" DrawAspect="Content" ObjectID="_1650187646" r:id="rId38"/>
        </w:object>
      </w:r>
    </w:p>
    <w:p w14:paraId="3AE52C27" w14:textId="77777777" w:rsidR="00575D39" w:rsidRPr="00C843AA" w:rsidRDefault="00575D39" w:rsidP="00304CD5">
      <w:pPr>
        <w:pStyle w:val="Headingb"/>
        <w:spacing w:before="0" w:after="120"/>
        <w:rPr>
          <w:i/>
          <w:iCs/>
          <w:color w:val="C0504D" w:themeColor="accent2"/>
        </w:rPr>
      </w:pPr>
      <w:r w:rsidRPr="00C843AA">
        <w:rPr>
          <w:i/>
          <w:iCs/>
          <w:color w:val="C0504D" w:themeColor="accent2"/>
        </w:rPr>
        <w:t>Rapport d'activité 2019</w:t>
      </w:r>
    </w:p>
    <w:tbl>
      <w:tblPr>
        <w:tblStyle w:val="GridTable1Light-Accent12"/>
        <w:tblW w:w="0" w:type="auto"/>
        <w:tblLook w:val="04A0" w:firstRow="1" w:lastRow="0" w:firstColumn="1" w:lastColumn="0" w:noHBand="0" w:noVBand="1"/>
      </w:tblPr>
      <w:tblGrid>
        <w:gridCol w:w="4957"/>
        <w:gridCol w:w="5386"/>
        <w:gridCol w:w="3605"/>
      </w:tblGrid>
      <w:tr w:rsidR="00575D39" w:rsidRPr="0008336A" w14:paraId="6BBBDF18" w14:textId="77777777" w:rsidTr="00304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04DBB2F5" w14:textId="77777777" w:rsidR="00575D39" w:rsidRPr="00C843AA" w:rsidRDefault="00575D39" w:rsidP="00BD1734">
            <w:pPr>
              <w:pStyle w:val="Tablehead"/>
              <w:rPr>
                <w:b/>
                <w:bCs w:val="0"/>
                <w:i/>
                <w:iCs/>
                <w:color w:val="365F91" w:themeColor="accent1" w:themeShade="BF"/>
              </w:rPr>
            </w:pPr>
            <w:r w:rsidRPr="00C843AA">
              <w:rPr>
                <w:b/>
                <w:bCs w:val="0"/>
                <w:i/>
                <w:iCs/>
                <w:color w:val="365F91" w:themeColor="accent1" w:themeShade="BF"/>
              </w:rPr>
              <w:t>Résultats obtenus</w:t>
            </w:r>
          </w:p>
        </w:tc>
        <w:tc>
          <w:tcPr>
            <w:tcW w:w="5386" w:type="dxa"/>
          </w:tcPr>
          <w:p w14:paraId="7B6D0BDC"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Mesure</w:t>
            </w:r>
          </w:p>
        </w:tc>
        <w:tc>
          <w:tcPr>
            <w:tcW w:w="3605" w:type="dxa"/>
          </w:tcPr>
          <w:p w14:paraId="216CF33B"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bookmarkStart w:id="118" w:name="lt_pId205"/>
            <w:r w:rsidRPr="00C843AA">
              <w:rPr>
                <w:b/>
                <w:bCs w:val="0"/>
                <w:i/>
                <w:iCs/>
                <w:color w:val="365F91" w:themeColor="accent1" w:themeShade="BF"/>
              </w:rPr>
              <w:t>Risque</w:t>
            </w:r>
            <w:bookmarkEnd w:id="118"/>
            <w:r w:rsidRPr="00C843AA">
              <w:rPr>
                <w:b/>
                <w:bCs w:val="0"/>
                <w:i/>
                <w:iCs/>
                <w:color w:val="365F91" w:themeColor="accent1" w:themeShade="BF"/>
              </w:rPr>
              <w:t xml:space="preserve"> </w:t>
            </w:r>
          </w:p>
        </w:tc>
      </w:tr>
      <w:tr w:rsidR="00575D39" w:rsidRPr="0008336A" w14:paraId="0F4EDCB1" w14:textId="77777777" w:rsidTr="00304CD5">
        <w:tc>
          <w:tcPr>
            <w:cnfStyle w:val="001000000000" w:firstRow="0" w:lastRow="0" w:firstColumn="1" w:lastColumn="0" w:oddVBand="0" w:evenVBand="0" w:oddHBand="0" w:evenHBand="0" w:firstRowFirstColumn="0" w:firstRowLastColumn="0" w:lastRowFirstColumn="0" w:lastRowLastColumn="0"/>
            <w:tcW w:w="4957" w:type="dxa"/>
          </w:tcPr>
          <w:p w14:paraId="216A928F" w14:textId="77777777" w:rsidR="00575D39" w:rsidRPr="0008336A" w:rsidRDefault="00575D39" w:rsidP="00BD1734">
            <w:pPr>
              <w:pStyle w:val="Tabletext"/>
              <w:rPr>
                <w:b w:val="0"/>
                <w:bCs w:val="0"/>
              </w:rPr>
            </w:pPr>
            <w:r w:rsidRPr="0008336A">
              <w:rPr>
                <w:b w:val="0"/>
                <w:bCs w:val="0"/>
              </w:rPr>
              <w:t>L'écart se creuse entre les hommes et les femmes dans le domaine du numérique (la situation concernant cet Objectif/cette cible se détériore).</w:t>
            </w:r>
          </w:p>
          <w:p w14:paraId="10852EBA" w14:textId="77777777" w:rsidR="00575D39" w:rsidRPr="0008336A" w:rsidRDefault="00575D39" w:rsidP="00BD1734">
            <w:pPr>
              <w:pStyle w:val="Tabletext"/>
              <w:rPr>
                <w:b w:val="0"/>
                <w:bCs w:val="0"/>
              </w:rPr>
            </w:pPr>
            <w:bookmarkStart w:id="119" w:name="lt_pId208"/>
            <w:r w:rsidRPr="0008336A">
              <w:rPr>
                <w:b w:val="0"/>
                <w:bCs w:val="0"/>
              </w:rPr>
              <w:t>La parité hommes-femmes au sein du personnel et dans le cadre des manifestations n'a pas encore été atteinte. Des progrès ont été fait en 2019, mais au rythme actuel, il faudra des décennies pour parvenir à la parité.</w:t>
            </w:r>
            <w:bookmarkEnd w:id="119"/>
          </w:p>
        </w:tc>
        <w:tc>
          <w:tcPr>
            <w:tcW w:w="5386" w:type="dxa"/>
          </w:tcPr>
          <w:p w14:paraId="605E4094"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20" w:name="lt_pId209"/>
            <w:r w:rsidRPr="0008336A">
              <w:t>L'écart entre les hommes et les femmes dans le domaine du numérique s'est creusé, passant de 11,6% en 2017 à 17% en 2019.</w:t>
            </w:r>
            <w:bookmarkEnd w:id="120"/>
          </w:p>
          <w:p w14:paraId="1AE051A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21" w:name="lt_pId210"/>
            <w:r w:rsidRPr="0008336A">
              <w:t>Résultats tirés du tableau de bord sur l'égalité hommes/femmes.</w:t>
            </w:r>
            <w:bookmarkEnd w:id="121"/>
          </w:p>
          <w:p w14:paraId="2AA905A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22" w:name="lt_pId211"/>
            <w:r w:rsidRPr="0008336A">
              <w:t xml:space="preserve">Cibles mesurées avec les résultats concernant le partenariat EQUALS, la Commission sur </w:t>
            </w:r>
            <w:proofErr w:type="gramStart"/>
            <w:r w:rsidRPr="0008336A">
              <w:t>le large bande</w:t>
            </w:r>
            <w:proofErr w:type="gramEnd"/>
            <w:r w:rsidRPr="0008336A">
              <w:t>, les commissions d'études et les groupes d'experts.</w:t>
            </w:r>
            <w:bookmarkEnd w:id="122"/>
          </w:p>
        </w:tc>
        <w:tc>
          <w:tcPr>
            <w:tcW w:w="3605" w:type="dxa"/>
          </w:tcPr>
          <w:p w14:paraId="314AA1E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23" w:name="lt_pId212"/>
            <w:r w:rsidRPr="0008336A">
              <w:t>Risque maîtrisé grâce à un bon niveau de soutien/d'engagement de la part des partenaires et des pays.</w:t>
            </w:r>
            <w:bookmarkEnd w:id="123"/>
          </w:p>
          <w:p w14:paraId="1732B4C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24" w:name="lt_pId213"/>
            <w:r w:rsidRPr="0008336A">
              <w:t>Cadre institutionnel adapté.</w:t>
            </w:r>
            <w:bookmarkEnd w:id="124"/>
          </w:p>
        </w:tc>
      </w:tr>
    </w:tbl>
    <w:p w14:paraId="5F7518F6" w14:textId="77777777" w:rsidR="00575D39" w:rsidRPr="00C843AA" w:rsidRDefault="00575D39" w:rsidP="00BD1734">
      <w:pPr>
        <w:pStyle w:val="Headingb"/>
        <w:spacing w:before="240" w:after="240"/>
        <w:rPr>
          <w:i/>
          <w:iCs/>
          <w:color w:val="C0504D" w:themeColor="accent2"/>
        </w:rPr>
      </w:pPr>
      <w:r w:rsidRPr="00C843AA">
        <w:rPr>
          <w:i/>
          <w:iCs/>
          <w:color w:val="C0504D" w:themeColor="accent2"/>
        </w:rPr>
        <w:lastRenderedPageBreak/>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081B5B11" w14:textId="77777777" w:rsidTr="00814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2A4B8B15" w14:textId="77777777" w:rsidR="00575D39" w:rsidRPr="00C843AA" w:rsidRDefault="00575D39" w:rsidP="00BD1734">
            <w:pPr>
              <w:pStyle w:val="Tablehead"/>
              <w:rPr>
                <w:b/>
                <w:bCs w:val="0"/>
                <w:i/>
                <w:iCs/>
                <w:color w:val="365F91" w:themeColor="accent1" w:themeShade="BF"/>
              </w:rPr>
            </w:pPr>
            <w:r w:rsidRPr="00C843AA">
              <w:rPr>
                <w:b/>
                <w:bCs w:val="0"/>
                <w:i/>
                <w:iCs/>
                <w:color w:val="365F91" w:themeColor="accent1" w:themeShade="BF"/>
              </w:rPr>
              <w:t>Résultats</w:t>
            </w:r>
          </w:p>
        </w:tc>
        <w:tc>
          <w:tcPr>
            <w:tcW w:w="4649" w:type="dxa"/>
          </w:tcPr>
          <w:p w14:paraId="2F2365D1"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Indicateurs de résultats</w:t>
            </w:r>
          </w:p>
        </w:tc>
        <w:tc>
          <w:tcPr>
            <w:tcW w:w="4650" w:type="dxa"/>
          </w:tcPr>
          <w:p w14:paraId="7C05DDCF"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bookmarkStart w:id="125" w:name="lt_pId218"/>
            <w:r w:rsidRPr="00C843AA">
              <w:rPr>
                <w:b/>
                <w:bCs w:val="0"/>
                <w:i/>
                <w:iCs/>
                <w:color w:val="365F91" w:themeColor="accent1" w:themeShade="BF"/>
              </w:rPr>
              <w:t>Indicateurs</w:t>
            </w:r>
            <w:bookmarkEnd w:id="125"/>
            <w:r w:rsidRPr="00C843AA">
              <w:rPr>
                <w:b/>
                <w:bCs w:val="0"/>
                <w:i/>
                <w:iCs/>
                <w:color w:val="365F91" w:themeColor="accent1" w:themeShade="BF"/>
              </w:rPr>
              <w:t xml:space="preserve"> de risque</w:t>
            </w:r>
          </w:p>
        </w:tc>
      </w:tr>
      <w:tr w:rsidR="00575D39" w:rsidRPr="0008336A" w14:paraId="36673A69"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1C81613C" w14:textId="77777777" w:rsidR="00575D39" w:rsidRPr="0008336A" w:rsidRDefault="00575D39" w:rsidP="00BD1734">
            <w:pPr>
              <w:pStyle w:val="Tabletext"/>
              <w:rPr>
                <w:b w:val="0"/>
                <w:bCs w:val="0"/>
              </w:rPr>
            </w:pPr>
            <w:r w:rsidRPr="0008336A">
              <w:rPr>
                <w:b w:val="0"/>
                <w:bCs w:val="0"/>
              </w:rPr>
              <w:t>Renforcement de l'accès aux télécommunications/TIC et de leur utilisation pour promouvoir l'autonomisation des femmes.</w:t>
            </w:r>
          </w:p>
        </w:tc>
        <w:tc>
          <w:tcPr>
            <w:tcW w:w="4649" w:type="dxa"/>
          </w:tcPr>
          <w:p w14:paraId="2A7C0E45"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Différence entre la proportion d'hommes et de femmes utilisant l'Internet.</w:t>
            </w:r>
          </w:p>
          <w:p w14:paraId="743C2DE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Différence entre la proportion d'hommes et de femmes possédant un téléphone mobile.</w:t>
            </w:r>
          </w:p>
        </w:tc>
        <w:tc>
          <w:tcPr>
            <w:tcW w:w="4650" w:type="dxa"/>
          </w:tcPr>
          <w:p w14:paraId="43B8EF2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 soutien/d'engagement de la part des partenaires et des pays.</w:t>
            </w:r>
          </w:p>
          <w:p w14:paraId="28BB598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Cadre institutionnel obsolète.</w:t>
            </w:r>
          </w:p>
        </w:tc>
      </w:tr>
      <w:tr w:rsidR="00575D39" w:rsidRPr="0008336A" w14:paraId="2A4FFA1F"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31388CDC" w14:textId="77777777" w:rsidR="00575D39" w:rsidRPr="0008336A" w:rsidRDefault="00575D39" w:rsidP="00BD1734">
            <w:pPr>
              <w:pStyle w:val="Tabletext"/>
              <w:rPr>
                <w:b w:val="0"/>
                <w:bCs w:val="0"/>
              </w:rPr>
            </w:pPr>
            <w:r w:rsidRPr="0008336A">
              <w:rPr>
                <w:b w:val="0"/>
                <w:bCs w:val="0"/>
              </w:rPr>
              <w:t>Participation accrue des femmes à tous les niveaux du processus décisionnel dans le cadre des travaux de l'Union et du secteur des télécommunications/TIC.</w:t>
            </w:r>
          </w:p>
        </w:tc>
        <w:tc>
          <w:tcPr>
            <w:tcW w:w="4649" w:type="dxa"/>
          </w:tcPr>
          <w:p w14:paraId="6180AF08"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Résultats tirés du tableau de bord sur l'égalité hommes/femmes (participation des femmes aux réunions de </w:t>
            </w:r>
            <w:proofErr w:type="gramStart"/>
            <w:r w:rsidRPr="0008336A">
              <w:t>l'UIT:</w:t>
            </w:r>
            <w:proofErr w:type="gramEnd"/>
            <w:r w:rsidRPr="0008336A">
              <w:t xml:space="preserve"> globale, en tant que présidentes, en tant que vice</w:t>
            </w:r>
            <w:r w:rsidRPr="0008336A">
              <w:noBreakHyphen/>
              <w:t>présidentes; femmes dans les commissions statutaires; femmes dans les principales manifestations; femmes à la PP et au Conseil; femmes dans le domaine des TIC et de la connectivité).</w:t>
            </w:r>
          </w:p>
        </w:tc>
        <w:tc>
          <w:tcPr>
            <w:tcW w:w="4650" w:type="dxa"/>
          </w:tcPr>
          <w:p w14:paraId="20C7C15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154232EB"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593B4BDB" w14:textId="77777777" w:rsidR="00575D39" w:rsidRPr="0008336A" w:rsidRDefault="00575D39" w:rsidP="00BD1734">
            <w:pPr>
              <w:pStyle w:val="Tabletext"/>
              <w:rPr>
                <w:b w:val="0"/>
                <w:bCs w:val="0"/>
              </w:rPr>
            </w:pPr>
            <w:r w:rsidRPr="0008336A">
              <w:rPr>
                <w:b w:val="0"/>
                <w:bCs w:val="0"/>
              </w:rPr>
              <w:t>Engagement accru auprès d'autres organisations du système des Nations Unies et parties prenantes s'occupant de l'utilisation des télécommunications/TIC pour promouvoir l'autonomisation des femmes.</w:t>
            </w:r>
          </w:p>
        </w:tc>
        <w:tc>
          <w:tcPr>
            <w:tcW w:w="4649" w:type="dxa"/>
          </w:tcPr>
          <w:p w14:paraId="52D9ED2B"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Résultats concernant le partenariat EQUALS et la Commission sur </w:t>
            </w:r>
            <w:proofErr w:type="gramStart"/>
            <w:r w:rsidRPr="0008336A">
              <w:t>le large bande</w:t>
            </w:r>
            <w:proofErr w:type="gramEnd"/>
            <w:r w:rsidRPr="0008336A">
              <w:t>.</w:t>
            </w:r>
          </w:p>
        </w:tc>
        <w:tc>
          <w:tcPr>
            <w:tcW w:w="4650" w:type="dxa"/>
          </w:tcPr>
          <w:p w14:paraId="0D6C77F2"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2A8B91FF" w14:textId="77777777" w:rsidTr="00814B10">
        <w:trPr>
          <w:trHeight w:val="859"/>
        </w:trPr>
        <w:tc>
          <w:tcPr>
            <w:cnfStyle w:val="001000000000" w:firstRow="0" w:lastRow="0" w:firstColumn="1" w:lastColumn="0" w:oddVBand="0" w:evenVBand="0" w:oddHBand="0" w:evenHBand="0" w:firstRowFirstColumn="0" w:firstRowLastColumn="0" w:lastRowFirstColumn="0" w:lastRowLastColumn="0"/>
            <w:tcW w:w="4649" w:type="dxa"/>
          </w:tcPr>
          <w:p w14:paraId="27A81719" w14:textId="77777777" w:rsidR="00575D39" w:rsidRPr="0008336A" w:rsidRDefault="00575D39" w:rsidP="00BD1734">
            <w:pPr>
              <w:pStyle w:val="Tabletext"/>
              <w:rPr>
                <w:b w:val="0"/>
                <w:bCs w:val="0"/>
              </w:rPr>
            </w:pPr>
            <w:r w:rsidRPr="0008336A">
              <w:rPr>
                <w:b w:val="0"/>
                <w:bCs w:val="0"/>
              </w:rPr>
              <w:t>Mise en œuvre complète, dans le cadre des attributions de l'UIT, de la stratégie sur la parité hommes/femmes applicable à l'ensemble du système des Nations Unies.</w:t>
            </w:r>
          </w:p>
        </w:tc>
        <w:tc>
          <w:tcPr>
            <w:tcW w:w="4649" w:type="dxa"/>
          </w:tcPr>
          <w:p w14:paraId="768AD69F"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Résultats de l'UIT au regard des indicateurs de performance d'ONU-SWAP.</w:t>
            </w:r>
          </w:p>
        </w:tc>
        <w:tc>
          <w:tcPr>
            <w:tcW w:w="4650" w:type="dxa"/>
          </w:tcPr>
          <w:p w14:paraId="475888F9"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476CBFCC"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iCs/>
        </w:rPr>
      </w:pPr>
      <w:r w:rsidRPr="0008336A">
        <w:rPr>
          <w:rFonts w:asciiTheme="minorHAnsi" w:hAnsiTheme="minorHAnsi"/>
          <w:b/>
          <w:bCs/>
        </w:rPr>
        <w:br w:type="page"/>
      </w:r>
    </w:p>
    <w:p w14:paraId="3206DEFC" w14:textId="5B6AC006" w:rsidR="00575D39" w:rsidRPr="00C843AA" w:rsidRDefault="00575D39" w:rsidP="00BD1734">
      <w:pPr>
        <w:pStyle w:val="Heading1"/>
        <w:rPr>
          <w:color w:val="1F497D" w:themeColor="text2"/>
        </w:rPr>
      </w:pPr>
      <w:bookmarkStart w:id="126" w:name="_Toc34307487"/>
      <w:bookmarkStart w:id="127" w:name="_Toc34307565"/>
      <w:bookmarkStart w:id="128" w:name="_Toc34307663"/>
      <w:bookmarkStart w:id="129" w:name="_Toc39493328"/>
      <w:r w:rsidRPr="00C843AA">
        <w:rPr>
          <w:color w:val="1F497D" w:themeColor="text2"/>
        </w:rPr>
        <w:lastRenderedPageBreak/>
        <w:t>II.1.5 – I.5 Environnement durable</w:t>
      </w:r>
      <w:bookmarkEnd w:id="126"/>
      <w:bookmarkEnd w:id="127"/>
      <w:bookmarkEnd w:id="128"/>
      <w:bookmarkEnd w:id="129"/>
    </w:p>
    <w:p w14:paraId="4CA53646" w14:textId="77777777" w:rsidR="00575D39" w:rsidRPr="00C843AA" w:rsidRDefault="00575D39" w:rsidP="00BD1734">
      <w:pPr>
        <w:pStyle w:val="Headingb"/>
        <w:rPr>
          <w:i/>
          <w:iCs/>
          <w:color w:val="C0504D" w:themeColor="accent2"/>
        </w:rPr>
      </w:pPr>
      <w:r w:rsidRPr="00C843AA">
        <w:rPr>
          <w:i/>
          <w:iCs/>
          <w:color w:val="C0504D" w:themeColor="accent2"/>
        </w:rPr>
        <w:t>Description de l'Objectif</w:t>
      </w:r>
    </w:p>
    <w:p w14:paraId="791FF544"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30" w:name="lt_pId233"/>
      <w:r w:rsidRPr="0008336A">
        <w:rPr>
          <w:rFonts w:asciiTheme="minorHAnsi" w:hAnsiTheme="minorHAnsi"/>
        </w:rPr>
        <w:t>Mettre à profit les télécommunications/TIC pour réduire l'empreinte environnementale.</w:t>
      </w:r>
    </w:p>
    <w:p w14:paraId="5A1129BD"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L'Objectif I.5 utilise 2,32% des ressources prévues pour les Objectifs intersectoriels ou 0,24% des ressources prévues de l'UIT pour 2021-2024.</w:t>
      </w:r>
    </w:p>
    <w:bookmarkEnd w:id="130"/>
    <w:p w14:paraId="5F7B1133" w14:textId="77777777" w:rsidR="00575D39" w:rsidRPr="00C843AA" w:rsidRDefault="00575D39" w:rsidP="00BD1734">
      <w:pPr>
        <w:pStyle w:val="Headingb"/>
        <w:rPr>
          <w:i/>
          <w:iCs/>
          <w:color w:val="C0504D" w:themeColor="accent2"/>
        </w:rPr>
      </w:pPr>
      <w:r w:rsidRPr="00C843AA">
        <w:rPr>
          <w:i/>
          <w:iCs/>
          <w:color w:val="C0504D" w:themeColor="accent2"/>
        </w:rPr>
        <w:t>Récapitulatif de l'imputation des coûts</w:t>
      </w:r>
    </w:p>
    <w:bookmarkStart w:id="131" w:name="_MON_1649250184"/>
    <w:bookmarkEnd w:id="131"/>
    <w:p w14:paraId="0F4FADB1"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2660" w:dyaOrig="3915" w14:anchorId="5CE4C16D">
          <v:shape id="_x0000_i1034" type="#_x0000_t75" style="width:633pt;height:195.75pt" o:ole="">
            <v:imagedata r:id="rId39" o:title=""/>
          </v:shape>
          <o:OLEObject Type="Embed" ProgID="Excel.Sheet.12" ShapeID="_x0000_i1034" DrawAspect="Content" ObjectID="_1650187647" r:id="rId40"/>
        </w:object>
      </w:r>
    </w:p>
    <w:p w14:paraId="7EC722CF" w14:textId="77777777" w:rsidR="00575D39" w:rsidRPr="00C843AA" w:rsidRDefault="00575D39" w:rsidP="00BD1734">
      <w:pPr>
        <w:pStyle w:val="Headingb"/>
        <w:spacing w:before="120" w:after="240"/>
        <w:rPr>
          <w:i/>
          <w:iCs/>
          <w:color w:val="C0504D" w:themeColor="accent2"/>
        </w:rPr>
      </w:pPr>
      <w:r w:rsidRPr="00C843AA">
        <w:rPr>
          <w:i/>
          <w:iCs/>
          <w:color w:val="C0504D" w:themeColor="accent2"/>
        </w:rPr>
        <w:t>Rapport d'activité 2019</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283CBD48" w14:textId="77777777" w:rsidTr="00814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388F524A" w14:textId="77777777" w:rsidR="00575D39" w:rsidRPr="00C843AA" w:rsidRDefault="00575D39" w:rsidP="00BD1734">
            <w:pPr>
              <w:pStyle w:val="Tablehead"/>
              <w:rPr>
                <w:b/>
                <w:bCs w:val="0"/>
                <w:i/>
                <w:iCs/>
                <w:color w:val="365F91" w:themeColor="accent1" w:themeShade="BF"/>
              </w:rPr>
            </w:pPr>
            <w:r w:rsidRPr="00C843AA">
              <w:rPr>
                <w:b/>
                <w:bCs w:val="0"/>
                <w:i/>
                <w:iCs/>
                <w:color w:val="365F91" w:themeColor="accent1" w:themeShade="BF"/>
              </w:rPr>
              <w:t>Résultats obtenus</w:t>
            </w:r>
          </w:p>
        </w:tc>
        <w:tc>
          <w:tcPr>
            <w:tcW w:w="4649" w:type="dxa"/>
          </w:tcPr>
          <w:p w14:paraId="6D54BAB8"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Mesure</w:t>
            </w:r>
          </w:p>
        </w:tc>
        <w:tc>
          <w:tcPr>
            <w:tcW w:w="4650" w:type="dxa"/>
          </w:tcPr>
          <w:p w14:paraId="668C1CE0"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bookmarkStart w:id="132" w:name="lt_pId239"/>
            <w:r w:rsidRPr="00C843AA">
              <w:rPr>
                <w:b/>
                <w:bCs w:val="0"/>
                <w:i/>
                <w:iCs/>
                <w:color w:val="365F91" w:themeColor="accent1" w:themeShade="BF"/>
              </w:rPr>
              <w:t>Risque</w:t>
            </w:r>
            <w:bookmarkEnd w:id="132"/>
            <w:r w:rsidRPr="00C843AA">
              <w:rPr>
                <w:b/>
                <w:bCs w:val="0"/>
                <w:i/>
                <w:iCs/>
                <w:color w:val="365F91" w:themeColor="accent1" w:themeShade="BF"/>
              </w:rPr>
              <w:t xml:space="preserve"> </w:t>
            </w:r>
          </w:p>
        </w:tc>
      </w:tr>
      <w:tr w:rsidR="00575D39" w:rsidRPr="0008336A" w14:paraId="2C2E430D"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3D3628F5" w14:textId="77777777" w:rsidR="00575D39" w:rsidRPr="0008336A" w:rsidRDefault="00575D39" w:rsidP="00BD1734">
            <w:pPr>
              <w:pStyle w:val="Tabletext"/>
              <w:rPr>
                <w:b w:val="0"/>
                <w:bCs w:val="0"/>
              </w:rPr>
            </w:pPr>
            <w:bookmarkStart w:id="133" w:name="lt_pId240"/>
            <w:r w:rsidRPr="0008336A">
              <w:rPr>
                <w:b w:val="0"/>
                <w:bCs w:val="0"/>
              </w:rPr>
              <w:t>Augmentation du nombre de pays dotés d'une législation relative aux déchets d'équipements électriques et électroniques</w:t>
            </w:r>
            <w:bookmarkEnd w:id="133"/>
            <w:r w:rsidRPr="0008336A">
              <w:rPr>
                <w:b w:val="0"/>
                <w:bCs w:val="0"/>
              </w:rPr>
              <w:t>.</w:t>
            </w:r>
          </w:p>
        </w:tc>
        <w:tc>
          <w:tcPr>
            <w:tcW w:w="4649" w:type="dxa"/>
          </w:tcPr>
          <w:p w14:paraId="61CE0283"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34" w:name="lt_pId241"/>
            <w:r w:rsidRPr="0008336A">
              <w:t xml:space="preserve">De 56% en 2014 à 66% en </w:t>
            </w:r>
            <w:proofErr w:type="gramStart"/>
            <w:r w:rsidRPr="0008336A">
              <w:t>2017;</w:t>
            </w:r>
            <w:proofErr w:type="gramEnd"/>
            <w:r w:rsidRPr="0008336A">
              <w:t xml:space="preserve"> en cours de mesure pour 2019.</w:t>
            </w:r>
            <w:bookmarkEnd w:id="134"/>
          </w:p>
        </w:tc>
        <w:tc>
          <w:tcPr>
            <w:tcW w:w="4650" w:type="dxa"/>
          </w:tcPr>
          <w:p w14:paraId="37434EAE"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35" w:name="lt_pId242"/>
            <w:r w:rsidRPr="0008336A">
              <w:t>Capacités insuffisantes pour produire des statistiques harmonisées et élaborer des politiques nationales.</w:t>
            </w:r>
            <w:bookmarkEnd w:id="135"/>
          </w:p>
        </w:tc>
      </w:tr>
    </w:tbl>
    <w:p w14:paraId="05CF1B66"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br w:type="page"/>
      </w:r>
    </w:p>
    <w:p w14:paraId="755ACB14" w14:textId="77777777" w:rsidR="00575D39" w:rsidRPr="00C843AA" w:rsidRDefault="00575D39" w:rsidP="00BD1734">
      <w:pPr>
        <w:pStyle w:val="Headingb"/>
        <w:spacing w:after="240"/>
        <w:rPr>
          <w:i/>
          <w:iCs/>
          <w:color w:val="C0504D" w:themeColor="accent2"/>
        </w:rPr>
      </w:pPr>
      <w:r w:rsidRPr="00C843AA">
        <w:rPr>
          <w:i/>
          <w:iCs/>
          <w:color w:val="C0504D" w:themeColor="accent2"/>
        </w:rPr>
        <w:lastRenderedPageBreak/>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449324AA" w14:textId="77777777" w:rsidTr="00814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372DB2DB" w14:textId="77777777" w:rsidR="00575D39" w:rsidRPr="00C843AA" w:rsidRDefault="00575D39" w:rsidP="00BD1734">
            <w:pPr>
              <w:pStyle w:val="Tablehead"/>
              <w:rPr>
                <w:b/>
                <w:bCs w:val="0"/>
                <w:i/>
                <w:iCs/>
                <w:color w:val="365F91" w:themeColor="accent1" w:themeShade="BF"/>
              </w:rPr>
            </w:pPr>
            <w:r w:rsidRPr="00C843AA">
              <w:rPr>
                <w:b/>
                <w:bCs w:val="0"/>
                <w:i/>
                <w:iCs/>
                <w:color w:val="365F91" w:themeColor="accent1" w:themeShade="BF"/>
              </w:rPr>
              <w:t>Résultats</w:t>
            </w:r>
          </w:p>
        </w:tc>
        <w:tc>
          <w:tcPr>
            <w:tcW w:w="4649" w:type="dxa"/>
          </w:tcPr>
          <w:p w14:paraId="6F33474F"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Indicateurs de résultat</w:t>
            </w:r>
          </w:p>
        </w:tc>
        <w:tc>
          <w:tcPr>
            <w:tcW w:w="4650" w:type="dxa"/>
          </w:tcPr>
          <w:p w14:paraId="1D43940B"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Indicateurs de risque</w:t>
            </w:r>
          </w:p>
        </w:tc>
      </w:tr>
      <w:tr w:rsidR="00575D39" w:rsidRPr="0008336A" w14:paraId="0D3BD0E9"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5BF27036" w14:textId="77777777" w:rsidR="00575D39" w:rsidRPr="0008336A" w:rsidRDefault="00575D39" w:rsidP="00BD1734">
            <w:pPr>
              <w:pStyle w:val="Tabletext"/>
              <w:rPr>
                <w:b w:val="0"/>
                <w:bCs w:val="0"/>
              </w:rPr>
            </w:pPr>
            <w:r w:rsidRPr="0008336A">
              <w:rPr>
                <w:b w:val="0"/>
                <w:bCs w:val="0"/>
              </w:rPr>
              <w:t>Efficacité accrue des politiques et normes relatives à l'environnement.</w:t>
            </w:r>
          </w:p>
        </w:tc>
        <w:tc>
          <w:tcPr>
            <w:tcW w:w="4649" w:type="dxa"/>
          </w:tcPr>
          <w:p w14:paraId="7EC7BB6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Pourcentage de pays dotés d'une législation relative aux déchets d'équipements électriques et électroniques.</w:t>
            </w:r>
          </w:p>
        </w:tc>
        <w:tc>
          <w:tcPr>
            <w:tcW w:w="4650" w:type="dxa"/>
          </w:tcPr>
          <w:p w14:paraId="4F6C6A6E"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 polyvalence, de souplesse et de préparation du personnel pour s'adapter à l'évolution des besoins.</w:t>
            </w:r>
          </w:p>
        </w:tc>
      </w:tr>
      <w:tr w:rsidR="00575D39" w:rsidRPr="0008336A" w14:paraId="3855921D"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4ACA310B" w14:textId="77777777" w:rsidR="00575D39" w:rsidRPr="0008336A" w:rsidRDefault="00575D39" w:rsidP="00BD1734">
            <w:pPr>
              <w:pStyle w:val="Tabletext"/>
              <w:rPr>
                <w:b w:val="0"/>
                <w:bCs w:val="0"/>
              </w:rPr>
            </w:pPr>
            <w:r w:rsidRPr="0008336A">
              <w:rPr>
                <w:b w:val="0"/>
                <w:bCs w:val="0"/>
              </w:rPr>
              <w:t>Réduction de la consommation d'énergie des applications de télécommunication/TIC.</w:t>
            </w:r>
          </w:p>
        </w:tc>
        <w:tc>
          <w:tcPr>
            <w:tcW w:w="4649" w:type="dxa"/>
          </w:tcPr>
          <w:p w14:paraId="49C847E4"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Part nette de la réduction des émissions de gaz à effet de serre grâce aux télécommunications/TIC.</w:t>
            </w:r>
          </w:p>
        </w:tc>
        <w:tc>
          <w:tcPr>
            <w:tcW w:w="4650" w:type="dxa"/>
          </w:tcPr>
          <w:p w14:paraId="237AC7F4"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Capacités insuffisantes pour produire des statistiques harmonisées et élaborer des politiques nationales.</w:t>
            </w:r>
          </w:p>
        </w:tc>
      </w:tr>
      <w:tr w:rsidR="00575D39" w:rsidRPr="0008336A" w14:paraId="2E4A685B"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45D33E66" w14:textId="77777777" w:rsidR="00575D39" w:rsidRPr="0008336A" w:rsidRDefault="00575D39" w:rsidP="00BD1734">
            <w:pPr>
              <w:pStyle w:val="Tabletext"/>
              <w:rPr>
                <w:b w:val="0"/>
                <w:bCs w:val="0"/>
              </w:rPr>
            </w:pPr>
            <w:r w:rsidRPr="0008336A">
              <w:rPr>
                <w:b w:val="0"/>
                <w:bCs w:val="0"/>
              </w:rPr>
              <w:t>Augmentation du volume de déchets d'équipements électriques et électroniques recyclés.</w:t>
            </w:r>
          </w:p>
          <w:p w14:paraId="540D9D0E" w14:textId="77777777" w:rsidR="00575D39" w:rsidRPr="0008336A" w:rsidRDefault="00575D39" w:rsidP="00BD1734">
            <w:pPr>
              <w:pStyle w:val="Tabletext"/>
              <w:rPr>
                <w:b w:val="0"/>
                <w:bCs w:val="0"/>
              </w:rPr>
            </w:pPr>
            <w:r w:rsidRPr="0008336A">
              <w:rPr>
                <w:b w:val="0"/>
                <w:bCs w:val="0"/>
              </w:rPr>
              <w:t>Amélioration des solutions pour les villes intelligentes et durables.</w:t>
            </w:r>
          </w:p>
        </w:tc>
        <w:tc>
          <w:tcPr>
            <w:tcW w:w="4649" w:type="dxa"/>
          </w:tcPr>
          <w:p w14:paraId="294EFF4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Taux de recyclage des déchets d'équipements électriques et électroniques dans le monde.</w:t>
            </w:r>
          </w:p>
          <w:p w14:paraId="56A4DEF3"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Indicateur concernant l'amélioration des solutions pour les villes intelligentes et durables.</w:t>
            </w:r>
          </w:p>
        </w:tc>
        <w:tc>
          <w:tcPr>
            <w:tcW w:w="4650" w:type="dxa"/>
          </w:tcPr>
          <w:p w14:paraId="0E09F00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3E8CFE34" w14:textId="285E5648"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iCs/>
        </w:rPr>
      </w:pPr>
    </w:p>
    <w:p w14:paraId="73281392" w14:textId="77777777" w:rsidR="00C843AA" w:rsidRDefault="00C843AA">
      <w:pPr>
        <w:tabs>
          <w:tab w:val="clear" w:pos="567"/>
          <w:tab w:val="clear" w:pos="1134"/>
          <w:tab w:val="clear" w:pos="1701"/>
          <w:tab w:val="clear" w:pos="2268"/>
          <w:tab w:val="clear" w:pos="2835"/>
        </w:tabs>
        <w:overflowPunct/>
        <w:autoSpaceDE/>
        <w:autoSpaceDN/>
        <w:adjustRightInd/>
        <w:spacing w:before="0"/>
        <w:textAlignment w:val="auto"/>
        <w:rPr>
          <w:b/>
          <w:sz w:val="28"/>
        </w:rPr>
      </w:pPr>
      <w:bookmarkStart w:id="136" w:name="_Toc34307488"/>
      <w:bookmarkStart w:id="137" w:name="_Toc34307566"/>
      <w:bookmarkStart w:id="138" w:name="_Toc34307664"/>
      <w:bookmarkStart w:id="139" w:name="_Toc39493329"/>
      <w:r>
        <w:br w:type="page"/>
      </w:r>
    </w:p>
    <w:p w14:paraId="4200F96A" w14:textId="0C74AD46" w:rsidR="00575D39" w:rsidRPr="00C843AA" w:rsidRDefault="00575D39" w:rsidP="00BD1734">
      <w:pPr>
        <w:pStyle w:val="Heading1"/>
        <w:rPr>
          <w:i/>
          <w:iCs/>
          <w:color w:val="1F497D" w:themeColor="text2"/>
        </w:rPr>
      </w:pPr>
      <w:r w:rsidRPr="00C843AA">
        <w:rPr>
          <w:color w:val="1F497D" w:themeColor="text2"/>
        </w:rPr>
        <w:lastRenderedPageBreak/>
        <w:t>II.1.6 – I.6 Réduction des chevauchements et des doubles emplois</w:t>
      </w:r>
      <w:bookmarkEnd w:id="136"/>
      <w:bookmarkEnd w:id="137"/>
      <w:bookmarkEnd w:id="138"/>
      <w:bookmarkEnd w:id="139"/>
    </w:p>
    <w:p w14:paraId="3A6D4042" w14:textId="77777777" w:rsidR="00575D39" w:rsidRPr="00C843AA" w:rsidRDefault="00575D39" w:rsidP="00BD1734">
      <w:pPr>
        <w:pStyle w:val="Headingb"/>
        <w:rPr>
          <w:i/>
          <w:iCs/>
          <w:color w:val="C0504D" w:themeColor="accent2"/>
        </w:rPr>
      </w:pPr>
      <w:r w:rsidRPr="00C843AA">
        <w:rPr>
          <w:i/>
          <w:iCs/>
          <w:color w:val="C0504D" w:themeColor="accent2"/>
        </w:rPr>
        <w:t>Description de l'Objectif</w:t>
      </w:r>
    </w:p>
    <w:p w14:paraId="0C46FB46"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40" w:name="lt_pId261"/>
      <w:r w:rsidRPr="0008336A">
        <w:rPr>
          <w:rFonts w:asciiTheme="minorHAnsi" w:hAnsiTheme="minorHAnsi"/>
        </w:rPr>
        <w:t>Réduire les chevauchements et les doubles emplois et favoriser une coordination plus étroite et transparente entre le Secrétariat général et les Secteurs de l'UIT, compte tenu des crédits budgétaires de l'Union ainsi que des compétences spécialisées et du mandat de chaque Secteur.</w:t>
      </w:r>
    </w:p>
    <w:p w14:paraId="1A2250FF"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41" w:name="lt_pId224"/>
      <w:r w:rsidRPr="0008336A">
        <w:rPr>
          <w:rFonts w:asciiTheme="minorHAnsi" w:hAnsiTheme="minorHAnsi"/>
        </w:rPr>
        <w:t>L'Objectif I.6 utilise 7,42% des ressources prévues pour les Objectifs intersectoriels ou 0,77% des ressources prévues de l'UIT pour 2021-2024.</w:t>
      </w:r>
    </w:p>
    <w:bookmarkEnd w:id="140"/>
    <w:bookmarkEnd w:id="141"/>
    <w:p w14:paraId="318A12B1" w14:textId="77777777" w:rsidR="00575D39" w:rsidRPr="00C843AA" w:rsidRDefault="00575D39" w:rsidP="00BD1734">
      <w:pPr>
        <w:pStyle w:val="Headingb"/>
        <w:rPr>
          <w:i/>
          <w:iCs/>
          <w:color w:val="C0504D" w:themeColor="accent2"/>
        </w:rPr>
      </w:pPr>
      <w:r w:rsidRPr="00C843AA">
        <w:rPr>
          <w:i/>
          <w:iCs/>
          <w:color w:val="C0504D" w:themeColor="accent2"/>
        </w:rPr>
        <w:t>Récapitulatif de l'imputation des coûts</w:t>
      </w:r>
    </w:p>
    <w:bookmarkStart w:id="142" w:name="_MON_1649250233"/>
    <w:bookmarkEnd w:id="142"/>
    <w:p w14:paraId="18FBD1CA"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2690" w:dyaOrig="3915" w14:anchorId="4EDD5E45">
          <v:shape id="_x0000_i1035" type="#_x0000_t75" style="width:634.5pt;height:195.75pt" o:ole="">
            <v:imagedata r:id="rId41" o:title=""/>
          </v:shape>
          <o:OLEObject Type="Embed" ProgID="Excel.Sheet.12" ShapeID="_x0000_i1035" DrawAspect="Content" ObjectID="_1650187648" r:id="rId42"/>
        </w:object>
      </w:r>
    </w:p>
    <w:p w14:paraId="1E09579E" w14:textId="77777777" w:rsidR="00C843AA" w:rsidRDefault="00C843AA">
      <w:pPr>
        <w:tabs>
          <w:tab w:val="clear" w:pos="567"/>
          <w:tab w:val="clear" w:pos="1134"/>
          <w:tab w:val="clear" w:pos="1701"/>
          <w:tab w:val="clear" w:pos="2268"/>
          <w:tab w:val="clear" w:pos="2835"/>
        </w:tabs>
        <w:overflowPunct/>
        <w:autoSpaceDE/>
        <w:autoSpaceDN/>
        <w:adjustRightInd/>
        <w:spacing w:before="0"/>
        <w:textAlignment w:val="auto"/>
        <w:rPr>
          <w:b/>
          <w:i/>
          <w:iCs/>
          <w:color w:val="C0504D" w:themeColor="accent2"/>
        </w:rPr>
      </w:pPr>
      <w:r>
        <w:rPr>
          <w:i/>
          <w:iCs/>
          <w:color w:val="C0504D" w:themeColor="accent2"/>
        </w:rPr>
        <w:br w:type="page"/>
      </w:r>
    </w:p>
    <w:p w14:paraId="0FAC02C9" w14:textId="2A5F1DDC" w:rsidR="00575D39" w:rsidRPr="00C843AA" w:rsidRDefault="00575D39" w:rsidP="00BD1734">
      <w:pPr>
        <w:pStyle w:val="Headingb"/>
        <w:spacing w:after="240"/>
        <w:rPr>
          <w:i/>
          <w:iCs/>
          <w:color w:val="C0504D" w:themeColor="accent2"/>
        </w:rPr>
      </w:pPr>
      <w:r w:rsidRPr="00C843AA">
        <w:rPr>
          <w:i/>
          <w:iCs/>
          <w:color w:val="C0504D" w:themeColor="accent2"/>
        </w:rPr>
        <w:lastRenderedPageBreak/>
        <w:t>Rapport d'activité 2019</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5D2B37BD" w14:textId="77777777" w:rsidTr="00814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54F388AC" w14:textId="77777777" w:rsidR="00575D39" w:rsidRPr="00C843AA" w:rsidRDefault="00575D39" w:rsidP="00BD1734">
            <w:pPr>
              <w:pStyle w:val="Tablehead"/>
              <w:rPr>
                <w:b/>
                <w:bCs w:val="0"/>
                <w:i/>
                <w:iCs/>
                <w:color w:val="365F91" w:themeColor="accent1" w:themeShade="BF"/>
              </w:rPr>
            </w:pPr>
            <w:r w:rsidRPr="00C843AA">
              <w:rPr>
                <w:b/>
                <w:bCs w:val="0"/>
                <w:i/>
                <w:iCs/>
                <w:color w:val="365F91" w:themeColor="accent1" w:themeShade="BF"/>
              </w:rPr>
              <w:t>Résultats obtenus</w:t>
            </w:r>
          </w:p>
        </w:tc>
        <w:tc>
          <w:tcPr>
            <w:tcW w:w="4649" w:type="dxa"/>
          </w:tcPr>
          <w:p w14:paraId="1DCF1C68"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Mesure</w:t>
            </w:r>
          </w:p>
        </w:tc>
        <w:tc>
          <w:tcPr>
            <w:tcW w:w="4650" w:type="dxa"/>
          </w:tcPr>
          <w:p w14:paraId="2D81872B"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bookmarkStart w:id="143" w:name="lt_pId267"/>
            <w:r w:rsidRPr="00C843AA">
              <w:rPr>
                <w:b/>
                <w:bCs w:val="0"/>
                <w:i/>
                <w:iCs/>
                <w:color w:val="365F91" w:themeColor="accent1" w:themeShade="BF"/>
              </w:rPr>
              <w:t>Risque</w:t>
            </w:r>
            <w:bookmarkEnd w:id="143"/>
            <w:r w:rsidRPr="00C843AA">
              <w:rPr>
                <w:b/>
                <w:bCs w:val="0"/>
                <w:i/>
                <w:iCs/>
                <w:color w:val="365F91" w:themeColor="accent1" w:themeShade="BF"/>
              </w:rPr>
              <w:t xml:space="preserve"> </w:t>
            </w:r>
          </w:p>
        </w:tc>
      </w:tr>
      <w:tr w:rsidR="00575D39" w:rsidRPr="0008336A" w14:paraId="4F609A71" w14:textId="77777777" w:rsidTr="00814B10">
        <w:tc>
          <w:tcPr>
            <w:cnfStyle w:val="001000000000" w:firstRow="0" w:lastRow="0" w:firstColumn="1" w:lastColumn="0" w:oddVBand="0" w:evenVBand="0" w:oddHBand="0" w:evenHBand="0" w:firstRowFirstColumn="0" w:firstRowLastColumn="0" w:lastRowFirstColumn="0" w:lastRowLastColumn="0"/>
            <w:tcW w:w="4649" w:type="dxa"/>
          </w:tcPr>
          <w:p w14:paraId="5E063390" w14:textId="77777777" w:rsidR="00575D39" w:rsidRPr="0008336A" w:rsidRDefault="00575D39" w:rsidP="00BD1734">
            <w:pPr>
              <w:pStyle w:val="Tabletext"/>
              <w:rPr>
                <w:b w:val="0"/>
                <w:bCs w:val="0"/>
              </w:rPr>
            </w:pPr>
            <w:bookmarkStart w:id="144" w:name="lt_pId268"/>
            <w:r w:rsidRPr="0008336A">
              <w:rPr>
                <w:b w:val="0"/>
                <w:bCs w:val="0"/>
              </w:rPr>
              <w:t>Économies réalisées grâce aux mesures d'efficacité, dans certains cas en évitant les chevauchements.</w:t>
            </w:r>
            <w:bookmarkEnd w:id="144"/>
          </w:p>
          <w:p w14:paraId="2EF4F65A" w14:textId="77777777" w:rsidR="00575D39" w:rsidRPr="0008336A" w:rsidRDefault="00575D39" w:rsidP="00BD1734">
            <w:pPr>
              <w:pStyle w:val="Tabletext"/>
              <w:rPr>
                <w:b w:val="0"/>
                <w:bCs w:val="0"/>
              </w:rPr>
            </w:pPr>
            <w:bookmarkStart w:id="145" w:name="lt_pId269"/>
            <w:r w:rsidRPr="0008336A">
              <w:rPr>
                <w:b w:val="0"/>
                <w:bCs w:val="0"/>
              </w:rPr>
              <w:t>Collaboration plus étroite et transparente entre les Secteurs de l'UIT, grâce à des mécanismes comme le Groupe ISCG et le Groupe spécial ISC</w:t>
            </w:r>
            <w:r w:rsidRPr="0008336A">
              <w:rPr>
                <w:b w:val="0"/>
                <w:bCs w:val="0"/>
              </w:rPr>
              <w:noBreakHyphen/>
              <w:t>TF.</w:t>
            </w:r>
            <w:bookmarkEnd w:id="145"/>
          </w:p>
        </w:tc>
        <w:tc>
          <w:tcPr>
            <w:tcW w:w="4649" w:type="dxa"/>
          </w:tcPr>
          <w:p w14:paraId="069BA8C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46" w:name="lt_pId270"/>
            <w:r w:rsidRPr="0008336A">
              <w:t>En 2018-19, quelque 13 MCHF d'économies au total.</w:t>
            </w:r>
            <w:bookmarkEnd w:id="146"/>
          </w:p>
          <w:p w14:paraId="1CA671BF"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47" w:name="lt_pId271"/>
            <w:r w:rsidRPr="0008336A">
              <w:t>Nombre de notes de liaison émanant des groupes consultatifs des Secteurs concernant la coordination intersectorielle</w:t>
            </w:r>
            <w:bookmarkEnd w:id="147"/>
            <w:r w:rsidRPr="0008336A">
              <w:t>.</w:t>
            </w:r>
          </w:p>
        </w:tc>
        <w:tc>
          <w:tcPr>
            <w:tcW w:w="4650" w:type="dxa"/>
          </w:tcPr>
          <w:p w14:paraId="3866809B"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48" w:name="lt_pId273"/>
            <w:r w:rsidRPr="0008336A">
              <w:t>Risques maîtrisés. Absence d'activités contradictoires.</w:t>
            </w:r>
            <w:bookmarkEnd w:id="148"/>
          </w:p>
        </w:tc>
      </w:tr>
    </w:tbl>
    <w:p w14:paraId="4811BC9D" w14:textId="2F57FFF6" w:rsidR="00575D39" w:rsidRPr="00C843AA" w:rsidRDefault="00575D39" w:rsidP="00BD1734">
      <w:pPr>
        <w:pStyle w:val="Headingb"/>
        <w:spacing w:before="240" w:after="240"/>
        <w:rPr>
          <w:i/>
          <w:iCs/>
          <w:color w:val="C0504D" w:themeColor="accent2"/>
        </w:rPr>
      </w:pPr>
      <w:r w:rsidRPr="00C843AA">
        <w:rPr>
          <w:i/>
          <w:iCs/>
          <w:color w:val="C0504D" w:themeColor="accent2"/>
        </w:rPr>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5FF2F853" w14:textId="77777777" w:rsidTr="00C01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6B7DAB86" w14:textId="77777777" w:rsidR="00575D39" w:rsidRPr="00C843AA" w:rsidRDefault="00575D39" w:rsidP="00BD1734">
            <w:pPr>
              <w:pStyle w:val="Tablehead"/>
              <w:rPr>
                <w:b/>
                <w:bCs w:val="0"/>
                <w:i/>
                <w:iCs/>
                <w:color w:val="365F91" w:themeColor="accent1" w:themeShade="BF"/>
              </w:rPr>
            </w:pPr>
            <w:r w:rsidRPr="00C843AA">
              <w:rPr>
                <w:b/>
                <w:bCs w:val="0"/>
                <w:i/>
                <w:iCs/>
                <w:color w:val="365F91" w:themeColor="accent1" w:themeShade="BF"/>
              </w:rPr>
              <w:t>Résultats</w:t>
            </w:r>
          </w:p>
        </w:tc>
        <w:tc>
          <w:tcPr>
            <w:tcW w:w="4649" w:type="dxa"/>
          </w:tcPr>
          <w:p w14:paraId="4F2A2160"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Indicateurs de résultat</w:t>
            </w:r>
          </w:p>
        </w:tc>
        <w:tc>
          <w:tcPr>
            <w:tcW w:w="4650" w:type="dxa"/>
          </w:tcPr>
          <w:p w14:paraId="1E4F36B8" w14:textId="77777777" w:rsidR="00575D39" w:rsidRPr="00C843AA"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C843AA">
              <w:rPr>
                <w:b/>
                <w:bCs w:val="0"/>
                <w:i/>
                <w:iCs/>
                <w:color w:val="365F91" w:themeColor="accent1" w:themeShade="BF"/>
              </w:rPr>
              <w:t>Indicateurs de risque</w:t>
            </w:r>
          </w:p>
        </w:tc>
      </w:tr>
      <w:tr w:rsidR="00575D39" w:rsidRPr="0008336A" w14:paraId="154C34E3" w14:textId="77777777" w:rsidTr="00C0112B">
        <w:tc>
          <w:tcPr>
            <w:cnfStyle w:val="001000000000" w:firstRow="0" w:lastRow="0" w:firstColumn="1" w:lastColumn="0" w:oddVBand="0" w:evenVBand="0" w:oddHBand="0" w:evenHBand="0" w:firstRowFirstColumn="0" w:firstRowLastColumn="0" w:lastRowFirstColumn="0" w:lastRowLastColumn="0"/>
            <w:tcW w:w="4649" w:type="dxa"/>
          </w:tcPr>
          <w:p w14:paraId="072D6CEF" w14:textId="77777777" w:rsidR="00575D39" w:rsidRPr="0008336A" w:rsidRDefault="00575D39" w:rsidP="00BD1734">
            <w:pPr>
              <w:pStyle w:val="Tabletext"/>
              <w:rPr>
                <w:b w:val="0"/>
                <w:bCs w:val="0"/>
              </w:rPr>
            </w:pPr>
            <w:r w:rsidRPr="0008336A">
              <w:rPr>
                <w:b w:val="0"/>
                <w:bCs w:val="0"/>
              </w:rPr>
              <w:t>Collaboration plus étroite et transparente entre les Secteurs de l'UIT, le Secrétariat général et les trois Bureaux.</w:t>
            </w:r>
          </w:p>
        </w:tc>
        <w:tc>
          <w:tcPr>
            <w:tcW w:w="4649" w:type="dxa"/>
          </w:tcPr>
          <w:p w14:paraId="74B8CC1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49" w:name="lt_pId280"/>
            <w:r w:rsidRPr="0008336A">
              <w:t>Pourcentage de Membres indiquant que l'UIT est unie dans l'action.</w:t>
            </w:r>
            <w:bookmarkEnd w:id="149"/>
          </w:p>
        </w:tc>
        <w:tc>
          <w:tcPr>
            <w:tcW w:w="4650" w:type="dxa"/>
          </w:tcPr>
          <w:p w14:paraId="7079675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Affaiblissement de la coordination intersectorielle.</w:t>
            </w:r>
          </w:p>
          <w:p w14:paraId="7C7E533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Lancement de nouvelles activités entraînant des doubles emplois (aux niveaux interne et externe).</w:t>
            </w:r>
          </w:p>
        </w:tc>
      </w:tr>
      <w:tr w:rsidR="00575D39" w:rsidRPr="0008336A" w14:paraId="0CE808E6" w14:textId="77777777" w:rsidTr="00C0112B">
        <w:tc>
          <w:tcPr>
            <w:cnfStyle w:val="001000000000" w:firstRow="0" w:lastRow="0" w:firstColumn="1" w:lastColumn="0" w:oddVBand="0" w:evenVBand="0" w:oddHBand="0" w:evenHBand="0" w:firstRowFirstColumn="0" w:firstRowLastColumn="0" w:lastRowFirstColumn="0" w:lastRowLastColumn="0"/>
            <w:tcW w:w="4649" w:type="dxa"/>
          </w:tcPr>
          <w:p w14:paraId="2795A755" w14:textId="77777777" w:rsidR="00575D39" w:rsidRPr="0008336A" w:rsidRDefault="00575D39" w:rsidP="00BD1734">
            <w:pPr>
              <w:pStyle w:val="Tabletext"/>
              <w:rPr>
                <w:b w:val="0"/>
                <w:bCs w:val="0"/>
              </w:rPr>
            </w:pPr>
            <w:r w:rsidRPr="0008336A">
              <w:rPr>
                <w:b w:val="0"/>
                <w:bCs w:val="0"/>
              </w:rPr>
              <w:t>Réduction des chevauchements et des doubles emplois entre les Secteurs de l'UIT et les travaux du Secrétariat général et des trois Bureaux.</w:t>
            </w:r>
          </w:p>
        </w:tc>
        <w:tc>
          <w:tcPr>
            <w:tcW w:w="4649" w:type="dxa"/>
          </w:tcPr>
          <w:p w14:paraId="33412A9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manifestations coorganisées par au moins 2 Secteurs.</w:t>
            </w:r>
          </w:p>
          <w:p w14:paraId="660AC97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50" w:name="lt_pId285"/>
            <w:r w:rsidRPr="0008336A">
              <w:t>Résultats du Groupe spécial ISC-TF.</w:t>
            </w:r>
            <w:bookmarkEnd w:id="150"/>
          </w:p>
          <w:p w14:paraId="46E02E2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chevauchements recensés et éliminés.</w:t>
            </w:r>
          </w:p>
        </w:tc>
        <w:tc>
          <w:tcPr>
            <w:tcW w:w="4650" w:type="dxa"/>
          </w:tcPr>
          <w:p w14:paraId="2156758B"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Gestion inefficace des ressources humaines (absence de contrôle, fautes, erreurs humaines).</w:t>
            </w:r>
          </w:p>
        </w:tc>
      </w:tr>
      <w:tr w:rsidR="00575D39" w:rsidRPr="0008336A" w14:paraId="409ADCC5" w14:textId="77777777" w:rsidTr="00C0112B">
        <w:tc>
          <w:tcPr>
            <w:cnfStyle w:val="001000000000" w:firstRow="0" w:lastRow="0" w:firstColumn="1" w:lastColumn="0" w:oddVBand="0" w:evenVBand="0" w:oddHBand="0" w:evenHBand="0" w:firstRowFirstColumn="0" w:firstRowLastColumn="0" w:lastRowFirstColumn="0" w:lastRowLastColumn="0"/>
            <w:tcW w:w="4649" w:type="dxa"/>
          </w:tcPr>
          <w:p w14:paraId="3CAA2A42" w14:textId="77777777" w:rsidR="00575D39" w:rsidRPr="0008336A" w:rsidRDefault="00575D39" w:rsidP="00BD1734">
            <w:pPr>
              <w:pStyle w:val="Tabletext"/>
              <w:rPr>
                <w:b w:val="0"/>
                <w:bCs w:val="0"/>
              </w:rPr>
            </w:pPr>
            <w:r w:rsidRPr="0008336A">
              <w:rPr>
                <w:b w:val="0"/>
                <w:bCs w:val="0"/>
              </w:rPr>
              <w:t>Réalisation d'économies en évitant les chevauchements.</w:t>
            </w:r>
          </w:p>
        </w:tc>
        <w:tc>
          <w:tcPr>
            <w:tcW w:w="4649" w:type="dxa"/>
          </w:tcPr>
          <w:p w14:paraId="6724037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Réduction des coûts grâce aux mesures d'efficacité visant à mettre en évidence et à supprimer tous les types et tous les cas de double emploi.</w:t>
            </w:r>
          </w:p>
        </w:tc>
        <w:tc>
          <w:tcPr>
            <w:tcW w:w="4650" w:type="dxa"/>
          </w:tcPr>
          <w:p w14:paraId="6BA6A042"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Appui fourni dans le cadre d'activités contradictoires.</w:t>
            </w:r>
          </w:p>
          <w:p w14:paraId="725EF99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Cadre institutionnel obsolète.</w:t>
            </w:r>
          </w:p>
        </w:tc>
      </w:tr>
    </w:tbl>
    <w:p w14:paraId="1014383A"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rPr>
      </w:pPr>
    </w:p>
    <w:p w14:paraId="72BDC78F"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rPr>
      </w:pPr>
      <w:r w:rsidRPr="0008336A">
        <w:rPr>
          <w:rFonts w:asciiTheme="minorHAnsi" w:hAnsiTheme="minorHAnsi"/>
          <w:b/>
          <w:bCs/>
        </w:rPr>
        <w:br w:type="page"/>
      </w:r>
    </w:p>
    <w:p w14:paraId="759DA584" w14:textId="2719F7F2" w:rsidR="00575D39" w:rsidRPr="00C843AA" w:rsidRDefault="00575D39" w:rsidP="00BD1734">
      <w:pPr>
        <w:pStyle w:val="Heading1"/>
        <w:rPr>
          <w:color w:val="1F497D" w:themeColor="text2"/>
        </w:rPr>
      </w:pPr>
      <w:bookmarkStart w:id="151" w:name="lt_pId292"/>
      <w:bookmarkStart w:id="152" w:name="_Toc34307489"/>
      <w:bookmarkStart w:id="153" w:name="_Toc34307567"/>
      <w:bookmarkStart w:id="154" w:name="_Toc34307665"/>
      <w:bookmarkStart w:id="155" w:name="_Toc39493330"/>
      <w:r w:rsidRPr="00C843AA">
        <w:rPr>
          <w:color w:val="1F497D" w:themeColor="text2"/>
        </w:rPr>
        <w:lastRenderedPageBreak/>
        <w:t>II.2</w:t>
      </w:r>
      <w:bookmarkStart w:id="156" w:name="lt_pId293"/>
      <w:bookmarkEnd w:id="151"/>
      <w:r w:rsidRPr="00C843AA">
        <w:rPr>
          <w:color w:val="1F497D" w:themeColor="text2"/>
        </w:rPr>
        <w:tab/>
      </w:r>
      <w:bookmarkEnd w:id="156"/>
      <w:r w:rsidRPr="00C843AA">
        <w:rPr>
          <w:color w:val="1F497D" w:themeColor="text2"/>
        </w:rPr>
        <w:t>Objectifs du Secteur des radiocommunications</w:t>
      </w:r>
      <w:bookmarkEnd w:id="152"/>
      <w:bookmarkEnd w:id="153"/>
      <w:bookmarkEnd w:id="154"/>
      <w:bookmarkEnd w:id="155"/>
    </w:p>
    <w:p w14:paraId="3BE3C0CC"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57" w:name="lt_pId294"/>
      <w:r w:rsidRPr="0008336A">
        <w:rPr>
          <w:rFonts w:asciiTheme="minorHAnsi" w:hAnsiTheme="minorHAnsi"/>
        </w:rPr>
        <w:t>Trois Objectifs du Secteur des radiocommunications sont prévus pour la période 2021-2024, représentant 37,91% du total des ressources prévues de l'Union pour cette période.</w:t>
      </w:r>
    </w:p>
    <w:bookmarkEnd w:id="157"/>
    <w:p w14:paraId="2B683817" w14:textId="77777777" w:rsidR="00575D39" w:rsidRPr="0008336A" w:rsidRDefault="00575D39" w:rsidP="00BD1734">
      <w:pPr>
        <w:pStyle w:val="Tabletitle"/>
        <w:spacing w:before="360" w:after="0"/>
      </w:pPr>
      <w:r w:rsidRPr="0008336A">
        <w:t>Objectifs de l'UIT-R</w:t>
      </w:r>
      <w:bookmarkStart w:id="158" w:name="lt_pId296"/>
    </w:p>
    <w:p w14:paraId="583C85FF" w14:textId="77777777" w:rsidR="00575D39" w:rsidRPr="0008336A" w:rsidRDefault="00575D39" w:rsidP="00BD1734">
      <w:pPr>
        <w:pStyle w:val="Tabletitle"/>
        <w:spacing w:after="0"/>
      </w:pPr>
      <w:r w:rsidRPr="0008336A">
        <w:t>Coûts prévus pour 2021-2024</w:t>
      </w:r>
      <w:bookmarkEnd w:id="158"/>
    </w:p>
    <w:p w14:paraId="24ED77F5" w14:textId="77777777" w:rsidR="00575D39" w:rsidRPr="0008336A" w:rsidRDefault="00575D39" w:rsidP="00BD1734">
      <w:pPr>
        <w:pStyle w:val="Tabletitle"/>
        <w:spacing w:after="240"/>
      </w:pPr>
      <w:r w:rsidRPr="0008336A">
        <w:t>Ventilation par composante de coût</w:t>
      </w:r>
    </w:p>
    <w:p w14:paraId="451FB032" w14:textId="0376BDCC" w:rsidR="00575D39" w:rsidRPr="0008336A" w:rsidRDefault="005C0EF6"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6377" w:dyaOrig="4126" w14:anchorId="1D765795">
          <v:shape id="_x0000_i1036" type="#_x0000_t75" style="width:727.15pt;height:183.4pt" o:ole="">
            <v:imagedata r:id="rId43" o:title=""/>
          </v:shape>
          <o:OLEObject Type="Embed" ProgID="Excel.Sheet.12" ShapeID="_x0000_i1036" DrawAspect="Content" ObjectID="_1650187649" r:id="rId44"/>
        </w:object>
      </w:r>
    </w:p>
    <w:p w14:paraId="6BB73EDC"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p>
    <w:p w14:paraId="6FF36FCF" w14:textId="77777777" w:rsidR="00575D39" w:rsidRPr="0008336A" w:rsidRDefault="00575D39" w:rsidP="00BD173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rPr>
      </w:pPr>
      <w:r w:rsidRPr="0008336A">
        <w:rPr>
          <w:rFonts w:asciiTheme="minorHAnsi" w:hAnsiTheme="minorHAnsi"/>
        </w:rPr>
        <w:br w:type="page"/>
      </w:r>
    </w:p>
    <w:p w14:paraId="69155BFF" w14:textId="41FE94D8" w:rsidR="00575D39" w:rsidRPr="00C843AA" w:rsidRDefault="00575D39" w:rsidP="00BD1734">
      <w:pPr>
        <w:pStyle w:val="Heading1"/>
        <w:rPr>
          <w:color w:val="1F497D" w:themeColor="text2"/>
        </w:rPr>
      </w:pPr>
      <w:bookmarkStart w:id="159" w:name="_Toc34307490"/>
      <w:bookmarkStart w:id="160" w:name="_Toc34307568"/>
      <w:bookmarkStart w:id="161" w:name="_Toc34307666"/>
      <w:bookmarkStart w:id="162" w:name="_Toc39493331"/>
      <w:r w:rsidRPr="00C843AA">
        <w:rPr>
          <w:color w:val="1F497D" w:themeColor="text2"/>
        </w:rPr>
        <w:lastRenderedPageBreak/>
        <w:t>II.2.1 – R.1 Réglementation et gestion du spectre/des orbites</w:t>
      </w:r>
      <w:bookmarkEnd w:id="159"/>
      <w:bookmarkEnd w:id="160"/>
      <w:bookmarkEnd w:id="161"/>
      <w:bookmarkEnd w:id="162"/>
    </w:p>
    <w:p w14:paraId="737732F4" w14:textId="77777777" w:rsidR="00575D39" w:rsidRPr="0008336A" w:rsidRDefault="00575D39" w:rsidP="00BD1734">
      <w:pPr>
        <w:pStyle w:val="Headingb"/>
        <w:rPr>
          <w:i/>
          <w:iCs/>
        </w:rPr>
      </w:pPr>
      <w:r w:rsidRPr="0008336A">
        <w:rPr>
          <w:i/>
          <w:iCs/>
        </w:rPr>
        <w:t>Description de l'Objectif</w:t>
      </w:r>
    </w:p>
    <w:p w14:paraId="3EEABB5E"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63" w:name="lt_pId301"/>
      <w:r w:rsidRPr="0008336A">
        <w:rPr>
          <w:rFonts w:asciiTheme="minorHAnsi" w:hAnsiTheme="minorHAnsi"/>
        </w:rPr>
        <w:t>Répondre, de manière rationnelle, équitable, efficace, économique et rapide aux besoins des membres de l'UIT en ce qui concerne les ressources du spectre des fréquences radioélectriques et des orbites des satellites, tout en évitant les brouillages préjudiciables.</w:t>
      </w:r>
    </w:p>
    <w:p w14:paraId="4E22E162"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64" w:name="lt_pId248"/>
      <w:r w:rsidRPr="0008336A">
        <w:rPr>
          <w:rFonts w:asciiTheme="minorHAnsi" w:hAnsiTheme="minorHAnsi"/>
        </w:rPr>
        <w:t>L'Objectif R.1 utilise 55,40% des ressources prévues pour les objectifs de l'UIT-R ou 21,00% des ressources prévues de l'UIT pour 2021-2024.</w:t>
      </w:r>
    </w:p>
    <w:bookmarkEnd w:id="163"/>
    <w:bookmarkEnd w:id="164"/>
    <w:p w14:paraId="2B2D5D72" w14:textId="77777777" w:rsidR="00575D39" w:rsidRPr="00C843AA" w:rsidRDefault="00575D39" w:rsidP="00C843AA">
      <w:pPr>
        <w:pStyle w:val="Headingb"/>
        <w:spacing w:before="360"/>
        <w:rPr>
          <w:i/>
          <w:iCs/>
          <w:color w:val="C0504D" w:themeColor="accent2"/>
        </w:rPr>
      </w:pPr>
      <w:r w:rsidRPr="00C843AA">
        <w:rPr>
          <w:i/>
          <w:iCs/>
          <w:color w:val="C0504D" w:themeColor="accent2"/>
        </w:rPr>
        <w:t>Récapitulatif de l'imputation des coûts</w:t>
      </w:r>
    </w:p>
    <w:bookmarkStart w:id="165" w:name="_MON_1649250283"/>
    <w:bookmarkEnd w:id="165"/>
    <w:p w14:paraId="0666A706" w14:textId="0F9B2F8D" w:rsidR="00575D39" w:rsidRPr="0008336A" w:rsidRDefault="00F67DB8" w:rsidP="005C0EF6">
      <w:pPr>
        <w:tabs>
          <w:tab w:val="clear" w:pos="567"/>
          <w:tab w:val="clear" w:pos="1134"/>
          <w:tab w:val="clear" w:pos="1701"/>
          <w:tab w:val="clear" w:pos="2268"/>
          <w:tab w:val="clear" w:pos="2835"/>
          <w:tab w:val="left" w:pos="794"/>
          <w:tab w:val="left" w:pos="1191"/>
          <w:tab w:val="left" w:pos="1588"/>
          <w:tab w:val="left" w:pos="1985"/>
        </w:tabs>
        <w:spacing w:before="0"/>
        <w:rPr>
          <w:rFonts w:asciiTheme="minorHAnsi" w:hAnsiTheme="minorHAnsi"/>
        </w:rPr>
      </w:pPr>
      <w:r w:rsidRPr="0008336A">
        <w:rPr>
          <w:rFonts w:asciiTheme="minorHAnsi" w:hAnsiTheme="minorHAnsi"/>
        </w:rPr>
        <w:object w:dxaOrig="13220" w:dyaOrig="3590" w14:anchorId="600AB2CA">
          <v:shape id="_x0000_i1037" type="#_x0000_t75" style="width:661pt;height:179.5pt" o:ole="">
            <v:imagedata r:id="rId45" o:title=""/>
          </v:shape>
          <o:OLEObject Type="Embed" ProgID="Excel.Sheet.12" ShapeID="_x0000_i1037" DrawAspect="Content" ObjectID="_1650187650" r:id="rId46"/>
        </w:object>
      </w:r>
    </w:p>
    <w:p w14:paraId="51AA1BEA" w14:textId="77777777" w:rsidR="00C843AA" w:rsidRDefault="00C843AA" w:rsidP="005C0EF6">
      <w:pPr>
        <w:pStyle w:val="Headingb"/>
        <w:spacing w:before="120" w:after="240"/>
        <w:rPr>
          <w:i/>
          <w:iCs/>
          <w:color w:val="C0504D" w:themeColor="accent2"/>
        </w:rPr>
      </w:pPr>
      <w:r>
        <w:rPr>
          <w:i/>
          <w:iCs/>
          <w:color w:val="C0504D" w:themeColor="accent2"/>
        </w:rPr>
        <w:br w:type="page"/>
      </w:r>
    </w:p>
    <w:p w14:paraId="2B224508" w14:textId="4D730C42" w:rsidR="00575D39" w:rsidRPr="00C843AA" w:rsidRDefault="00575D39" w:rsidP="005C0EF6">
      <w:pPr>
        <w:pStyle w:val="Headingb"/>
        <w:spacing w:before="120" w:after="240"/>
        <w:rPr>
          <w:i/>
          <w:iCs/>
          <w:color w:val="C0504D" w:themeColor="accent2"/>
        </w:rPr>
      </w:pPr>
      <w:r w:rsidRPr="00C843AA">
        <w:rPr>
          <w:i/>
          <w:iCs/>
          <w:color w:val="C0504D" w:themeColor="accent2"/>
        </w:rPr>
        <w:lastRenderedPageBreak/>
        <w:t>Rapport d'activité 2019</w:t>
      </w:r>
    </w:p>
    <w:tbl>
      <w:tblPr>
        <w:tblStyle w:val="GridTable1Light-Accent12"/>
        <w:tblW w:w="14601" w:type="dxa"/>
        <w:tblInd w:w="-147" w:type="dxa"/>
        <w:tblLook w:val="04A0" w:firstRow="1" w:lastRow="0" w:firstColumn="1" w:lastColumn="0" w:noHBand="0" w:noVBand="1"/>
      </w:tblPr>
      <w:tblGrid>
        <w:gridCol w:w="4796"/>
        <w:gridCol w:w="4649"/>
        <w:gridCol w:w="5156"/>
      </w:tblGrid>
      <w:tr w:rsidR="00575D39" w:rsidRPr="0008336A" w14:paraId="6B1228B2" w14:textId="77777777" w:rsidTr="00F65A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96" w:type="dxa"/>
          </w:tcPr>
          <w:p w14:paraId="5CBF120E" w14:textId="77777777" w:rsidR="00575D39" w:rsidRPr="00F65A0B" w:rsidRDefault="00575D39" w:rsidP="00F65A0B">
            <w:pPr>
              <w:pStyle w:val="Tablehead"/>
              <w:spacing w:before="60" w:after="60"/>
              <w:rPr>
                <w:b/>
                <w:bCs w:val="0"/>
                <w:i/>
                <w:iCs/>
                <w:color w:val="365F91" w:themeColor="accent1" w:themeShade="BF"/>
              </w:rPr>
            </w:pPr>
            <w:r w:rsidRPr="00F65A0B">
              <w:rPr>
                <w:b/>
                <w:bCs w:val="0"/>
                <w:i/>
                <w:iCs/>
                <w:color w:val="365F91" w:themeColor="accent1" w:themeShade="BF"/>
              </w:rPr>
              <w:t>Résultats obtenus</w:t>
            </w:r>
          </w:p>
        </w:tc>
        <w:tc>
          <w:tcPr>
            <w:tcW w:w="4649" w:type="dxa"/>
          </w:tcPr>
          <w:p w14:paraId="29248E3C" w14:textId="77777777" w:rsidR="00575D39" w:rsidRPr="00F65A0B" w:rsidRDefault="00575D39" w:rsidP="00F65A0B">
            <w:pPr>
              <w:pStyle w:val="Tablehead"/>
              <w:spacing w:before="60" w:after="6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Mesure</w:t>
            </w:r>
          </w:p>
        </w:tc>
        <w:tc>
          <w:tcPr>
            <w:tcW w:w="5156" w:type="dxa"/>
          </w:tcPr>
          <w:p w14:paraId="7A7163E4" w14:textId="77777777" w:rsidR="00575D39" w:rsidRPr="00F65A0B" w:rsidRDefault="00575D39" w:rsidP="00F65A0B">
            <w:pPr>
              <w:pStyle w:val="Tablehead"/>
              <w:spacing w:before="60" w:after="6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 xml:space="preserve">Risque </w:t>
            </w:r>
          </w:p>
        </w:tc>
      </w:tr>
      <w:tr w:rsidR="00575D39" w:rsidRPr="0008336A" w14:paraId="67C6D11F"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32B03312" w14:textId="7B17C6D7" w:rsidR="00575D39" w:rsidRPr="0008336A" w:rsidRDefault="00575D39" w:rsidP="00F65A0B">
            <w:pPr>
              <w:pStyle w:val="Tabletext"/>
              <w:spacing w:before="40" w:after="40"/>
              <w:rPr>
                <w:b w:val="0"/>
                <w:bCs w:val="0"/>
              </w:rPr>
            </w:pPr>
            <w:r w:rsidRPr="0008336A">
              <w:rPr>
                <w:b w:val="0"/>
                <w:bCs w:val="0"/>
              </w:rPr>
              <w:t>Préparation et organisation de la Conférence mondiale des radiocommunications de 2019 (CMR-19).</w:t>
            </w:r>
          </w:p>
        </w:tc>
        <w:tc>
          <w:tcPr>
            <w:tcW w:w="4649" w:type="dxa"/>
          </w:tcPr>
          <w:p w14:paraId="2CA3FD80" w14:textId="5D3EA535"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3 420</w:t>
            </w:r>
            <w:r w:rsidRPr="0008336A">
              <w:t xml:space="preserve"> participants représentant </w:t>
            </w:r>
            <w:r w:rsidRPr="0008336A">
              <w:rPr>
                <w:b/>
                <w:bCs/>
              </w:rPr>
              <w:t>163</w:t>
            </w:r>
            <w:r w:rsidRPr="0008336A">
              <w:t xml:space="preserve"> pays et </w:t>
            </w:r>
            <w:r w:rsidRPr="0008336A">
              <w:rPr>
                <w:b/>
                <w:bCs/>
              </w:rPr>
              <w:t>129</w:t>
            </w:r>
            <w:r w:rsidR="005C0EF6" w:rsidRPr="0008336A">
              <w:rPr>
                <w:b/>
                <w:bCs/>
              </w:rPr>
              <w:t> </w:t>
            </w:r>
            <w:r w:rsidRPr="0008336A">
              <w:t>autres entités.</w:t>
            </w:r>
          </w:p>
          <w:p w14:paraId="2A40E7AD" w14:textId="657A2CFB"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16</w:t>
            </w:r>
            <w:r w:rsidRPr="0008336A">
              <w:t xml:space="preserve"> points inscrits à l'ordre du jour et </w:t>
            </w:r>
            <w:r w:rsidRPr="0008336A">
              <w:rPr>
                <w:b/>
                <w:bCs/>
              </w:rPr>
              <w:t>20</w:t>
            </w:r>
            <w:r w:rsidRPr="0008336A">
              <w:t xml:space="preserve"> questions supplémentaires traitées.</w:t>
            </w:r>
          </w:p>
          <w:p w14:paraId="170498F7"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579</w:t>
            </w:r>
            <w:r w:rsidRPr="0008336A">
              <w:t xml:space="preserve"> documents contenant </w:t>
            </w:r>
            <w:r w:rsidRPr="0008336A">
              <w:rPr>
                <w:b/>
                <w:bCs/>
              </w:rPr>
              <w:t>2 598</w:t>
            </w:r>
            <w:r w:rsidRPr="0008336A">
              <w:t xml:space="preserve"> propositions pour les travaux de la Conférence ont été soumis via l'interface pour les propositions aux conférences (CPI).</w:t>
            </w:r>
          </w:p>
        </w:tc>
        <w:tc>
          <w:tcPr>
            <w:tcW w:w="5156" w:type="dxa"/>
          </w:tcPr>
          <w:p w14:paraId="266CE94A"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Une coordination étroite a été assurée avec le Gouvernement de l'Égypte pour garantir le respect des exigences relatives aux installations et à la sécurité.</w:t>
            </w:r>
          </w:p>
          <w:p w14:paraId="3B3E8025" w14:textId="5401AA4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 xml:space="preserve">Des réunions de coordination ont </w:t>
            </w:r>
            <w:r w:rsidR="0093347F" w:rsidRPr="0008336A">
              <w:t xml:space="preserve">été </w:t>
            </w:r>
            <w:r w:rsidRPr="0008336A">
              <w:t>organisées chaque semaine et plusieurs visites des lieux ont été effectuées. Une formation sur l'utilisation de l'interface CPI a été dispensée à toutes les organisations régionales.</w:t>
            </w:r>
          </w:p>
        </w:tc>
      </w:tr>
      <w:tr w:rsidR="00575D39" w:rsidRPr="0008336A" w14:paraId="0C5ACAD5"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51518F9E" w14:textId="651A9343" w:rsidR="00575D39" w:rsidRPr="0008336A" w:rsidRDefault="00575D39" w:rsidP="00F65A0B">
            <w:pPr>
              <w:pStyle w:val="Tabletext"/>
              <w:spacing w:before="40" w:after="40"/>
              <w:rPr>
                <w:b w:val="0"/>
                <w:bCs w:val="0"/>
              </w:rPr>
            </w:pPr>
            <w:r w:rsidRPr="0008336A">
              <w:rPr>
                <w:b w:val="0"/>
                <w:bCs w:val="0"/>
              </w:rPr>
              <w:t>Révision du Règlement des radiocommunications</w:t>
            </w:r>
            <w:r w:rsidR="00F67DB8" w:rsidRPr="0008336A">
              <w:rPr>
                <w:b w:val="0"/>
                <w:bCs w:val="0"/>
              </w:rPr>
              <w:t>.</w:t>
            </w:r>
          </w:p>
        </w:tc>
        <w:tc>
          <w:tcPr>
            <w:tcW w:w="4649" w:type="dxa"/>
          </w:tcPr>
          <w:p w14:paraId="40FF75D1" w14:textId="5A3416DF"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 xml:space="preserve">Dans l'Article 5 (Tableau d'attribution des bandes de fréquences), on compte </w:t>
            </w:r>
            <w:r w:rsidRPr="0008336A">
              <w:rPr>
                <w:b/>
                <w:bCs/>
              </w:rPr>
              <w:t>35</w:t>
            </w:r>
            <w:r w:rsidRPr="0008336A">
              <w:t xml:space="preserve"> nouveaux renvois, </w:t>
            </w:r>
            <w:r w:rsidRPr="0008336A">
              <w:rPr>
                <w:b/>
                <w:bCs/>
              </w:rPr>
              <w:t xml:space="preserve">127 </w:t>
            </w:r>
            <w:r w:rsidRPr="0008336A">
              <w:t xml:space="preserve">renvois révisés et </w:t>
            </w:r>
            <w:r w:rsidRPr="0008336A">
              <w:rPr>
                <w:b/>
                <w:bCs/>
              </w:rPr>
              <w:t>7</w:t>
            </w:r>
            <w:r w:rsidRPr="0008336A">
              <w:t xml:space="preserve"> renvois supprimés.</w:t>
            </w:r>
          </w:p>
          <w:p w14:paraId="2357AF77" w14:textId="3BEF46C1"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51</w:t>
            </w:r>
            <w:r w:rsidRPr="0008336A">
              <w:t xml:space="preserve"> Résolutions ont été modifiées et </w:t>
            </w:r>
            <w:r w:rsidRPr="0008336A">
              <w:rPr>
                <w:b/>
                <w:bCs/>
              </w:rPr>
              <w:t>52</w:t>
            </w:r>
            <w:r w:rsidRPr="0008336A">
              <w:t xml:space="preserve"> nouvelles Résolutions ont été adoptées.</w:t>
            </w:r>
          </w:p>
        </w:tc>
        <w:tc>
          <w:tcPr>
            <w:tcW w:w="5156" w:type="dxa"/>
          </w:tcPr>
          <w:p w14:paraId="75F32837"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Une formation a été dispensée au Président de la Conférence ainsi qu'aux Présidents des Commissions.</w:t>
            </w:r>
          </w:p>
        </w:tc>
      </w:tr>
      <w:tr w:rsidR="00575D39" w:rsidRPr="0008336A" w14:paraId="133F6460"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122402CE" w14:textId="77777777" w:rsidR="00575D39" w:rsidRPr="0008336A" w:rsidRDefault="00575D39" w:rsidP="00F65A0B">
            <w:pPr>
              <w:pStyle w:val="Tabletext"/>
              <w:spacing w:before="40" w:after="40"/>
              <w:rPr>
                <w:b w:val="0"/>
                <w:bCs w:val="0"/>
              </w:rPr>
            </w:pPr>
            <w:r w:rsidRPr="0008336A">
              <w:rPr>
                <w:b w:val="0"/>
                <w:bCs w:val="0"/>
              </w:rPr>
              <w:t>Nombre accru de pays ayant des réseaux à satellite et des stations terriennes inscrits dans le Fichier de référence international des fréquences (Fichier de référence).</w:t>
            </w:r>
          </w:p>
        </w:tc>
        <w:tc>
          <w:tcPr>
            <w:tcW w:w="4649" w:type="dxa"/>
          </w:tcPr>
          <w:p w14:paraId="0A8C5FDF"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70</w:t>
            </w:r>
            <w:r w:rsidRPr="0008336A">
              <w:t xml:space="preserve"> pays pour lesquels des réseaux à satellite sont inscrits dans le Fichier de référence (69 en 2018).</w:t>
            </w:r>
          </w:p>
          <w:p w14:paraId="4646A8FB"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81</w:t>
            </w:r>
            <w:r w:rsidRPr="0008336A">
              <w:t xml:space="preserve"> pays pour lesquels des stations terriennes sont inscrites dans le Fichier de référence (inchangé par rapport à 2018).</w:t>
            </w:r>
          </w:p>
          <w:p w14:paraId="1FCD7D27"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51</w:t>
            </w:r>
            <w:r w:rsidRPr="0008336A">
              <w:t xml:space="preserve"> pays pour lesquels des réseaux à satellite ont été inscrits dans le Fichier de référence au cours de la dernière période quadriennale (certaines notifications concernant des réseaux à satellite reçues en 2019 n'ont pas encore été publiées).</w:t>
            </w:r>
          </w:p>
          <w:p w14:paraId="2946FE16"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24</w:t>
            </w:r>
            <w:r w:rsidRPr="0008336A">
              <w:t xml:space="preserve"> pays ont eu des stations terriennes inscrites dans le Fichier de référence au cours de la dernière période quadriennale (certaines notifications concernant des stations terriennes reçues en 2019 n'ont pas encore été publiées).</w:t>
            </w:r>
          </w:p>
        </w:tc>
        <w:tc>
          <w:tcPr>
            <w:tcW w:w="5156" w:type="dxa"/>
          </w:tcPr>
          <w:p w14:paraId="238E5F52"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Tous les risques concernant l'intégrité et la sécurité des données ont été suffisamment atténués grâce à l'application de mesures fortes visant à garantir la sécurité des données.</w:t>
            </w:r>
          </w:p>
          <w:p w14:paraId="27EB91A6"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Un niveau de ressources adéquat a été mis à disposition afin de permettre le traitement des notifications de manière satisfaisante et dans les meilleurs délais.</w:t>
            </w:r>
          </w:p>
        </w:tc>
      </w:tr>
      <w:tr w:rsidR="00575D39" w:rsidRPr="0008336A" w14:paraId="4B9E6B04"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01FA6CE7" w14:textId="77777777" w:rsidR="00575D39" w:rsidRPr="0008336A" w:rsidRDefault="00575D39" w:rsidP="00F65A0B">
            <w:pPr>
              <w:pStyle w:val="Tabletext"/>
              <w:spacing w:before="40" w:after="40"/>
              <w:rPr>
                <w:b w:val="0"/>
                <w:bCs w:val="0"/>
              </w:rPr>
            </w:pPr>
            <w:r w:rsidRPr="0008336A">
              <w:rPr>
                <w:b w:val="0"/>
                <w:bCs w:val="0"/>
              </w:rPr>
              <w:lastRenderedPageBreak/>
              <w:t>Nombre accru de pays pour lesquels des assignations de fréquence à des services de Terre sont inscrites dans le Fichier de référence.</w:t>
            </w:r>
          </w:p>
        </w:tc>
        <w:tc>
          <w:tcPr>
            <w:tcW w:w="4649" w:type="dxa"/>
          </w:tcPr>
          <w:p w14:paraId="7F308BF7"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192</w:t>
            </w:r>
            <w:r w:rsidRPr="0008336A">
              <w:t xml:space="preserve"> pays pour lesquels des assignations de fréquence à des services de Terre sont inscrites dans le Fichier de référence (inchangé par rapport à 2018).</w:t>
            </w:r>
          </w:p>
          <w:p w14:paraId="04768FD4"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89</w:t>
            </w:r>
            <w:r w:rsidRPr="0008336A">
              <w:t xml:space="preserve"> pays pour lesquels des assignations de fréquence à des services de Terre ont été inscrites dans le Fichier de référence au cours de la dernière période quadriennale (81 en 2018).</w:t>
            </w:r>
          </w:p>
        </w:tc>
        <w:tc>
          <w:tcPr>
            <w:tcW w:w="5156" w:type="dxa"/>
          </w:tcPr>
          <w:p w14:paraId="53785D41"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10FB4A35"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177C6195" w14:textId="47906062" w:rsidR="00575D39" w:rsidRPr="0008336A" w:rsidRDefault="00575D39" w:rsidP="00F65A0B">
            <w:pPr>
              <w:pStyle w:val="Tabletext"/>
              <w:spacing w:before="40" w:after="40"/>
              <w:rPr>
                <w:b w:val="0"/>
                <w:bCs w:val="0"/>
              </w:rPr>
            </w:pPr>
            <w:r w:rsidRPr="0008336A">
              <w:rPr>
                <w:b w:val="0"/>
                <w:bCs w:val="0"/>
              </w:rPr>
              <w:t>Traitement, dans les meilleurs délais, des assignations de fréquence à des services par satellite et à des services de Terre</w:t>
            </w:r>
            <w:r w:rsidR="00F67DB8" w:rsidRPr="0008336A">
              <w:rPr>
                <w:b w:val="0"/>
                <w:bCs w:val="0"/>
              </w:rPr>
              <w:t>.</w:t>
            </w:r>
          </w:p>
        </w:tc>
        <w:tc>
          <w:tcPr>
            <w:tcW w:w="4649" w:type="dxa"/>
          </w:tcPr>
          <w:p w14:paraId="19B83E8A"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0,24</w:t>
            </w:r>
            <w:r w:rsidRPr="0008336A">
              <w:t xml:space="preserve"> mois en moyenne pour le traitement des assignations de fréquence à des services par satellite (1,34 mois en 2018).</w:t>
            </w:r>
          </w:p>
          <w:p w14:paraId="4C43EA75"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2,9</w:t>
            </w:r>
            <w:r w:rsidRPr="0008336A">
              <w:t xml:space="preserve"> mois en moyenne pour le traitement des assignations de fréquence à des services de Terre (2,8 mois en 2018).</w:t>
            </w:r>
          </w:p>
        </w:tc>
        <w:tc>
          <w:tcPr>
            <w:tcW w:w="5156" w:type="dxa"/>
          </w:tcPr>
          <w:p w14:paraId="6486586D"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33C3EC5A"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135A895B" w14:textId="77777777" w:rsidR="00575D39" w:rsidRPr="0008336A" w:rsidRDefault="00575D39" w:rsidP="00F65A0B">
            <w:pPr>
              <w:pStyle w:val="Tabletext"/>
              <w:spacing w:before="40" w:after="40"/>
              <w:rPr>
                <w:b w:val="0"/>
                <w:bCs w:val="0"/>
              </w:rPr>
            </w:pPr>
            <w:r w:rsidRPr="0008336A">
              <w:rPr>
                <w:b w:val="0"/>
                <w:bCs w:val="0"/>
              </w:rPr>
              <w:t>Pourcentage accru de pays ayant mené à bien le passage à la télévision numérique de Terre.</w:t>
            </w:r>
          </w:p>
        </w:tc>
        <w:tc>
          <w:tcPr>
            <w:tcW w:w="4649" w:type="dxa"/>
          </w:tcPr>
          <w:p w14:paraId="13542115" w14:textId="739C0C13"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37%</w:t>
            </w:r>
            <w:r w:rsidRPr="0008336A">
              <w:t xml:space="preserve"> des pays ont mené à bien le passage à la télévision numérique de Terre (contre 30% en</w:t>
            </w:r>
            <w:r w:rsidR="0093347F" w:rsidRPr="0008336A">
              <w:t> </w:t>
            </w:r>
            <w:r w:rsidRPr="0008336A">
              <w:t>2018)</w:t>
            </w:r>
            <w:r w:rsidR="00F67DB8" w:rsidRPr="0008336A">
              <w:t>.</w:t>
            </w:r>
          </w:p>
        </w:tc>
        <w:tc>
          <w:tcPr>
            <w:tcW w:w="5156" w:type="dxa"/>
          </w:tcPr>
          <w:p w14:paraId="1D85DEE0"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4958F0FD"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7E4EFC47" w14:textId="08CE70CA" w:rsidR="00575D39" w:rsidRPr="0008336A" w:rsidRDefault="00575D39" w:rsidP="00F65A0B">
            <w:pPr>
              <w:pStyle w:val="Tabletext"/>
              <w:spacing w:before="40" w:after="40"/>
              <w:rPr>
                <w:b w:val="0"/>
                <w:bCs w:val="0"/>
              </w:rPr>
            </w:pPr>
            <w:r w:rsidRPr="0008336A">
              <w:rPr>
                <w:b w:val="0"/>
                <w:bCs w:val="0"/>
              </w:rPr>
              <w:t xml:space="preserve">Pourcentage accru de </w:t>
            </w:r>
            <w:r w:rsidRPr="0008336A">
              <w:t>fréquences assignées</w:t>
            </w:r>
            <w:r w:rsidRPr="0008336A">
              <w:rPr>
                <w:b w:val="0"/>
                <w:bCs w:val="0"/>
              </w:rPr>
              <w:t xml:space="preserve"> à des réseaux à satellite et exemptes de </w:t>
            </w:r>
            <w:r w:rsidRPr="0008336A">
              <w:t>brouillage</w:t>
            </w:r>
            <w:r w:rsidRPr="0008336A">
              <w:rPr>
                <w:b w:val="0"/>
                <w:bCs w:val="0"/>
              </w:rPr>
              <w:t xml:space="preserve"> préjudiciable</w:t>
            </w:r>
            <w:r w:rsidR="00F67DB8" w:rsidRPr="0008336A">
              <w:rPr>
                <w:b w:val="0"/>
                <w:bCs w:val="0"/>
              </w:rPr>
              <w:t>.</w:t>
            </w:r>
          </w:p>
        </w:tc>
        <w:tc>
          <w:tcPr>
            <w:tcW w:w="4649" w:type="dxa"/>
          </w:tcPr>
          <w:p w14:paraId="373129DA"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99,95%</w:t>
            </w:r>
            <w:r w:rsidRPr="0008336A">
              <w:t xml:space="preserve"> des fréquences assignées à des réseaux à satellite sont exemptes de brouillage préjudiciable (99,92 en 2018).</w:t>
            </w:r>
          </w:p>
        </w:tc>
        <w:tc>
          <w:tcPr>
            <w:tcW w:w="5156" w:type="dxa"/>
            <w:vMerge w:val="restart"/>
          </w:tcPr>
          <w:p w14:paraId="741F65FC"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Promouvoir le renforcement des capacités en matière de réglementation internationale, dans le cadre de séminaires internationaux et régionaux et de toute autre manifestation appropriée.</w:t>
            </w:r>
          </w:p>
          <w:p w14:paraId="739873EC"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Assistance du BR pour l'application de la réglementation internationale.</w:t>
            </w:r>
          </w:p>
          <w:p w14:paraId="3AA41CD8"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Encourager la coordination aux niveaux régional et sous régional pour résoudre les problèmes de brouillage, avec l'appui du BR.</w:t>
            </w:r>
          </w:p>
          <w:p w14:paraId="44F36AE7"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Établir des rapports et diffuser des informations sur les cas de brouillage préjudiciable et aider à résoudre ces cas, conformément aux instructions données au Directeur du Bureau dans la Résolution 186 (Rév. Dubaï, 2018) de la Conférence de plénipotentiaires.</w:t>
            </w:r>
          </w:p>
        </w:tc>
      </w:tr>
      <w:tr w:rsidR="00575D39" w:rsidRPr="0008336A" w14:paraId="1032D5E9"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74220847" w14:textId="72C9990C" w:rsidR="00575D39" w:rsidRPr="0008336A" w:rsidRDefault="00575D39" w:rsidP="00BD1734">
            <w:pPr>
              <w:pStyle w:val="Tabletext"/>
            </w:pPr>
            <w:r w:rsidRPr="0008336A">
              <w:t>Le pourcentage d'assignations à des services de Terre inscrites dans le Fichier de référence et exemptes de brouillage préjudiciable est resté inchangé</w:t>
            </w:r>
            <w:r w:rsidR="00F67DB8" w:rsidRPr="0008336A">
              <w:t>.</w:t>
            </w:r>
          </w:p>
        </w:tc>
        <w:tc>
          <w:tcPr>
            <w:tcW w:w="4649" w:type="dxa"/>
          </w:tcPr>
          <w:p w14:paraId="58A47AF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rPr>
                <w:b/>
                <w:bCs/>
              </w:rPr>
              <w:t>99,99%</w:t>
            </w:r>
            <w:r w:rsidRPr="0008336A">
              <w:t xml:space="preserve"> des assignations à des services de Terre inscrites dans le Fichier de référence sont exemptes de brouillage préjudiciable (sur la base du nombre de cas signalés à l'UIT).</w:t>
            </w:r>
          </w:p>
        </w:tc>
        <w:tc>
          <w:tcPr>
            <w:tcW w:w="5156" w:type="dxa"/>
            <w:vMerge/>
          </w:tcPr>
          <w:p w14:paraId="390F04AB" w14:textId="77777777" w:rsidR="00575D39" w:rsidRPr="0008336A" w:rsidRDefault="00575D39" w:rsidP="00BD1734">
            <w:pPr>
              <w:keepNext/>
              <w:keepLines/>
              <w:tabs>
                <w:tab w:val="left" w:pos="284"/>
                <w:tab w:val="left" w:pos="851"/>
                <w:tab w:val="left" w:pos="1418"/>
                <w:tab w:val="left" w:pos="1871"/>
                <w:tab w:val="left" w:pos="1985"/>
                <w:tab w:val="left" w:pos="2552"/>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p>
        </w:tc>
      </w:tr>
    </w:tbl>
    <w:p w14:paraId="0945118E" w14:textId="77777777" w:rsidR="00575D39" w:rsidRPr="0008336A" w:rsidRDefault="00575D39" w:rsidP="00BD173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i/>
          <w:iCs/>
        </w:rPr>
      </w:pPr>
      <w:r w:rsidRPr="0008336A">
        <w:rPr>
          <w:rFonts w:asciiTheme="minorHAnsi" w:hAnsiTheme="minorHAnsi"/>
          <w:b/>
          <w:i/>
          <w:iCs/>
        </w:rPr>
        <w:br w:type="page"/>
      </w:r>
    </w:p>
    <w:p w14:paraId="39BF3A1F" w14:textId="77777777" w:rsidR="00575D39" w:rsidRPr="00F65A0B" w:rsidRDefault="00575D39" w:rsidP="00F65A0B">
      <w:pPr>
        <w:pStyle w:val="Headingb"/>
        <w:spacing w:after="120"/>
        <w:rPr>
          <w:i/>
          <w:iCs/>
          <w:color w:val="C0504D" w:themeColor="accent2"/>
        </w:rPr>
      </w:pPr>
      <w:r w:rsidRPr="00F65A0B">
        <w:rPr>
          <w:i/>
          <w:iCs/>
          <w:color w:val="C0504D" w:themeColor="accent2"/>
        </w:rPr>
        <w:lastRenderedPageBreak/>
        <w:t>Déclaration 2021 sur les résultats attendus, la mesure et les indicateurs de risque</w:t>
      </w:r>
    </w:p>
    <w:tbl>
      <w:tblPr>
        <w:tblStyle w:val="GridTable1Light-Accent12"/>
        <w:tblW w:w="14459" w:type="dxa"/>
        <w:tblInd w:w="-147" w:type="dxa"/>
        <w:tblLook w:val="04A0" w:firstRow="1" w:lastRow="0" w:firstColumn="1" w:lastColumn="0" w:noHBand="0" w:noVBand="1"/>
      </w:tblPr>
      <w:tblGrid>
        <w:gridCol w:w="4796"/>
        <w:gridCol w:w="5269"/>
        <w:gridCol w:w="4394"/>
      </w:tblGrid>
      <w:tr w:rsidR="00575D39" w:rsidRPr="0008336A" w14:paraId="75F2F36D" w14:textId="77777777" w:rsidTr="00F65A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96" w:type="dxa"/>
          </w:tcPr>
          <w:p w14:paraId="78258050" w14:textId="77777777" w:rsidR="00575D39" w:rsidRPr="00F65A0B" w:rsidRDefault="00575D39" w:rsidP="00F65A0B">
            <w:pPr>
              <w:pStyle w:val="Tablehead"/>
              <w:spacing w:before="60" w:after="60"/>
              <w:rPr>
                <w:b/>
                <w:bCs w:val="0"/>
                <w:i/>
                <w:iCs/>
                <w:color w:val="365F91" w:themeColor="accent1" w:themeShade="BF"/>
              </w:rPr>
            </w:pPr>
            <w:r w:rsidRPr="00F65A0B">
              <w:rPr>
                <w:b/>
                <w:bCs w:val="0"/>
                <w:i/>
                <w:iCs/>
                <w:color w:val="365F91" w:themeColor="accent1" w:themeShade="BF"/>
              </w:rPr>
              <w:t>Résultats</w:t>
            </w:r>
          </w:p>
        </w:tc>
        <w:tc>
          <w:tcPr>
            <w:tcW w:w="5269" w:type="dxa"/>
          </w:tcPr>
          <w:p w14:paraId="51B88116" w14:textId="77777777" w:rsidR="00575D39" w:rsidRPr="00F65A0B" w:rsidRDefault="00575D39" w:rsidP="00F65A0B">
            <w:pPr>
              <w:pStyle w:val="Tablehead"/>
              <w:spacing w:before="60" w:after="6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Indicateurs de résultat</w:t>
            </w:r>
          </w:p>
        </w:tc>
        <w:tc>
          <w:tcPr>
            <w:tcW w:w="4394" w:type="dxa"/>
          </w:tcPr>
          <w:p w14:paraId="2E3D04EE" w14:textId="77777777" w:rsidR="00575D39" w:rsidRPr="00F65A0B" w:rsidRDefault="00575D39" w:rsidP="00F65A0B">
            <w:pPr>
              <w:pStyle w:val="Tablehead"/>
              <w:spacing w:before="60" w:after="6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Indicateurs de risque</w:t>
            </w:r>
          </w:p>
        </w:tc>
      </w:tr>
      <w:tr w:rsidR="00575D39" w:rsidRPr="0008336A" w14:paraId="3669A9B4"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04719C0E" w14:textId="77777777" w:rsidR="00575D39" w:rsidRPr="0008336A" w:rsidRDefault="00575D39" w:rsidP="00F65A0B">
            <w:pPr>
              <w:pStyle w:val="Tabletext"/>
              <w:spacing w:before="40" w:after="20"/>
              <w:rPr>
                <w:b w:val="0"/>
                <w:bCs w:val="0"/>
              </w:rPr>
            </w:pPr>
            <w:r w:rsidRPr="0008336A">
              <w:rPr>
                <w:b w:val="0"/>
                <w:bCs w:val="0"/>
              </w:rPr>
              <w:t>Nombre accru de pays ayant des réseaux à satellite et des stations terriennes inscrits dans le Fichier de référence international des fréquences (Fichier de référence).</w:t>
            </w:r>
          </w:p>
        </w:tc>
        <w:tc>
          <w:tcPr>
            <w:tcW w:w="5269" w:type="dxa"/>
          </w:tcPr>
          <w:p w14:paraId="157C7784" w14:textId="77777777" w:rsidR="00575D39" w:rsidRPr="0008336A" w:rsidRDefault="00575D39" w:rsidP="00F65A0B">
            <w:pPr>
              <w:pStyle w:val="Tabletext"/>
              <w:spacing w:before="40" w:after="20"/>
              <w:cnfStyle w:val="000000000000" w:firstRow="0" w:lastRow="0" w:firstColumn="0" w:lastColumn="0" w:oddVBand="0" w:evenVBand="0" w:oddHBand="0" w:evenHBand="0" w:firstRowFirstColumn="0" w:firstRowLastColumn="0" w:lastRowFirstColumn="0" w:lastRowLastColumn="0"/>
            </w:pPr>
            <w:r w:rsidRPr="0008336A">
              <w:t>Nombre de pays ayant des réseaux à satellite inscrits dans le Fichier de référence.</w:t>
            </w:r>
          </w:p>
          <w:p w14:paraId="6301BFCB" w14:textId="77777777" w:rsidR="00575D39" w:rsidRPr="0008336A" w:rsidRDefault="00575D39" w:rsidP="00F65A0B">
            <w:pPr>
              <w:pStyle w:val="Tabletext"/>
              <w:spacing w:before="40" w:after="20"/>
              <w:cnfStyle w:val="000000000000" w:firstRow="0" w:lastRow="0" w:firstColumn="0" w:lastColumn="0" w:oddVBand="0" w:evenVBand="0" w:oddHBand="0" w:evenHBand="0" w:firstRowFirstColumn="0" w:firstRowLastColumn="0" w:lastRowFirstColumn="0" w:lastRowLastColumn="0"/>
            </w:pPr>
            <w:r w:rsidRPr="0008336A">
              <w:t>Nombre de pays ayant des stations terriennes inscrites dans le Ficher de référence.</w:t>
            </w:r>
          </w:p>
          <w:p w14:paraId="5527BB77" w14:textId="4DF25F16" w:rsidR="00575D39" w:rsidRPr="0008336A" w:rsidRDefault="00575D39" w:rsidP="00F65A0B">
            <w:pPr>
              <w:pStyle w:val="Tabletext"/>
              <w:spacing w:before="40" w:after="20"/>
              <w:cnfStyle w:val="000000000000" w:firstRow="0" w:lastRow="0" w:firstColumn="0" w:lastColumn="0" w:oddVBand="0" w:evenVBand="0" w:oddHBand="0" w:evenHBand="0" w:firstRowFirstColumn="0" w:firstRowLastColumn="0" w:lastRowFirstColumn="0" w:lastRowLastColumn="0"/>
            </w:pPr>
            <w:r w:rsidRPr="0008336A">
              <w:t xml:space="preserve">Nombre de pays pour lesquels </w:t>
            </w:r>
            <w:r w:rsidR="00332EA2" w:rsidRPr="0008336A">
              <w:t xml:space="preserve">des </w:t>
            </w:r>
            <w:r w:rsidRPr="0008336A">
              <w:t>réseaux à satellite ont été inscrits dans le Fichier de référence au cours de la dernière période quadriennale.</w:t>
            </w:r>
          </w:p>
          <w:p w14:paraId="704FB392" w14:textId="4856E133" w:rsidR="00575D39" w:rsidRPr="0008336A" w:rsidRDefault="00575D39" w:rsidP="00F65A0B">
            <w:pPr>
              <w:pStyle w:val="Tabletext"/>
              <w:spacing w:before="40" w:after="20"/>
              <w:cnfStyle w:val="000000000000" w:firstRow="0" w:lastRow="0" w:firstColumn="0" w:lastColumn="0" w:oddVBand="0" w:evenVBand="0" w:oddHBand="0" w:evenHBand="0" w:firstRowFirstColumn="0" w:firstRowLastColumn="0" w:lastRowFirstColumn="0" w:lastRowLastColumn="0"/>
            </w:pPr>
            <w:r w:rsidRPr="0008336A">
              <w:t xml:space="preserve">Nombre de pays pour lesquels </w:t>
            </w:r>
            <w:r w:rsidR="00332EA2" w:rsidRPr="0008336A">
              <w:t xml:space="preserve">des </w:t>
            </w:r>
            <w:r w:rsidRPr="0008336A">
              <w:t>stations terriennes ont été inscrites dans le Fichier de référence au cours de la dernière période quadriennale.</w:t>
            </w:r>
          </w:p>
        </w:tc>
        <w:tc>
          <w:tcPr>
            <w:tcW w:w="4394" w:type="dxa"/>
          </w:tcPr>
          <w:p w14:paraId="3CA8E518"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bookmarkStart w:id="166" w:name="lt_pId316"/>
            <w:r w:rsidRPr="0008336A">
              <w:t>Perte totale ou partielle de l'intégrité des données figurant dans les bases de données de l'UIT-R ou dans les Plans, et perte totale ou partielle des opérations du traitement des fiches de notification entraînant des retards.</w:t>
            </w:r>
            <w:bookmarkEnd w:id="166"/>
          </w:p>
        </w:tc>
      </w:tr>
      <w:tr w:rsidR="00575D39" w:rsidRPr="0008336A" w14:paraId="7C38D2CB"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0EA02C05" w14:textId="77777777" w:rsidR="00575D39" w:rsidRPr="0008336A" w:rsidRDefault="00575D39" w:rsidP="00F65A0B">
            <w:pPr>
              <w:pStyle w:val="Tabletext"/>
              <w:spacing w:before="40" w:after="20"/>
              <w:rPr>
                <w:b w:val="0"/>
                <w:bCs w:val="0"/>
              </w:rPr>
            </w:pPr>
            <w:r w:rsidRPr="0008336A">
              <w:rPr>
                <w:b w:val="0"/>
                <w:bCs w:val="0"/>
              </w:rPr>
              <w:t>Nombre accru de pays pour lesquels des assignations de fréquence à des services de Terre sont inscrites dans le Fichier de référence.</w:t>
            </w:r>
          </w:p>
        </w:tc>
        <w:tc>
          <w:tcPr>
            <w:tcW w:w="5269" w:type="dxa"/>
          </w:tcPr>
          <w:p w14:paraId="31C57630" w14:textId="77777777" w:rsidR="00575D39" w:rsidRPr="0008336A" w:rsidRDefault="00575D39" w:rsidP="00F65A0B">
            <w:pPr>
              <w:pStyle w:val="Tabletext"/>
              <w:spacing w:before="40" w:after="20"/>
              <w:cnfStyle w:val="000000000000" w:firstRow="0" w:lastRow="0" w:firstColumn="0" w:lastColumn="0" w:oddVBand="0" w:evenVBand="0" w:oddHBand="0" w:evenHBand="0" w:firstRowFirstColumn="0" w:firstRowLastColumn="0" w:lastRowFirstColumn="0" w:lastRowLastColumn="0"/>
            </w:pPr>
            <w:bookmarkStart w:id="167" w:name="_Hlk39134152"/>
            <w:r w:rsidRPr="0008336A">
              <w:t>Nombre de pays pour lesquels des assignations de fréquence à des services de Terre sont inscrites dans le Fichier de référence.</w:t>
            </w:r>
            <w:bookmarkEnd w:id="167"/>
          </w:p>
          <w:p w14:paraId="7F53D604" w14:textId="77777777" w:rsidR="00575D39" w:rsidRPr="0008336A" w:rsidRDefault="00575D39" w:rsidP="00F65A0B">
            <w:pPr>
              <w:pStyle w:val="Tabletext"/>
              <w:spacing w:before="40" w:after="20"/>
              <w:cnfStyle w:val="000000000000" w:firstRow="0" w:lastRow="0" w:firstColumn="0" w:lastColumn="0" w:oddVBand="0" w:evenVBand="0" w:oddHBand="0" w:evenHBand="0" w:firstRowFirstColumn="0" w:firstRowLastColumn="0" w:lastRowFirstColumn="0" w:lastRowLastColumn="0"/>
            </w:pPr>
            <w:bookmarkStart w:id="168" w:name="_Hlk39134160"/>
            <w:r w:rsidRPr="0008336A">
              <w:t>Nombre de pays pour lesquels des assignations de fréquence à des services de Terre ont été inscrites dans le Fichier de référence au cours de la dernière période quadriennale.</w:t>
            </w:r>
            <w:bookmarkEnd w:id="168"/>
          </w:p>
        </w:tc>
        <w:tc>
          <w:tcPr>
            <w:tcW w:w="4394" w:type="dxa"/>
          </w:tcPr>
          <w:p w14:paraId="4E465BB3"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bookmarkStart w:id="169" w:name="lt_pId320"/>
            <w:r w:rsidRPr="0008336A">
              <w:t>Cas de brouillage préjudiciable.</w:t>
            </w:r>
            <w:bookmarkEnd w:id="169"/>
          </w:p>
        </w:tc>
      </w:tr>
      <w:tr w:rsidR="00575D39" w:rsidRPr="0008336A" w14:paraId="20F8E2E7"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2AFB9DC0" w14:textId="77777777" w:rsidR="00575D39" w:rsidRPr="0008336A" w:rsidRDefault="00575D39" w:rsidP="00F65A0B">
            <w:pPr>
              <w:pStyle w:val="Tabletext"/>
              <w:spacing w:before="40" w:after="20"/>
              <w:rPr>
                <w:b w:val="0"/>
                <w:bCs w:val="0"/>
              </w:rPr>
            </w:pPr>
            <w:r w:rsidRPr="0008336A">
              <w:rPr>
                <w:b w:val="0"/>
                <w:bCs w:val="0"/>
              </w:rPr>
              <w:t>Traitement, dans les meilleurs délais, des assignations à des services par satellite et à des services de Terre.</w:t>
            </w:r>
          </w:p>
        </w:tc>
        <w:tc>
          <w:tcPr>
            <w:tcW w:w="5269" w:type="dxa"/>
          </w:tcPr>
          <w:p w14:paraId="11DF86B9" w14:textId="77777777" w:rsidR="00575D39" w:rsidRPr="0008336A" w:rsidRDefault="00575D39" w:rsidP="00F65A0B">
            <w:pPr>
              <w:pStyle w:val="Tabletext"/>
              <w:spacing w:before="40" w:after="20"/>
              <w:cnfStyle w:val="000000000000" w:firstRow="0" w:lastRow="0" w:firstColumn="0" w:lastColumn="0" w:oddVBand="0" w:evenVBand="0" w:oddHBand="0" w:evenHBand="0" w:firstRowFirstColumn="0" w:firstRowLastColumn="0" w:lastRowFirstColumn="0" w:lastRowLastColumn="0"/>
            </w:pPr>
            <w:r w:rsidRPr="0008336A">
              <w:t>Délai moyen de traitement des assignations à des services par satellite (mois).</w:t>
            </w:r>
          </w:p>
          <w:p w14:paraId="474034FC" w14:textId="77777777" w:rsidR="00575D39" w:rsidRPr="0008336A" w:rsidRDefault="00575D39" w:rsidP="00F65A0B">
            <w:pPr>
              <w:pStyle w:val="Tabletext"/>
              <w:spacing w:before="40" w:after="20"/>
              <w:cnfStyle w:val="000000000000" w:firstRow="0" w:lastRow="0" w:firstColumn="0" w:lastColumn="0" w:oddVBand="0" w:evenVBand="0" w:oddHBand="0" w:evenHBand="0" w:firstRowFirstColumn="0" w:firstRowLastColumn="0" w:lastRowFirstColumn="0" w:lastRowLastColumn="0"/>
            </w:pPr>
            <w:r w:rsidRPr="0008336A">
              <w:t>Délai moyen de traitement des assignations à des services de Terre (mois).</w:t>
            </w:r>
          </w:p>
        </w:tc>
        <w:tc>
          <w:tcPr>
            <w:tcW w:w="4394" w:type="dxa"/>
          </w:tcPr>
          <w:p w14:paraId="053D6FDB"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4922498D"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07257031" w14:textId="77777777" w:rsidR="00575D39" w:rsidRPr="0008336A" w:rsidRDefault="00575D39" w:rsidP="00F65A0B">
            <w:pPr>
              <w:pStyle w:val="Tabletext"/>
              <w:spacing w:before="40" w:after="20"/>
              <w:rPr>
                <w:b w:val="0"/>
                <w:bCs w:val="0"/>
              </w:rPr>
            </w:pPr>
            <w:r w:rsidRPr="0008336A">
              <w:rPr>
                <w:b w:val="0"/>
                <w:bCs w:val="0"/>
              </w:rPr>
              <w:t>Pourcentage accru de pays ayant mené à bien le passage à la télévision numérique de Terre.</w:t>
            </w:r>
          </w:p>
        </w:tc>
        <w:tc>
          <w:tcPr>
            <w:tcW w:w="5269" w:type="dxa"/>
          </w:tcPr>
          <w:p w14:paraId="424DCB16" w14:textId="77777777" w:rsidR="00575D39" w:rsidRPr="0008336A" w:rsidRDefault="00575D39" w:rsidP="00F65A0B">
            <w:pPr>
              <w:pStyle w:val="Tabletext"/>
              <w:spacing w:before="40" w:after="20"/>
              <w:cnfStyle w:val="000000000000" w:firstRow="0" w:lastRow="0" w:firstColumn="0" w:lastColumn="0" w:oddVBand="0" w:evenVBand="0" w:oddHBand="0" w:evenHBand="0" w:firstRowFirstColumn="0" w:firstRowLastColumn="0" w:lastRowFirstColumn="0" w:lastRowLastColumn="0"/>
            </w:pPr>
            <w:r w:rsidRPr="0008336A">
              <w:t>Pourcentage de pays ayant mené à bien le passage à la télévision numérique de Terre.</w:t>
            </w:r>
          </w:p>
        </w:tc>
        <w:tc>
          <w:tcPr>
            <w:tcW w:w="4394" w:type="dxa"/>
          </w:tcPr>
          <w:p w14:paraId="3D74E92D"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1F9162C6"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436C76C5" w14:textId="77777777" w:rsidR="00575D39" w:rsidRPr="0008336A" w:rsidRDefault="00575D39" w:rsidP="00F65A0B">
            <w:pPr>
              <w:pStyle w:val="Tabletext"/>
              <w:spacing w:before="40" w:after="20"/>
              <w:rPr>
                <w:b w:val="0"/>
                <w:bCs w:val="0"/>
              </w:rPr>
            </w:pPr>
            <w:r w:rsidRPr="0008336A">
              <w:rPr>
                <w:b w:val="0"/>
                <w:bCs w:val="0"/>
              </w:rPr>
              <w:t>Pourcentage accru de fréquences assignées à des réseaux à satellite et exemptes de brouillage préjudiciable.</w:t>
            </w:r>
          </w:p>
        </w:tc>
        <w:tc>
          <w:tcPr>
            <w:tcW w:w="5269" w:type="dxa"/>
          </w:tcPr>
          <w:p w14:paraId="33154786" w14:textId="77777777" w:rsidR="00575D39" w:rsidRPr="0008336A" w:rsidRDefault="00575D39" w:rsidP="00F65A0B">
            <w:pPr>
              <w:pStyle w:val="Tabletext"/>
              <w:spacing w:before="40" w:after="20"/>
              <w:cnfStyle w:val="000000000000" w:firstRow="0" w:lastRow="0" w:firstColumn="0" w:lastColumn="0" w:oddVBand="0" w:evenVBand="0" w:oddHBand="0" w:evenHBand="0" w:firstRowFirstColumn="0" w:firstRowLastColumn="0" w:lastRowFirstColumn="0" w:lastRowLastColumn="0"/>
            </w:pPr>
            <w:r w:rsidRPr="0008336A">
              <w:t>Pourcentage de fréquences assignées à des réseaux à satellite et exemptes de brouillage préjudiciable.</w:t>
            </w:r>
          </w:p>
        </w:tc>
        <w:tc>
          <w:tcPr>
            <w:tcW w:w="4394" w:type="dxa"/>
          </w:tcPr>
          <w:p w14:paraId="52659EFE"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19C3DC42" w14:textId="77777777" w:rsidTr="00F65A0B">
        <w:tc>
          <w:tcPr>
            <w:cnfStyle w:val="001000000000" w:firstRow="0" w:lastRow="0" w:firstColumn="1" w:lastColumn="0" w:oddVBand="0" w:evenVBand="0" w:oddHBand="0" w:evenHBand="0" w:firstRowFirstColumn="0" w:firstRowLastColumn="0" w:lastRowFirstColumn="0" w:lastRowLastColumn="0"/>
            <w:tcW w:w="4796" w:type="dxa"/>
          </w:tcPr>
          <w:p w14:paraId="2786FA02" w14:textId="77777777" w:rsidR="00575D39" w:rsidRPr="0008336A" w:rsidRDefault="00575D39" w:rsidP="00F65A0B">
            <w:pPr>
              <w:pStyle w:val="Tabletext"/>
              <w:spacing w:before="40" w:after="20"/>
              <w:rPr>
                <w:b w:val="0"/>
                <w:bCs w:val="0"/>
              </w:rPr>
            </w:pPr>
            <w:r w:rsidRPr="0008336A">
              <w:rPr>
                <w:b w:val="0"/>
                <w:bCs w:val="0"/>
              </w:rPr>
              <w:t>Pourcentage accru d'assignations à des services de Terre inscrites dans le Fichier de référence et exemptes de brouillage préjudiciable.</w:t>
            </w:r>
          </w:p>
        </w:tc>
        <w:tc>
          <w:tcPr>
            <w:tcW w:w="5269" w:type="dxa"/>
          </w:tcPr>
          <w:p w14:paraId="0031DB6C" w14:textId="77777777" w:rsidR="00575D39" w:rsidRPr="0008336A" w:rsidRDefault="00575D39" w:rsidP="00F65A0B">
            <w:pPr>
              <w:pStyle w:val="Tabletext"/>
              <w:spacing w:before="40" w:after="20"/>
              <w:cnfStyle w:val="000000000000" w:firstRow="0" w:lastRow="0" w:firstColumn="0" w:lastColumn="0" w:oddVBand="0" w:evenVBand="0" w:oddHBand="0" w:evenHBand="0" w:firstRowFirstColumn="0" w:firstRowLastColumn="0" w:lastRowFirstColumn="0" w:lastRowLastColumn="0"/>
            </w:pPr>
            <w:r w:rsidRPr="0008336A">
              <w:t>Pourcentage d'assignations à des services de Terre inscrites dans le Fichier de référence et exemptes de brouillage préjudiciable (sur la base du nombre de cas signalés à l'UIT).</w:t>
            </w:r>
          </w:p>
        </w:tc>
        <w:tc>
          <w:tcPr>
            <w:tcW w:w="4394" w:type="dxa"/>
          </w:tcPr>
          <w:p w14:paraId="13BB76A9"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bl>
    <w:p w14:paraId="468280BD" w14:textId="4B60092B" w:rsidR="00575D39" w:rsidRPr="00F65A0B" w:rsidRDefault="00575D39" w:rsidP="00BD1734">
      <w:pPr>
        <w:pStyle w:val="Heading1"/>
        <w:rPr>
          <w:color w:val="1F497D" w:themeColor="text2"/>
        </w:rPr>
      </w:pPr>
      <w:bookmarkStart w:id="170" w:name="_Hlk33424921"/>
      <w:bookmarkStart w:id="171" w:name="_Toc34307491"/>
      <w:bookmarkStart w:id="172" w:name="_Toc34307569"/>
      <w:bookmarkStart w:id="173" w:name="_Toc34307667"/>
      <w:bookmarkStart w:id="174" w:name="_Toc39493332"/>
      <w:r w:rsidRPr="00F65A0B">
        <w:rPr>
          <w:color w:val="1F497D" w:themeColor="text2"/>
        </w:rPr>
        <w:lastRenderedPageBreak/>
        <w:t>II.2.2 – R.2 Normes relatives aux radiocommunications</w:t>
      </w:r>
      <w:bookmarkEnd w:id="170"/>
      <w:bookmarkEnd w:id="171"/>
      <w:bookmarkEnd w:id="172"/>
      <w:bookmarkEnd w:id="173"/>
      <w:bookmarkEnd w:id="174"/>
    </w:p>
    <w:p w14:paraId="1791B52D" w14:textId="77777777" w:rsidR="00575D39" w:rsidRPr="0008336A" w:rsidRDefault="00575D39" w:rsidP="00BD1734">
      <w:pPr>
        <w:pStyle w:val="Headingb"/>
        <w:rPr>
          <w:i/>
          <w:iCs/>
        </w:rPr>
      </w:pPr>
      <w:r w:rsidRPr="00F65A0B">
        <w:rPr>
          <w:i/>
          <w:iCs/>
          <w:color w:val="C0504D" w:themeColor="accent2"/>
        </w:rPr>
        <w:t>Description de l'Objectif</w:t>
      </w:r>
    </w:p>
    <w:p w14:paraId="4BE03538"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75" w:name="lt_pId272"/>
      <w:r w:rsidRPr="0008336A">
        <w:rPr>
          <w:rFonts w:asciiTheme="minorHAnsi" w:hAnsiTheme="minorHAnsi"/>
        </w:rPr>
        <w:t>Assurer la connectivité et l'interopérabilité à l'échelle mondiale, l'amélioration de la qualité de fonctionnement, de la qualité, de l'accessibilité économique et de la rapidité d'exécution du service et une conception générale économique des systèmes dans le domaine des radiocommunications, notamment en élaborant des normes internationales.</w:t>
      </w:r>
    </w:p>
    <w:p w14:paraId="7366962F"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L'Objectif R.2 utilise 19,36% des ressources prévues pour les Objectifs de l'UIT-R ou 7,34% des ressources prévues de l'UIT pour 2021-2024.</w:t>
      </w:r>
    </w:p>
    <w:bookmarkEnd w:id="175"/>
    <w:p w14:paraId="419C780B" w14:textId="77777777" w:rsidR="00575D39" w:rsidRPr="00F65A0B" w:rsidRDefault="00575D39" w:rsidP="00BD1734">
      <w:pPr>
        <w:pStyle w:val="Headingb"/>
        <w:rPr>
          <w:i/>
          <w:iCs/>
          <w:color w:val="C0504D" w:themeColor="accent2"/>
        </w:rPr>
      </w:pPr>
      <w:r w:rsidRPr="00F65A0B">
        <w:rPr>
          <w:i/>
          <w:iCs/>
          <w:color w:val="C0504D" w:themeColor="accent2"/>
        </w:rPr>
        <w:t>Récapitulatif de l'imputation des coûts</w:t>
      </w:r>
    </w:p>
    <w:bookmarkStart w:id="176" w:name="_MON_1644152030"/>
    <w:bookmarkEnd w:id="176"/>
    <w:p w14:paraId="2AB61849"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rPr>
      </w:pPr>
      <w:r w:rsidRPr="0008336A">
        <w:rPr>
          <w:rFonts w:asciiTheme="minorHAnsi" w:hAnsiTheme="minorHAnsi"/>
          <w:b/>
          <w:bCs/>
        </w:rPr>
        <w:object w:dxaOrig="12570" w:dyaOrig="3915" w14:anchorId="1579CA0D">
          <v:shape id="_x0000_i1038" type="#_x0000_t75" style="width:628.5pt;height:195.75pt" o:ole="">
            <v:imagedata r:id="rId47" o:title=""/>
          </v:shape>
          <o:OLEObject Type="Embed" ProgID="Excel.Sheet.12" ShapeID="_x0000_i1038" DrawAspect="Content" ObjectID="_1650187651" r:id="rId48"/>
        </w:object>
      </w:r>
    </w:p>
    <w:p w14:paraId="3B225312" w14:textId="77777777" w:rsidR="007952E8" w:rsidRPr="0008336A" w:rsidRDefault="007952E8" w:rsidP="00BD1734">
      <w:pPr>
        <w:pStyle w:val="Headingb"/>
        <w:rPr>
          <w:i/>
          <w:iCs/>
        </w:rPr>
      </w:pPr>
      <w:r w:rsidRPr="0008336A">
        <w:rPr>
          <w:i/>
          <w:iCs/>
        </w:rPr>
        <w:br w:type="page"/>
      </w:r>
    </w:p>
    <w:p w14:paraId="26CE7DA4" w14:textId="3EC588EA" w:rsidR="00575D39" w:rsidRPr="00F65A0B" w:rsidRDefault="00575D39" w:rsidP="00F65A0B">
      <w:pPr>
        <w:pStyle w:val="Headingb"/>
        <w:spacing w:after="120"/>
        <w:rPr>
          <w:i/>
          <w:iCs/>
          <w:color w:val="C0504D" w:themeColor="accent2"/>
        </w:rPr>
      </w:pPr>
      <w:r w:rsidRPr="00F65A0B">
        <w:rPr>
          <w:i/>
          <w:iCs/>
          <w:color w:val="C0504D" w:themeColor="accent2"/>
        </w:rPr>
        <w:lastRenderedPageBreak/>
        <w:t>Rapport d'activité 2019</w:t>
      </w:r>
    </w:p>
    <w:tbl>
      <w:tblPr>
        <w:tblStyle w:val="GridTable1Light-Accent12"/>
        <w:tblW w:w="14170" w:type="dxa"/>
        <w:tblLook w:val="04A0" w:firstRow="1" w:lastRow="0" w:firstColumn="1" w:lastColumn="0" w:noHBand="0" w:noVBand="1"/>
      </w:tblPr>
      <w:tblGrid>
        <w:gridCol w:w="4649"/>
        <w:gridCol w:w="5127"/>
        <w:gridCol w:w="4394"/>
      </w:tblGrid>
      <w:tr w:rsidR="00575D39" w:rsidRPr="0008336A" w14:paraId="5D4ABF8F" w14:textId="77777777" w:rsidTr="00F65A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tcPr>
          <w:p w14:paraId="5AB6BD3D" w14:textId="77777777" w:rsidR="00575D39" w:rsidRPr="00F65A0B" w:rsidRDefault="00575D39" w:rsidP="00F65A0B">
            <w:pPr>
              <w:pStyle w:val="Tablehead"/>
              <w:spacing w:before="60" w:after="60"/>
              <w:rPr>
                <w:b/>
                <w:bCs w:val="0"/>
                <w:i/>
                <w:iCs/>
                <w:color w:val="365F91" w:themeColor="accent1" w:themeShade="BF"/>
              </w:rPr>
            </w:pPr>
            <w:r w:rsidRPr="00F65A0B">
              <w:rPr>
                <w:b/>
                <w:bCs w:val="0"/>
                <w:i/>
                <w:iCs/>
                <w:color w:val="365F91" w:themeColor="accent1" w:themeShade="BF"/>
              </w:rPr>
              <w:t>Résultats obtenus</w:t>
            </w:r>
          </w:p>
        </w:tc>
        <w:tc>
          <w:tcPr>
            <w:tcW w:w="5127" w:type="dxa"/>
          </w:tcPr>
          <w:p w14:paraId="2F86C3FF" w14:textId="77777777" w:rsidR="00575D39" w:rsidRPr="00F65A0B" w:rsidRDefault="00575D39" w:rsidP="00F65A0B">
            <w:pPr>
              <w:pStyle w:val="Tablehead"/>
              <w:spacing w:before="60" w:after="6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Mesure</w:t>
            </w:r>
          </w:p>
        </w:tc>
        <w:tc>
          <w:tcPr>
            <w:tcW w:w="4394" w:type="dxa"/>
          </w:tcPr>
          <w:p w14:paraId="6019EA9F" w14:textId="77777777" w:rsidR="00575D39" w:rsidRPr="00F65A0B" w:rsidRDefault="00575D39" w:rsidP="00F65A0B">
            <w:pPr>
              <w:pStyle w:val="Tablehead"/>
              <w:spacing w:before="60" w:after="6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 xml:space="preserve">Risque </w:t>
            </w:r>
          </w:p>
        </w:tc>
      </w:tr>
      <w:tr w:rsidR="00575D39" w:rsidRPr="0008336A" w14:paraId="463A2984" w14:textId="77777777" w:rsidTr="00F65A0B">
        <w:tc>
          <w:tcPr>
            <w:cnfStyle w:val="001000000000" w:firstRow="0" w:lastRow="0" w:firstColumn="1" w:lastColumn="0" w:oddVBand="0" w:evenVBand="0" w:oddHBand="0" w:evenHBand="0" w:firstRowFirstColumn="0" w:firstRowLastColumn="0" w:lastRowFirstColumn="0" w:lastRowLastColumn="0"/>
            <w:tcW w:w="4649" w:type="dxa"/>
          </w:tcPr>
          <w:p w14:paraId="17A3BD13" w14:textId="77777777" w:rsidR="00575D39" w:rsidRPr="0008336A" w:rsidRDefault="00575D39" w:rsidP="00F65A0B">
            <w:pPr>
              <w:pStyle w:val="Tabletext"/>
              <w:spacing w:before="40" w:after="40"/>
              <w:rPr>
                <w:b w:val="0"/>
                <w:bCs w:val="0"/>
              </w:rPr>
            </w:pPr>
            <w:r w:rsidRPr="0008336A">
              <w:rPr>
                <w:b w:val="0"/>
                <w:bCs w:val="0"/>
              </w:rPr>
              <w:t>Préparation et organisation de la seconde session de la Réunion de préparation à la Conférence en vue de la CMR-19 (RPC19-2) et élaboration du Rapport de la RPC.</w:t>
            </w:r>
          </w:p>
        </w:tc>
        <w:tc>
          <w:tcPr>
            <w:tcW w:w="5127" w:type="dxa"/>
          </w:tcPr>
          <w:p w14:paraId="7F99397F"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204 contributions ont été reçues.</w:t>
            </w:r>
          </w:p>
          <w:p w14:paraId="343FB4CC"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Le Rapport de la RPC à la CMR-19, soit un document de 916 pages dans sa version anglaise, a été approuvé.</w:t>
            </w:r>
          </w:p>
        </w:tc>
        <w:tc>
          <w:tcPr>
            <w:tcW w:w="4394" w:type="dxa"/>
          </w:tcPr>
          <w:p w14:paraId="0B07D319"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Pas de difficulté/risque notable rencontré(e).</w:t>
            </w:r>
          </w:p>
        </w:tc>
      </w:tr>
      <w:tr w:rsidR="00575D39" w:rsidRPr="0008336A" w14:paraId="306E9809" w14:textId="77777777" w:rsidTr="00F65A0B">
        <w:tc>
          <w:tcPr>
            <w:cnfStyle w:val="001000000000" w:firstRow="0" w:lastRow="0" w:firstColumn="1" w:lastColumn="0" w:oddVBand="0" w:evenVBand="0" w:oddHBand="0" w:evenHBand="0" w:firstRowFirstColumn="0" w:firstRowLastColumn="0" w:lastRowFirstColumn="0" w:lastRowLastColumn="0"/>
            <w:tcW w:w="4649" w:type="dxa"/>
          </w:tcPr>
          <w:p w14:paraId="40579913" w14:textId="72AC0BEC" w:rsidR="00575D39" w:rsidRPr="0008336A" w:rsidRDefault="00575D39" w:rsidP="00F65A0B">
            <w:pPr>
              <w:pStyle w:val="Tabletext"/>
              <w:spacing w:before="40" w:after="40"/>
              <w:rPr>
                <w:b w:val="0"/>
                <w:bCs w:val="0"/>
              </w:rPr>
            </w:pPr>
            <w:r w:rsidRPr="0008336A">
              <w:rPr>
                <w:b w:val="0"/>
                <w:bCs w:val="0"/>
              </w:rPr>
              <w:t>Préparation et organisation de l'AR-19 et adoption de Résolutions, Recommandations et Questions de l'UIT-R.</w:t>
            </w:r>
          </w:p>
        </w:tc>
        <w:tc>
          <w:tcPr>
            <w:tcW w:w="5127" w:type="dxa"/>
          </w:tcPr>
          <w:p w14:paraId="7B984BDC"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521 participants représentant 91 États Membres de l'UIT, 31 Membres du Secteur de l'UIT-R et une institution spécialisée des Nations Unies.</w:t>
            </w:r>
          </w:p>
          <w:p w14:paraId="1CA32E96"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23 Résolutions de l'UIT-R ont été révisées.</w:t>
            </w:r>
          </w:p>
          <w:p w14:paraId="3B3EE71E"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5 Recommandations de l'UIT-R, nouvelles ou révisées, ont été adoptées.</w:t>
            </w:r>
          </w:p>
          <w:p w14:paraId="77352D55"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Le programme de travail et les Questions de l'UIT-R ont été approuvés.</w:t>
            </w:r>
          </w:p>
        </w:tc>
        <w:tc>
          <w:tcPr>
            <w:tcW w:w="4394" w:type="dxa"/>
          </w:tcPr>
          <w:p w14:paraId="4E190200"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Risques similaires à ceux rencontrés pour la CMR-19 (relatifs au pays hôte).</w:t>
            </w:r>
          </w:p>
        </w:tc>
      </w:tr>
      <w:tr w:rsidR="00575D39" w:rsidRPr="0008336A" w14:paraId="29A59EE4" w14:textId="77777777" w:rsidTr="00F65A0B">
        <w:tc>
          <w:tcPr>
            <w:cnfStyle w:val="001000000000" w:firstRow="0" w:lastRow="0" w:firstColumn="1" w:lastColumn="0" w:oddVBand="0" w:evenVBand="0" w:oddHBand="0" w:evenHBand="0" w:firstRowFirstColumn="0" w:firstRowLastColumn="0" w:lastRowFirstColumn="0" w:lastRowLastColumn="0"/>
            <w:tcW w:w="4649" w:type="dxa"/>
          </w:tcPr>
          <w:p w14:paraId="1DCB698A" w14:textId="77777777" w:rsidR="00575D39" w:rsidRPr="0008336A" w:rsidRDefault="00575D39" w:rsidP="00F65A0B">
            <w:pPr>
              <w:pStyle w:val="Tabletext"/>
              <w:spacing w:before="40" w:after="40"/>
              <w:rPr>
                <w:b w:val="0"/>
                <w:bCs w:val="0"/>
              </w:rPr>
            </w:pPr>
            <w:r w:rsidRPr="0008336A">
              <w:rPr>
                <w:b w:val="0"/>
                <w:bCs w:val="0"/>
              </w:rPr>
              <w:t xml:space="preserve">Organisation de la première session de la RPC en vue de la CMR-23 (RPC23-1). </w:t>
            </w:r>
          </w:p>
        </w:tc>
        <w:tc>
          <w:tcPr>
            <w:tcW w:w="5127" w:type="dxa"/>
          </w:tcPr>
          <w:p w14:paraId="1F9C8590"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Les études préparatoires en vue de la CMR-23 ont été confiées aux Commissions d'études, aux Groupes de travail et aux Groupes d'action de l'UIT-R.</w:t>
            </w:r>
          </w:p>
        </w:tc>
        <w:tc>
          <w:tcPr>
            <w:tcW w:w="4394" w:type="dxa"/>
          </w:tcPr>
          <w:p w14:paraId="52BCA227"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3C367B84" w14:textId="77777777" w:rsidTr="00F65A0B">
        <w:tc>
          <w:tcPr>
            <w:cnfStyle w:val="001000000000" w:firstRow="0" w:lastRow="0" w:firstColumn="1" w:lastColumn="0" w:oddVBand="0" w:evenVBand="0" w:oddHBand="0" w:evenHBand="0" w:firstRowFirstColumn="0" w:firstRowLastColumn="0" w:lastRowFirstColumn="0" w:lastRowLastColumn="0"/>
            <w:tcW w:w="4649" w:type="dxa"/>
          </w:tcPr>
          <w:p w14:paraId="51CD59CF" w14:textId="77777777" w:rsidR="00575D39" w:rsidRPr="0008336A" w:rsidRDefault="00575D39" w:rsidP="00F65A0B">
            <w:pPr>
              <w:pStyle w:val="Tabletext"/>
              <w:spacing w:before="40" w:after="40"/>
              <w:rPr>
                <w:b w:val="0"/>
                <w:bCs w:val="0"/>
              </w:rPr>
            </w:pPr>
            <w:r w:rsidRPr="0008336A">
              <w:rPr>
                <w:b w:val="0"/>
                <w:bCs w:val="0"/>
              </w:rPr>
              <w:t>Accès accru au large bande mobile, y compris dans les bandes de fréquences identifiées pour les Télécommunications mobiles internationales (IMT).</w:t>
            </w:r>
          </w:p>
        </w:tc>
        <w:tc>
          <w:tcPr>
            <w:tcW w:w="5127" w:type="dxa"/>
          </w:tcPr>
          <w:p w14:paraId="4DFB30E4"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8,30</w:t>
            </w:r>
            <w:r w:rsidRPr="0008336A">
              <w:t xml:space="preserve"> milliards d'abonnements contre 7,91 en 2018.</w:t>
            </w:r>
          </w:p>
          <w:p w14:paraId="388F7ABD" w14:textId="4D525272"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77%</w:t>
            </w:r>
            <w:r w:rsidRPr="0008336A">
              <w:t xml:space="preserve"> d'abonnements au large bande mobile (67% en 2018).</w:t>
            </w:r>
          </w:p>
          <w:p w14:paraId="73646B51"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5,73</w:t>
            </w:r>
            <w:r w:rsidRPr="0008336A">
              <w:t xml:space="preserve"> milliards d'abonnés (5,46 en 2018).</w:t>
            </w:r>
          </w:p>
        </w:tc>
        <w:tc>
          <w:tcPr>
            <w:tcW w:w="4394" w:type="dxa"/>
          </w:tcPr>
          <w:p w14:paraId="6E75E747"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5CDD6561" w14:textId="77777777" w:rsidTr="00F65A0B">
        <w:tc>
          <w:tcPr>
            <w:cnfStyle w:val="001000000000" w:firstRow="0" w:lastRow="0" w:firstColumn="1" w:lastColumn="0" w:oddVBand="0" w:evenVBand="0" w:oddHBand="0" w:evenHBand="0" w:firstRowFirstColumn="0" w:firstRowLastColumn="0" w:lastRowFirstColumn="0" w:lastRowLastColumn="0"/>
            <w:tcW w:w="4649" w:type="dxa"/>
          </w:tcPr>
          <w:p w14:paraId="112D4003" w14:textId="536EEA9B" w:rsidR="00575D39" w:rsidRPr="0008336A" w:rsidRDefault="00575D39" w:rsidP="00F65A0B">
            <w:pPr>
              <w:pStyle w:val="Tabletext"/>
              <w:spacing w:before="40" w:after="40"/>
              <w:rPr>
                <w:b w:val="0"/>
                <w:bCs w:val="0"/>
              </w:rPr>
            </w:pPr>
            <w:r w:rsidRPr="0008336A">
              <w:rPr>
                <w:b w:val="0"/>
                <w:bCs w:val="0"/>
              </w:rPr>
              <w:t>Diminution du panier des prix du large bande mobile en</w:t>
            </w:r>
            <w:r w:rsidR="00284B94" w:rsidRPr="0008336A">
              <w:rPr>
                <w:b w:val="0"/>
                <w:bCs w:val="0"/>
              </w:rPr>
              <w:t xml:space="preserve"> </w:t>
            </w:r>
            <w:r w:rsidRPr="0008336A">
              <w:rPr>
                <w:b w:val="0"/>
                <w:bCs w:val="0"/>
              </w:rPr>
              <w:t>pourcentage du revenu national brut (RNB) par habitant.</w:t>
            </w:r>
          </w:p>
        </w:tc>
        <w:tc>
          <w:tcPr>
            <w:tcW w:w="5127" w:type="dxa"/>
          </w:tcPr>
          <w:p w14:paraId="0FFD6A64"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8336A">
              <w:rPr>
                <w:b/>
                <w:bCs/>
              </w:rPr>
              <w:t>Les informations seront disponibles au deuxième trimestre de 2020.</w:t>
            </w:r>
          </w:p>
          <w:p w14:paraId="07E733C1"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Panier des prix du large bande mobile en pourcentage du RNB par habitant (sur téléphone à prépaiement (500 Mo)).</w:t>
            </w:r>
          </w:p>
          <w:p w14:paraId="4BB93A25"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roofErr w:type="gramStart"/>
            <w:r w:rsidRPr="0008336A">
              <w:t>Monde:</w:t>
            </w:r>
            <w:proofErr w:type="gramEnd"/>
          </w:p>
          <w:p w14:paraId="1BF87EC7"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 xml:space="preserve">Pays </w:t>
            </w:r>
            <w:proofErr w:type="gramStart"/>
            <w:r w:rsidRPr="0008336A">
              <w:t>développés:</w:t>
            </w:r>
            <w:proofErr w:type="gramEnd"/>
          </w:p>
          <w:p w14:paraId="272449E6"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 xml:space="preserve">Pays en </w:t>
            </w:r>
            <w:proofErr w:type="gramStart"/>
            <w:r w:rsidRPr="0008336A">
              <w:t>développement:</w:t>
            </w:r>
            <w:proofErr w:type="gramEnd"/>
          </w:p>
          <w:p w14:paraId="3633B979"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 xml:space="preserve">Pays les moins </w:t>
            </w:r>
            <w:proofErr w:type="gramStart"/>
            <w:r w:rsidRPr="0008336A">
              <w:t>avancés:</w:t>
            </w:r>
            <w:proofErr w:type="gramEnd"/>
          </w:p>
          <w:p w14:paraId="795F2448" w14:textId="488D0FB5" w:rsidR="00575D39" w:rsidRPr="00F65A0B"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rPr>
                <w:spacing w:val="-4"/>
              </w:rPr>
            </w:pPr>
            <w:r w:rsidRPr="00F65A0B">
              <w:rPr>
                <w:spacing w:val="-4"/>
              </w:rPr>
              <w:t>Nombre de pays où le panier des prix est inférieur à</w:t>
            </w:r>
            <w:r w:rsidR="00284B94" w:rsidRPr="00F65A0B">
              <w:rPr>
                <w:spacing w:val="-4"/>
              </w:rPr>
              <w:t> </w:t>
            </w:r>
            <w:r w:rsidRPr="00F65A0B">
              <w:rPr>
                <w:spacing w:val="-4"/>
              </w:rPr>
              <w:t>5</w:t>
            </w:r>
            <w:proofErr w:type="gramStart"/>
            <w:r w:rsidRPr="00F65A0B">
              <w:rPr>
                <w:spacing w:val="-4"/>
              </w:rPr>
              <w:t>%:</w:t>
            </w:r>
            <w:proofErr w:type="gramEnd"/>
          </w:p>
        </w:tc>
        <w:tc>
          <w:tcPr>
            <w:tcW w:w="4394" w:type="dxa"/>
          </w:tcPr>
          <w:p w14:paraId="51FFC961"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31E852B1" w14:textId="77777777" w:rsidTr="00F65A0B">
        <w:tc>
          <w:tcPr>
            <w:cnfStyle w:val="001000000000" w:firstRow="0" w:lastRow="0" w:firstColumn="1" w:lastColumn="0" w:oddVBand="0" w:evenVBand="0" w:oddHBand="0" w:evenHBand="0" w:firstRowFirstColumn="0" w:firstRowLastColumn="0" w:lastRowFirstColumn="0" w:lastRowLastColumn="0"/>
            <w:tcW w:w="4649" w:type="dxa"/>
          </w:tcPr>
          <w:p w14:paraId="34871D98" w14:textId="77777777" w:rsidR="00575D39" w:rsidRPr="0008336A" w:rsidRDefault="00575D39" w:rsidP="00F65A0B">
            <w:pPr>
              <w:pStyle w:val="Tabletext"/>
              <w:spacing w:before="40" w:after="40"/>
              <w:rPr>
                <w:b w:val="0"/>
                <w:bCs w:val="0"/>
              </w:rPr>
            </w:pPr>
            <w:r w:rsidRPr="0008336A">
              <w:rPr>
                <w:b w:val="0"/>
                <w:bCs w:val="0"/>
              </w:rPr>
              <w:lastRenderedPageBreak/>
              <w:t>Nombre accru de ménages recevant la télévision numérique de Terre.</w:t>
            </w:r>
          </w:p>
        </w:tc>
        <w:tc>
          <w:tcPr>
            <w:tcW w:w="5127" w:type="dxa"/>
          </w:tcPr>
          <w:p w14:paraId="3E872483"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8336A">
              <w:rPr>
                <w:b/>
                <w:bCs/>
              </w:rPr>
              <w:t>Les informations seront disponibles en juin 2020.</w:t>
            </w:r>
          </w:p>
          <w:p w14:paraId="61909CB0"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ménages recevant la télévision numérique de Terre (millions</w:t>
            </w:r>
            <w:proofErr w:type="gramStart"/>
            <w:r w:rsidRPr="0008336A">
              <w:t>):</w:t>
            </w:r>
            <w:proofErr w:type="gramEnd"/>
          </w:p>
          <w:p w14:paraId="03D809BF"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ménages recevant la télévision analogique de Terre (millions</w:t>
            </w:r>
            <w:proofErr w:type="gramStart"/>
            <w:r w:rsidRPr="0008336A">
              <w:t>):</w:t>
            </w:r>
            <w:proofErr w:type="gramEnd"/>
          </w:p>
          <w:p w14:paraId="11FA96E4"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total de ménages recevant la télévision numérique de Terre ou la télévision analogique de Terre (millions</w:t>
            </w:r>
            <w:proofErr w:type="gramStart"/>
            <w:r w:rsidRPr="0008336A">
              <w:t>):</w:t>
            </w:r>
            <w:proofErr w:type="gramEnd"/>
          </w:p>
          <w:p w14:paraId="557B6CA3"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 xml:space="preserve">Pourcentage des ménages recevant la télévision numérique de </w:t>
            </w:r>
            <w:proofErr w:type="gramStart"/>
            <w:r w:rsidRPr="0008336A">
              <w:t>Terre:</w:t>
            </w:r>
            <w:proofErr w:type="gramEnd"/>
            <w:r w:rsidRPr="0008336A">
              <w:t xml:space="preserve"> </w:t>
            </w:r>
          </w:p>
          <w:p w14:paraId="7B0391D0"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 xml:space="preserve">Pourcentage des ménages recevant la télévision analogique de </w:t>
            </w:r>
            <w:proofErr w:type="gramStart"/>
            <w:r w:rsidRPr="0008336A">
              <w:t>Terre:</w:t>
            </w:r>
            <w:proofErr w:type="gramEnd"/>
          </w:p>
          <w:p w14:paraId="52FDC848"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 xml:space="preserve">Pourcentage des ménages recevant la télévision de </w:t>
            </w:r>
            <w:proofErr w:type="gramStart"/>
            <w:r w:rsidRPr="0008336A">
              <w:t>Terre:</w:t>
            </w:r>
            <w:proofErr w:type="gramEnd"/>
          </w:p>
        </w:tc>
        <w:tc>
          <w:tcPr>
            <w:tcW w:w="4394" w:type="dxa"/>
          </w:tcPr>
          <w:p w14:paraId="6CF94566"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31D439E6" w14:textId="77777777" w:rsidTr="00F65A0B">
        <w:tc>
          <w:tcPr>
            <w:cnfStyle w:val="001000000000" w:firstRow="0" w:lastRow="0" w:firstColumn="1" w:lastColumn="0" w:oddVBand="0" w:evenVBand="0" w:oddHBand="0" w:evenHBand="0" w:firstRowFirstColumn="0" w:firstRowLastColumn="0" w:lastRowFirstColumn="0" w:lastRowLastColumn="0"/>
            <w:tcW w:w="4649" w:type="dxa"/>
          </w:tcPr>
          <w:p w14:paraId="38B914DC" w14:textId="77777777" w:rsidR="00575D39" w:rsidRPr="0008336A" w:rsidRDefault="00575D39" w:rsidP="00F65A0B">
            <w:pPr>
              <w:pStyle w:val="Tabletext"/>
              <w:spacing w:before="40" w:after="40"/>
              <w:rPr>
                <w:b w:val="0"/>
                <w:bCs w:val="0"/>
              </w:rPr>
            </w:pPr>
            <w:r w:rsidRPr="0008336A">
              <w:rPr>
                <w:b w:val="0"/>
                <w:bCs w:val="0"/>
              </w:rPr>
              <w:t>Nombre accru de répéteurs de satellite (équivalent 36 MHz) en service et capacité correspondante (Tbit/s</w:t>
            </w:r>
            <w:proofErr w:type="gramStart"/>
            <w:r w:rsidRPr="0008336A">
              <w:rPr>
                <w:b w:val="0"/>
                <w:bCs w:val="0"/>
              </w:rPr>
              <w:t>);</w:t>
            </w:r>
            <w:proofErr w:type="gramEnd"/>
            <w:r w:rsidRPr="0008336A">
              <w:rPr>
                <w:b w:val="0"/>
                <w:bCs w:val="0"/>
              </w:rPr>
              <w:t xml:space="preserve"> nombre de microstations, nombre de ménages recevant la télévision par satellite.</w:t>
            </w:r>
          </w:p>
        </w:tc>
        <w:tc>
          <w:tcPr>
            <w:tcW w:w="5127" w:type="dxa"/>
          </w:tcPr>
          <w:p w14:paraId="2F621D7B"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31 206</w:t>
            </w:r>
            <w:r w:rsidRPr="0008336A">
              <w:t xml:space="preserve"> répéteurs de satellite (équivalent 36 MHz) en service (28 765 en 2018).</w:t>
            </w:r>
          </w:p>
          <w:p w14:paraId="6211BE30" w14:textId="41084A54"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2 866</w:t>
            </w:r>
            <w:r w:rsidRPr="0008336A">
              <w:t xml:space="preserve"> Tbit/s de capacité correspondante</w:t>
            </w:r>
            <w:r w:rsidR="00BD1734" w:rsidRPr="0008336A">
              <w:t xml:space="preserve"> </w:t>
            </w:r>
            <w:r w:rsidRPr="0008336A">
              <w:t>(2 546</w:t>
            </w:r>
            <w:r w:rsidR="00284B94" w:rsidRPr="0008336A">
              <w:t xml:space="preserve"> </w:t>
            </w:r>
            <w:r w:rsidRPr="0008336A">
              <w:t>en</w:t>
            </w:r>
            <w:r w:rsidR="00284B94" w:rsidRPr="0008336A">
              <w:t> </w:t>
            </w:r>
            <w:r w:rsidRPr="0008336A">
              <w:t>2018).</w:t>
            </w:r>
          </w:p>
          <w:p w14:paraId="5DBA34B7"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4 236</w:t>
            </w:r>
            <w:r w:rsidRPr="0008336A">
              <w:t xml:space="preserve"> millions de microstations (4 205 en 2018).</w:t>
            </w:r>
          </w:p>
          <w:p w14:paraId="4B85454B"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systèmes DTH (millions</w:t>
            </w:r>
            <w:proofErr w:type="gramStart"/>
            <w:r w:rsidRPr="0008336A">
              <w:t>):</w:t>
            </w:r>
            <w:proofErr w:type="gramEnd"/>
            <w:r w:rsidRPr="0008336A">
              <w:t xml:space="preserve"> pas encore disponible.</w:t>
            </w:r>
          </w:p>
        </w:tc>
        <w:tc>
          <w:tcPr>
            <w:tcW w:w="4394" w:type="dxa"/>
          </w:tcPr>
          <w:p w14:paraId="52C02EE7"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7CF72085" w14:textId="77777777" w:rsidTr="00F65A0B">
        <w:tc>
          <w:tcPr>
            <w:cnfStyle w:val="001000000000" w:firstRow="0" w:lastRow="0" w:firstColumn="1" w:lastColumn="0" w:oddVBand="0" w:evenVBand="0" w:oddHBand="0" w:evenHBand="0" w:firstRowFirstColumn="0" w:firstRowLastColumn="0" w:lastRowFirstColumn="0" w:lastRowLastColumn="0"/>
            <w:tcW w:w="4649" w:type="dxa"/>
          </w:tcPr>
          <w:p w14:paraId="35BDE833" w14:textId="77777777" w:rsidR="00575D39" w:rsidRPr="0008336A" w:rsidRDefault="00575D39" w:rsidP="00F65A0B">
            <w:pPr>
              <w:pStyle w:val="Tabletext"/>
              <w:spacing w:before="40" w:after="40"/>
              <w:rPr>
                <w:b w:val="0"/>
                <w:bCs w:val="0"/>
              </w:rPr>
            </w:pPr>
            <w:r w:rsidRPr="0008336A">
              <w:rPr>
                <w:b w:val="0"/>
                <w:bCs w:val="0"/>
              </w:rPr>
              <w:t>Nombre accru de dispositifs pouvant recevoir les signaux du service de radionavigation par satellite.</w:t>
            </w:r>
          </w:p>
        </w:tc>
        <w:tc>
          <w:tcPr>
            <w:tcW w:w="5127" w:type="dxa"/>
          </w:tcPr>
          <w:p w14:paraId="5181B67B" w14:textId="063CBBB2"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6</w:t>
            </w:r>
            <w:r w:rsidRPr="0008336A">
              <w:t xml:space="preserve"> constellations et </w:t>
            </w:r>
            <w:r w:rsidRPr="0008336A">
              <w:rPr>
                <w:b/>
                <w:bCs/>
              </w:rPr>
              <w:t>603</w:t>
            </w:r>
            <w:r w:rsidRPr="0008336A">
              <w:t xml:space="preserve"> satellites GNSS opérationnels (le nombre de satellites peut inclure plusieurs fois le même satellite opérationnel étant donné que plusieurs réseaux à satellite peuvent prendre en charge le fonctionnement d'un satellite réel) (6 </w:t>
            </w:r>
            <w:r w:rsidR="00C03E83" w:rsidRPr="0008336A">
              <w:t>constellations</w:t>
            </w:r>
            <w:r w:rsidRPr="0008336A">
              <w:t xml:space="preserve"> et 576 satellites en 2018).</w:t>
            </w:r>
          </w:p>
          <w:p w14:paraId="7842713C"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6,4</w:t>
            </w:r>
            <w:r w:rsidRPr="0008336A">
              <w:t xml:space="preserve"> milliards de dispositifs munis d'un récepteur GNSS intégré (6,5 en 2018, selon les estimations).</w:t>
            </w:r>
          </w:p>
        </w:tc>
        <w:tc>
          <w:tcPr>
            <w:tcW w:w="4394" w:type="dxa"/>
          </w:tcPr>
          <w:p w14:paraId="27FF01DC"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242DCB4F" w14:textId="77777777" w:rsidTr="00F65A0B">
        <w:tc>
          <w:tcPr>
            <w:cnfStyle w:val="001000000000" w:firstRow="0" w:lastRow="0" w:firstColumn="1" w:lastColumn="0" w:oddVBand="0" w:evenVBand="0" w:oddHBand="0" w:evenHBand="0" w:firstRowFirstColumn="0" w:firstRowLastColumn="0" w:lastRowFirstColumn="0" w:lastRowLastColumn="0"/>
            <w:tcW w:w="4649" w:type="dxa"/>
          </w:tcPr>
          <w:p w14:paraId="2FA79916" w14:textId="77777777" w:rsidR="00575D39" w:rsidRPr="0008336A" w:rsidRDefault="00575D39" w:rsidP="00F65A0B">
            <w:pPr>
              <w:pStyle w:val="Tabletext"/>
              <w:spacing w:before="40" w:after="40"/>
              <w:rPr>
                <w:b w:val="0"/>
                <w:bCs w:val="0"/>
              </w:rPr>
            </w:pPr>
            <w:r w:rsidRPr="0008336A">
              <w:rPr>
                <w:b w:val="0"/>
                <w:bCs w:val="0"/>
              </w:rPr>
              <w:lastRenderedPageBreak/>
              <w:t>Nombre accru de satellites d'exploration de la Terre en service et nombre correspondant de pays exploitant des satellites d'exploration de la Terre.</w:t>
            </w:r>
          </w:p>
        </w:tc>
        <w:tc>
          <w:tcPr>
            <w:tcW w:w="5127" w:type="dxa"/>
          </w:tcPr>
          <w:p w14:paraId="4BA8A3C1" w14:textId="62F951C3"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bookmarkStart w:id="177" w:name="_Hlk39072711"/>
            <w:r w:rsidRPr="0008336A">
              <w:rPr>
                <w:b/>
                <w:bCs/>
              </w:rPr>
              <w:t>191/52/1176</w:t>
            </w:r>
            <w:r w:rsidRPr="0008336A">
              <w:t xml:space="preserve"> pour ce qui est des satellites d'exploration de la Terre (OSG/systèmes non OSG/tous les satellites), contre 179/52/1 125 en 2018.</w:t>
            </w:r>
          </w:p>
          <w:bookmarkEnd w:id="177"/>
          <w:p w14:paraId="1F9EF6E3"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rPr>
                <w:b/>
                <w:bCs/>
              </w:rPr>
              <w:t>35</w:t>
            </w:r>
            <w:r w:rsidRPr="0008336A">
              <w:t xml:space="preserve"> pays exploitant des satellites d'exploration de la Terre contre 34 en 2018.</w:t>
            </w:r>
          </w:p>
        </w:tc>
        <w:tc>
          <w:tcPr>
            <w:tcW w:w="4394" w:type="dxa"/>
          </w:tcPr>
          <w:p w14:paraId="307218CA"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bl>
    <w:p w14:paraId="0BDD6BF2"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rPr>
      </w:pPr>
    </w:p>
    <w:p w14:paraId="5ECC2779" w14:textId="77777777" w:rsidR="00575D39" w:rsidRPr="00F65A0B" w:rsidRDefault="00575D39" w:rsidP="00BD1734">
      <w:pPr>
        <w:pStyle w:val="Headingb"/>
        <w:spacing w:after="240"/>
        <w:rPr>
          <w:i/>
          <w:iCs/>
          <w:color w:val="C0504D" w:themeColor="accent2"/>
        </w:rPr>
      </w:pPr>
      <w:r w:rsidRPr="00F65A0B">
        <w:rPr>
          <w:i/>
          <w:iCs/>
          <w:color w:val="C0504D" w:themeColor="accent2"/>
        </w:rPr>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5978"/>
        <w:gridCol w:w="3321"/>
      </w:tblGrid>
      <w:tr w:rsidR="00575D39" w:rsidRPr="0008336A" w14:paraId="15E10550" w14:textId="77777777" w:rsidTr="00EF77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tcPr>
          <w:p w14:paraId="59132F90" w14:textId="77777777" w:rsidR="00575D39" w:rsidRPr="00F65A0B" w:rsidRDefault="00575D39" w:rsidP="00BD1734">
            <w:pPr>
              <w:pStyle w:val="Tablehead"/>
              <w:rPr>
                <w:b/>
                <w:bCs w:val="0"/>
                <w:i/>
                <w:iCs/>
                <w:color w:val="365F91" w:themeColor="accent1" w:themeShade="BF"/>
              </w:rPr>
            </w:pPr>
            <w:r w:rsidRPr="00F65A0B">
              <w:rPr>
                <w:b/>
                <w:bCs w:val="0"/>
                <w:i/>
                <w:iCs/>
                <w:color w:val="365F91" w:themeColor="accent1" w:themeShade="BF"/>
              </w:rPr>
              <w:t>Résultats</w:t>
            </w:r>
          </w:p>
        </w:tc>
        <w:tc>
          <w:tcPr>
            <w:tcW w:w="5978" w:type="dxa"/>
          </w:tcPr>
          <w:p w14:paraId="501482A6" w14:textId="77777777" w:rsidR="00575D39" w:rsidRPr="00F65A0B"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Indicateurs de résultat</w:t>
            </w:r>
          </w:p>
        </w:tc>
        <w:tc>
          <w:tcPr>
            <w:tcW w:w="3321" w:type="dxa"/>
          </w:tcPr>
          <w:p w14:paraId="3DE50441" w14:textId="77777777" w:rsidR="00575D39" w:rsidRPr="00F65A0B"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Indicateurs de risque</w:t>
            </w:r>
          </w:p>
        </w:tc>
      </w:tr>
      <w:tr w:rsidR="00575D39" w:rsidRPr="0008336A" w14:paraId="5D79BAF5" w14:textId="77777777" w:rsidTr="00EF77D5">
        <w:tc>
          <w:tcPr>
            <w:cnfStyle w:val="001000000000" w:firstRow="0" w:lastRow="0" w:firstColumn="1" w:lastColumn="0" w:oddVBand="0" w:evenVBand="0" w:oddHBand="0" w:evenHBand="0" w:firstRowFirstColumn="0" w:firstRowLastColumn="0" w:lastRowFirstColumn="0" w:lastRowLastColumn="0"/>
            <w:tcW w:w="4649" w:type="dxa"/>
          </w:tcPr>
          <w:p w14:paraId="74957D6A" w14:textId="77777777" w:rsidR="00575D39" w:rsidRPr="0008336A" w:rsidRDefault="00575D39" w:rsidP="00F65A0B">
            <w:pPr>
              <w:pStyle w:val="Tabletext"/>
              <w:spacing w:before="40" w:after="40"/>
              <w:rPr>
                <w:b w:val="0"/>
                <w:bCs w:val="0"/>
              </w:rPr>
            </w:pPr>
            <w:r w:rsidRPr="0008336A">
              <w:rPr>
                <w:b w:val="0"/>
                <w:bCs w:val="0"/>
              </w:rPr>
              <w:t xml:space="preserve">Accès accru au large bande mobile, y compris dans les bandes de fréquences identifiées pour les Télécommunications mobiles internationales (IMT) et utilisation accrue </w:t>
            </w:r>
            <w:proofErr w:type="gramStart"/>
            <w:r w:rsidRPr="0008336A">
              <w:rPr>
                <w:b w:val="0"/>
                <w:bCs w:val="0"/>
              </w:rPr>
              <w:t>du large bande</w:t>
            </w:r>
            <w:proofErr w:type="gramEnd"/>
            <w:r w:rsidRPr="0008336A">
              <w:rPr>
                <w:b w:val="0"/>
                <w:bCs w:val="0"/>
              </w:rPr>
              <w:t xml:space="preserve"> mobile.</w:t>
            </w:r>
          </w:p>
        </w:tc>
        <w:tc>
          <w:tcPr>
            <w:tcW w:w="5978" w:type="dxa"/>
          </w:tcPr>
          <w:p w14:paraId="25F943EB"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d'abonnements (milliards).</w:t>
            </w:r>
          </w:p>
          <w:p w14:paraId="66AF6450"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Pourcentage d'abonnements au large bande mobile.</w:t>
            </w:r>
          </w:p>
        </w:tc>
        <w:tc>
          <w:tcPr>
            <w:tcW w:w="3321" w:type="dxa"/>
          </w:tcPr>
          <w:p w14:paraId="71A83803"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1C968ACF" w14:textId="77777777" w:rsidTr="00EF77D5">
        <w:tc>
          <w:tcPr>
            <w:cnfStyle w:val="001000000000" w:firstRow="0" w:lastRow="0" w:firstColumn="1" w:lastColumn="0" w:oddVBand="0" w:evenVBand="0" w:oddHBand="0" w:evenHBand="0" w:firstRowFirstColumn="0" w:firstRowLastColumn="0" w:lastRowFirstColumn="0" w:lastRowLastColumn="0"/>
            <w:tcW w:w="4649" w:type="dxa"/>
          </w:tcPr>
          <w:p w14:paraId="22062A30" w14:textId="77777777" w:rsidR="00575D39" w:rsidRPr="0008336A" w:rsidRDefault="00575D39" w:rsidP="00F65A0B">
            <w:pPr>
              <w:pStyle w:val="Tabletext"/>
              <w:spacing w:before="40" w:after="40"/>
              <w:rPr>
                <w:b w:val="0"/>
                <w:bCs w:val="0"/>
              </w:rPr>
            </w:pPr>
            <w:r w:rsidRPr="0008336A">
              <w:rPr>
                <w:b w:val="0"/>
                <w:bCs w:val="0"/>
              </w:rPr>
              <w:t>Diminution du panier des prix du large bande mobile en pourcentage du revenu national brut (RNB) par habitant.</w:t>
            </w:r>
          </w:p>
        </w:tc>
        <w:tc>
          <w:tcPr>
            <w:tcW w:w="5978" w:type="dxa"/>
          </w:tcPr>
          <w:p w14:paraId="618D3D77"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Panier des prix du large bande mobile en pourcentage du RNB par habitant (sur téléphone à prépaiement (500 Mo)).</w:t>
            </w:r>
          </w:p>
          <w:p w14:paraId="027BE9C2"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roofErr w:type="gramStart"/>
            <w:r w:rsidRPr="0008336A">
              <w:t>Monde;</w:t>
            </w:r>
            <w:proofErr w:type="gramEnd"/>
            <w:r w:rsidRPr="0008336A">
              <w:t xml:space="preserve"> Pays développés; Pays en développement; Pays les moins avancés.</w:t>
            </w:r>
          </w:p>
          <w:p w14:paraId="66C35DB0"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pays où le panier des prix est inférieur à 5%.</w:t>
            </w:r>
          </w:p>
        </w:tc>
        <w:tc>
          <w:tcPr>
            <w:tcW w:w="3321" w:type="dxa"/>
          </w:tcPr>
          <w:p w14:paraId="6FEE1B34"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3A6F2D37" w14:textId="77777777" w:rsidTr="00EF77D5">
        <w:tc>
          <w:tcPr>
            <w:cnfStyle w:val="001000000000" w:firstRow="0" w:lastRow="0" w:firstColumn="1" w:lastColumn="0" w:oddVBand="0" w:evenVBand="0" w:oddHBand="0" w:evenHBand="0" w:firstRowFirstColumn="0" w:firstRowLastColumn="0" w:lastRowFirstColumn="0" w:lastRowLastColumn="0"/>
            <w:tcW w:w="4649" w:type="dxa"/>
          </w:tcPr>
          <w:p w14:paraId="5657F6D9" w14:textId="77777777" w:rsidR="00575D39" w:rsidRPr="0008336A" w:rsidRDefault="00575D39" w:rsidP="00F65A0B">
            <w:pPr>
              <w:pStyle w:val="Tabletext"/>
              <w:spacing w:before="40" w:after="40"/>
              <w:rPr>
                <w:b w:val="0"/>
                <w:bCs w:val="0"/>
              </w:rPr>
            </w:pPr>
            <w:r w:rsidRPr="0008336A">
              <w:rPr>
                <w:b w:val="0"/>
                <w:bCs w:val="0"/>
              </w:rPr>
              <w:t>Nombre accru de ménages recevant la télévision numérique de Terre.</w:t>
            </w:r>
          </w:p>
        </w:tc>
        <w:tc>
          <w:tcPr>
            <w:tcW w:w="5978" w:type="dxa"/>
          </w:tcPr>
          <w:p w14:paraId="07A5BFE6"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ménages recevant la télévision numérique de Terre (millions)</w:t>
            </w:r>
            <w:bookmarkStart w:id="178" w:name="lt_pId287"/>
            <w:r w:rsidRPr="0008336A">
              <w:t>.</w:t>
            </w:r>
          </w:p>
          <w:p w14:paraId="7CBF7E98"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ménages recevant la télévision analogique de Terre (millions)</w:t>
            </w:r>
            <w:bookmarkEnd w:id="178"/>
            <w:r w:rsidRPr="0008336A">
              <w:t>.</w:t>
            </w:r>
          </w:p>
          <w:p w14:paraId="59687538"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ménages recevant la télévision numérique de Terre ou la télévision analogique de Terre (millions).</w:t>
            </w:r>
          </w:p>
          <w:p w14:paraId="1765C3AE"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bookmarkStart w:id="179" w:name="lt_pId289"/>
            <w:r w:rsidRPr="0008336A">
              <w:t>Pourcentage des ménages recevant la télévision numérique de Terre, la télévision analogique de Terre et la télévision de Terre.</w:t>
            </w:r>
            <w:bookmarkEnd w:id="179"/>
          </w:p>
        </w:tc>
        <w:tc>
          <w:tcPr>
            <w:tcW w:w="3321" w:type="dxa"/>
          </w:tcPr>
          <w:p w14:paraId="3610B7FD"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7D198325" w14:textId="77777777" w:rsidTr="00EF77D5">
        <w:tc>
          <w:tcPr>
            <w:cnfStyle w:val="001000000000" w:firstRow="0" w:lastRow="0" w:firstColumn="1" w:lastColumn="0" w:oddVBand="0" w:evenVBand="0" w:oddHBand="0" w:evenHBand="0" w:firstRowFirstColumn="0" w:firstRowLastColumn="0" w:lastRowFirstColumn="0" w:lastRowLastColumn="0"/>
            <w:tcW w:w="4649" w:type="dxa"/>
          </w:tcPr>
          <w:p w14:paraId="56267BAF" w14:textId="77777777" w:rsidR="00575D39" w:rsidRPr="0008336A" w:rsidRDefault="00575D39" w:rsidP="00F65A0B">
            <w:pPr>
              <w:pStyle w:val="Tabletext"/>
              <w:spacing w:before="40" w:after="40"/>
              <w:rPr>
                <w:b w:val="0"/>
                <w:bCs w:val="0"/>
              </w:rPr>
            </w:pPr>
            <w:r w:rsidRPr="0008336A">
              <w:rPr>
                <w:b w:val="0"/>
                <w:bCs w:val="0"/>
              </w:rPr>
              <w:t>Nombre accru de répéteurs de satellite (équivalent 36 MHz) en service et capacité correspondante (Tbit/s</w:t>
            </w:r>
            <w:proofErr w:type="gramStart"/>
            <w:r w:rsidRPr="0008336A">
              <w:rPr>
                <w:b w:val="0"/>
                <w:bCs w:val="0"/>
              </w:rPr>
              <w:t>);</w:t>
            </w:r>
            <w:proofErr w:type="gramEnd"/>
            <w:r w:rsidRPr="0008336A">
              <w:rPr>
                <w:b w:val="0"/>
                <w:bCs w:val="0"/>
              </w:rPr>
              <w:t xml:space="preserve"> nombre de </w:t>
            </w:r>
            <w:r w:rsidRPr="0008336A">
              <w:rPr>
                <w:b w:val="0"/>
                <w:bCs w:val="0"/>
              </w:rPr>
              <w:lastRenderedPageBreak/>
              <w:t>microstations, nombre de ménages recevant la télévision par satellite.</w:t>
            </w:r>
          </w:p>
        </w:tc>
        <w:tc>
          <w:tcPr>
            <w:tcW w:w="5978" w:type="dxa"/>
          </w:tcPr>
          <w:p w14:paraId="1D63C736"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lastRenderedPageBreak/>
              <w:t>Nombre de répéteurs de satellites (équivalent 36 MHz) en service.</w:t>
            </w:r>
          </w:p>
          <w:p w14:paraId="17DE25E8"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Capacité correspondante (en Tbit/s).</w:t>
            </w:r>
          </w:p>
          <w:p w14:paraId="4060ED1A"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lastRenderedPageBreak/>
              <w:t>Nombre de microstations (millions).</w:t>
            </w:r>
          </w:p>
          <w:p w14:paraId="6174E4A5"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systèmes DTH (millions).</w:t>
            </w:r>
          </w:p>
        </w:tc>
        <w:tc>
          <w:tcPr>
            <w:tcW w:w="3321" w:type="dxa"/>
          </w:tcPr>
          <w:p w14:paraId="5C7484DA"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11E65680" w14:textId="77777777" w:rsidTr="00EF77D5">
        <w:tc>
          <w:tcPr>
            <w:cnfStyle w:val="001000000000" w:firstRow="0" w:lastRow="0" w:firstColumn="1" w:lastColumn="0" w:oddVBand="0" w:evenVBand="0" w:oddHBand="0" w:evenHBand="0" w:firstRowFirstColumn="0" w:firstRowLastColumn="0" w:lastRowFirstColumn="0" w:lastRowLastColumn="0"/>
            <w:tcW w:w="4649" w:type="dxa"/>
          </w:tcPr>
          <w:p w14:paraId="56C92E7B" w14:textId="77777777" w:rsidR="00575D39" w:rsidRPr="0008336A" w:rsidRDefault="00575D39" w:rsidP="00F65A0B">
            <w:pPr>
              <w:pStyle w:val="Tabletext"/>
              <w:spacing w:before="40" w:after="40"/>
              <w:rPr>
                <w:b w:val="0"/>
                <w:bCs w:val="0"/>
              </w:rPr>
            </w:pPr>
            <w:r w:rsidRPr="0008336A">
              <w:rPr>
                <w:b w:val="0"/>
                <w:bCs w:val="0"/>
              </w:rPr>
              <w:t>Nombre accru de dispositifs pouvant recevoir les signaux du service de radionavigation par satellite.</w:t>
            </w:r>
          </w:p>
        </w:tc>
        <w:tc>
          <w:tcPr>
            <w:tcW w:w="5978" w:type="dxa"/>
          </w:tcPr>
          <w:p w14:paraId="19E7CC06" w14:textId="7622C3E3"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constellations/satellites GNSS opérationnels</w:t>
            </w:r>
            <w:r w:rsidR="00FD20E3" w:rsidRPr="0008336A">
              <w:t xml:space="preserve"> </w:t>
            </w:r>
            <w:r w:rsidRPr="0008336A">
              <w:t>(le nombre de satellites peut inclure plusieurs fois le même satellite opérationnel étant donné que plusieurs réseaux à satellite peuvent prendre en charge le fonctionnement d'un satellite réel)</w:t>
            </w:r>
            <w:r w:rsidR="00FD20E3" w:rsidRPr="0008336A">
              <w:t>.</w:t>
            </w:r>
          </w:p>
          <w:p w14:paraId="6C8ABAC0"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dispositifs munis d'un récepteur GNSS intégré (milliards).</w:t>
            </w:r>
          </w:p>
        </w:tc>
        <w:tc>
          <w:tcPr>
            <w:tcW w:w="3321" w:type="dxa"/>
          </w:tcPr>
          <w:p w14:paraId="212B36E9"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4C5660C5" w14:textId="77777777" w:rsidTr="00EF77D5">
        <w:tc>
          <w:tcPr>
            <w:cnfStyle w:val="001000000000" w:firstRow="0" w:lastRow="0" w:firstColumn="1" w:lastColumn="0" w:oddVBand="0" w:evenVBand="0" w:oddHBand="0" w:evenHBand="0" w:firstRowFirstColumn="0" w:firstRowLastColumn="0" w:lastRowFirstColumn="0" w:lastRowLastColumn="0"/>
            <w:tcW w:w="4649" w:type="dxa"/>
          </w:tcPr>
          <w:p w14:paraId="4C911569" w14:textId="77777777" w:rsidR="00575D39" w:rsidRPr="0008336A" w:rsidRDefault="00575D39" w:rsidP="00F65A0B">
            <w:pPr>
              <w:pStyle w:val="Tabletext"/>
              <w:spacing w:before="40" w:after="40"/>
              <w:rPr>
                <w:b w:val="0"/>
                <w:bCs w:val="0"/>
              </w:rPr>
            </w:pPr>
            <w:r w:rsidRPr="0008336A">
              <w:rPr>
                <w:b w:val="0"/>
                <w:bCs w:val="0"/>
              </w:rPr>
              <w:t>Nombre accru de satellites d'exploration de la Terre en service et nombre correspondant de pays exploitant des satellites d'exploration de la Terre.</w:t>
            </w:r>
          </w:p>
        </w:tc>
        <w:tc>
          <w:tcPr>
            <w:tcW w:w="5978" w:type="dxa"/>
          </w:tcPr>
          <w:p w14:paraId="74EF3DB9"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satellites d'exploration de la Terre (OSG/systèmes non OSG/tous les satellites).</w:t>
            </w:r>
          </w:p>
          <w:p w14:paraId="191FE795"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pays exploitant des satellites d'exploration de la Terre.</w:t>
            </w:r>
          </w:p>
        </w:tc>
        <w:tc>
          <w:tcPr>
            <w:tcW w:w="3321" w:type="dxa"/>
          </w:tcPr>
          <w:p w14:paraId="7803FEE4" w14:textId="77777777" w:rsidR="00575D39" w:rsidRPr="0008336A" w:rsidRDefault="00575D39" w:rsidP="00F65A0B">
            <w:pPr>
              <w:pStyle w:val="Tabletext"/>
              <w:spacing w:before="40" w:after="40"/>
              <w:cnfStyle w:val="000000000000" w:firstRow="0" w:lastRow="0" w:firstColumn="0" w:lastColumn="0" w:oddVBand="0" w:evenVBand="0" w:oddHBand="0" w:evenHBand="0" w:firstRowFirstColumn="0" w:firstRowLastColumn="0" w:lastRowFirstColumn="0" w:lastRowLastColumn="0"/>
            </w:pPr>
          </w:p>
        </w:tc>
      </w:tr>
    </w:tbl>
    <w:p w14:paraId="28CB4DCB"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rPr>
      </w:pPr>
    </w:p>
    <w:p w14:paraId="0ADB02E4" w14:textId="77777777" w:rsidR="00FD20E3" w:rsidRPr="0008336A" w:rsidRDefault="00FD20E3" w:rsidP="00BD1734">
      <w:pPr>
        <w:pStyle w:val="Heading1"/>
      </w:pPr>
      <w:bookmarkStart w:id="180" w:name="_Toc34307492"/>
      <w:bookmarkStart w:id="181" w:name="_Toc34307570"/>
      <w:bookmarkStart w:id="182" w:name="_Toc34307668"/>
      <w:bookmarkStart w:id="183" w:name="_Toc39493333"/>
      <w:r w:rsidRPr="0008336A">
        <w:br w:type="page"/>
      </w:r>
    </w:p>
    <w:p w14:paraId="76A08889" w14:textId="5A690B15" w:rsidR="00575D39" w:rsidRPr="00F65A0B" w:rsidRDefault="00575D39" w:rsidP="00BD1734">
      <w:pPr>
        <w:pStyle w:val="Heading1"/>
        <w:rPr>
          <w:color w:val="1F497D" w:themeColor="text2"/>
        </w:rPr>
      </w:pPr>
      <w:r w:rsidRPr="00F65A0B">
        <w:rPr>
          <w:color w:val="1F497D" w:themeColor="text2"/>
        </w:rPr>
        <w:lastRenderedPageBreak/>
        <w:t>II.2.3 – R.3 Échange de connaissances</w:t>
      </w:r>
      <w:bookmarkEnd w:id="180"/>
      <w:bookmarkEnd w:id="181"/>
      <w:bookmarkEnd w:id="182"/>
      <w:bookmarkEnd w:id="183"/>
    </w:p>
    <w:p w14:paraId="07A2DF91" w14:textId="77777777" w:rsidR="00575D39" w:rsidRPr="00F65A0B" w:rsidRDefault="00575D39" w:rsidP="00BD1734">
      <w:pPr>
        <w:pStyle w:val="Headingb"/>
        <w:rPr>
          <w:i/>
          <w:iCs/>
          <w:color w:val="C0504D" w:themeColor="accent2"/>
        </w:rPr>
      </w:pPr>
      <w:r w:rsidRPr="00F65A0B">
        <w:rPr>
          <w:i/>
          <w:iCs/>
          <w:color w:val="C0504D" w:themeColor="accent2"/>
        </w:rPr>
        <w:t>Description de l'Objectif</w:t>
      </w:r>
    </w:p>
    <w:p w14:paraId="0E677174"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Encourager l'acquisition et l'échange de connaissances et de savoir</w:t>
      </w:r>
      <w:r w:rsidRPr="0008336A">
        <w:rPr>
          <w:rFonts w:asciiTheme="minorHAnsi" w:hAnsiTheme="minorHAnsi"/>
        </w:rPr>
        <w:noBreakHyphen/>
        <w:t>faire dans le domaine des radiocommunications.</w:t>
      </w:r>
    </w:p>
    <w:p w14:paraId="31783653"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84" w:name="lt_pId308"/>
      <w:r w:rsidRPr="0008336A">
        <w:rPr>
          <w:rFonts w:asciiTheme="minorHAnsi" w:hAnsiTheme="minorHAnsi"/>
        </w:rPr>
        <w:t>L'Objectif R.3 utilise 25,24% des ressources prévues pour les Objectifs de l'UIT-R ou 9,57% des ressources prévues de l'UIT pour 2021-2024.</w:t>
      </w:r>
      <w:bookmarkEnd w:id="184"/>
    </w:p>
    <w:p w14:paraId="6BC8D70E" w14:textId="77777777" w:rsidR="00575D39" w:rsidRPr="00F65A0B" w:rsidRDefault="00575D39" w:rsidP="00BD1734">
      <w:pPr>
        <w:pStyle w:val="Headingb"/>
        <w:rPr>
          <w:i/>
          <w:iCs/>
          <w:color w:val="C0504D" w:themeColor="accent2"/>
        </w:rPr>
      </w:pPr>
      <w:r w:rsidRPr="00F65A0B">
        <w:rPr>
          <w:i/>
          <w:iCs/>
          <w:color w:val="C0504D" w:themeColor="accent2"/>
        </w:rPr>
        <w:t>Récapitulatif de l'imputation des coûts</w:t>
      </w:r>
    </w:p>
    <w:bookmarkStart w:id="185" w:name="_MON_1644152219"/>
    <w:bookmarkEnd w:id="185"/>
    <w:p w14:paraId="12EF2A2D"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rPr>
      </w:pPr>
      <w:r w:rsidRPr="0008336A">
        <w:rPr>
          <w:rFonts w:asciiTheme="minorHAnsi" w:hAnsiTheme="minorHAnsi"/>
          <w:b/>
          <w:bCs/>
        </w:rPr>
        <w:object w:dxaOrig="12585" w:dyaOrig="3915" w14:anchorId="7C48FFF4">
          <v:shape id="_x0000_i1039" type="#_x0000_t75" style="width:629.25pt;height:195.75pt" o:ole="">
            <v:imagedata r:id="rId49" o:title=""/>
          </v:shape>
          <o:OLEObject Type="Embed" ProgID="Excel.Sheet.12" ShapeID="_x0000_i1039" DrawAspect="Content" ObjectID="_1650187652" r:id="rId50"/>
        </w:object>
      </w:r>
    </w:p>
    <w:p w14:paraId="7C31BE03" w14:textId="306E7D0B" w:rsidR="00575D39" w:rsidRPr="00F65A0B" w:rsidRDefault="00575D39" w:rsidP="00BD1734">
      <w:pPr>
        <w:pStyle w:val="Headingb"/>
        <w:spacing w:after="240"/>
        <w:rPr>
          <w:i/>
          <w:iCs/>
          <w:color w:val="C0504D" w:themeColor="accent2"/>
        </w:rPr>
      </w:pPr>
      <w:r w:rsidRPr="00F65A0B">
        <w:rPr>
          <w:i/>
          <w:iCs/>
          <w:color w:val="C0504D" w:themeColor="accent2"/>
        </w:rPr>
        <w:t>Rapport d'activité 2019</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122140ED" w14:textId="77777777" w:rsidTr="00926B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tcPr>
          <w:p w14:paraId="1B5365BD" w14:textId="77777777" w:rsidR="00575D39" w:rsidRPr="00F65A0B" w:rsidRDefault="00575D39" w:rsidP="00BD1734">
            <w:pPr>
              <w:pStyle w:val="Tablehead"/>
              <w:rPr>
                <w:b/>
                <w:bCs w:val="0"/>
                <w:i/>
                <w:iCs/>
                <w:color w:val="365F91" w:themeColor="accent1" w:themeShade="BF"/>
              </w:rPr>
            </w:pPr>
            <w:r w:rsidRPr="00F65A0B">
              <w:rPr>
                <w:b/>
                <w:bCs w:val="0"/>
                <w:i/>
                <w:iCs/>
                <w:color w:val="365F91" w:themeColor="accent1" w:themeShade="BF"/>
              </w:rPr>
              <w:t>Résultats obtenus</w:t>
            </w:r>
          </w:p>
        </w:tc>
        <w:tc>
          <w:tcPr>
            <w:tcW w:w="4649" w:type="dxa"/>
          </w:tcPr>
          <w:p w14:paraId="6972C5D2" w14:textId="77777777" w:rsidR="00575D39" w:rsidRPr="00F65A0B"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Mesure</w:t>
            </w:r>
          </w:p>
        </w:tc>
        <w:tc>
          <w:tcPr>
            <w:tcW w:w="4650" w:type="dxa"/>
          </w:tcPr>
          <w:p w14:paraId="731BF209" w14:textId="77777777" w:rsidR="00575D39" w:rsidRPr="00F65A0B"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 xml:space="preserve">Risque </w:t>
            </w:r>
          </w:p>
        </w:tc>
      </w:tr>
      <w:tr w:rsidR="00575D39" w:rsidRPr="0008336A" w14:paraId="616C6C88" w14:textId="77777777" w:rsidTr="001D3152">
        <w:tc>
          <w:tcPr>
            <w:cnfStyle w:val="001000000000" w:firstRow="0" w:lastRow="0" w:firstColumn="1" w:lastColumn="0" w:oddVBand="0" w:evenVBand="0" w:oddHBand="0" w:evenHBand="0" w:firstRowFirstColumn="0" w:firstRowLastColumn="0" w:lastRowFirstColumn="0" w:lastRowLastColumn="0"/>
            <w:tcW w:w="4649" w:type="dxa"/>
          </w:tcPr>
          <w:p w14:paraId="20C48F1A" w14:textId="77777777" w:rsidR="00575D39" w:rsidRPr="0008336A" w:rsidRDefault="00575D39" w:rsidP="00BD1734">
            <w:pPr>
              <w:pStyle w:val="Tabletext"/>
              <w:rPr>
                <w:b w:val="0"/>
                <w:bCs w:val="0"/>
              </w:rPr>
            </w:pPr>
            <w:r w:rsidRPr="0008336A">
              <w:rPr>
                <w:b w:val="0"/>
                <w:bCs w:val="0"/>
              </w:rPr>
              <w:t>Augmentation du niveau de connaissances et de savoir-faire en ce qui concerne le Règlement des radiocommunications, les Règles de procédure, les accords régionaux, les recommandations et les bonnes pratiques en matière d'utilisation du spectre.</w:t>
            </w:r>
          </w:p>
        </w:tc>
        <w:tc>
          <w:tcPr>
            <w:tcW w:w="4649" w:type="dxa"/>
          </w:tcPr>
          <w:p w14:paraId="2FB2AB78"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rPr>
                <w:b/>
                <w:bCs/>
              </w:rPr>
              <w:t>1,56</w:t>
            </w:r>
            <w:r w:rsidRPr="0008336A">
              <w:t xml:space="preserve"> million de téléchargements de publications de l'UIT</w:t>
            </w:r>
            <w:r w:rsidRPr="0008336A">
              <w:noBreakHyphen/>
              <w:t>R accessibles en ligne gratuitement contre 1,57 en 2018.</w:t>
            </w:r>
          </w:p>
          <w:p w14:paraId="7468D7F5"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Au total, </w:t>
            </w:r>
            <w:r w:rsidRPr="0008336A">
              <w:rPr>
                <w:b/>
                <w:bCs/>
              </w:rPr>
              <w:t>5</w:t>
            </w:r>
            <w:r w:rsidRPr="0008336A">
              <w:t xml:space="preserve"> manifestations et </w:t>
            </w:r>
            <w:r w:rsidRPr="0008336A">
              <w:rPr>
                <w:b/>
                <w:bCs/>
              </w:rPr>
              <w:t>634</w:t>
            </w:r>
            <w:r w:rsidRPr="0008336A">
              <w:t xml:space="preserve"> participants aux séminaires, ateliers et manifestations sur le renforcement des capacités de l'UIT (séminaires mondiaux et régionaux, ainsi que colloques) </w:t>
            </w:r>
            <w:r w:rsidRPr="0008336A">
              <w:lastRenderedPageBreak/>
              <w:t>organisés par le BR (11 manifestations et 815 participants en 2018).</w:t>
            </w:r>
          </w:p>
          <w:p w14:paraId="7531C923" w14:textId="6F1570C9"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186" w:name="_Hlk39072808"/>
            <w:r w:rsidRPr="0008336A">
              <w:rPr>
                <w:b/>
                <w:bCs/>
              </w:rPr>
              <w:t>33</w:t>
            </w:r>
            <w:r w:rsidRPr="0008336A">
              <w:t xml:space="preserve"> activités d'assistance technique fournies pour les services de Terre, </w:t>
            </w:r>
            <w:r w:rsidRPr="0008336A">
              <w:rPr>
                <w:b/>
                <w:bCs/>
              </w:rPr>
              <w:t>84</w:t>
            </w:r>
            <w:r w:rsidRPr="0008336A">
              <w:t xml:space="preserve"> pays bénéficiaires et </w:t>
            </w:r>
            <w:r w:rsidRPr="0008336A">
              <w:rPr>
                <w:b/>
                <w:bCs/>
              </w:rPr>
              <w:t>118</w:t>
            </w:r>
            <w:r w:rsidRPr="0008336A">
              <w:t xml:space="preserve"> jours consacrés à ces activités.</w:t>
            </w:r>
            <w:bookmarkEnd w:id="186"/>
          </w:p>
        </w:tc>
        <w:tc>
          <w:tcPr>
            <w:tcW w:w="4650" w:type="dxa"/>
          </w:tcPr>
          <w:p w14:paraId="11FE3CB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lastRenderedPageBreak/>
              <w:t>Pas de difficulté/risque notable rencontré(e).</w:t>
            </w:r>
          </w:p>
        </w:tc>
      </w:tr>
      <w:tr w:rsidR="00575D39" w:rsidRPr="0008336A" w14:paraId="74A329E9" w14:textId="77777777" w:rsidTr="001D3152">
        <w:tc>
          <w:tcPr>
            <w:cnfStyle w:val="001000000000" w:firstRow="0" w:lastRow="0" w:firstColumn="1" w:lastColumn="0" w:oddVBand="0" w:evenVBand="0" w:oddHBand="0" w:evenHBand="0" w:firstRowFirstColumn="0" w:firstRowLastColumn="0" w:lastRowFirstColumn="0" w:lastRowLastColumn="0"/>
            <w:tcW w:w="4649" w:type="dxa"/>
          </w:tcPr>
          <w:p w14:paraId="178C89C1" w14:textId="77777777" w:rsidR="00575D39" w:rsidRPr="0008336A" w:rsidRDefault="00575D39" w:rsidP="00BD1734">
            <w:pPr>
              <w:pStyle w:val="Tabletext"/>
              <w:rPr>
                <w:b w:val="0"/>
                <w:bCs w:val="0"/>
              </w:rPr>
            </w:pPr>
            <w:r w:rsidRPr="0008336A">
              <w:rPr>
                <w:b w:val="0"/>
                <w:bCs w:val="0"/>
              </w:rPr>
              <w:t>Niveau de participation pertinente, en particulier des pays en développement, aux activités de l'UIT-R (y compris par la participation à distance).</w:t>
            </w:r>
          </w:p>
        </w:tc>
        <w:tc>
          <w:tcPr>
            <w:tcW w:w="4649" w:type="dxa"/>
          </w:tcPr>
          <w:p w14:paraId="058D7D9E"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Au total, </w:t>
            </w:r>
            <w:r w:rsidRPr="0008336A">
              <w:rPr>
                <w:b/>
                <w:bCs/>
              </w:rPr>
              <w:t>38</w:t>
            </w:r>
            <w:r w:rsidRPr="0008336A">
              <w:t xml:space="preserve"> manifestations et </w:t>
            </w:r>
            <w:r w:rsidRPr="0008336A">
              <w:rPr>
                <w:b/>
                <w:bCs/>
              </w:rPr>
              <w:t>9 679</w:t>
            </w:r>
            <w:r w:rsidRPr="0008336A">
              <w:t xml:space="preserve"> participants aux conférences et aux assemblées de l'UIT-R, ainsi qu'aux réunions connexes des Commissions d'études de l'UIT-R (47 manifestations et 6 528 participants en 2018).</w:t>
            </w:r>
          </w:p>
        </w:tc>
        <w:tc>
          <w:tcPr>
            <w:tcW w:w="4650" w:type="dxa"/>
          </w:tcPr>
          <w:p w14:paraId="2018DB5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328BCE46" w14:textId="430ED549" w:rsidR="00575D39" w:rsidRPr="0008336A" w:rsidRDefault="00575D39" w:rsidP="00BD173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i/>
          <w:iCs/>
        </w:rPr>
      </w:pPr>
    </w:p>
    <w:p w14:paraId="38752C5F" w14:textId="77777777" w:rsidR="00575D39" w:rsidRPr="00F65A0B" w:rsidRDefault="00575D39" w:rsidP="00BD1734">
      <w:pPr>
        <w:pStyle w:val="Headingb"/>
        <w:spacing w:after="240"/>
        <w:rPr>
          <w:i/>
          <w:iCs/>
          <w:color w:val="C0504D" w:themeColor="accent2"/>
        </w:rPr>
      </w:pPr>
      <w:r w:rsidRPr="00F65A0B">
        <w:rPr>
          <w:i/>
          <w:iCs/>
          <w:color w:val="C0504D" w:themeColor="accent2"/>
        </w:rPr>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50CB059B" w14:textId="77777777" w:rsidTr="001D3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0234034B" w14:textId="77777777" w:rsidR="00575D39" w:rsidRPr="00F65A0B" w:rsidRDefault="00575D39" w:rsidP="00BD1734">
            <w:pPr>
              <w:pStyle w:val="Tablehead"/>
              <w:rPr>
                <w:b/>
                <w:bCs w:val="0"/>
                <w:i/>
                <w:iCs/>
                <w:color w:val="365F91" w:themeColor="accent1" w:themeShade="BF"/>
              </w:rPr>
            </w:pPr>
            <w:r w:rsidRPr="00F65A0B">
              <w:rPr>
                <w:b/>
                <w:bCs w:val="0"/>
                <w:i/>
                <w:iCs/>
                <w:color w:val="365F91" w:themeColor="accent1" w:themeShade="BF"/>
              </w:rPr>
              <w:t>Résultats</w:t>
            </w:r>
          </w:p>
        </w:tc>
        <w:tc>
          <w:tcPr>
            <w:tcW w:w="4649" w:type="dxa"/>
          </w:tcPr>
          <w:p w14:paraId="206F125D" w14:textId="77777777" w:rsidR="00575D39" w:rsidRPr="00F65A0B"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Indicateurs de résultat</w:t>
            </w:r>
          </w:p>
        </w:tc>
        <w:tc>
          <w:tcPr>
            <w:tcW w:w="4650" w:type="dxa"/>
          </w:tcPr>
          <w:p w14:paraId="60204384" w14:textId="77777777" w:rsidR="00575D39" w:rsidRPr="00F65A0B"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F65A0B">
              <w:rPr>
                <w:b/>
                <w:bCs w:val="0"/>
                <w:i/>
                <w:iCs/>
                <w:color w:val="365F91" w:themeColor="accent1" w:themeShade="BF"/>
              </w:rPr>
              <w:t>Indicateurs de risque</w:t>
            </w:r>
          </w:p>
        </w:tc>
      </w:tr>
      <w:tr w:rsidR="00575D39" w:rsidRPr="0008336A" w14:paraId="593D0385" w14:textId="77777777" w:rsidTr="001D3152">
        <w:tc>
          <w:tcPr>
            <w:cnfStyle w:val="001000000000" w:firstRow="0" w:lastRow="0" w:firstColumn="1" w:lastColumn="0" w:oddVBand="0" w:evenVBand="0" w:oddHBand="0" w:evenHBand="0" w:firstRowFirstColumn="0" w:firstRowLastColumn="0" w:lastRowFirstColumn="0" w:lastRowLastColumn="0"/>
            <w:tcW w:w="4649" w:type="dxa"/>
          </w:tcPr>
          <w:p w14:paraId="17A2DF4E" w14:textId="77777777" w:rsidR="00575D39" w:rsidRPr="0008336A" w:rsidRDefault="00575D39" w:rsidP="00BD1734">
            <w:pPr>
              <w:pStyle w:val="Tabletext"/>
              <w:rPr>
                <w:b w:val="0"/>
                <w:bCs w:val="0"/>
              </w:rPr>
            </w:pPr>
            <w:r w:rsidRPr="0008336A">
              <w:rPr>
                <w:b w:val="0"/>
                <w:bCs w:val="0"/>
              </w:rPr>
              <w:t>Renforcement des connaissances et du savoir-faire en ce qui concerne le Règlement des radiocommunications, les Règles de procédure, les accords régionaux, les recommandations et les bonnes pratiques en matière d'utilisation du spectre.</w:t>
            </w:r>
          </w:p>
        </w:tc>
        <w:tc>
          <w:tcPr>
            <w:tcW w:w="4649" w:type="dxa"/>
          </w:tcPr>
          <w:p w14:paraId="5E5D7E9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téléchargements de publications de l'UIT</w:t>
            </w:r>
            <w:r w:rsidRPr="0008336A">
              <w:noBreakHyphen/>
              <w:t>R accessibles en ligne gratuitement (millions).</w:t>
            </w:r>
          </w:p>
          <w:p w14:paraId="43CD423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total de manifestations/participants aux séminaires, ateliers et manifestations sur le renforcement des capacités de l'UIT (séminaires mondiaux et régionaux, ainsi que colloques) organisés par le BR.</w:t>
            </w:r>
          </w:p>
          <w:p w14:paraId="3472F58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d'activités d'assistance technique fournies pour les services de Terre, de pays bénéficiaires et de jours consacrés à ces activités.</w:t>
            </w:r>
          </w:p>
        </w:tc>
        <w:tc>
          <w:tcPr>
            <w:tcW w:w="4650" w:type="dxa"/>
          </w:tcPr>
          <w:p w14:paraId="39420DF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 formateurs qualifiés et qualité insuffisante des formations.</w:t>
            </w:r>
          </w:p>
          <w:p w14:paraId="361D9E7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d'engagement de la part des partenaires.</w:t>
            </w:r>
          </w:p>
          <w:p w14:paraId="2955BCE9"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 capacités (y compris de ressources humaines) pour organiser un nombre suffisant de séminaires, d'ateliers et de manifestations sur le renforcement des capacités, à l'étranger.</w:t>
            </w:r>
          </w:p>
        </w:tc>
      </w:tr>
      <w:tr w:rsidR="00575D39" w:rsidRPr="0008336A" w14:paraId="7F9F1D18" w14:textId="77777777" w:rsidTr="001D3152">
        <w:tc>
          <w:tcPr>
            <w:cnfStyle w:val="001000000000" w:firstRow="0" w:lastRow="0" w:firstColumn="1" w:lastColumn="0" w:oddVBand="0" w:evenVBand="0" w:oddHBand="0" w:evenHBand="0" w:firstRowFirstColumn="0" w:firstRowLastColumn="0" w:lastRowFirstColumn="0" w:lastRowLastColumn="0"/>
            <w:tcW w:w="4649" w:type="dxa"/>
          </w:tcPr>
          <w:p w14:paraId="14BCED18" w14:textId="53BD270B" w:rsidR="00575D39" w:rsidRPr="0008336A" w:rsidRDefault="00575D39" w:rsidP="00BD1734">
            <w:pPr>
              <w:pStyle w:val="Tabletext"/>
              <w:rPr>
                <w:b w:val="0"/>
                <w:bCs w:val="0"/>
              </w:rPr>
            </w:pPr>
            <w:r w:rsidRPr="0008336A">
              <w:rPr>
                <w:b w:val="0"/>
                <w:bCs w:val="0"/>
              </w:rPr>
              <w:t>Renforcement de la participation, en</w:t>
            </w:r>
            <w:r w:rsidR="00926B4D" w:rsidRPr="0008336A">
              <w:rPr>
                <w:b w:val="0"/>
                <w:bCs w:val="0"/>
              </w:rPr>
              <w:t xml:space="preserve"> </w:t>
            </w:r>
            <w:r w:rsidRPr="0008336A">
              <w:rPr>
                <w:b w:val="0"/>
                <w:bCs w:val="0"/>
              </w:rPr>
              <w:t>particulier des pays en développement, aux activités de l'UIT-R (y compris par la participation à distance).</w:t>
            </w:r>
          </w:p>
        </w:tc>
        <w:tc>
          <w:tcPr>
            <w:tcW w:w="4649" w:type="dxa"/>
          </w:tcPr>
          <w:p w14:paraId="2EE07B2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total de manifestations/participants aux conférences et aux assemblées de l'UIT-R, ainsi qu'aux réunions connexes des Commissions d'études de l'UIT-R.</w:t>
            </w:r>
          </w:p>
        </w:tc>
        <w:tc>
          <w:tcPr>
            <w:tcW w:w="4650" w:type="dxa"/>
          </w:tcPr>
          <w:p w14:paraId="74E13AF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Manque de capacités pour organiser les conférences et les assemblées de l'UIT-R, ainsi que les réunions connexes des Commissions d'études de l'UIT-R, à l'étranger ou à Genève. </w:t>
            </w:r>
          </w:p>
        </w:tc>
      </w:tr>
    </w:tbl>
    <w:p w14:paraId="339A4974" w14:textId="2A068145" w:rsidR="00575D39" w:rsidRPr="0008336A" w:rsidRDefault="00575D39" w:rsidP="00BD1734">
      <w:pPr>
        <w:pStyle w:val="Heading1"/>
      </w:pPr>
      <w:bookmarkStart w:id="187" w:name="_Toc34307493"/>
      <w:bookmarkStart w:id="188" w:name="_Toc34307571"/>
      <w:bookmarkStart w:id="189" w:name="_Toc34307669"/>
      <w:bookmarkStart w:id="190" w:name="_Toc39493334"/>
      <w:r w:rsidRPr="0008336A">
        <w:lastRenderedPageBreak/>
        <w:t>II.3</w:t>
      </w:r>
      <w:r w:rsidRPr="0008336A">
        <w:tab/>
        <w:t>Objectifs du Secteur de la normalisation des télécommunications</w:t>
      </w:r>
      <w:bookmarkEnd w:id="187"/>
      <w:bookmarkEnd w:id="188"/>
      <w:bookmarkEnd w:id="189"/>
      <w:bookmarkEnd w:id="190"/>
    </w:p>
    <w:p w14:paraId="4100A388"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spacing w:before="240"/>
        <w:rPr>
          <w:rFonts w:asciiTheme="minorHAnsi" w:hAnsiTheme="minorHAnsi"/>
        </w:rPr>
      </w:pPr>
      <w:bookmarkStart w:id="191" w:name="lt_pId325"/>
      <w:r w:rsidRPr="0008336A">
        <w:rPr>
          <w:rFonts w:asciiTheme="minorHAnsi" w:hAnsiTheme="minorHAnsi"/>
        </w:rPr>
        <w:t>Cinq Objectifs du Secteur de la normalisation des télécommunications sont prévus pour la période 2021-2024, représentant 16,53% du total des ressources prévues de l'Union pour cette période.</w:t>
      </w:r>
    </w:p>
    <w:bookmarkEnd w:id="191"/>
    <w:p w14:paraId="508E81AE" w14:textId="77777777" w:rsidR="00575D39" w:rsidRPr="0008336A" w:rsidRDefault="00575D39" w:rsidP="00BD1734">
      <w:pPr>
        <w:pStyle w:val="Tabletitle"/>
        <w:spacing w:before="360" w:after="0"/>
      </w:pPr>
      <w:r w:rsidRPr="0008336A">
        <w:t>Objectifs de l'UIT-T</w:t>
      </w:r>
    </w:p>
    <w:p w14:paraId="0611D1EC" w14:textId="77777777" w:rsidR="00575D39" w:rsidRPr="0008336A" w:rsidRDefault="00575D39" w:rsidP="00BD1734">
      <w:pPr>
        <w:pStyle w:val="Tabletitle"/>
        <w:spacing w:after="0"/>
      </w:pPr>
      <w:bookmarkStart w:id="192" w:name="lt_pId328"/>
      <w:bookmarkStart w:id="193" w:name="lt_pId406"/>
      <w:r w:rsidRPr="0008336A">
        <w:t xml:space="preserve">Coûts prévus </w:t>
      </w:r>
      <w:bookmarkEnd w:id="192"/>
      <w:r w:rsidRPr="0008336A">
        <w:t>pour 2021-2024</w:t>
      </w:r>
      <w:bookmarkEnd w:id="193"/>
    </w:p>
    <w:p w14:paraId="74AEF8D0" w14:textId="77777777" w:rsidR="00575D39" w:rsidRPr="0008336A" w:rsidRDefault="00575D39" w:rsidP="00BD1734">
      <w:pPr>
        <w:pStyle w:val="Tabletitle"/>
        <w:spacing w:after="240"/>
      </w:pPr>
      <w:r w:rsidRPr="0008336A">
        <w:t>Ventilation par composante de coût</w:t>
      </w:r>
    </w:p>
    <w:bookmarkStart w:id="194" w:name="_MON_1644152583"/>
    <w:bookmarkEnd w:id="194"/>
    <w:p w14:paraId="778C3899"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5315" w:dyaOrig="5910" w14:anchorId="17902C6E">
          <v:shape id="_x0000_i1040" type="#_x0000_t75" style="width:665.45pt;height:257.4pt" o:ole="">
            <v:imagedata r:id="rId51" o:title=""/>
          </v:shape>
          <o:OLEObject Type="Embed" ProgID="Excel.Sheet.12" ShapeID="_x0000_i1040" DrawAspect="Content" ObjectID="_1650187653" r:id="rId52"/>
        </w:object>
      </w:r>
    </w:p>
    <w:p w14:paraId="59643B4B" w14:textId="77777777" w:rsidR="00575D39" w:rsidRPr="0008336A" w:rsidRDefault="00575D39" w:rsidP="00BD173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sz w:val="28"/>
        </w:rPr>
      </w:pPr>
      <w:r w:rsidRPr="0008336A">
        <w:rPr>
          <w:rFonts w:asciiTheme="minorHAnsi" w:hAnsiTheme="minorHAnsi"/>
        </w:rPr>
        <w:br w:type="page"/>
      </w:r>
    </w:p>
    <w:p w14:paraId="754393DE" w14:textId="1BE7C4FE" w:rsidR="00575D39" w:rsidRPr="0079797D" w:rsidRDefault="00575D39" w:rsidP="00BD1734">
      <w:pPr>
        <w:pStyle w:val="Heading1"/>
        <w:rPr>
          <w:color w:val="1F497D" w:themeColor="text2"/>
        </w:rPr>
      </w:pPr>
      <w:bookmarkStart w:id="195" w:name="_Toc34307494"/>
      <w:bookmarkStart w:id="196" w:name="_Toc34307572"/>
      <w:bookmarkStart w:id="197" w:name="_Toc34307670"/>
      <w:bookmarkStart w:id="198" w:name="_Toc39493335"/>
      <w:r w:rsidRPr="0079797D">
        <w:rPr>
          <w:color w:val="1F497D" w:themeColor="text2"/>
        </w:rPr>
        <w:lastRenderedPageBreak/>
        <w:t>II.3.1 – T.1 Élaboration de normes</w:t>
      </w:r>
      <w:bookmarkEnd w:id="195"/>
      <w:bookmarkEnd w:id="196"/>
      <w:bookmarkEnd w:id="197"/>
      <w:bookmarkEnd w:id="198"/>
    </w:p>
    <w:p w14:paraId="3C8CB3DE" w14:textId="77777777" w:rsidR="00575D39" w:rsidRPr="0079797D" w:rsidRDefault="00575D39" w:rsidP="00BD1734">
      <w:pPr>
        <w:pStyle w:val="Headingb"/>
        <w:rPr>
          <w:i/>
          <w:iCs/>
          <w:color w:val="C0504D" w:themeColor="accent2"/>
        </w:rPr>
      </w:pPr>
      <w:r w:rsidRPr="0079797D">
        <w:rPr>
          <w:i/>
          <w:iCs/>
          <w:color w:val="C0504D" w:themeColor="accent2"/>
        </w:rPr>
        <w:t>Description de l'Objectif</w:t>
      </w:r>
    </w:p>
    <w:p w14:paraId="7CDD2E2D"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Élaborer dans les meilleurs délais des normes internationales sur les télécommunications/TIC non discriminatoires (Recommandations UIT-T) et promouvoir l'interopérabilité et l'amélioration de la qualité de fonctionnement des équipements, des réseaux, des services et des applications.</w:t>
      </w:r>
    </w:p>
    <w:p w14:paraId="4C416F14"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199" w:name="lt_pId334"/>
      <w:r w:rsidRPr="0008336A">
        <w:rPr>
          <w:rFonts w:asciiTheme="minorHAnsi" w:hAnsiTheme="minorHAnsi"/>
        </w:rPr>
        <w:t>L'Objectif T.1 utilise 45,30% des ressources prévues pour les Objectifs de l'UIT-T ou 7,49% des ressources prévues de l'UIT pour 2021-2024.</w:t>
      </w:r>
    </w:p>
    <w:bookmarkEnd w:id="199"/>
    <w:p w14:paraId="054F407D" w14:textId="77777777" w:rsidR="00575D39" w:rsidRPr="0079797D" w:rsidRDefault="00575D39" w:rsidP="00BD1734">
      <w:pPr>
        <w:pStyle w:val="Headingb"/>
        <w:rPr>
          <w:i/>
          <w:iCs/>
          <w:color w:val="C0504D" w:themeColor="accent2"/>
        </w:rPr>
      </w:pPr>
      <w:r w:rsidRPr="0079797D">
        <w:rPr>
          <w:i/>
          <w:iCs/>
          <w:color w:val="C0504D" w:themeColor="accent2"/>
        </w:rPr>
        <w:t>Récapitulatif de l'imputation des coûts</w:t>
      </w:r>
    </w:p>
    <w:bookmarkStart w:id="200" w:name="_MON_1644152995"/>
    <w:bookmarkEnd w:id="200"/>
    <w:p w14:paraId="4C69B64E"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rPr>
      </w:pPr>
      <w:r w:rsidRPr="0008336A">
        <w:rPr>
          <w:rFonts w:asciiTheme="minorHAnsi" w:hAnsiTheme="minorHAnsi"/>
          <w:b/>
          <w:bCs/>
        </w:rPr>
        <w:object w:dxaOrig="13005" w:dyaOrig="3705" w14:anchorId="110523F2">
          <v:shape id="_x0000_i1041" type="#_x0000_t75" style="width:650.25pt;height:184.5pt" o:ole="">
            <v:imagedata r:id="rId53" o:title=""/>
          </v:shape>
          <o:OLEObject Type="Embed" ProgID="Excel.Sheet.12" ShapeID="_x0000_i1041" DrawAspect="Content" ObjectID="_1650187654" r:id="rId54"/>
        </w:object>
      </w:r>
    </w:p>
    <w:p w14:paraId="0E839F56" w14:textId="77777777" w:rsidR="00575D39" w:rsidRPr="0008336A" w:rsidRDefault="00575D39" w:rsidP="00BD173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i/>
          <w:iCs/>
        </w:rPr>
      </w:pPr>
      <w:r w:rsidRPr="0008336A">
        <w:rPr>
          <w:rFonts w:asciiTheme="minorHAnsi" w:hAnsiTheme="minorHAnsi"/>
          <w:i/>
          <w:iCs/>
        </w:rPr>
        <w:br w:type="page"/>
      </w:r>
    </w:p>
    <w:p w14:paraId="6A846747" w14:textId="77777777" w:rsidR="00575D39" w:rsidRPr="0079797D" w:rsidRDefault="00575D39" w:rsidP="0079797D">
      <w:pPr>
        <w:pStyle w:val="Headingb"/>
        <w:spacing w:after="120"/>
        <w:rPr>
          <w:i/>
          <w:iCs/>
          <w:color w:val="C0504D" w:themeColor="accent2"/>
        </w:rPr>
      </w:pPr>
      <w:r w:rsidRPr="0079797D">
        <w:rPr>
          <w:i/>
          <w:iCs/>
          <w:color w:val="C0504D" w:themeColor="accent2"/>
        </w:rPr>
        <w:lastRenderedPageBreak/>
        <w:t>Rapport d'activité 2019</w:t>
      </w:r>
    </w:p>
    <w:tbl>
      <w:tblPr>
        <w:tblStyle w:val="GridTable1Light-Accent12"/>
        <w:tblW w:w="14170" w:type="dxa"/>
        <w:tblLook w:val="04A0" w:firstRow="1" w:lastRow="0" w:firstColumn="1" w:lastColumn="0" w:noHBand="0" w:noVBand="1"/>
      </w:tblPr>
      <w:tblGrid>
        <w:gridCol w:w="4673"/>
        <w:gridCol w:w="5103"/>
        <w:gridCol w:w="4394"/>
      </w:tblGrid>
      <w:tr w:rsidR="00575D39" w:rsidRPr="0008336A" w14:paraId="59389B72" w14:textId="77777777" w:rsidTr="00797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47B021B" w14:textId="77777777" w:rsidR="00575D39" w:rsidRPr="0079797D" w:rsidRDefault="00575D39" w:rsidP="0079797D">
            <w:pPr>
              <w:pStyle w:val="Tablehead"/>
              <w:spacing w:before="40" w:after="40"/>
              <w:rPr>
                <w:b/>
                <w:bCs w:val="0"/>
                <w:i/>
                <w:iCs/>
                <w:color w:val="365F91" w:themeColor="accent1" w:themeShade="BF"/>
              </w:rPr>
            </w:pPr>
            <w:r w:rsidRPr="0079797D">
              <w:rPr>
                <w:b/>
                <w:bCs w:val="0"/>
                <w:i/>
                <w:iCs/>
                <w:color w:val="365F91" w:themeColor="accent1" w:themeShade="BF"/>
              </w:rPr>
              <w:t>Résultats obtenus</w:t>
            </w:r>
          </w:p>
        </w:tc>
        <w:tc>
          <w:tcPr>
            <w:tcW w:w="5103" w:type="dxa"/>
          </w:tcPr>
          <w:p w14:paraId="2E0CB48E" w14:textId="77777777" w:rsidR="00575D39" w:rsidRPr="0079797D" w:rsidRDefault="00575D39" w:rsidP="0079797D">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Mesure</w:t>
            </w:r>
          </w:p>
        </w:tc>
        <w:tc>
          <w:tcPr>
            <w:tcW w:w="4394" w:type="dxa"/>
          </w:tcPr>
          <w:p w14:paraId="3877710C" w14:textId="77777777" w:rsidR="00575D39" w:rsidRPr="0079797D" w:rsidRDefault="00575D39" w:rsidP="0079797D">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 xml:space="preserve">Risque </w:t>
            </w:r>
          </w:p>
        </w:tc>
      </w:tr>
      <w:tr w:rsidR="00575D39" w:rsidRPr="0008336A" w14:paraId="337C75E1" w14:textId="77777777" w:rsidTr="0079797D">
        <w:tc>
          <w:tcPr>
            <w:cnfStyle w:val="001000000000" w:firstRow="0" w:lastRow="0" w:firstColumn="1" w:lastColumn="0" w:oddVBand="0" w:evenVBand="0" w:oddHBand="0" w:evenHBand="0" w:firstRowFirstColumn="0" w:firstRowLastColumn="0" w:lastRowFirstColumn="0" w:lastRowLastColumn="0"/>
            <w:tcW w:w="4673" w:type="dxa"/>
          </w:tcPr>
          <w:p w14:paraId="6BB04631" w14:textId="77777777" w:rsidR="00575D39" w:rsidRPr="0008336A" w:rsidRDefault="00575D39" w:rsidP="0079797D">
            <w:pPr>
              <w:pStyle w:val="Tabletext"/>
              <w:spacing w:before="40" w:after="40"/>
              <w:rPr>
                <w:b w:val="0"/>
                <w:bCs w:val="0"/>
              </w:rPr>
            </w:pPr>
            <w:r w:rsidRPr="0008336A">
              <w:rPr>
                <w:b w:val="0"/>
                <w:bCs w:val="0"/>
              </w:rPr>
              <w:t>Utilisation importante des Recommandations UIT-T.</w:t>
            </w:r>
          </w:p>
        </w:tc>
        <w:tc>
          <w:tcPr>
            <w:tcW w:w="5103" w:type="dxa"/>
          </w:tcPr>
          <w:p w14:paraId="6481C793"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3 816 participants aux travaux des commissions d'études (y compris les groupes régionaux) (+ 1,3% par rapport à 2018).</w:t>
            </w:r>
          </w:p>
          <w:p w14:paraId="61D24351"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2 773 275 téléchargements de Recommandations UIT-T.</w:t>
            </w:r>
          </w:p>
        </w:tc>
        <w:tc>
          <w:tcPr>
            <w:tcW w:w="4394" w:type="dxa"/>
          </w:tcPr>
          <w:p w14:paraId="5A6D705D"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 xml:space="preserve">Tous les risques potentiels ont été maîtrisés. Progression du public et bonne réponse à la demande. </w:t>
            </w:r>
          </w:p>
        </w:tc>
      </w:tr>
      <w:tr w:rsidR="00575D39" w:rsidRPr="0008336A" w14:paraId="7678EA05" w14:textId="77777777" w:rsidTr="0079797D">
        <w:tc>
          <w:tcPr>
            <w:cnfStyle w:val="001000000000" w:firstRow="0" w:lastRow="0" w:firstColumn="1" w:lastColumn="0" w:oddVBand="0" w:evenVBand="0" w:oddHBand="0" w:evenHBand="0" w:firstRowFirstColumn="0" w:firstRowLastColumn="0" w:lastRowFirstColumn="0" w:lastRowLastColumn="0"/>
            <w:tcW w:w="4673" w:type="dxa"/>
          </w:tcPr>
          <w:p w14:paraId="48C30743" w14:textId="77777777" w:rsidR="00575D39" w:rsidRPr="0008336A" w:rsidRDefault="00575D39" w:rsidP="0079797D">
            <w:pPr>
              <w:pStyle w:val="Tabletext"/>
              <w:spacing w:before="40" w:after="40"/>
              <w:rPr>
                <w:b w:val="0"/>
                <w:bCs w:val="0"/>
              </w:rPr>
            </w:pPr>
            <w:r w:rsidRPr="0008336A">
              <w:rPr>
                <w:b w:val="0"/>
                <w:bCs w:val="0"/>
              </w:rPr>
              <w:t>Conformité avérée aux Recommandations UIT-T.</w:t>
            </w:r>
          </w:p>
        </w:tc>
        <w:tc>
          <w:tcPr>
            <w:tcW w:w="5103" w:type="dxa"/>
          </w:tcPr>
          <w:p w14:paraId="7CFA7CF6"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170 Recommandations décrivant des spécifications de test.</w:t>
            </w:r>
          </w:p>
        </w:tc>
        <w:tc>
          <w:tcPr>
            <w:tcW w:w="4394" w:type="dxa"/>
          </w:tcPr>
          <w:p w14:paraId="3098F197"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Les systèmes et le personnel a répondu aux exigences et au niveau de la demande.</w:t>
            </w:r>
          </w:p>
        </w:tc>
      </w:tr>
      <w:tr w:rsidR="00575D39" w:rsidRPr="0008336A" w14:paraId="6273EE3F" w14:textId="77777777" w:rsidTr="0079797D">
        <w:tc>
          <w:tcPr>
            <w:cnfStyle w:val="001000000000" w:firstRow="0" w:lastRow="0" w:firstColumn="1" w:lastColumn="0" w:oddVBand="0" w:evenVBand="0" w:oddHBand="0" w:evenHBand="0" w:firstRowFirstColumn="0" w:firstRowLastColumn="0" w:lastRowFirstColumn="0" w:lastRowLastColumn="0"/>
            <w:tcW w:w="4673" w:type="dxa"/>
          </w:tcPr>
          <w:p w14:paraId="17B6BC8D" w14:textId="77777777" w:rsidR="00575D39" w:rsidRPr="0008336A" w:rsidRDefault="00575D39" w:rsidP="0079797D">
            <w:pPr>
              <w:pStyle w:val="Tabletext"/>
              <w:spacing w:before="40" w:after="40"/>
              <w:rPr>
                <w:b w:val="0"/>
                <w:bCs w:val="0"/>
              </w:rPr>
            </w:pPr>
            <w:r w:rsidRPr="0008336A">
              <w:rPr>
                <w:b w:val="0"/>
                <w:bCs w:val="0"/>
              </w:rPr>
              <w:t>Nombre élevé de nouveaux domaines de travail (nouveaux thèmes de travail et nouvelles Questions).</w:t>
            </w:r>
          </w:p>
        </w:tc>
        <w:tc>
          <w:tcPr>
            <w:tcW w:w="5103" w:type="dxa"/>
          </w:tcPr>
          <w:p w14:paraId="586C3514"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 xml:space="preserve">Nombre de nouvelles </w:t>
            </w:r>
            <w:proofErr w:type="gramStart"/>
            <w:r w:rsidRPr="0008336A">
              <w:t>Questions:</w:t>
            </w:r>
            <w:proofErr w:type="gramEnd"/>
            <w:r w:rsidRPr="0008336A">
              <w:t xml:space="preserve"> 2.</w:t>
            </w:r>
          </w:p>
          <w:p w14:paraId="4A3D2186"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 xml:space="preserve">Nombre de nouveaux thèmes de </w:t>
            </w:r>
            <w:proofErr w:type="gramStart"/>
            <w:r w:rsidRPr="0008336A">
              <w:t>travail:</w:t>
            </w:r>
            <w:proofErr w:type="gramEnd"/>
            <w:r w:rsidRPr="0008336A">
              <w:t xml:space="preserve"> 433.</w:t>
            </w:r>
          </w:p>
        </w:tc>
        <w:tc>
          <w:tcPr>
            <w:tcW w:w="4394" w:type="dxa"/>
          </w:tcPr>
          <w:p w14:paraId="263BE2AE"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Voir ci-dessus.</w:t>
            </w:r>
          </w:p>
        </w:tc>
      </w:tr>
    </w:tbl>
    <w:p w14:paraId="1487DA34" w14:textId="77777777" w:rsidR="00575D39" w:rsidRPr="0079797D" w:rsidRDefault="00575D39" w:rsidP="0079797D">
      <w:pPr>
        <w:pStyle w:val="Headingb"/>
        <w:spacing w:before="240" w:after="120"/>
        <w:rPr>
          <w:i/>
          <w:iCs/>
          <w:color w:val="C0504D" w:themeColor="accent2"/>
        </w:rPr>
      </w:pPr>
      <w:r w:rsidRPr="0079797D">
        <w:rPr>
          <w:i/>
          <w:iCs/>
          <w:color w:val="C0504D" w:themeColor="accent2"/>
        </w:rPr>
        <w:t>Déclaration 2021 sur les résultats attendus, la mesure et les indicateurs de risque</w:t>
      </w:r>
    </w:p>
    <w:tbl>
      <w:tblPr>
        <w:tblStyle w:val="GridTable1Light-Accent12"/>
        <w:tblW w:w="14170" w:type="dxa"/>
        <w:tblLook w:val="04A0" w:firstRow="1" w:lastRow="0" w:firstColumn="1" w:lastColumn="0" w:noHBand="0" w:noVBand="1"/>
      </w:tblPr>
      <w:tblGrid>
        <w:gridCol w:w="4649"/>
        <w:gridCol w:w="5127"/>
        <w:gridCol w:w="4394"/>
      </w:tblGrid>
      <w:tr w:rsidR="00575D39" w:rsidRPr="0008336A" w14:paraId="33918602" w14:textId="77777777" w:rsidTr="007979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tcPr>
          <w:p w14:paraId="3ACAC546" w14:textId="77777777" w:rsidR="00575D39" w:rsidRPr="0079797D" w:rsidRDefault="00575D39" w:rsidP="0079797D">
            <w:pPr>
              <w:pStyle w:val="Tablehead"/>
              <w:spacing w:before="40" w:after="40"/>
              <w:rPr>
                <w:b/>
                <w:bCs w:val="0"/>
                <w:i/>
                <w:iCs/>
                <w:color w:val="365F91" w:themeColor="accent1" w:themeShade="BF"/>
              </w:rPr>
            </w:pPr>
            <w:r w:rsidRPr="0079797D">
              <w:rPr>
                <w:b/>
                <w:bCs w:val="0"/>
                <w:i/>
                <w:iCs/>
                <w:color w:val="365F91" w:themeColor="accent1" w:themeShade="BF"/>
              </w:rPr>
              <w:t>Résultats</w:t>
            </w:r>
          </w:p>
        </w:tc>
        <w:tc>
          <w:tcPr>
            <w:tcW w:w="5127" w:type="dxa"/>
          </w:tcPr>
          <w:p w14:paraId="0FFED3BE" w14:textId="77777777" w:rsidR="00575D39" w:rsidRPr="0079797D" w:rsidRDefault="00575D39" w:rsidP="0079797D">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résultat</w:t>
            </w:r>
          </w:p>
        </w:tc>
        <w:tc>
          <w:tcPr>
            <w:tcW w:w="4394" w:type="dxa"/>
          </w:tcPr>
          <w:p w14:paraId="3E0DD42D" w14:textId="77777777" w:rsidR="00575D39" w:rsidRPr="0079797D" w:rsidRDefault="00575D39" w:rsidP="0079797D">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risque</w:t>
            </w:r>
          </w:p>
        </w:tc>
      </w:tr>
      <w:tr w:rsidR="00575D39" w:rsidRPr="0008336A" w14:paraId="0895B37A" w14:textId="77777777" w:rsidTr="0079797D">
        <w:tc>
          <w:tcPr>
            <w:cnfStyle w:val="001000000000" w:firstRow="0" w:lastRow="0" w:firstColumn="1" w:lastColumn="0" w:oddVBand="0" w:evenVBand="0" w:oddHBand="0" w:evenHBand="0" w:firstRowFirstColumn="0" w:firstRowLastColumn="0" w:lastRowFirstColumn="0" w:lastRowLastColumn="0"/>
            <w:tcW w:w="4649" w:type="dxa"/>
          </w:tcPr>
          <w:p w14:paraId="70CED563" w14:textId="77777777" w:rsidR="00575D39" w:rsidRPr="0008336A" w:rsidRDefault="00575D39" w:rsidP="0079797D">
            <w:pPr>
              <w:pStyle w:val="Tabletext"/>
              <w:spacing w:before="40" w:after="40"/>
              <w:rPr>
                <w:b w:val="0"/>
                <w:bCs w:val="0"/>
              </w:rPr>
            </w:pPr>
            <w:r w:rsidRPr="0008336A">
              <w:rPr>
                <w:b w:val="0"/>
                <w:bCs w:val="0"/>
              </w:rPr>
              <w:t>Utilisation accrue des Recommandations UIT-T.</w:t>
            </w:r>
          </w:p>
        </w:tc>
        <w:tc>
          <w:tcPr>
            <w:tcW w:w="5127" w:type="dxa"/>
          </w:tcPr>
          <w:p w14:paraId="49DD2EED"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visites sur le site web de l'UIT-T.</w:t>
            </w:r>
          </w:p>
          <w:p w14:paraId="455E0C98"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participants aux travaux des commissions d'études (y compris les groupes régionaux).</w:t>
            </w:r>
          </w:p>
          <w:p w14:paraId="4415FC89"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téléchargements de Recommandations UIT-T.</w:t>
            </w:r>
          </w:p>
        </w:tc>
        <w:tc>
          <w:tcPr>
            <w:tcW w:w="4394" w:type="dxa"/>
          </w:tcPr>
          <w:p w14:paraId="1A85DB07"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Difficulté croissante de nouer un dialogue avec le public (nouveaux acteurs, nombreuses organisations concurrentes cherchant à attirer l'attention du public).</w:t>
            </w:r>
          </w:p>
          <w:p w14:paraId="1C306B6B"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Manque de polyvalence, de souplesse et de préparation du personnel pour s'adapter à l'évolution des besoins.</w:t>
            </w:r>
          </w:p>
        </w:tc>
      </w:tr>
      <w:tr w:rsidR="00575D39" w:rsidRPr="0008336A" w14:paraId="054A85E1" w14:textId="77777777" w:rsidTr="0079797D">
        <w:tc>
          <w:tcPr>
            <w:cnfStyle w:val="001000000000" w:firstRow="0" w:lastRow="0" w:firstColumn="1" w:lastColumn="0" w:oddVBand="0" w:evenVBand="0" w:oddHBand="0" w:evenHBand="0" w:firstRowFirstColumn="0" w:firstRowLastColumn="0" w:lastRowFirstColumn="0" w:lastRowLastColumn="0"/>
            <w:tcW w:w="4649" w:type="dxa"/>
          </w:tcPr>
          <w:p w14:paraId="72130D5C" w14:textId="77777777" w:rsidR="00575D39" w:rsidRPr="0008336A" w:rsidRDefault="00575D39" w:rsidP="0079797D">
            <w:pPr>
              <w:pStyle w:val="Tabletext"/>
              <w:spacing w:before="40" w:after="40"/>
              <w:rPr>
                <w:b w:val="0"/>
                <w:bCs w:val="0"/>
              </w:rPr>
            </w:pPr>
            <w:r w:rsidRPr="0008336A">
              <w:rPr>
                <w:b w:val="0"/>
                <w:bCs w:val="0"/>
              </w:rPr>
              <w:t>Amélioration de la conformité aux Recommandations UIT-T.</w:t>
            </w:r>
          </w:p>
        </w:tc>
        <w:tc>
          <w:tcPr>
            <w:tcW w:w="5127" w:type="dxa"/>
          </w:tcPr>
          <w:p w14:paraId="5FF46B8B"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séries de test.</w:t>
            </w:r>
          </w:p>
          <w:p w14:paraId="3ECEADB4"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d'entrées dans la base de données sur la conformité.</w:t>
            </w:r>
          </w:p>
          <w:p w14:paraId="19EAB60C"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Recommandations décrivant des spécifications de test.</w:t>
            </w:r>
          </w:p>
        </w:tc>
        <w:tc>
          <w:tcPr>
            <w:tcW w:w="4394" w:type="dxa"/>
          </w:tcPr>
          <w:p w14:paraId="5C56B42A"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r w:rsidR="00575D39" w:rsidRPr="0008336A" w14:paraId="59F31E3D" w14:textId="77777777" w:rsidTr="0079797D">
        <w:tc>
          <w:tcPr>
            <w:cnfStyle w:val="001000000000" w:firstRow="0" w:lastRow="0" w:firstColumn="1" w:lastColumn="0" w:oddVBand="0" w:evenVBand="0" w:oddHBand="0" w:evenHBand="0" w:firstRowFirstColumn="0" w:firstRowLastColumn="0" w:lastRowFirstColumn="0" w:lastRowLastColumn="0"/>
            <w:tcW w:w="4649" w:type="dxa"/>
          </w:tcPr>
          <w:p w14:paraId="16FEBB51" w14:textId="77777777" w:rsidR="00575D39" w:rsidRPr="0008336A" w:rsidRDefault="00575D39" w:rsidP="0079797D">
            <w:pPr>
              <w:pStyle w:val="Tabletext"/>
              <w:spacing w:before="40" w:after="40"/>
              <w:rPr>
                <w:b w:val="0"/>
                <w:bCs w:val="0"/>
              </w:rPr>
            </w:pPr>
            <w:r w:rsidRPr="0008336A">
              <w:rPr>
                <w:b w:val="0"/>
                <w:bCs w:val="0"/>
              </w:rPr>
              <w:t>Amélioration des normes applicables aux nouvelles technologies et aux nouveaux services.</w:t>
            </w:r>
          </w:p>
        </w:tc>
        <w:tc>
          <w:tcPr>
            <w:tcW w:w="5127" w:type="dxa"/>
          </w:tcPr>
          <w:p w14:paraId="4564DD34"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nouveaux domaines d'étude (Questions confiées aux commissions d'études, thèmes de travail et normes correspondantes, au sein de l'UIT</w:t>
            </w:r>
            <w:r w:rsidRPr="0008336A">
              <w:noBreakHyphen/>
              <w:t>T ou en collaboration avec d'autres groupes).</w:t>
            </w:r>
          </w:p>
        </w:tc>
        <w:tc>
          <w:tcPr>
            <w:tcW w:w="4394" w:type="dxa"/>
          </w:tcPr>
          <w:p w14:paraId="4986F85F"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bl>
    <w:p w14:paraId="5EDC002C" w14:textId="2C9FA829" w:rsidR="00575D39" w:rsidRPr="0079797D" w:rsidRDefault="00575D39" w:rsidP="00BD1734">
      <w:pPr>
        <w:pStyle w:val="Heading1"/>
        <w:rPr>
          <w:color w:val="1F497D" w:themeColor="text2"/>
        </w:rPr>
      </w:pPr>
      <w:bookmarkStart w:id="201" w:name="_Toc34307495"/>
      <w:bookmarkStart w:id="202" w:name="_Toc34307573"/>
      <w:bookmarkStart w:id="203" w:name="_Toc34307671"/>
      <w:bookmarkStart w:id="204" w:name="_Toc39493336"/>
      <w:r w:rsidRPr="0079797D">
        <w:rPr>
          <w:color w:val="1F497D" w:themeColor="text2"/>
        </w:rPr>
        <w:lastRenderedPageBreak/>
        <w:t>II.3.2 – T.2 Réduire l'écart en matière de normalisation</w:t>
      </w:r>
      <w:bookmarkEnd w:id="201"/>
      <w:bookmarkEnd w:id="202"/>
      <w:bookmarkEnd w:id="203"/>
      <w:bookmarkEnd w:id="204"/>
    </w:p>
    <w:p w14:paraId="38FF750C" w14:textId="77777777" w:rsidR="00575D39" w:rsidRPr="0079797D" w:rsidRDefault="00575D39" w:rsidP="00BD1734">
      <w:pPr>
        <w:pStyle w:val="Headingb"/>
        <w:rPr>
          <w:i/>
          <w:iCs/>
          <w:color w:val="C0504D" w:themeColor="accent2"/>
        </w:rPr>
      </w:pPr>
      <w:r w:rsidRPr="0079797D">
        <w:rPr>
          <w:i/>
          <w:iCs/>
          <w:color w:val="C0504D" w:themeColor="accent2"/>
        </w:rPr>
        <w:t>Description de l'Objectif</w:t>
      </w:r>
    </w:p>
    <w:p w14:paraId="3B3A17C4"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205" w:name="lt_pId354"/>
      <w:r w:rsidRPr="0008336A">
        <w:rPr>
          <w:rFonts w:asciiTheme="minorHAnsi" w:hAnsiTheme="minorHAnsi"/>
        </w:rPr>
        <w:t>Encourager la participation active des membres, en particulier ceux des pays en développement, à la définition et à l'adoption de normes internationales sur les télécommunications/TIC non discriminatoires (Recommandations UIT-T) en vue de réduire l'écart en matière de normalisation.</w:t>
      </w:r>
    </w:p>
    <w:p w14:paraId="3EAE7BD7"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L'Objectif T.2 utilise 22,30% des ressources prévues pour les Objectifs de l'UIT-T ou 3,69% des ressources prévues de l'UIT pour 2021-2024.</w:t>
      </w:r>
    </w:p>
    <w:bookmarkEnd w:id="205"/>
    <w:p w14:paraId="46D1C571" w14:textId="77777777" w:rsidR="00575D39" w:rsidRPr="0079797D" w:rsidRDefault="00575D39" w:rsidP="00BD1734">
      <w:pPr>
        <w:pStyle w:val="Headingb"/>
        <w:rPr>
          <w:i/>
          <w:iCs/>
          <w:color w:val="C0504D" w:themeColor="accent2"/>
        </w:rPr>
      </w:pPr>
      <w:r w:rsidRPr="0079797D">
        <w:rPr>
          <w:i/>
          <w:iCs/>
          <w:color w:val="C0504D" w:themeColor="accent2"/>
        </w:rPr>
        <w:t>Récapitulatif de l'imputation des coûts</w:t>
      </w:r>
    </w:p>
    <w:bookmarkStart w:id="206" w:name="_MON_1644155020"/>
    <w:bookmarkEnd w:id="206"/>
    <w:p w14:paraId="78904DD3"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rPr>
      </w:pPr>
      <w:r w:rsidRPr="0008336A">
        <w:rPr>
          <w:rFonts w:asciiTheme="minorHAnsi" w:hAnsiTheme="minorHAnsi"/>
          <w:b/>
          <w:bCs/>
        </w:rPr>
        <w:object w:dxaOrig="12525" w:dyaOrig="3915" w14:anchorId="0D40C64C">
          <v:shape id="_x0000_i1042" type="#_x0000_t75" style="width:626.25pt;height:195.75pt" o:ole="">
            <v:imagedata r:id="rId55" o:title=""/>
          </v:shape>
          <o:OLEObject Type="Embed" ProgID="Excel.Sheet.12" ShapeID="_x0000_i1042" DrawAspect="Content" ObjectID="_1650187655" r:id="rId56"/>
        </w:object>
      </w:r>
    </w:p>
    <w:p w14:paraId="53068652" w14:textId="77777777" w:rsidR="00575D39" w:rsidRPr="0008336A" w:rsidRDefault="00575D39" w:rsidP="00BD173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i/>
          <w:iCs/>
        </w:rPr>
      </w:pPr>
      <w:r w:rsidRPr="0008336A">
        <w:rPr>
          <w:rFonts w:asciiTheme="minorHAnsi" w:hAnsiTheme="minorHAnsi"/>
          <w:i/>
          <w:iCs/>
        </w:rPr>
        <w:br w:type="page"/>
      </w:r>
    </w:p>
    <w:p w14:paraId="3C5BDC91" w14:textId="77777777" w:rsidR="00575D39" w:rsidRPr="0079797D" w:rsidRDefault="00575D39" w:rsidP="0079797D">
      <w:pPr>
        <w:pStyle w:val="Headingb"/>
        <w:spacing w:after="120"/>
        <w:rPr>
          <w:i/>
          <w:iCs/>
          <w:color w:val="C0504D" w:themeColor="accent2"/>
        </w:rPr>
      </w:pPr>
      <w:r w:rsidRPr="0079797D">
        <w:rPr>
          <w:i/>
          <w:iCs/>
          <w:color w:val="C0504D" w:themeColor="accent2"/>
        </w:rPr>
        <w:lastRenderedPageBreak/>
        <w:t>Rapport d'activité 2019</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3CFD0E2A" w14:textId="77777777" w:rsidTr="001D3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2B298C48" w14:textId="77777777" w:rsidR="00575D39" w:rsidRPr="0079797D" w:rsidRDefault="00575D39" w:rsidP="0079797D">
            <w:pPr>
              <w:pStyle w:val="Tablehead"/>
              <w:spacing w:before="40" w:after="40"/>
              <w:rPr>
                <w:b/>
                <w:bCs w:val="0"/>
                <w:i/>
                <w:iCs/>
                <w:color w:val="365F91" w:themeColor="accent1" w:themeShade="BF"/>
              </w:rPr>
            </w:pPr>
            <w:r w:rsidRPr="0079797D">
              <w:rPr>
                <w:b/>
                <w:bCs w:val="0"/>
                <w:i/>
                <w:iCs/>
                <w:color w:val="365F91" w:themeColor="accent1" w:themeShade="BF"/>
              </w:rPr>
              <w:t>Résultats obtenus</w:t>
            </w:r>
          </w:p>
        </w:tc>
        <w:tc>
          <w:tcPr>
            <w:tcW w:w="4649" w:type="dxa"/>
          </w:tcPr>
          <w:p w14:paraId="73F76551" w14:textId="77777777" w:rsidR="00575D39" w:rsidRPr="0079797D" w:rsidRDefault="00575D39" w:rsidP="0079797D">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Mesure</w:t>
            </w:r>
          </w:p>
        </w:tc>
        <w:tc>
          <w:tcPr>
            <w:tcW w:w="4650" w:type="dxa"/>
          </w:tcPr>
          <w:p w14:paraId="74F6D958" w14:textId="77777777" w:rsidR="00575D39" w:rsidRPr="0079797D" w:rsidRDefault="00575D39" w:rsidP="0079797D">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 xml:space="preserve">Risque </w:t>
            </w:r>
          </w:p>
        </w:tc>
      </w:tr>
      <w:tr w:rsidR="00575D39" w:rsidRPr="0008336A" w14:paraId="5CFF1460" w14:textId="77777777" w:rsidTr="001D3152">
        <w:tc>
          <w:tcPr>
            <w:cnfStyle w:val="001000000000" w:firstRow="0" w:lastRow="0" w:firstColumn="1" w:lastColumn="0" w:oddVBand="0" w:evenVBand="0" w:oddHBand="0" w:evenHBand="0" w:firstRowFirstColumn="0" w:firstRowLastColumn="0" w:lastRowFirstColumn="0" w:lastRowLastColumn="0"/>
            <w:tcW w:w="4649" w:type="dxa"/>
          </w:tcPr>
          <w:p w14:paraId="53152B36" w14:textId="77777777" w:rsidR="00575D39" w:rsidRPr="0008336A" w:rsidRDefault="00575D39" w:rsidP="0079797D">
            <w:pPr>
              <w:pStyle w:val="Tabletext"/>
              <w:spacing w:before="40" w:after="40"/>
              <w:rPr>
                <w:b w:val="0"/>
                <w:bCs w:val="0"/>
              </w:rPr>
            </w:pPr>
            <w:r w:rsidRPr="0008336A">
              <w:rPr>
                <w:b w:val="0"/>
                <w:bCs w:val="0"/>
              </w:rPr>
              <w:t>La participation aux travaux de normalisation de l'UIT-T a nettement augmenté en termes de nombre de réunions physiques et de réunions électroniques, ainsi que de nombre de participants.</w:t>
            </w:r>
          </w:p>
        </w:tc>
        <w:tc>
          <w:tcPr>
            <w:tcW w:w="4649" w:type="dxa"/>
          </w:tcPr>
          <w:p w14:paraId="6E279B2B"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148 réunions (réunions de CE, GT, groupes régionaux et ateliers). +8,03 %.</w:t>
            </w:r>
          </w:p>
          <w:p w14:paraId="0078B7B0"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235 réunions de Groupes du Rapporteur, augmentation de 10% par rapport à 2018.</w:t>
            </w:r>
          </w:p>
          <w:p w14:paraId="322B802E"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1 878 réunions électroniques, +20,54% par rapport à 2018. 10 798 participants, +29,27% par rapport à 2018.</w:t>
            </w:r>
          </w:p>
        </w:tc>
        <w:tc>
          <w:tcPr>
            <w:tcW w:w="4650" w:type="dxa"/>
          </w:tcPr>
          <w:p w14:paraId="49E122C1"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Les risques ont été correctement maîtrisés. Des moyens et un appui ont été fournis pour toutes les réunions et la participation ainsi que le niveau d'engagement de toutes les parties prenantes ont été satisfaisants.</w:t>
            </w:r>
          </w:p>
        </w:tc>
      </w:tr>
    </w:tbl>
    <w:p w14:paraId="40BD8955" w14:textId="77777777" w:rsidR="00575D39" w:rsidRPr="0079797D" w:rsidRDefault="00575D39" w:rsidP="0079797D">
      <w:pPr>
        <w:pStyle w:val="Headingb"/>
        <w:spacing w:before="240" w:after="120"/>
        <w:rPr>
          <w:i/>
          <w:iCs/>
          <w:color w:val="C0504D" w:themeColor="accent2"/>
        </w:rPr>
      </w:pPr>
      <w:r w:rsidRPr="0079797D">
        <w:rPr>
          <w:i/>
          <w:iCs/>
          <w:color w:val="C0504D" w:themeColor="accent2"/>
        </w:rPr>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4E74C489" w14:textId="77777777" w:rsidTr="005548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tcPr>
          <w:p w14:paraId="424A4F48" w14:textId="77777777" w:rsidR="00575D39" w:rsidRPr="0079797D" w:rsidRDefault="00575D39" w:rsidP="0079797D">
            <w:pPr>
              <w:pStyle w:val="Tablehead"/>
              <w:spacing w:before="40" w:after="40"/>
              <w:rPr>
                <w:b/>
                <w:bCs w:val="0"/>
                <w:i/>
                <w:iCs/>
                <w:color w:val="365F91" w:themeColor="accent1" w:themeShade="BF"/>
              </w:rPr>
            </w:pPr>
            <w:r w:rsidRPr="0079797D">
              <w:rPr>
                <w:b/>
                <w:bCs w:val="0"/>
                <w:i/>
                <w:iCs/>
                <w:color w:val="365F91" w:themeColor="accent1" w:themeShade="BF"/>
              </w:rPr>
              <w:t>Résultats</w:t>
            </w:r>
          </w:p>
        </w:tc>
        <w:tc>
          <w:tcPr>
            <w:tcW w:w="4649" w:type="dxa"/>
          </w:tcPr>
          <w:p w14:paraId="37D048FC" w14:textId="77777777" w:rsidR="00575D39" w:rsidRPr="0079797D" w:rsidRDefault="00575D39" w:rsidP="0079797D">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résultat</w:t>
            </w:r>
          </w:p>
        </w:tc>
        <w:tc>
          <w:tcPr>
            <w:tcW w:w="4650" w:type="dxa"/>
          </w:tcPr>
          <w:p w14:paraId="4C8CBE7E" w14:textId="77777777" w:rsidR="00575D39" w:rsidRPr="0079797D" w:rsidRDefault="00575D39" w:rsidP="0079797D">
            <w:pPr>
              <w:pStyle w:val="Tablehead"/>
              <w:spacing w:before="40" w:after="40"/>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risque</w:t>
            </w:r>
          </w:p>
        </w:tc>
      </w:tr>
      <w:tr w:rsidR="00575D39" w:rsidRPr="0008336A" w14:paraId="0B777FC9" w14:textId="77777777" w:rsidTr="001D3152">
        <w:tc>
          <w:tcPr>
            <w:cnfStyle w:val="001000000000" w:firstRow="0" w:lastRow="0" w:firstColumn="1" w:lastColumn="0" w:oddVBand="0" w:evenVBand="0" w:oddHBand="0" w:evenHBand="0" w:firstRowFirstColumn="0" w:firstRowLastColumn="0" w:lastRowFirstColumn="0" w:lastRowLastColumn="0"/>
            <w:tcW w:w="4649" w:type="dxa"/>
          </w:tcPr>
          <w:p w14:paraId="70A490A9" w14:textId="77777777" w:rsidR="00575D39" w:rsidRPr="0008336A" w:rsidRDefault="00575D39" w:rsidP="0079797D">
            <w:pPr>
              <w:pStyle w:val="Tabletext"/>
              <w:spacing w:before="40" w:after="40"/>
              <w:rPr>
                <w:b w:val="0"/>
                <w:bCs w:val="0"/>
              </w:rPr>
            </w:pPr>
            <w:r w:rsidRPr="0008336A">
              <w:rPr>
                <w:b w:val="0"/>
                <w:bCs w:val="0"/>
              </w:rPr>
              <w:t>Participation accrue, en particulier des pays en développement, aux travaux de normalisation de l'UIT-T, notamment en ce qui concerne la participation aux réunions, la soumission de contributions, l'exercice de fonctions à des postes à responsabilité, et l'organisation de réunions ou d'ateliers.</w:t>
            </w:r>
          </w:p>
        </w:tc>
        <w:tc>
          <w:tcPr>
            <w:tcW w:w="4649" w:type="dxa"/>
          </w:tcPr>
          <w:p w14:paraId="744E9BE0"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réunions des CE, des GT, des groupes régionaux et d'ateliers tenus (à Genève et en dehors de Genève).</w:t>
            </w:r>
          </w:p>
          <w:p w14:paraId="06BEE394"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réunions de Groupes du Rapporteur et nombre de participants.</w:t>
            </w:r>
          </w:p>
          <w:p w14:paraId="642D5A56"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réunions électroniques et nombre de participants.</w:t>
            </w:r>
          </w:p>
          <w:p w14:paraId="3AEF9093"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contributions soumises par les participants des PMA, des pays en développement et des pays développés (séparément).</w:t>
            </w:r>
          </w:p>
          <w:p w14:paraId="138A307F"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Pourcentage de postes de direction (président/vice</w:t>
            </w:r>
            <w:r w:rsidRPr="0008336A">
              <w:noBreakHyphen/>
              <w:t>président de commission d'études, président de Groupe du Rapporteur, éditeur) occupés par des participants des pays en développement et des PMA.</w:t>
            </w:r>
          </w:p>
        </w:tc>
        <w:tc>
          <w:tcPr>
            <w:tcW w:w="4650" w:type="dxa"/>
          </w:tcPr>
          <w:p w14:paraId="37732A7D"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Manque de soutien/d'engagement de la part des partenaires et des pays.</w:t>
            </w:r>
          </w:p>
          <w:p w14:paraId="5831D9A5"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Insuffisance des ressources humaines et financières.</w:t>
            </w:r>
          </w:p>
        </w:tc>
      </w:tr>
      <w:tr w:rsidR="00575D39" w:rsidRPr="0008336A" w14:paraId="37DBAF44" w14:textId="77777777" w:rsidTr="001D3152">
        <w:tc>
          <w:tcPr>
            <w:cnfStyle w:val="001000000000" w:firstRow="0" w:lastRow="0" w:firstColumn="1" w:lastColumn="0" w:oddVBand="0" w:evenVBand="0" w:oddHBand="0" w:evenHBand="0" w:firstRowFirstColumn="0" w:firstRowLastColumn="0" w:lastRowFirstColumn="0" w:lastRowLastColumn="0"/>
            <w:tcW w:w="4649" w:type="dxa"/>
          </w:tcPr>
          <w:p w14:paraId="026E0AA1" w14:textId="77777777" w:rsidR="00575D39" w:rsidRPr="0008336A" w:rsidRDefault="00575D39" w:rsidP="0079797D">
            <w:pPr>
              <w:pStyle w:val="Tabletext"/>
              <w:spacing w:before="40" w:after="40"/>
              <w:rPr>
                <w:b w:val="0"/>
                <w:bCs w:val="0"/>
              </w:rPr>
            </w:pPr>
            <w:r w:rsidRPr="0008336A">
              <w:rPr>
                <w:b w:val="0"/>
                <w:bCs w:val="0"/>
              </w:rPr>
              <w:t>Augmentation du nombre de membres de l'UIT</w:t>
            </w:r>
            <w:r w:rsidRPr="0008336A">
              <w:rPr>
                <w:b w:val="0"/>
                <w:bCs w:val="0"/>
              </w:rPr>
              <w:noBreakHyphen/>
              <w:t>T, notamment de Membres de Secteur, d'Associés et d'établissements universitaires.</w:t>
            </w:r>
          </w:p>
        </w:tc>
        <w:tc>
          <w:tcPr>
            <w:tcW w:w="4649" w:type="dxa"/>
          </w:tcPr>
          <w:p w14:paraId="529A7656"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8336A">
              <w:t>Nombre de Membres de Secteur, d'Associés, d'établissements universitaires venant de pays développés et de pays en développement (séparément).</w:t>
            </w:r>
          </w:p>
        </w:tc>
        <w:tc>
          <w:tcPr>
            <w:tcW w:w="4650" w:type="dxa"/>
          </w:tcPr>
          <w:p w14:paraId="0ABAB5C3" w14:textId="77777777" w:rsidR="00575D39" w:rsidRPr="0008336A" w:rsidRDefault="00575D39" w:rsidP="0079797D">
            <w:pPr>
              <w:pStyle w:val="Tabletext"/>
              <w:spacing w:before="40" w:after="40"/>
              <w:cnfStyle w:val="000000000000" w:firstRow="0" w:lastRow="0" w:firstColumn="0" w:lastColumn="0" w:oddVBand="0" w:evenVBand="0" w:oddHBand="0" w:evenHBand="0" w:firstRowFirstColumn="0" w:firstRowLastColumn="0" w:lastRowFirstColumn="0" w:lastRowLastColumn="0"/>
            </w:pPr>
          </w:p>
        </w:tc>
      </w:tr>
    </w:tbl>
    <w:p w14:paraId="01DF8ABD" w14:textId="1284BCF2" w:rsidR="00575D39" w:rsidRPr="0079797D" w:rsidRDefault="00575D39" w:rsidP="00BD1734">
      <w:pPr>
        <w:pStyle w:val="Heading1"/>
        <w:rPr>
          <w:color w:val="1F497D" w:themeColor="text2"/>
        </w:rPr>
      </w:pPr>
      <w:bookmarkStart w:id="207" w:name="_Toc34307496"/>
      <w:bookmarkStart w:id="208" w:name="_Toc34307574"/>
      <w:bookmarkStart w:id="209" w:name="_Toc34307672"/>
      <w:bookmarkStart w:id="210" w:name="_Toc39493337"/>
      <w:r w:rsidRPr="0079797D">
        <w:rPr>
          <w:color w:val="1F497D" w:themeColor="text2"/>
        </w:rPr>
        <w:lastRenderedPageBreak/>
        <w:t>II.3.3 – T.3 Ressources de télécommunications</w:t>
      </w:r>
      <w:bookmarkEnd w:id="207"/>
      <w:bookmarkEnd w:id="208"/>
      <w:bookmarkEnd w:id="209"/>
      <w:bookmarkEnd w:id="210"/>
    </w:p>
    <w:p w14:paraId="77DA2FA0" w14:textId="77777777" w:rsidR="00575D39" w:rsidRPr="0079797D" w:rsidRDefault="00575D39" w:rsidP="00BD1734">
      <w:pPr>
        <w:pStyle w:val="Headingb"/>
        <w:rPr>
          <w:i/>
          <w:iCs/>
          <w:color w:val="C0504D" w:themeColor="accent2"/>
        </w:rPr>
      </w:pPr>
      <w:r w:rsidRPr="0079797D">
        <w:rPr>
          <w:i/>
          <w:iCs/>
          <w:color w:val="C0504D" w:themeColor="accent2"/>
        </w:rPr>
        <w:t>Description de l'Objectif</w:t>
      </w:r>
    </w:p>
    <w:p w14:paraId="08620B76"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Garantir l'attribution et la gestion efficaces des ressources de numérotage, de nommage, d'adressage et d'identification utilisées dans les télécommunications internationales, conformément aux procédures et Recommandations de l'UIT-T.</w:t>
      </w:r>
    </w:p>
    <w:p w14:paraId="345E5B80"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211" w:name="lt_pId371"/>
      <w:r w:rsidRPr="0008336A">
        <w:rPr>
          <w:rFonts w:asciiTheme="minorHAnsi" w:hAnsiTheme="minorHAnsi"/>
        </w:rPr>
        <w:t>L'Objectif T.3 utilise 7,00% des ressources prévues pour les Objectifs de l'UIT-T ou 1,16% des ressources prévues de l'UIT pour 2021-2024.</w:t>
      </w:r>
    </w:p>
    <w:bookmarkEnd w:id="211"/>
    <w:p w14:paraId="22E908BB" w14:textId="77777777" w:rsidR="00575D39" w:rsidRPr="0079797D" w:rsidRDefault="00575D39" w:rsidP="00BD1734">
      <w:pPr>
        <w:pStyle w:val="Headingb"/>
        <w:rPr>
          <w:i/>
          <w:iCs/>
          <w:color w:val="C0504D" w:themeColor="accent2"/>
        </w:rPr>
      </w:pPr>
      <w:r w:rsidRPr="0079797D">
        <w:rPr>
          <w:i/>
          <w:iCs/>
          <w:color w:val="C0504D" w:themeColor="accent2"/>
        </w:rPr>
        <w:t>Récapitulatif de l'imputation des coûts</w:t>
      </w:r>
    </w:p>
    <w:bookmarkStart w:id="212" w:name="_MON_1644155274"/>
    <w:bookmarkEnd w:id="212"/>
    <w:p w14:paraId="6100AF7F"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rPr>
      </w:pPr>
      <w:r w:rsidRPr="0008336A">
        <w:rPr>
          <w:rFonts w:asciiTheme="minorHAnsi" w:hAnsiTheme="minorHAnsi"/>
          <w:b/>
          <w:bCs/>
        </w:rPr>
        <w:object w:dxaOrig="12555" w:dyaOrig="3915" w14:anchorId="0903FAC0">
          <v:shape id="_x0000_i1043" type="#_x0000_t75" style="width:627.75pt;height:195.75pt" o:ole="">
            <v:imagedata r:id="rId57" o:title=""/>
          </v:shape>
          <o:OLEObject Type="Embed" ProgID="Excel.Sheet.12" ShapeID="_x0000_i1043" DrawAspect="Content" ObjectID="_1650187656" r:id="rId58"/>
        </w:object>
      </w:r>
    </w:p>
    <w:p w14:paraId="72597280" w14:textId="77777777" w:rsidR="00575D39" w:rsidRPr="0008336A" w:rsidRDefault="00575D39" w:rsidP="00BD173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i/>
          <w:iCs/>
        </w:rPr>
      </w:pPr>
      <w:r w:rsidRPr="0008336A">
        <w:rPr>
          <w:rFonts w:asciiTheme="minorHAnsi" w:hAnsiTheme="minorHAnsi"/>
          <w:i/>
          <w:iCs/>
        </w:rPr>
        <w:br w:type="page"/>
      </w:r>
    </w:p>
    <w:p w14:paraId="6C8A90C2" w14:textId="77777777" w:rsidR="00575D39" w:rsidRPr="0079797D" w:rsidRDefault="00575D39" w:rsidP="00BD1734">
      <w:pPr>
        <w:pStyle w:val="Headingb"/>
        <w:spacing w:after="240"/>
        <w:rPr>
          <w:i/>
          <w:iCs/>
          <w:color w:val="C0504D" w:themeColor="accent2"/>
        </w:rPr>
      </w:pPr>
      <w:r w:rsidRPr="0079797D">
        <w:rPr>
          <w:i/>
          <w:iCs/>
          <w:color w:val="C0504D" w:themeColor="accent2"/>
        </w:rPr>
        <w:lastRenderedPageBreak/>
        <w:t>Rapport d'activité 2019</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0464F2A3" w14:textId="77777777" w:rsidTr="00E67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1AE050D9"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 obtenus</w:t>
            </w:r>
          </w:p>
        </w:tc>
        <w:tc>
          <w:tcPr>
            <w:tcW w:w="4649" w:type="dxa"/>
          </w:tcPr>
          <w:p w14:paraId="2A8A5DBD"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Mesure</w:t>
            </w:r>
          </w:p>
        </w:tc>
        <w:tc>
          <w:tcPr>
            <w:tcW w:w="4650" w:type="dxa"/>
          </w:tcPr>
          <w:p w14:paraId="193AEB63"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 xml:space="preserve">Risque </w:t>
            </w:r>
          </w:p>
        </w:tc>
      </w:tr>
      <w:tr w:rsidR="00575D39" w:rsidRPr="0008336A" w14:paraId="344DF423" w14:textId="77777777" w:rsidTr="00E6770F">
        <w:tc>
          <w:tcPr>
            <w:cnfStyle w:val="001000000000" w:firstRow="0" w:lastRow="0" w:firstColumn="1" w:lastColumn="0" w:oddVBand="0" w:evenVBand="0" w:oddHBand="0" w:evenHBand="0" w:firstRowFirstColumn="0" w:firstRowLastColumn="0" w:lastRowFirstColumn="0" w:lastRowLastColumn="0"/>
            <w:tcW w:w="4649" w:type="dxa"/>
          </w:tcPr>
          <w:p w14:paraId="2FBCF723" w14:textId="77777777" w:rsidR="00575D39" w:rsidRPr="0008336A" w:rsidRDefault="00575D39" w:rsidP="00BD1734">
            <w:pPr>
              <w:pStyle w:val="Tabletext"/>
              <w:rPr>
                <w:b w:val="0"/>
                <w:bCs w:val="0"/>
              </w:rPr>
            </w:pPr>
            <w:r w:rsidRPr="0008336A">
              <w:rPr>
                <w:b w:val="0"/>
                <w:bCs w:val="0"/>
              </w:rPr>
              <w:t>Attributions des ressources de numérotage utilisées dans les télécommunications internationales traitées rapidement conformément aux recommandations pertinentes.</w:t>
            </w:r>
          </w:p>
        </w:tc>
        <w:tc>
          <w:tcPr>
            <w:tcW w:w="4649" w:type="dxa"/>
          </w:tcPr>
          <w:p w14:paraId="7F61BBB9"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Temps moyen de traitement des 416 demandes de ressources de numérotage utilisées dans les télécommunications internationales traitées en 2019 par rapport à celui pour les 532 demandes traitées en 2018.</w:t>
            </w:r>
          </w:p>
        </w:tc>
        <w:tc>
          <w:tcPr>
            <w:tcW w:w="4650" w:type="dxa"/>
          </w:tcPr>
          <w:p w14:paraId="636BA962"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Ressources suffisantes pour mener à bien les attributions dans les délais fixés.</w:t>
            </w:r>
          </w:p>
        </w:tc>
      </w:tr>
    </w:tbl>
    <w:p w14:paraId="2D9BACE5" w14:textId="77777777" w:rsidR="00575D39" w:rsidRPr="0079797D" w:rsidRDefault="00575D39" w:rsidP="00BD1734">
      <w:pPr>
        <w:pStyle w:val="Headingb"/>
        <w:spacing w:before="240" w:after="240"/>
        <w:rPr>
          <w:i/>
          <w:iCs/>
          <w:color w:val="C0504D" w:themeColor="accent2"/>
        </w:rPr>
      </w:pPr>
      <w:r w:rsidRPr="0079797D">
        <w:rPr>
          <w:i/>
          <w:iCs/>
          <w:color w:val="C0504D" w:themeColor="accent2"/>
        </w:rPr>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44C68C82" w14:textId="77777777" w:rsidTr="00E67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4844A049"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w:t>
            </w:r>
          </w:p>
        </w:tc>
        <w:tc>
          <w:tcPr>
            <w:tcW w:w="4649" w:type="dxa"/>
          </w:tcPr>
          <w:p w14:paraId="0BC5FB39"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résultat</w:t>
            </w:r>
          </w:p>
        </w:tc>
        <w:tc>
          <w:tcPr>
            <w:tcW w:w="4650" w:type="dxa"/>
          </w:tcPr>
          <w:p w14:paraId="45435FFF"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risque</w:t>
            </w:r>
          </w:p>
        </w:tc>
      </w:tr>
      <w:tr w:rsidR="00575D39" w:rsidRPr="0008336A" w14:paraId="5F9A8DFB" w14:textId="77777777" w:rsidTr="00E6770F">
        <w:tc>
          <w:tcPr>
            <w:cnfStyle w:val="001000000000" w:firstRow="0" w:lastRow="0" w:firstColumn="1" w:lastColumn="0" w:oddVBand="0" w:evenVBand="0" w:oddHBand="0" w:evenHBand="0" w:firstRowFirstColumn="0" w:firstRowLastColumn="0" w:lastRowFirstColumn="0" w:lastRowLastColumn="0"/>
            <w:tcW w:w="4649" w:type="dxa"/>
          </w:tcPr>
          <w:p w14:paraId="10092D06" w14:textId="77777777" w:rsidR="00575D39" w:rsidRPr="0008336A" w:rsidRDefault="00575D39" w:rsidP="00BD1734">
            <w:pPr>
              <w:pStyle w:val="Tabletext"/>
              <w:rPr>
                <w:b w:val="0"/>
                <w:bCs w:val="0"/>
              </w:rPr>
            </w:pPr>
            <w:r w:rsidRPr="0008336A">
              <w:rPr>
                <w:b w:val="0"/>
                <w:bCs w:val="0"/>
              </w:rPr>
              <w:t>Attribution rapide et correcte des ressources de numérotage, de nommage, d'adressage et d'identification utilisées dans les télécommunications internationales, conformément aux recommandations pertinentes.</w:t>
            </w:r>
          </w:p>
        </w:tc>
        <w:tc>
          <w:tcPr>
            <w:tcW w:w="4649" w:type="dxa"/>
          </w:tcPr>
          <w:p w14:paraId="4B10F1D5"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tâches effectuées dans un délai donné.</w:t>
            </w:r>
          </w:p>
        </w:tc>
        <w:tc>
          <w:tcPr>
            <w:tcW w:w="4650" w:type="dxa"/>
          </w:tcPr>
          <w:p w14:paraId="641A4A2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Insuffisance des ressources humaines et financières.</w:t>
            </w:r>
          </w:p>
        </w:tc>
      </w:tr>
    </w:tbl>
    <w:p w14:paraId="4745C6A7"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br w:type="page"/>
      </w:r>
    </w:p>
    <w:p w14:paraId="5AE2C0CB" w14:textId="78737809" w:rsidR="00575D39" w:rsidRPr="0079797D" w:rsidRDefault="00575D39" w:rsidP="00BD1734">
      <w:pPr>
        <w:pStyle w:val="Heading1"/>
        <w:rPr>
          <w:color w:val="1F497D" w:themeColor="text2"/>
        </w:rPr>
      </w:pPr>
      <w:bookmarkStart w:id="213" w:name="_Toc34307497"/>
      <w:bookmarkStart w:id="214" w:name="_Toc34307575"/>
      <w:bookmarkStart w:id="215" w:name="_Toc34307673"/>
      <w:bookmarkStart w:id="216" w:name="_Toc39493338"/>
      <w:r w:rsidRPr="0079797D">
        <w:rPr>
          <w:color w:val="1F497D" w:themeColor="text2"/>
        </w:rPr>
        <w:lastRenderedPageBreak/>
        <w:t>II.3.4 – T.4 Échange de connaissances</w:t>
      </w:r>
      <w:bookmarkEnd w:id="213"/>
      <w:bookmarkEnd w:id="214"/>
      <w:bookmarkEnd w:id="215"/>
      <w:bookmarkEnd w:id="216"/>
    </w:p>
    <w:p w14:paraId="480B1A91" w14:textId="77777777" w:rsidR="00575D39" w:rsidRPr="0079797D" w:rsidRDefault="00575D39" w:rsidP="0079797D">
      <w:pPr>
        <w:pStyle w:val="Headingb"/>
        <w:spacing w:after="120"/>
        <w:rPr>
          <w:i/>
          <w:iCs/>
          <w:color w:val="C0504D" w:themeColor="accent2"/>
        </w:rPr>
      </w:pPr>
      <w:r w:rsidRPr="0079797D">
        <w:rPr>
          <w:i/>
          <w:iCs/>
          <w:color w:val="C0504D" w:themeColor="accent2"/>
        </w:rPr>
        <w:t>Description de l'Objectif</w:t>
      </w:r>
    </w:p>
    <w:p w14:paraId="6D06F8F3"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217" w:name="lt_pId381"/>
      <w:r w:rsidRPr="0008336A">
        <w:rPr>
          <w:rFonts w:asciiTheme="minorHAnsi" w:hAnsiTheme="minorHAnsi"/>
        </w:rPr>
        <w:t>Encourager la sensibilisation ainsi que l'acquisition et l'échange de connaissances et de savoir-faire concernant les activités de normalisation à l'UIT-T.</w:t>
      </w:r>
    </w:p>
    <w:p w14:paraId="3F897F09"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L'Objectif T.4 utilise 21,14% des ressources prévues pour les Objectifs de l'UIT-T ou 3,50% des ressources prévues de l'UIT pour 2021-2024.</w:t>
      </w:r>
    </w:p>
    <w:bookmarkEnd w:id="217"/>
    <w:p w14:paraId="18DB4062" w14:textId="77777777" w:rsidR="00575D39" w:rsidRPr="0079797D" w:rsidRDefault="00575D39" w:rsidP="0079797D">
      <w:pPr>
        <w:pStyle w:val="Headingb"/>
        <w:spacing w:after="120"/>
        <w:rPr>
          <w:i/>
          <w:iCs/>
          <w:color w:val="C0504D" w:themeColor="accent2"/>
        </w:rPr>
      </w:pPr>
      <w:r w:rsidRPr="0079797D">
        <w:rPr>
          <w:i/>
          <w:iCs/>
          <w:color w:val="C0504D" w:themeColor="accent2"/>
        </w:rPr>
        <w:t>Récapitulatif de l'imputation des coûts</w:t>
      </w:r>
    </w:p>
    <w:bookmarkStart w:id="218" w:name="_MON_1644155769"/>
    <w:bookmarkEnd w:id="218"/>
    <w:p w14:paraId="2E41A75A" w14:textId="3D1967BE" w:rsidR="00575D39" w:rsidRPr="0008336A" w:rsidRDefault="00E6770F"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3140" w:dyaOrig="3780" w14:anchorId="78B74082">
          <v:shape id="_x0000_i1044" type="#_x0000_t75" style="width:657pt;height:189pt" o:ole="">
            <v:imagedata r:id="rId59" o:title=""/>
          </v:shape>
          <o:OLEObject Type="Embed" ProgID="Excel.Sheet.12" ShapeID="_x0000_i1044" DrawAspect="Content" ObjectID="_1650187657" r:id="rId60"/>
        </w:object>
      </w:r>
    </w:p>
    <w:p w14:paraId="3A5CEF58" w14:textId="06F9EADB" w:rsidR="00575D39" w:rsidRPr="0079797D" w:rsidRDefault="00575D39" w:rsidP="0079797D">
      <w:pPr>
        <w:pStyle w:val="Headingb"/>
        <w:spacing w:before="120" w:after="120"/>
        <w:rPr>
          <w:i/>
          <w:iCs/>
          <w:color w:val="C0504D" w:themeColor="accent2"/>
        </w:rPr>
      </w:pPr>
      <w:r w:rsidRPr="0079797D">
        <w:rPr>
          <w:i/>
          <w:iCs/>
          <w:color w:val="C0504D" w:themeColor="accent2"/>
        </w:rPr>
        <w:t>Rapport d'activité 2019</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15BEFE01" w14:textId="77777777" w:rsidTr="00E67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1A56E68D"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 obtenus</w:t>
            </w:r>
          </w:p>
        </w:tc>
        <w:tc>
          <w:tcPr>
            <w:tcW w:w="4649" w:type="dxa"/>
          </w:tcPr>
          <w:p w14:paraId="12D77210"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Mesure</w:t>
            </w:r>
          </w:p>
        </w:tc>
        <w:tc>
          <w:tcPr>
            <w:tcW w:w="4650" w:type="dxa"/>
          </w:tcPr>
          <w:p w14:paraId="6E3F842F"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 xml:space="preserve">Risque </w:t>
            </w:r>
          </w:p>
        </w:tc>
      </w:tr>
      <w:tr w:rsidR="00575D39" w:rsidRPr="0008336A" w14:paraId="04429BE0" w14:textId="77777777" w:rsidTr="00E6770F">
        <w:tc>
          <w:tcPr>
            <w:cnfStyle w:val="001000000000" w:firstRow="0" w:lastRow="0" w:firstColumn="1" w:lastColumn="0" w:oddVBand="0" w:evenVBand="0" w:oddHBand="0" w:evenHBand="0" w:firstRowFirstColumn="0" w:firstRowLastColumn="0" w:lastRowFirstColumn="0" w:lastRowLastColumn="0"/>
            <w:tcW w:w="4649" w:type="dxa"/>
          </w:tcPr>
          <w:p w14:paraId="5B233AD0" w14:textId="77777777" w:rsidR="00575D39" w:rsidRPr="0008336A" w:rsidRDefault="00575D39" w:rsidP="00BD1734">
            <w:pPr>
              <w:pStyle w:val="Tabletext"/>
              <w:rPr>
                <w:b w:val="0"/>
                <w:bCs w:val="0"/>
              </w:rPr>
            </w:pPr>
            <w:r w:rsidRPr="0008336A">
              <w:rPr>
                <w:b w:val="0"/>
                <w:bCs w:val="0"/>
              </w:rPr>
              <w:t>Voir T.1 et T.2 ci-dessus.</w:t>
            </w:r>
          </w:p>
        </w:tc>
        <w:tc>
          <w:tcPr>
            <w:tcW w:w="4649" w:type="dxa"/>
          </w:tcPr>
          <w:p w14:paraId="71941E38"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c>
          <w:tcPr>
            <w:tcW w:w="4650" w:type="dxa"/>
          </w:tcPr>
          <w:p w14:paraId="5A583052"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Aucune difficulté rencontrée lors de l'organisation de manifestations en dehors de Genève.</w:t>
            </w:r>
          </w:p>
        </w:tc>
      </w:tr>
    </w:tbl>
    <w:p w14:paraId="02D6E289" w14:textId="77777777" w:rsidR="001867F9" w:rsidRPr="0008336A" w:rsidRDefault="001867F9" w:rsidP="00BD1734">
      <w:pPr>
        <w:pStyle w:val="Headingb"/>
        <w:spacing w:before="120"/>
        <w:rPr>
          <w:i/>
          <w:iCs/>
        </w:rPr>
      </w:pPr>
      <w:r w:rsidRPr="0008336A">
        <w:rPr>
          <w:i/>
          <w:iCs/>
        </w:rPr>
        <w:br w:type="page"/>
      </w:r>
    </w:p>
    <w:p w14:paraId="0A628AF0" w14:textId="72B41D59" w:rsidR="00575D39" w:rsidRPr="0079797D" w:rsidRDefault="00575D39" w:rsidP="0079797D">
      <w:pPr>
        <w:pStyle w:val="Headingb"/>
        <w:spacing w:before="240" w:after="120"/>
        <w:rPr>
          <w:i/>
          <w:iCs/>
          <w:color w:val="C0504D" w:themeColor="accent2"/>
        </w:rPr>
      </w:pPr>
      <w:r w:rsidRPr="0079797D">
        <w:rPr>
          <w:i/>
          <w:iCs/>
          <w:color w:val="C0504D" w:themeColor="accent2"/>
        </w:rPr>
        <w:lastRenderedPageBreak/>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07C7A845" w14:textId="77777777" w:rsidTr="00E67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0178D343"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w:t>
            </w:r>
          </w:p>
        </w:tc>
        <w:tc>
          <w:tcPr>
            <w:tcW w:w="4649" w:type="dxa"/>
          </w:tcPr>
          <w:p w14:paraId="134D5C0D"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résultat</w:t>
            </w:r>
          </w:p>
        </w:tc>
        <w:tc>
          <w:tcPr>
            <w:tcW w:w="4650" w:type="dxa"/>
          </w:tcPr>
          <w:p w14:paraId="19D126BC"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risque</w:t>
            </w:r>
          </w:p>
        </w:tc>
      </w:tr>
      <w:tr w:rsidR="00575D39" w:rsidRPr="0008336A" w14:paraId="4E0E779F" w14:textId="77777777" w:rsidTr="00E6770F">
        <w:tc>
          <w:tcPr>
            <w:cnfStyle w:val="001000000000" w:firstRow="0" w:lastRow="0" w:firstColumn="1" w:lastColumn="0" w:oddVBand="0" w:evenVBand="0" w:oddHBand="0" w:evenHBand="0" w:firstRowFirstColumn="0" w:firstRowLastColumn="0" w:lastRowFirstColumn="0" w:lastRowLastColumn="0"/>
            <w:tcW w:w="4649" w:type="dxa"/>
          </w:tcPr>
          <w:p w14:paraId="118F101C" w14:textId="77777777" w:rsidR="00575D39" w:rsidRPr="0008336A" w:rsidRDefault="00575D39" w:rsidP="00BD1734">
            <w:pPr>
              <w:pStyle w:val="Tabletext"/>
              <w:rPr>
                <w:b w:val="0"/>
                <w:bCs w:val="0"/>
              </w:rPr>
            </w:pPr>
            <w:r w:rsidRPr="0008336A">
              <w:rPr>
                <w:b w:val="0"/>
                <w:bCs w:val="0"/>
              </w:rPr>
              <w:t>Renforcement des connaissances relatives aux normes UIT-T et aux bonnes pratiques concernant leur mise en œuvre.</w:t>
            </w:r>
          </w:p>
        </w:tc>
        <w:tc>
          <w:tcPr>
            <w:tcW w:w="4649" w:type="dxa"/>
          </w:tcPr>
          <w:p w14:paraId="3869C45F"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219" w:name="lt_pId386"/>
            <w:r w:rsidRPr="0008336A">
              <w:t>Nombre de visites sur le site web de l'UIT-</w:t>
            </w:r>
            <w:proofErr w:type="gramStart"/>
            <w:r w:rsidRPr="0008336A">
              <w:t>T;</w:t>
            </w:r>
            <w:proofErr w:type="gramEnd"/>
            <w:r w:rsidRPr="0008336A">
              <w:t xml:space="preserve"> nombre de participants aux travaux des commissions d'études (y compris les groupes régionaux); nombre de téléchargements de Recommandations UIT-T.</w:t>
            </w:r>
            <w:bookmarkEnd w:id="219"/>
          </w:p>
        </w:tc>
        <w:tc>
          <w:tcPr>
            <w:tcW w:w="4650" w:type="dxa"/>
          </w:tcPr>
          <w:p w14:paraId="4C9F499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 formateurs qualifiés et qualité insuffisante des formations.</w:t>
            </w:r>
          </w:p>
          <w:p w14:paraId="15D601C4"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d'engagement de la part des partenaires.</w:t>
            </w:r>
          </w:p>
        </w:tc>
      </w:tr>
      <w:tr w:rsidR="00575D39" w:rsidRPr="0008336A" w14:paraId="0465AADF" w14:textId="77777777" w:rsidTr="00E6770F">
        <w:tc>
          <w:tcPr>
            <w:cnfStyle w:val="001000000000" w:firstRow="0" w:lastRow="0" w:firstColumn="1" w:lastColumn="0" w:oddVBand="0" w:evenVBand="0" w:oddHBand="0" w:evenHBand="0" w:firstRowFirstColumn="0" w:firstRowLastColumn="0" w:lastRowFirstColumn="0" w:lastRowLastColumn="0"/>
            <w:tcW w:w="4649" w:type="dxa"/>
          </w:tcPr>
          <w:p w14:paraId="1C0FEA2D" w14:textId="77777777" w:rsidR="00575D39" w:rsidRPr="0008336A" w:rsidRDefault="00575D39" w:rsidP="00BD1734">
            <w:pPr>
              <w:pStyle w:val="Tabletext"/>
              <w:rPr>
                <w:b w:val="0"/>
                <w:bCs w:val="0"/>
              </w:rPr>
            </w:pPr>
            <w:r w:rsidRPr="0008336A">
              <w:rPr>
                <w:b w:val="0"/>
                <w:bCs w:val="0"/>
              </w:rPr>
              <w:t>Renforcement de la participation aux activités de normalisation de l'UIT-T et prise de conscience accrue de l'importance des normes UIT-T.</w:t>
            </w:r>
          </w:p>
        </w:tc>
        <w:tc>
          <w:tcPr>
            <w:tcW w:w="4649" w:type="dxa"/>
          </w:tcPr>
          <w:p w14:paraId="29978AE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Voir ci-dessus.</w:t>
            </w:r>
          </w:p>
        </w:tc>
        <w:tc>
          <w:tcPr>
            <w:tcW w:w="4650" w:type="dxa"/>
          </w:tcPr>
          <w:p w14:paraId="35B88F7E"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Impossibilité physique d'organiser de grandes manifestations à l'étranger ou à Genève.</w:t>
            </w:r>
          </w:p>
        </w:tc>
      </w:tr>
      <w:tr w:rsidR="00575D39" w:rsidRPr="0008336A" w14:paraId="4FE09705" w14:textId="77777777" w:rsidTr="00E6770F">
        <w:tc>
          <w:tcPr>
            <w:cnfStyle w:val="001000000000" w:firstRow="0" w:lastRow="0" w:firstColumn="1" w:lastColumn="0" w:oddVBand="0" w:evenVBand="0" w:oddHBand="0" w:evenHBand="0" w:firstRowFirstColumn="0" w:firstRowLastColumn="0" w:lastRowFirstColumn="0" w:lastRowLastColumn="0"/>
            <w:tcW w:w="4649" w:type="dxa"/>
          </w:tcPr>
          <w:p w14:paraId="4B58D52C" w14:textId="77777777" w:rsidR="00575D39" w:rsidRPr="0008336A" w:rsidRDefault="00575D39" w:rsidP="00BD1734">
            <w:pPr>
              <w:pStyle w:val="Tabletext"/>
              <w:rPr>
                <w:b w:val="0"/>
                <w:bCs w:val="0"/>
              </w:rPr>
            </w:pPr>
            <w:r w:rsidRPr="0008336A">
              <w:rPr>
                <w:b w:val="0"/>
                <w:bCs w:val="0"/>
              </w:rPr>
              <w:t>Visibilité accrue du Secteur.</w:t>
            </w:r>
          </w:p>
        </w:tc>
        <w:tc>
          <w:tcPr>
            <w:tcW w:w="4649" w:type="dxa"/>
          </w:tcPr>
          <w:p w14:paraId="29F6E09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220" w:name="lt_pId392"/>
            <w:r w:rsidRPr="0008336A">
              <w:t xml:space="preserve">Nombre de réunions des CE, des GT, des groupes régionaux et d'ateliers tenus (à Genève et en dehors de Genève). </w:t>
            </w:r>
          </w:p>
          <w:p w14:paraId="7F13A28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Nombre de réunions de Groupes du Rapporteur et nombre de </w:t>
            </w:r>
            <w:proofErr w:type="gramStart"/>
            <w:r w:rsidRPr="0008336A">
              <w:t>participants;</w:t>
            </w:r>
            <w:proofErr w:type="gramEnd"/>
            <w:r w:rsidRPr="0008336A">
              <w:t xml:space="preserve"> nombre de réunions électroniques et nombre de participants.</w:t>
            </w:r>
          </w:p>
          <w:p w14:paraId="2F4EF76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contributions soumises par les participants des PMA, des pays en développement et des pays développés (séparément).</w:t>
            </w:r>
          </w:p>
          <w:p w14:paraId="0376D71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Pourcentage de postes de direction (président/vice</w:t>
            </w:r>
            <w:r w:rsidRPr="0008336A">
              <w:noBreakHyphen/>
              <w:t>président de commission d'études, président de Groupe du Rapporteur, éditeur) occupés par des participants des pays en développement et des PMA.</w:t>
            </w:r>
            <w:bookmarkEnd w:id="220"/>
          </w:p>
        </w:tc>
        <w:tc>
          <w:tcPr>
            <w:tcW w:w="4650" w:type="dxa"/>
          </w:tcPr>
          <w:p w14:paraId="0126FDBB"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760E7B79" w14:textId="20099F18" w:rsidR="00575D39" w:rsidRPr="0008336A" w:rsidRDefault="00575D39" w:rsidP="00BD1734">
      <w:pPr>
        <w:pStyle w:val="Heading1"/>
      </w:pPr>
      <w:r w:rsidRPr="0008336A">
        <w:br w:type="page"/>
      </w:r>
      <w:bookmarkStart w:id="221" w:name="_Toc34307498"/>
      <w:bookmarkStart w:id="222" w:name="_Toc34307576"/>
      <w:bookmarkStart w:id="223" w:name="_Toc34307674"/>
      <w:bookmarkStart w:id="224" w:name="_Toc39493339"/>
      <w:r w:rsidRPr="0079797D">
        <w:rPr>
          <w:color w:val="1F497D" w:themeColor="text2"/>
        </w:rPr>
        <w:lastRenderedPageBreak/>
        <w:t>II.3.5 – T.5 Coopération avec les organismes de normalisation</w:t>
      </w:r>
      <w:bookmarkEnd w:id="221"/>
      <w:bookmarkEnd w:id="222"/>
      <w:bookmarkEnd w:id="223"/>
      <w:bookmarkEnd w:id="224"/>
    </w:p>
    <w:p w14:paraId="24A3C267" w14:textId="77777777" w:rsidR="00575D39" w:rsidRPr="0079797D" w:rsidRDefault="00575D39" w:rsidP="00BD1734">
      <w:pPr>
        <w:pStyle w:val="Headingb"/>
        <w:rPr>
          <w:i/>
          <w:iCs/>
          <w:color w:val="C0504D" w:themeColor="accent2"/>
        </w:rPr>
      </w:pPr>
      <w:r w:rsidRPr="0079797D">
        <w:rPr>
          <w:i/>
          <w:iCs/>
          <w:color w:val="C0504D" w:themeColor="accent2"/>
        </w:rPr>
        <w:t>Description de l'Objectif</w:t>
      </w:r>
    </w:p>
    <w:p w14:paraId="39659D32"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225" w:name="lt_pId401"/>
      <w:r w:rsidRPr="0008336A">
        <w:rPr>
          <w:rFonts w:asciiTheme="minorHAnsi" w:hAnsiTheme="minorHAnsi"/>
        </w:rPr>
        <w:t>Élargir et faciliter la coopération avec les organismes internationaux, régionaux et nationaux de normalisation.</w:t>
      </w:r>
    </w:p>
    <w:p w14:paraId="0A4C4E59"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L'Objectif T.5 utilise 4,26% des ressources prévues pour les Objectifs de l'UIT-T ou 0,70% des ressources prévues de l'UIT pour 2021-2024.</w:t>
      </w:r>
    </w:p>
    <w:bookmarkEnd w:id="225"/>
    <w:p w14:paraId="2C66753D" w14:textId="77777777" w:rsidR="00575D39" w:rsidRPr="0079797D" w:rsidRDefault="00575D39" w:rsidP="00BD1734">
      <w:pPr>
        <w:pStyle w:val="Headingb"/>
        <w:rPr>
          <w:i/>
          <w:iCs/>
          <w:color w:val="C0504D" w:themeColor="accent2"/>
        </w:rPr>
      </w:pPr>
      <w:r w:rsidRPr="0079797D">
        <w:rPr>
          <w:i/>
          <w:iCs/>
          <w:color w:val="C0504D" w:themeColor="accent2"/>
        </w:rPr>
        <w:t>Récapitulatif de l'imputation des coûts</w:t>
      </w:r>
    </w:p>
    <w:bookmarkStart w:id="226" w:name="_MON_1644155949"/>
    <w:bookmarkEnd w:id="226"/>
    <w:p w14:paraId="71AC74E2"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2555" w:dyaOrig="4215" w14:anchorId="2932B43D">
          <v:shape id="_x0000_i1045" type="#_x0000_t75" style="width:627.75pt;height:210.75pt" o:ole="">
            <v:imagedata r:id="rId61" o:title=""/>
          </v:shape>
          <o:OLEObject Type="Embed" ProgID="Excel.Sheet.12" ShapeID="_x0000_i1045" DrawAspect="Content" ObjectID="_1650187658" r:id="rId62"/>
        </w:object>
      </w:r>
    </w:p>
    <w:p w14:paraId="09E56CB6" w14:textId="77777777" w:rsidR="00575D39" w:rsidRPr="0079797D" w:rsidRDefault="00575D39" w:rsidP="00CD6A08">
      <w:pPr>
        <w:pStyle w:val="Headingb"/>
        <w:spacing w:before="120" w:after="240"/>
        <w:rPr>
          <w:i/>
          <w:iCs/>
          <w:color w:val="C0504D" w:themeColor="accent2"/>
        </w:rPr>
      </w:pPr>
      <w:r w:rsidRPr="0079797D">
        <w:rPr>
          <w:i/>
          <w:iCs/>
          <w:color w:val="C0504D" w:themeColor="accent2"/>
        </w:rPr>
        <w:t>Rapport d'activité 2019</w:t>
      </w:r>
    </w:p>
    <w:tbl>
      <w:tblPr>
        <w:tblStyle w:val="GridTable1Light-Accent12"/>
        <w:tblW w:w="0" w:type="auto"/>
        <w:tblLook w:val="04A0" w:firstRow="1" w:lastRow="0" w:firstColumn="1" w:lastColumn="0" w:noHBand="0" w:noVBand="1"/>
      </w:tblPr>
      <w:tblGrid>
        <w:gridCol w:w="4248"/>
        <w:gridCol w:w="5528"/>
        <w:gridCol w:w="4172"/>
      </w:tblGrid>
      <w:tr w:rsidR="00575D39" w:rsidRPr="0008336A" w14:paraId="082B1C5F" w14:textId="77777777" w:rsidTr="00CD6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1884B19"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 obtenus</w:t>
            </w:r>
          </w:p>
        </w:tc>
        <w:tc>
          <w:tcPr>
            <w:tcW w:w="5528" w:type="dxa"/>
          </w:tcPr>
          <w:p w14:paraId="24B5E26F"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Mesure</w:t>
            </w:r>
          </w:p>
        </w:tc>
        <w:tc>
          <w:tcPr>
            <w:tcW w:w="4172" w:type="dxa"/>
          </w:tcPr>
          <w:p w14:paraId="70BC703F"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Risque</w:t>
            </w:r>
          </w:p>
        </w:tc>
      </w:tr>
      <w:tr w:rsidR="00575D39" w:rsidRPr="0008336A" w14:paraId="5AAB52F8" w14:textId="77777777" w:rsidTr="00CD6A08">
        <w:tc>
          <w:tcPr>
            <w:cnfStyle w:val="001000000000" w:firstRow="0" w:lastRow="0" w:firstColumn="1" w:lastColumn="0" w:oddVBand="0" w:evenVBand="0" w:oddHBand="0" w:evenHBand="0" w:firstRowFirstColumn="0" w:firstRowLastColumn="0" w:lastRowFirstColumn="0" w:lastRowLastColumn="0"/>
            <w:tcW w:w="4248" w:type="dxa"/>
          </w:tcPr>
          <w:p w14:paraId="78EC292C" w14:textId="77777777" w:rsidR="00575D39" w:rsidRPr="0008336A" w:rsidRDefault="00575D39" w:rsidP="00BD1734">
            <w:pPr>
              <w:pStyle w:val="Tabletext"/>
              <w:rPr>
                <w:b w:val="0"/>
                <w:bCs w:val="0"/>
              </w:rPr>
            </w:pPr>
            <w:r w:rsidRPr="0008336A">
              <w:rPr>
                <w:b w:val="0"/>
                <w:bCs w:val="0"/>
              </w:rPr>
              <w:t>La plupart des résultats étaient presque conformes aux attentes définies.</w:t>
            </w:r>
          </w:p>
        </w:tc>
        <w:tc>
          <w:tcPr>
            <w:tcW w:w="5528" w:type="dxa"/>
          </w:tcPr>
          <w:p w14:paraId="16F473D3"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42 réunions/ateliers </w:t>
            </w:r>
            <w:proofErr w:type="gramStart"/>
            <w:r w:rsidRPr="0008336A">
              <w:t>conjoints;</w:t>
            </w:r>
            <w:proofErr w:type="gramEnd"/>
            <w:r w:rsidRPr="0008336A">
              <w:t xml:space="preserve"> 1 104 notes de liaison reçues et 1 384 notes de liaison envoyées; 35 organisations habilitées conformément à la Recommandation UIT-T A.4, 48 organisations habilitées conformément à la Recommandation UIT-T A.5 et 18 organisations habilitées conformément à la Recommandation UIT-T A.6.</w:t>
            </w:r>
          </w:p>
        </w:tc>
        <w:tc>
          <w:tcPr>
            <w:tcW w:w="4172" w:type="dxa"/>
          </w:tcPr>
          <w:p w14:paraId="3B0C1C6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Tous les risques ont été correctement maîtrisés.</w:t>
            </w:r>
          </w:p>
        </w:tc>
      </w:tr>
    </w:tbl>
    <w:p w14:paraId="799AD7F8" w14:textId="4AAC8133" w:rsidR="00575D39" w:rsidRPr="0079797D" w:rsidRDefault="00575D39" w:rsidP="00CD6A08">
      <w:pPr>
        <w:pStyle w:val="Headingb"/>
        <w:spacing w:before="240" w:after="240"/>
        <w:rPr>
          <w:i/>
          <w:iCs/>
          <w:color w:val="C0504D" w:themeColor="accent2"/>
        </w:rPr>
      </w:pPr>
      <w:r w:rsidRPr="0079797D">
        <w:rPr>
          <w:i/>
          <w:iCs/>
          <w:color w:val="C0504D" w:themeColor="accent2"/>
        </w:rPr>
        <w:lastRenderedPageBreak/>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4649"/>
        <w:gridCol w:w="4650"/>
      </w:tblGrid>
      <w:tr w:rsidR="00575D39" w:rsidRPr="0008336A" w14:paraId="46225344" w14:textId="77777777" w:rsidTr="00E67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445C4A2B" w14:textId="77777777" w:rsidR="00575D39" w:rsidRPr="0079797D" w:rsidRDefault="00575D39" w:rsidP="00BD1734">
            <w:pPr>
              <w:pStyle w:val="Tablehead"/>
              <w:rPr>
                <w:b/>
                <w:bCs w:val="0"/>
                <w:i/>
                <w:iCs/>
                <w:color w:val="365F91" w:themeColor="accent1" w:themeShade="BF"/>
              </w:rPr>
            </w:pPr>
            <w:bookmarkStart w:id="227" w:name="_Hlk34298400"/>
            <w:r w:rsidRPr="0079797D">
              <w:rPr>
                <w:b/>
                <w:bCs w:val="0"/>
                <w:i/>
                <w:iCs/>
                <w:color w:val="365F91" w:themeColor="accent1" w:themeShade="BF"/>
              </w:rPr>
              <w:t>Résultats</w:t>
            </w:r>
            <w:bookmarkEnd w:id="227"/>
          </w:p>
        </w:tc>
        <w:tc>
          <w:tcPr>
            <w:tcW w:w="4649" w:type="dxa"/>
          </w:tcPr>
          <w:p w14:paraId="23961DE1"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résultat</w:t>
            </w:r>
          </w:p>
        </w:tc>
        <w:tc>
          <w:tcPr>
            <w:tcW w:w="4650" w:type="dxa"/>
          </w:tcPr>
          <w:p w14:paraId="5104F470"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risque</w:t>
            </w:r>
          </w:p>
        </w:tc>
      </w:tr>
      <w:tr w:rsidR="00575D39" w:rsidRPr="0008336A" w14:paraId="418CD215" w14:textId="77777777" w:rsidTr="00E6770F">
        <w:tc>
          <w:tcPr>
            <w:cnfStyle w:val="001000000000" w:firstRow="0" w:lastRow="0" w:firstColumn="1" w:lastColumn="0" w:oddVBand="0" w:evenVBand="0" w:oddHBand="0" w:evenHBand="0" w:firstRowFirstColumn="0" w:firstRowLastColumn="0" w:lastRowFirstColumn="0" w:lastRowLastColumn="0"/>
            <w:tcW w:w="4649" w:type="dxa"/>
          </w:tcPr>
          <w:p w14:paraId="2DE124BB" w14:textId="77777777" w:rsidR="00575D39" w:rsidRPr="0008336A" w:rsidRDefault="00575D39" w:rsidP="00BD1734">
            <w:pPr>
              <w:pStyle w:val="Tabletext"/>
              <w:rPr>
                <w:b w:val="0"/>
                <w:bCs w:val="0"/>
              </w:rPr>
            </w:pPr>
            <w:r w:rsidRPr="0008336A">
              <w:rPr>
                <w:b w:val="0"/>
                <w:bCs w:val="0"/>
              </w:rPr>
              <w:t>Renforcement de la communication avec d'autres organismes de normalisation.</w:t>
            </w:r>
          </w:p>
        </w:tc>
        <w:tc>
          <w:tcPr>
            <w:tcW w:w="4649" w:type="dxa"/>
          </w:tcPr>
          <w:p w14:paraId="314AE949"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réunions/ateliers organisés ou accueillis conjointement avec d'autres organisations.</w:t>
            </w:r>
          </w:p>
          <w:p w14:paraId="21E456B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notes de liaison.</w:t>
            </w:r>
          </w:p>
        </w:tc>
        <w:tc>
          <w:tcPr>
            <w:tcW w:w="4650" w:type="dxa"/>
          </w:tcPr>
          <w:p w14:paraId="4FDF38A4"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Difficulté croissante de nouer un dialogue avec le public (nouveaux acteurs, nombreuses organisations concurrentes cherchant à attirer l'attention du public).</w:t>
            </w:r>
          </w:p>
        </w:tc>
      </w:tr>
      <w:tr w:rsidR="00575D39" w:rsidRPr="0008336A" w14:paraId="12E57842" w14:textId="77777777" w:rsidTr="00E6770F">
        <w:tc>
          <w:tcPr>
            <w:cnfStyle w:val="001000000000" w:firstRow="0" w:lastRow="0" w:firstColumn="1" w:lastColumn="0" w:oddVBand="0" w:evenVBand="0" w:oddHBand="0" w:evenHBand="0" w:firstRowFirstColumn="0" w:firstRowLastColumn="0" w:lastRowFirstColumn="0" w:lastRowLastColumn="0"/>
            <w:tcW w:w="4649" w:type="dxa"/>
          </w:tcPr>
          <w:p w14:paraId="526435B0" w14:textId="77777777" w:rsidR="00575D39" w:rsidRPr="0008336A" w:rsidRDefault="00575D39" w:rsidP="00BD1734">
            <w:pPr>
              <w:pStyle w:val="Tabletext"/>
              <w:rPr>
                <w:b w:val="0"/>
                <w:bCs w:val="0"/>
              </w:rPr>
            </w:pPr>
            <w:r w:rsidRPr="0008336A">
              <w:rPr>
                <w:b w:val="0"/>
                <w:bCs w:val="0"/>
              </w:rPr>
              <w:t>Diminution du nombre de normes incompatibles entre elles.</w:t>
            </w:r>
          </w:p>
        </w:tc>
        <w:tc>
          <w:tcPr>
            <w:tcW w:w="4649" w:type="dxa"/>
          </w:tcPr>
          <w:p w14:paraId="696C7468"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normes élaborées conjointement avec d'autres organisations.</w:t>
            </w:r>
          </w:p>
        </w:tc>
        <w:tc>
          <w:tcPr>
            <w:tcW w:w="4650" w:type="dxa"/>
          </w:tcPr>
          <w:p w14:paraId="00BAA0F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Difficultés à valoriser et conserver les talents.</w:t>
            </w:r>
          </w:p>
          <w:p w14:paraId="12BDB56B"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0A475565" w14:textId="77777777" w:rsidTr="00E6770F">
        <w:tc>
          <w:tcPr>
            <w:cnfStyle w:val="001000000000" w:firstRow="0" w:lastRow="0" w:firstColumn="1" w:lastColumn="0" w:oddVBand="0" w:evenVBand="0" w:oddHBand="0" w:evenHBand="0" w:firstRowFirstColumn="0" w:firstRowLastColumn="0" w:lastRowFirstColumn="0" w:lastRowLastColumn="0"/>
            <w:tcW w:w="4649" w:type="dxa"/>
          </w:tcPr>
          <w:p w14:paraId="0843254E" w14:textId="77777777" w:rsidR="00575D39" w:rsidRPr="0008336A" w:rsidRDefault="00575D39" w:rsidP="00BD1734">
            <w:pPr>
              <w:pStyle w:val="Tabletext"/>
              <w:rPr>
                <w:b w:val="0"/>
                <w:bCs w:val="0"/>
              </w:rPr>
            </w:pPr>
            <w:r w:rsidRPr="0008336A">
              <w:rPr>
                <w:b w:val="0"/>
                <w:bCs w:val="0"/>
              </w:rPr>
              <w:t>Nombre accru de mémorandums d'accord/d'accords de collaboration conclus avec d'autres organisations.</w:t>
            </w:r>
          </w:p>
        </w:tc>
        <w:tc>
          <w:tcPr>
            <w:tcW w:w="4649" w:type="dxa"/>
          </w:tcPr>
          <w:p w14:paraId="12FAC85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d'accords conclus avec d'autres organisations.</w:t>
            </w:r>
          </w:p>
        </w:tc>
        <w:tc>
          <w:tcPr>
            <w:tcW w:w="4650" w:type="dxa"/>
          </w:tcPr>
          <w:p w14:paraId="39E466C5"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Cadre institutionnel obsolète.</w:t>
            </w:r>
          </w:p>
        </w:tc>
      </w:tr>
      <w:tr w:rsidR="00575D39" w:rsidRPr="0008336A" w14:paraId="57F4DED0" w14:textId="77777777" w:rsidTr="00E6770F">
        <w:tc>
          <w:tcPr>
            <w:cnfStyle w:val="001000000000" w:firstRow="0" w:lastRow="0" w:firstColumn="1" w:lastColumn="0" w:oddVBand="0" w:evenVBand="0" w:oddHBand="0" w:evenHBand="0" w:firstRowFirstColumn="0" w:firstRowLastColumn="0" w:lastRowFirstColumn="0" w:lastRowLastColumn="0"/>
            <w:tcW w:w="4649" w:type="dxa"/>
          </w:tcPr>
          <w:p w14:paraId="6DA3B9F0" w14:textId="77777777" w:rsidR="00575D39" w:rsidRPr="0008336A" w:rsidRDefault="00575D39" w:rsidP="00BD1734">
            <w:pPr>
              <w:pStyle w:val="Tabletext"/>
              <w:rPr>
                <w:b w:val="0"/>
                <w:bCs w:val="0"/>
              </w:rPr>
            </w:pPr>
            <w:r w:rsidRPr="0008336A">
              <w:rPr>
                <w:b w:val="0"/>
                <w:bCs w:val="0"/>
              </w:rPr>
              <w:t>Nombre accru d'organisations habilitées conformément aux Recommandations UIT-T A.4, A.5 et A.6.</w:t>
            </w:r>
          </w:p>
        </w:tc>
        <w:tc>
          <w:tcPr>
            <w:tcW w:w="4649" w:type="dxa"/>
          </w:tcPr>
          <w:p w14:paraId="3D211982"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d'organisations habilitées conformément aux Recommandations UIT</w:t>
            </w:r>
            <w:r w:rsidRPr="0008336A">
              <w:noBreakHyphen/>
              <w:t>T A.4/5/6.</w:t>
            </w:r>
          </w:p>
        </w:tc>
        <w:tc>
          <w:tcPr>
            <w:tcW w:w="4650" w:type="dxa"/>
          </w:tcPr>
          <w:p w14:paraId="39DC6AA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780EBA11" w14:textId="77777777" w:rsidTr="00E6770F">
        <w:tc>
          <w:tcPr>
            <w:cnfStyle w:val="001000000000" w:firstRow="0" w:lastRow="0" w:firstColumn="1" w:lastColumn="0" w:oddVBand="0" w:evenVBand="0" w:oddHBand="0" w:evenHBand="0" w:firstRowFirstColumn="0" w:firstRowLastColumn="0" w:lastRowFirstColumn="0" w:lastRowLastColumn="0"/>
            <w:tcW w:w="4649" w:type="dxa"/>
          </w:tcPr>
          <w:p w14:paraId="6814B058" w14:textId="77777777" w:rsidR="00575D39" w:rsidRPr="0008336A" w:rsidRDefault="00575D39" w:rsidP="00BD1734">
            <w:pPr>
              <w:pStyle w:val="Tabletext"/>
              <w:rPr>
                <w:b w:val="0"/>
                <w:bCs w:val="0"/>
              </w:rPr>
            </w:pPr>
            <w:r w:rsidRPr="0008336A">
              <w:rPr>
                <w:b w:val="0"/>
                <w:bCs w:val="0"/>
              </w:rPr>
              <w:t>Nombre accru d'ateliers ou de réunions organisés conjointement avec d'autres organisations.</w:t>
            </w:r>
          </w:p>
        </w:tc>
        <w:tc>
          <w:tcPr>
            <w:tcW w:w="4649" w:type="dxa"/>
          </w:tcPr>
          <w:p w14:paraId="7CBE178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Voir ci-dessus.</w:t>
            </w:r>
          </w:p>
        </w:tc>
        <w:tc>
          <w:tcPr>
            <w:tcW w:w="4650" w:type="dxa"/>
          </w:tcPr>
          <w:p w14:paraId="239A7888"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2281B832" w14:textId="77777777" w:rsidR="00526883" w:rsidRPr="0008336A" w:rsidRDefault="00526883" w:rsidP="00BD1734">
      <w:pPr>
        <w:pStyle w:val="Heading1"/>
      </w:pPr>
      <w:bookmarkStart w:id="228" w:name="_Toc34307499"/>
      <w:bookmarkStart w:id="229" w:name="_Toc34307577"/>
      <w:bookmarkStart w:id="230" w:name="_Toc34307675"/>
      <w:bookmarkStart w:id="231" w:name="_Toc39493340"/>
      <w:r w:rsidRPr="0008336A">
        <w:br w:type="page"/>
      </w:r>
    </w:p>
    <w:p w14:paraId="68051503" w14:textId="1EBBB7AA" w:rsidR="00575D39" w:rsidRPr="0079797D" w:rsidRDefault="00575D39" w:rsidP="00BD1734">
      <w:pPr>
        <w:pStyle w:val="Heading1"/>
        <w:rPr>
          <w:color w:val="1F497D" w:themeColor="text2"/>
        </w:rPr>
      </w:pPr>
      <w:r w:rsidRPr="0079797D">
        <w:rPr>
          <w:color w:val="1F497D" w:themeColor="text2"/>
        </w:rPr>
        <w:lastRenderedPageBreak/>
        <w:t>II.4</w:t>
      </w:r>
      <w:r w:rsidRPr="0079797D">
        <w:rPr>
          <w:color w:val="1F497D" w:themeColor="text2"/>
        </w:rPr>
        <w:tab/>
        <w:t>Objectifs du Secteur du développement des télécommunications</w:t>
      </w:r>
      <w:bookmarkEnd w:id="228"/>
      <w:bookmarkEnd w:id="229"/>
      <w:bookmarkEnd w:id="230"/>
      <w:bookmarkEnd w:id="231"/>
    </w:p>
    <w:p w14:paraId="2603F13A"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spacing w:after="360"/>
        <w:rPr>
          <w:rFonts w:asciiTheme="minorHAnsi" w:hAnsiTheme="minorHAnsi"/>
        </w:rPr>
      </w:pPr>
      <w:r w:rsidRPr="0008336A">
        <w:rPr>
          <w:rFonts w:asciiTheme="minorHAnsi" w:hAnsiTheme="minorHAnsi"/>
        </w:rPr>
        <w:t>Quatre Objectifs du Secteur du développement des télécommunications sont prévus pour la période 2021-2024, représentant 35,15% du total des ressources prévues de l'Union pour cette période.</w:t>
      </w:r>
    </w:p>
    <w:p w14:paraId="004A0F72" w14:textId="77777777" w:rsidR="00575D39" w:rsidRPr="0008336A" w:rsidRDefault="00575D39" w:rsidP="00BD1734">
      <w:pPr>
        <w:pStyle w:val="Tabletitle"/>
        <w:spacing w:after="0"/>
      </w:pPr>
      <w:r w:rsidRPr="0008336A">
        <w:t>Objectifs de l'UIT-D</w:t>
      </w:r>
    </w:p>
    <w:p w14:paraId="343F45EE" w14:textId="77777777" w:rsidR="00575D39" w:rsidRPr="0008336A" w:rsidRDefault="00575D39" w:rsidP="00BD1734">
      <w:pPr>
        <w:pStyle w:val="Tabletitle"/>
        <w:spacing w:after="0"/>
      </w:pPr>
      <w:r w:rsidRPr="0008336A">
        <w:t>Coûts prévus pour 2021-2024</w:t>
      </w:r>
    </w:p>
    <w:p w14:paraId="7A6A9A2B" w14:textId="77777777" w:rsidR="00575D39" w:rsidRPr="0008336A" w:rsidRDefault="00575D39" w:rsidP="00BD1734">
      <w:pPr>
        <w:pStyle w:val="Tabletitle"/>
        <w:spacing w:after="240"/>
      </w:pPr>
      <w:r w:rsidRPr="0008336A">
        <w:t>Ventilation par composante de coût</w:t>
      </w:r>
    </w:p>
    <w:bookmarkStart w:id="232" w:name="_MON_1644156223"/>
    <w:bookmarkEnd w:id="232"/>
    <w:p w14:paraId="66A9629F"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6483" w:dyaOrig="4493" w14:anchorId="19394920">
          <v:shape id="_x0000_i1046" type="#_x0000_t75" style="width:738.45pt;height:201.75pt" o:ole="">
            <v:imagedata r:id="rId63" o:title=""/>
          </v:shape>
          <o:OLEObject Type="Embed" ProgID="Excel.Sheet.12" ShapeID="_x0000_i1046" DrawAspect="Content" ObjectID="_1650187659" r:id="rId64"/>
        </w:object>
      </w:r>
    </w:p>
    <w:p w14:paraId="0B396979"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rPr>
      </w:pPr>
      <w:r w:rsidRPr="0008336A">
        <w:rPr>
          <w:rFonts w:asciiTheme="minorHAnsi" w:hAnsiTheme="minorHAnsi"/>
          <w:b/>
          <w:bCs/>
        </w:rPr>
        <w:br w:type="page"/>
      </w:r>
    </w:p>
    <w:p w14:paraId="348FF62A" w14:textId="68671628" w:rsidR="00575D39" w:rsidRPr="0079797D" w:rsidRDefault="00575D39" w:rsidP="00BD1734">
      <w:pPr>
        <w:pStyle w:val="Heading1"/>
        <w:rPr>
          <w:color w:val="1F497D" w:themeColor="text2"/>
        </w:rPr>
      </w:pPr>
      <w:bookmarkStart w:id="233" w:name="_Toc34307500"/>
      <w:bookmarkStart w:id="234" w:name="_Toc34307578"/>
      <w:bookmarkStart w:id="235" w:name="_Toc34307676"/>
      <w:bookmarkStart w:id="236" w:name="_Toc39493341"/>
      <w:r w:rsidRPr="0079797D">
        <w:rPr>
          <w:color w:val="1F497D" w:themeColor="text2"/>
        </w:rPr>
        <w:lastRenderedPageBreak/>
        <w:t>II.4.1 – D.1 Coordination</w:t>
      </w:r>
      <w:bookmarkEnd w:id="233"/>
      <w:bookmarkEnd w:id="234"/>
      <w:bookmarkEnd w:id="235"/>
      <w:bookmarkEnd w:id="236"/>
    </w:p>
    <w:p w14:paraId="11E36D5F" w14:textId="77777777" w:rsidR="00575D39" w:rsidRPr="0079797D" w:rsidRDefault="00575D39" w:rsidP="0079797D">
      <w:pPr>
        <w:pStyle w:val="Headingb"/>
        <w:spacing w:before="240"/>
        <w:rPr>
          <w:i/>
          <w:iCs/>
          <w:color w:val="C0504D" w:themeColor="accent2"/>
        </w:rPr>
      </w:pPr>
      <w:r w:rsidRPr="0079797D">
        <w:rPr>
          <w:i/>
          <w:iCs/>
          <w:color w:val="C0504D" w:themeColor="accent2"/>
        </w:rPr>
        <w:t>Description de l'Objectif</w:t>
      </w:r>
    </w:p>
    <w:p w14:paraId="5CE78D42"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Promouvoir la coopération et la conclusion d'accords à l'échelle internationale concernant les questions de développement des télécommunications/TIC.</w:t>
      </w:r>
    </w:p>
    <w:p w14:paraId="3A22FC36"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237" w:name="lt_pId427"/>
      <w:r w:rsidRPr="0008336A">
        <w:rPr>
          <w:rFonts w:asciiTheme="minorHAnsi" w:hAnsiTheme="minorHAnsi"/>
        </w:rPr>
        <w:t>L'Objectif D.1 utilise 30,34% des ressources prévues pour les Objectifs de l'UIT-D ou 10,67% des ressources prévues de l'UIT pour 2021-2024.</w:t>
      </w:r>
    </w:p>
    <w:bookmarkEnd w:id="237"/>
    <w:p w14:paraId="6B327849" w14:textId="77777777" w:rsidR="00575D39" w:rsidRPr="0079797D" w:rsidRDefault="00575D39" w:rsidP="0079797D">
      <w:pPr>
        <w:pStyle w:val="Headingb"/>
        <w:spacing w:before="480"/>
        <w:rPr>
          <w:i/>
          <w:iCs/>
          <w:color w:val="C0504D" w:themeColor="accent2"/>
        </w:rPr>
      </w:pPr>
      <w:r w:rsidRPr="0079797D">
        <w:rPr>
          <w:i/>
          <w:iCs/>
          <w:color w:val="C0504D" w:themeColor="accent2"/>
        </w:rPr>
        <w:t>Récapitulatif de l'imputation des coûts</w:t>
      </w:r>
    </w:p>
    <w:bookmarkStart w:id="238" w:name="_MON_1644208331"/>
    <w:bookmarkEnd w:id="238"/>
    <w:p w14:paraId="0A3D6C1A"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2570" w:dyaOrig="3705" w14:anchorId="45B7169C">
          <v:shape id="_x0000_i1047" type="#_x0000_t75" style="width:628.5pt;height:184.5pt" o:ole="">
            <v:imagedata r:id="rId65" o:title=""/>
          </v:shape>
          <o:OLEObject Type="Embed" ProgID="Excel.Sheet.12" ShapeID="_x0000_i1047" DrawAspect="Content" ObjectID="_1650187660" r:id="rId66"/>
        </w:object>
      </w:r>
    </w:p>
    <w:p w14:paraId="7168E45B"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i/>
          <w:iCs/>
        </w:rPr>
      </w:pPr>
      <w:r w:rsidRPr="0008336A">
        <w:rPr>
          <w:rFonts w:asciiTheme="minorHAnsi" w:hAnsiTheme="minorHAnsi"/>
          <w:b/>
          <w:bCs/>
          <w:i/>
          <w:iCs/>
        </w:rPr>
        <w:br w:type="page"/>
      </w:r>
    </w:p>
    <w:p w14:paraId="600D58C3" w14:textId="77777777" w:rsidR="00575D39" w:rsidRPr="0079797D" w:rsidRDefault="00575D39" w:rsidP="00BD1734">
      <w:pPr>
        <w:pStyle w:val="Headingb"/>
        <w:spacing w:after="240"/>
        <w:rPr>
          <w:i/>
          <w:iCs/>
          <w:color w:val="C0504D" w:themeColor="accent2"/>
        </w:rPr>
      </w:pPr>
      <w:r w:rsidRPr="0079797D">
        <w:rPr>
          <w:i/>
          <w:iCs/>
          <w:color w:val="C0504D" w:themeColor="accent2"/>
        </w:rPr>
        <w:lastRenderedPageBreak/>
        <w:t>Rapport d'activité 2019</w:t>
      </w:r>
    </w:p>
    <w:tbl>
      <w:tblPr>
        <w:tblStyle w:val="GridTable1Light-Accent12"/>
        <w:tblW w:w="0" w:type="auto"/>
        <w:tblLook w:val="04A0" w:firstRow="1" w:lastRow="0" w:firstColumn="1" w:lastColumn="0" w:noHBand="0" w:noVBand="1"/>
      </w:tblPr>
      <w:tblGrid>
        <w:gridCol w:w="4111"/>
        <w:gridCol w:w="6946"/>
        <w:gridCol w:w="2891"/>
      </w:tblGrid>
      <w:tr w:rsidR="00575D39" w:rsidRPr="0008336A" w14:paraId="3E7DF9F5" w14:textId="77777777" w:rsidTr="00AD1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B132BA5"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 obtenus</w:t>
            </w:r>
          </w:p>
        </w:tc>
        <w:tc>
          <w:tcPr>
            <w:tcW w:w="6946" w:type="dxa"/>
          </w:tcPr>
          <w:p w14:paraId="297E4DFB"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Mesure</w:t>
            </w:r>
          </w:p>
        </w:tc>
        <w:tc>
          <w:tcPr>
            <w:tcW w:w="2891" w:type="dxa"/>
          </w:tcPr>
          <w:p w14:paraId="6D826588"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 xml:space="preserve">Risque </w:t>
            </w:r>
          </w:p>
        </w:tc>
      </w:tr>
      <w:tr w:rsidR="00575D39" w:rsidRPr="0008336A" w14:paraId="51E028E9" w14:textId="77777777" w:rsidTr="00AD144A">
        <w:tc>
          <w:tcPr>
            <w:cnfStyle w:val="001000000000" w:firstRow="0" w:lastRow="0" w:firstColumn="1" w:lastColumn="0" w:oddVBand="0" w:evenVBand="0" w:oddHBand="0" w:evenHBand="0" w:firstRowFirstColumn="0" w:firstRowLastColumn="0" w:lastRowFirstColumn="0" w:lastRowLastColumn="0"/>
            <w:tcW w:w="4111" w:type="dxa"/>
          </w:tcPr>
          <w:p w14:paraId="3079FF13" w14:textId="511ED59C" w:rsidR="00575D39" w:rsidRPr="0008336A" w:rsidRDefault="00575D39" w:rsidP="00BD1734">
            <w:pPr>
              <w:pStyle w:val="Tabletext"/>
              <w:rPr>
                <w:b w:val="0"/>
                <w:bCs w:val="0"/>
              </w:rPr>
            </w:pPr>
            <w:r w:rsidRPr="0008336A">
              <w:rPr>
                <w:b w:val="0"/>
                <w:bCs w:val="0"/>
              </w:rPr>
              <w:t>Bon niveau de mise en œuvre du Plan d'action de la CMDT et du Plan d'action du SMSI.</w:t>
            </w:r>
          </w:p>
        </w:tc>
        <w:tc>
          <w:tcPr>
            <w:tcW w:w="6946" w:type="dxa"/>
          </w:tcPr>
          <w:p w14:paraId="533B39B8"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Afin de veiller à ce que le BDT travaille de la manière la plus efficace possible avec des résultats concrets et mesurables produisant des effets, le Bureau a amélioré son approche de gestion axée sur les résultats pour la planification et l'exécution des projets et a élaboré une théorie du changement pour chaque priorité thématique du BDT.</w:t>
            </w:r>
          </w:p>
          <w:p w14:paraId="2222331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Le BDT a organisé le volet annuel Innovation dans le cadre du Forum du SMSI. Trois sessions ont été consacrées à trois grands </w:t>
            </w:r>
            <w:proofErr w:type="gramStart"/>
            <w:r w:rsidRPr="0008336A">
              <w:t>domaines:</w:t>
            </w:r>
            <w:proofErr w:type="gramEnd"/>
            <w:r w:rsidRPr="0008336A">
              <w:t xml:space="preserve"> tendances des technologies pour accélérer la transformation numérique, présentation d'expériences nationales et culture de l'innovation pour atteindre plus vite les ODD. Présence de 250 participants et 25 intervenants spécialisés.</w:t>
            </w:r>
          </w:p>
        </w:tc>
        <w:tc>
          <w:tcPr>
            <w:tcW w:w="2891" w:type="dxa"/>
          </w:tcPr>
          <w:p w14:paraId="150DEA3F"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Tous les risques ont été maîtrisés. Public nombreux et ressources humaines et financières suffisantes pour répondre aux besoins.</w:t>
            </w:r>
          </w:p>
        </w:tc>
      </w:tr>
      <w:tr w:rsidR="00575D39" w:rsidRPr="0008336A" w14:paraId="13D6A800" w14:textId="77777777" w:rsidTr="00AD144A">
        <w:tc>
          <w:tcPr>
            <w:cnfStyle w:val="001000000000" w:firstRow="0" w:lastRow="0" w:firstColumn="1" w:lastColumn="0" w:oddVBand="0" w:evenVBand="0" w:oddHBand="0" w:evenHBand="0" w:firstRowFirstColumn="0" w:firstRowLastColumn="0" w:lastRowFirstColumn="0" w:lastRowLastColumn="0"/>
            <w:tcW w:w="4111" w:type="dxa"/>
          </w:tcPr>
          <w:p w14:paraId="1F8E4B10" w14:textId="77777777" w:rsidR="00575D39" w:rsidRPr="0008336A" w:rsidRDefault="00575D39" w:rsidP="00BD1734">
            <w:pPr>
              <w:pStyle w:val="Tabletext"/>
              <w:rPr>
                <w:b w:val="0"/>
                <w:bCs w:val="0"/>
              </w:rPr>
            </w:pPr>
            <w:r w:rsidRPr="0008336A">
              <w:rPr>
                <w:b w:val="0"/>
                <w:bCs w:val="0"/>
              </w:rPr>
              <w:t>Contribution pertinente au renforcement de l'échange de connaissances, du dialogue et des partenariats entre les membres de l'UIT concernant les questions de télécommunication/TIC.</w:t>
            </w:r>
          </w:p>
        </w:tc>
        <w:tc>
          <w:tcPr>
            <w:tcW w:w="6946" w:type="dxa"/>
          </w:tcPr>
          <w:p w14:paraId="30E2652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Le BDT a organisé la réunion des partenaires universitaires de l'UIT, les réunions des deux commissions d'études et de leurs Groupes du Rapporteur. Plusieurs activités de partenariat ont été menées avec Cisco, Deloite Risk Advisory − Italie, l'OFCOM, l'Organisation des femmes arabes, NBTC/Thaïlande, le programme INPUT, la FAO, etc. </w:t>
            </w:r>
          </w:p>
          <w:p w14:paraId="78504A4F"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Un grand nombre de plates-formes, d'ateliers et de manifestations ont été mis à disposition ou organisés, afin de renforcer les échanges de connaissances entre les membres, </w:t>
            </w:r>
            <w:proofErr w:type="gramStart"/>
            <w:r w:rsidRPr="0008336A">
              <w:t>aux niveaux national</w:t>
            </w:r>
            <w:proofErr w:type="gramEnd"/>
            <w:r w:rsidRPr="0008336A">
              <w:t xml:space="preserve">, régional et mondial. </w:t>
            </w:r>
          </w:p>
        </w:tc>
        <w:tc>
          <w:tcPr>
            <w:tcW w:w="2891" w:type="dxa"/>
          </w:tcPr>
          <w:p w14:paraId="3B3FA62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Le bon appui apporté par les parties prenantes a aidé à maîtriser les risques possibles.</w:t>
            </w:r>
          </w:p>
        </w:tc>
      </w:tr>
      <w:tr w:rsidR="00575D39" w:rsidRPr="0008336A" w14:paraId="29E9479F" w14:textId="77777777" w:rsidTr="00AD144A">
        <w:tc>
          <w:tcPr>
            <w:cnfStyle w:val="001000000000" w:firstRow="0" w:lastRow="0" w:firstColumn="1" w:lastColumn="0" w:oddVBand="0" w:evenVBand="0" w:oddHBand="0" w:evenHBand="0" w:firstRowFirstColumn="0" w:firstRowLastColumn="0" w:lastRowFirstColumn="0" w:lastRowLastColumn="0"/>
            <w:tcW w:w="4111" w:type="dxa"/>
          </w:tcPr>
          <w:p w14:paraId="2CF7BC74" w14:textId="77777777" w:rsidR="00575D39" w:rsidRPr="0008336A" w:rsidRDefault="00575D39" w:rsidP="00BD1734">
            <w:pPr>
              <w:pStyle w:val="Tabletext"/>
              <w:rPr>
                <w:b w:val="0"/>
                <w:bCs w:val="0"/>
              </w:rPr>
            </w:pPr>
            <w:r w:rsidRPr="0008336A">
              <w:rPr>
                <w:b w:val="0"/>
                <w:bCs w:val="0"/>
              </w:rPr>
              <w:t>Mise en œuvre de projets de développement des télécommunications/TIC et d'initiatives régionales.</w:t>
            </w:r>
          </w:p>
        </w:tc>
        <w:tc>
          <w:tcPr>
            <w:tcW w:w="6946" w:type="dxa"/>
          </w:tcPr>
          <w:p w14:paraId="3705675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19 accords concernant de nouveaux projets ont été signés en 2019. Au moment où nous rédigeons le présent rapport, 68 projets et initiatives régionales étaient en cours.</w:t>
            </w:r>
          </w:p>
        </w:tc>
        <w:tc>
          <w:tcPr>
            <w:tcW w:w="2891" w:type="dxa"/>
          </w:tcPr>
          <w:p w14:paraId="6559323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756D6318"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i/>
          <w:iCs/>
        </w:rPr>
      </w:pPr>
      <w:r w:rsidRPr="0008336A">
        <w:rPr>
          <w:rFonts w:asciiTheme="minorHAnsi" w:hAnsiTheme="minorHAnsi"/>
          <w:b/>
          <w:bCs/>
          <w:i/>
          <w:iCs/>
        </w:rPr>
        <w:br w:type="page"/>
      </w:r>
    </w:p>
    <w:p w14:paraId="007F82BD" w14:textId="77777777" w:rsidR="00575D39" w:rsidRPr="0008336A" w:rsidRDefault="00575D39" w:rsidP="00BD1734">
      <w:pPr>
        <w:pStyle w:val="Headingb"/>
        <w:spacing w:after="240"/>
        <w:rPr>
          <w:i/>
          <w:iCs/>
        </w:rPr>
      </w:pPr>
      <w:r w:rsidRPr="0008336A">
        <w:rPr>
          <w:i/>
          <w:iCs/>
        </w:rPr>
        <w:lastRenderedPageBreak/>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649"/>
        <w:gridCol w:w="5557"/>
        <w:gridCol w:w="3742"/>
      </w:tblGrid>
      <w:tr w:rsidR="00575D39" w:rsidRPr="0008336A" w14:paraId="6550CDD7" w14:textId="77777777" w:rsidTr="005268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tcPr>
          <w:p w14:paraId="36C7393E"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w:t>
            </w:r>
          </w:p>
        </w:tc>
        <w:tc>
          <w:tcPr>
            <w:tcW w:w="5557" w:type="dxa"/>
          </w:tcPr>
          <w:p w14:paraId="13EBDC4A"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résultat</w:t>
            </w:r>
          </w:p>
        </w:tc>
        <w:tc>
          <w:tcPr>
            <w:tcW w:w="3742" w:type="dxa"/>
          </w:tcPr>
          <w:p w14:paraId="5A6EBCE0"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risque</w:t>
            </w:r>
          </w:p>
        </w:tc>
      </w:tr>
      <w:tr w:rsidR="00575D39" w:rsidRPr="0008336A" w14:paraId="56A6E4AB" w14:textId="77777777" w:rsidTr="00AD144A">
        <w:tc>
          <w:tcPr>
            <w:cnfStyle w:val="001000000000" w:firstRow="0" w:lastRow="0" w:firstColumn="1" w:lastColumn="0" w:oddVBand="0" w:evenVBand="0" w:oddHBand="0" w:evenHBand="0" w:firstRowFirstColumn="0" w:firstRowLastColumn="0" w:lastRowFirstColumn="0" w:lastRowLastColumn="0"/>
            <w:tcW w:w="4649" w:type="dxa"/>
          </w:tcPr>
          <w:p w14:paraId="67F5A398" w14:textId="77777777" w:rsidR="00575D39" w:rsidRPr="0008336A" w:rsidRDefault="00575D39" w:rsidP="0079797D">
            <w:pPr>
              <w:pStyle w:val="Tabletext"/>
              <w:spacing w:before="40"/>
              <w:rPr>
                <w:b w:val="0"/>
                <w:bCs w:val="0"/>
              </w:rPr>
            </w:pPr>
            <w:r w:rsidRPr="0008336A">
              <w:rPr>
                <w:b w:val="0"/>
                <w:bCs w:val="0"/>
              </w:rPr>
              <w:t>Examen plus approfondi et meilleure adhésion au projet de contribution de l'UIT-D au projet de plan stratégique de l'UIT, à la Déclaration de la CMDT et au Plan d'action de la CMDT.</w:t>
            </w:r>
          </w:p>
        </w:tc>
        <w:tc>
          <w:tcPr>
            <w:tcW w:w="5557" w:type="dxa"/>
          </w:tcPr>
          <w:p w14:paraId="5591ED09"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Niveau de compréhension et d'adhésion des Membres en ce qui concerne les objectifs et les produits de l'UIT-D.</w:t>
            </w:r>
          </w:p>
          <w:p w14:paraId="5A3F64E9"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Déclaration approuvée – Niveau d'appui/d'adhésion.</w:t>
            </w:r>
          </w:p>
        </w:tc>
        <w:tc>
          <w:tcPr>
            <w:tcW w:w="3742" w:type="dxa"/>
          </w:tcPr>
          <w:p w14:paraId="4D0F1509"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Difficulté croissante de nouer un dialogue avec le public (nouveaux acteurs, nombreuses organisations concurrentes cherchant à attirer l'attention du public).</w:t>
            </w:r>
          </w:p>
        </w:tc>
      </w:tr>
      <w:tr w:rsidR="00575D39" w:rsidRPr="0008336A" w14:paraId="6838AA1A" w14:textId="77777777" w:rsidTr="00AD144A">
        <w:tc>
          <w:tcPr>
            <w:cnfStyle w:val="001000000000" w:firstRow="0" w:lastRow="0" w:firstColumn="1" w:lastColumn="0" w:oddVBand="0" w:evenVBand="0" w:oddHBand="0" w:evenHBand="0" w:firstRowFirstColumn="0" w:firstRowLastColumn="0" w:lastRowFirstColumn="0" w:lastRowLastColumn="0"/>
            <w:tcW w:w="4649" w:type="dxa"/>
          </w:tcPr>
          <w:p w14:paraId="5B9F4B43" w14:textId="77777777" w:rsidR="00575D39" w:rsidRPr="0008336A" w:rsidRDefault="00575D39" w:rsidP="0079797D">
            <w:pPr>
              <w:pStyle w:val="Tabletext"/>
              <w:spacing w:before="40"/>
              <w:rPr>
                <w:b w:val="0"/>
                <w:bCs w:val="0"/>
              </w:rPr>
            </w:pPr>
            <w:r w:rsidRPr="0008336A">
              <w:rPr>
                <w:b w:val="0"/>
                <w:bCs w:val="0"/>
              </w:rPr>
              <w:t>Évaluation de la mise en œuvre du Plan d'action de la CMDT et du Plan d'action du SMSI.</w:t>
            </w:r>
          </w:p>
        </w:tc>
        <w:tc>
          <w:tcPr>
            <w:tcW w:w="5557" w:type="dxa"/>
          </w:tcPr>
          <w:p w14:paraId="09172CB3"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Indicateurs de coopération régionale – Niveau de consensus.</w:t>
            </w:r>
          </w:p>
        </w:tc>
        <w:tc>
          <w:tcPr>
            <w:tcW w:w="3742" w:type="dxa"/>
          </w:tcPr>
          <w:p w14:paraId="591A7CF5"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Manque de soutien/d'engagement de la part des partenaires et des pays.</w:t>
            </w:r>
          </w:p>
        </w:tc>
      </w:tr>
      <w:tr w:rsidR="00575D39" w:rsidRPr="0008336A" w14:paraId="6E7AEB48" w14:textId="77777777" w:rsidTr="00AD144A">
        <w:tc>
          <w:tcPr>
            <w:cnfStyle w:val="001000000000" w:firstRow="0" w:lastRow="0" w:firstColumn="1" w:lastColumn="0" w:oddVBand="0" w:evenVBand="0" w:oddHBand="0" w:evenHBand="0" w:firstRowFirstColumn="0" w:firstRowLastColumn="0" w:lastRowFirstColumn="0" w:lastRowLastColumn="0"/>
            <w:tcW w:w="4649" w:type="dxa"/>
          </w:tcPr>
          <w:p w14:paraId="60E2A540" w14:textId="77777777" w:rsidR="00575D39" w:rsidRPr="0008336A" w:rsidRDefault="00575D39" w:rsidP="0079797D">
            <w:pPr>
              <w:pStyle w:val="Tabletext"/>
              <w:spacing w:before="40"/>
              <w:rPr>
                <w:b w:val="0"/>
                <w:bCs w:val="0"/>
              </w:rPr>
            </w:pPr>
            <w:r w:rsidRPr="0008336A">
              <w:rPr>
                <w:b w:val="0"/>
                <w:bCs w:val="0"/>
              </w:rPr>
              <w:t>Renforcement de l'échange de connaissances, du dialogue et des partenariats entre les membres de l'UIT concernant les questions de télécommunication/TIC.</w:t>
            </w:r>
          </w:p>
        </w:tc>
        <w:tc>
          <w:tcPr>
            <w:tcW w:w="5557" w:type="dxa"/>
          </w:tcPr>
          <w:p w14:paraId="71EA611D"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 xml:space="preserve">Programmes de travail entrepris pour donner </w:t>
            </w:r>
            <w:proofErr w:type="gramStart"/>
            <w:r w:rsidRPr="0008336A">
              <w:t>suite:</w:t>
            </w:r>
            <w:proofErr w:type="gramEnd"/>
            <w:r w:rsidRPr="0008336A">
              <w:t xml:space="preserve"> à la Résolution 2 (Rév.Buenos Aires, 2017); aux travaux assignés par la CMDT; aux Résolutions de l'UIT-D portant sur des domaines d'étude particuliers confiés aux commissions d'études de l'UIT-D.</w:t>
            </w:r>
          </w:p>
          <w:p w14:paraId="479C7FB5"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Réunions et documents de réunion traités conformément à la Résolution 1 (Rév.Buenos Aires, 2017) (et aux lignes directrices de travail) ainsi qu'aux décisions de la CMDT.</w:t>
            </w:r>
          </w:p>
        </w:tc>
        <w:tc>
          <w:tcPr>
            <w:tcW w:w="3742" w:type="dxa"/>
          </w:tcPr>
          <w:p w14:paraId="59DC2B6D"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Insuffisance des ressources humaines et financières.</w:t>
            </w:r>
          </w:p>
        </w:tc>
      </w:tr>
      <w:tr w:rsidR="00575D39" w:rsidRPr="0008336A" w14:paraId="2951D644" w14:textId="77777777" w:rsidTr="00AD144A">
        <w:tc>
          <w:tcPr>
            <w:cnfStyle w:val="001000000000" w:firstRow="0" w:lastRow="0" w:firstColumn="1" w:lastColumn="0" w:oddVBand="0" w:evenVBand="0" w:oddHBand="0" w:evenHBand="0" w:firstRowFirstColumn="0" w:firstRowLastColumn="0" w:lastRowFirstColumn="0" w:lastRowLastColumn="0"/>
            <w:tcW w:w="4649" w:type="dxa"/>
          </w:tcPr>
          <w:p w14:paraId="7CA11E91" w14:textId="77777777" w:rsidR="00575D39" w:rsidRPr="0008336A" w:rsidRDefault="00575D39" w:rsidP="0079797D">
            <w:pPr>
              <w:pStyle w:val="Tabletext"/>
              <w:spacing w:before="40"/>
              <w:rPr>
                <w:b w:val="0"/>
                <w:bCs w:val="0"/>
              </w:rPr>
            </w:pPr>
            <w:r w:rsidRPr="0008336A">
              <w:rPr>
                <w:b w:val="0"/>
                <w:bCs w:val="0"/>
              </w:rPr>
              <w:t>Renforcement du processus et de la mise en œuvre de projets de développement des télécommunications/TIC et d'initiatives régionales.</w:t>
            </w:r>
          </w:p>
        </w:tc>
        <w:tc>
          <w:tcPr>
            <w:tcW w:w="5557" w:type="dxa"/>
          </w:tcPr>
          <w:p w14:paraId="4C1E92CB"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Utilisation accrue des outils électroniques pour faire progresser les travaux menés au titre des programmes de travail des commissions d'études.</w:t>
            </w:r>
          </w:p>
          <w:p w14:paraId="4BF241CC"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Nombre de partenariats signés et volume de ressources mobilisées.</w:t>
            </w:r>
          </w:p>
          <w:p w14:paraId="27D316F6"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Nombre de projets de développement et de projets se rapportant à des initiatives régionales mis en œuvre par région.</w:t>
            </w:r>
          </w:p>
          <w:p w14:paraId="6824ABC3"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Nombre d'États Membres ayant bénéficié d'une assistance du BDT pour la mise en œuvre de projets se rapportant à des initiatives régionales.</w:t>
            </w:r>
          </w:p>
        </w:tc>
        <w:tc>
          <w:tcPr>
            <w:tcW w:w="3742" w:type="dxa"/>
          </w:tcPr>
          <w:p w14:paraId="61DE5438"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p>
        </w:tc>
      </w:tr>
      <w:tr w:rsidR="00575D39" w:rsidRPr="0008336A" w14:paraId="52B95861" w14:textId="77777777" w:rsidTr="00AD144A">
        <w:tc>
          <w:tcPr>
            <w:cnfStyle w:val="001000000000" w:firstRow="0" w:lastRow="0" w:firstColumn="1" w:lastColumn="0" w:oddVBand="0" w:evenVBand="0" w:oddHBand="0" w:evenHBand="0" w:firstRowFirstColumn="0" w:firstRowLastColumn="0" w:lastRowFirstColumn="0" w:lastRowLastColumn="0"/>
            <w:tcW w:w="4649" w:type="dxa"/>
          </w:tcPr>
          <w:p w14:paraId="4395B416" w14:textId="77777777" w:rsidR="00575D39" w:rsidRPr="0008336A" w:rsidRDefault="00575D39" w:rsidP="0079797D">
            <w:pPr>
              <w:pStyle w:val="Tabletext"/>
              <w:keepLines/>
              <w:spacing w:before="40"/>
              <w:rPr>
                <w:b w:val="0"/>
                <w:bCs w:val="0"/>
              </w:rPr>
            </w:pPr>
            <w:r w:rsidRPr="0008336A">
              <w:rPr>
                <w:b w:val="0"/>
                <w:bCs w:val="0"/>
              </w:rPr>
              <w:lastRenderedPageBreak/>
              <w:t>Faciliter la conclusion d'accords de coopération concernant des programmes de développement des télécommunications/TIC entre les États Membres, ainsi qu'entre les États Membres et d'autres parties prenantes de l'écosystème des TIC, sur la base des demandes formulées par les États Membres concernés de l'UIT.</w:t>
            </w:r>
          </w:p>
        </w:tc>
        <w:tc>
          <w:tcPr>
            <w:tcW w:w="5557" w:type="dxa"/>
          </w:tcPr>
          <w:p w14:paraId="612A9179"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Nombre de partenariats signés et ressources mobilisées.</w:t>
            </w:r>
          </w:p>
          <w:p w14:paraId="391BB4DC"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Nombre de demandes soumises par des administrations à l'UIT dans le but de faciliter la conclusion d'accords.</w:t>
            </w:r>
          </w:p>
          <w:p w14:paraId="76F636F5"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r w:rsidRPr="0008336A">
              <w:t>Nombre d'accords dont la conclusion a été facilitée par l'UIT.</w:t>
            </w:r>
          </w:p>
        </w:tc>
        <w:tc>
          <w:tcPr>
            <w:tcW w:w="3742" w:type="dxa"/>
          </w:tcPr>
          <w:p w14:paraId="5EA74971" w14:textId="77777777" w:rsidR="00575D39" w:rsidRPr="0008336A" w:rsidRDefault="00575D39" w:rsidP="0079797D">
            <w:pPr>
              <w:pStyle w:val="Tabletext"/>
              <w:spacing w:before="40"/>
              <w:cnfStyle w:val="000000000000" w:firstRow="0" w:lastRow="0" w:firstColumn="0" w:lastColumn="0" w:oddVBand="0" w:evenVBand="0" w:oddHBand="0" w:evenHBand="0" w:firstRowFirstColumn="0" w:firstRowLastColumn="0" w:lastRowFirstColumn="0" w:lastRowLastColumn="0"/>
            </w:pPr>
          </w:p>
        </w:tc>
      </w:tr>
    </w:tbl>
    <w:p w14:paraId="2B806365" w14:textId="77777777" w:rsidR="00575D39" w:rsidRPr="0008336A" w:rsidRDefault="00575D39" w:rsidP="00BD1734">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rPr>
      </w:pPr>
      <w:r w:rsidRPr="0008336A">
        <w:rPr>
          <w:rFonts w:asciiTheme="minorHAnsi" w:hAnsiTheme="minorHAnsi"/>
        </w:rPr>
        <w:br w:type="page"/>
      </w:r>
    </w:p>
    <w:p w14:paraId="7771F194" w14:textId="194637E7" w:rsidR="00575D39" w:rsidRPr="0079797D" w:rsidRDefault="00575D39" w:rsidP="00BD1734">
      <w:pPr>
        <w:pStyle w:val="Heading1"/>
        <w:rPr>
          <w:color w:val="1F497D" w:themeColor="text2"/>
        </w:rPr>
      </w:pPr>
      <w:bookmarkStart w:id="239" w:name="_Toc34307501"/>
      <w:bookmarkStart w:id="240" w:name="_Toc34307579"/>
      <w:bookmarkStart w:id="241" w:name="_Toc34307677"/>
      <w:bookmarkStart w:id="242" w:name="_Toc39493342"/>
      <w:r w:rsidRPr="0079797D">
        <w:rPr>
          <w:color w:val="1F497D" w:themeColor="text2"/>
        </w:rPr>
        <w:lastRenderedPageBreak/>
        <w:t>II.4.2 – D.2 Infrastructure moderne et sûre pour les télécommunications/TIC</w:t>
      </w:r>
      <w:bookmarkEnd w:id="239"/>
      <w:bookmarkEnd w:id="240"/>
      <w:bookmarkEnd w:id="241"/>
      <w:bookmarkEnd w:id="242"/>
    </w:p>
    <w:p w14:paraId="694DBD70" w14:textId="77777777" w:rsidR="00575D39" w:rsidRPr="0079797D" w:rsidRDefault="00575D39" w:rsidP="00BD1734">
      <w:pPr>
        <w:pStyle w:val="Headingb"/>
        <w:rPr>
          <w:i/>
          <w:iCs/>
          <w:color w:val="C0504D" w:themeColor="accent2"/>
        </w:rPr>
      </w:pPr>
      <w:r w:rsidRPr="0079797D">
        <w:rPr>
          <w:i/>
          <w:iCs/>
          <w:color w:val="C0504D" w:themeColor="accent2"/>
        </w:rPr>
        <w:t>Description de l'Objectif</w:t>
      </w:r>
    </w:p>
    <w:p w14:paraId="6669697F"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Promouvoir le développement d'infrastructures et de services, et notamment instaurer la confiance et la sécurité dans l'utilisation des télécommunications/TIC.</w:t>
      </w:r>
    </w:p>
    <w:p w14:paraId="750117FB"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243" w:name="lt_pId450"/>
      <w:r w:rsidRPr="0008336A">
        <w:rPr>
          <w:rFonts w:asciiTheme="minorHAnsi" w:hAnsiTheme="minorHAnsi"/>
        </w:rPr>
        <w:t>L'Objectif D.2 utilise 20,19% des ressources prévues pour les Objectifs de l'UIT-D ou 7,10% des ressources prévues de l'UIT pour 2021-2024.</w:t>
      </w:r>
    </w:p>
    <w:bookmarkEnd w:id="243"/>
    <w:p w14:paraId="4601F923" w14:textId="77777777" w:rsidR="00575D39" w:rsidRPr="0079797D" w:rsidRDefault="00575D39" w:rsidP="00BD1734">
      <w:pPr>
        <w:pStyle w:val="Headingb"/>
        <w:rPr>
          <w:i/>
          <w:iCs/>
          <w:color w:val="C0504D" w:themeColor="accent2"/>
        </w:rPr>
      </w:pPr>
      <w:r w:rsidRPr="0079797D">
        <w:rPr>
          <w:i/>
          <w:iCs/>
          <w:color w:val="C0504D" w:themeColor="accent2"/>
        </w:rPr>
        <w:t>Récapitulatif de l'imputation des coûts</w:t>
      </w:r>
    </w:p>
    <w:bookmarkStart w:id="244" w:name="_MON_1644208629"/>
    <w:bookmarkEnd w:id="244"/>
    <w:p w14:paraId="54BF7E6B"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2465" w:dyaOrig="3915" w14:anchorId="1BEB2B2D">
          <v:shape id="_x0000_i1048" type="#_x0000_t75" style="width:623.25pt;height:195.75pt" o:ole="">
            <v:imagedata r:id="rId67" o:title=""/>
          </v:shape>
          <o:OLEObject Type="Embed" ProgID="Excel.Sheet.12" ShapeID="_x0000_i1048" DrawAspect="Content" ObjectID="_1650187661" r:id="rId68"/>
        </w:object>
      </w:r>
    </w:p>
    <w:p w14:paraId="5161AC62"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i/>
          <w:iCs/>
        </w:rPr>
      </w:pPr>
      <w:r w:rsidRPr="0008336A">
        <w:rPr>
          <w:rFonts w:asciiTheme="minorHAnsi" w:hAnsiTheme="minorHAnsi"/>
          <w:b/>
          <w:bCs/>
          <w:i/>
          <w:iCs/>
        </w:rPr>
        <w:br w:type="page"/>
      </w:r>
    </w:p>
    <w:p w14:paraId="2B1EF974" w14:textId="77777777" w:rsidR="00575D39" w:rsidRPr="0079797D" w:rsidRDefault="00575D39" w:rsidP="0093094E">
      <w:pPr>
        <w:pStyle w:val="Headingb"/>
        <w:spacing w:after="120"/>
        <w:rPr>
          <w:i/>
          <w:iCs/>
          <w:color w:val="C0504D" w:themeColor="accent2"/>
        </w:rPr>
      </w:pPr>
      <w:r w:rsidRPr="0079797D">
        <w:rPr>
          <w:i/>
          <w:iCs/>
          <w:color w:val="C0504D" w:themeColor="accent2"/>
        </w:rPr>
        <w:lastRenderedPageBreak/>
        <w:t>Rapport d'activité 2019</w:t>
      </w:r>
    </w:p>
    <w:tbl>
      <w:tblPr>
        <w:tblStyle w:val="GridTable1Light-Accent12"/>
        <w:tblW w:w="14596" w:type="dxa"/>
        <w:tblLook w:val="04A0" w:firstRow="1" w:lastRow="0" w:firstColumn="1" w:lastColumn="0" w:noHBand="0" w:noVBand="1"/>
      </w:tblPr>
      <w:tblGrid>
        <w:gridCol w:w="4531"/>
        <w:gridCol w:w="7230"/>
        <w:gridCol w:w="2835"/>
      </w:tblGrid>
      <w:tr w:rsidR="00575D39" w:rsidRPr="0008336A" w14:paraId="29F19BEA" w14:textId="77777777" w:rsidTr="00930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E54A66A"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 obtenus</w:t>
            </w:r>
          </w:p>
        </w:tc>
        <w:tc>
          <w:tcPr>
            <w:tcW w:w="7230" w:type="dxa"/>
          </w:tcPr>
          <w:p w14:paraId="70811116"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Mesure</w:t>
            </w:r>
          </w:p>
        </w:tc>
        <w:tc>
          <w:tcPr>
            <w:tcW w:w="2835" w:type="dxa"/>
          </w:tcPr>
          <w:p w14:paraId="22797E5E"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 xml:space="preserve">Risque </w:t>
            </w:r>
          </w:p>
        </w:tc>
      </w:tr>
      <w:tr w:rsidR="00575D39" w:rsidRPr="0008336A" w14:paraId="125DE8D7" w14:textId="77777777" w:rsidTr="0093094E">
        <w:tc>
          <w:tcPr>
            <w:cnfStyle w:val="001000000000" w:firstRow="0" w:lastRow="0" w:firstColumn="1" w:lastColumn="0" w:oddVBand="0" w:evenVBand="0" w:oddHBand="0" w:evenHBand="0" w:firstRowFirstColumn="0" w:firstRowLastColumn="0" w:lastRowFirstColumn="0" w:lastRowLastColumn="0"/>
            <w:tcW w:w="4531" w:type="dxa"/>
          </w:tcPr>
          <w:p w14:paraId="34F72997" w14:textId="77777777" w:rsidR="00575D39" w:rsidRPr="0008336A" w:rsidRDefault="00575D39" w:rsidP="00BD1734">
            <w:pPr>
              <w:pStyle w:val="Tabletext"/>
              <w:rPr>
                <w:b w:val="0"/>
                <w:bCs w:val="0"/>
              </w:rPr>
            </w:pPr>
            <w:r w:rsidRPr="0008336A">
              <w:rPr>
                <w:b w:val="0"/>
                <w:bCs w:val="0"/>
              </w:rPr>
              <w:t>Appui important au renforcement de la capacité des membres de l'UIT de fournir des infrastructures et des services de télécommunication/TIC résilients.</w:t>
            </w:r>
          </w:p>
        </w:tc>
        <w:tc>
          <w:tcPr>
            <w:tcW w:w="7230" w:type="dxa"/>
          </w:tcPr>
          <w:p w14:paraId="09034792"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Des lignes directrices ont été élaborées pour la mise en place d'une infrastructure TIC résiliente en cas de catastrophe afin de réduire le nombre de victimes et le coût économique des catastrophes.</w:t>
            </w:r>
          </w:p>
        </w:tc>
        <w:tc>
          <w:tcPr>
            <w:tcW w:w="2835" w:type="dxa"/>
          </w:tcPr>
          <w:p w14:paraId="5DDD6AF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Les risques ont été correctement maîtrisés. Le niveau d'engagement de la part des parties prenantes et des partenaires était adapté.</w:t>
            </w:r>
          </w:p>
        </w:tc>
      </w:tr>
      <w:tr w:rsidR="00575D39" w:rsidRPr="0008336A" w14:paraId="0A484EE6" w14:textId="77777777" w:rsidTr="0093094E">
        <w:tc>
          <w:tcPr>
            <w:cnfStyle w:val="001000000000" w:firstRow="0" w:lastRow="0" w:firstColumn="1" w:lastColumn="0" w:oddVBand="0" w:evenVBand="0" w:oddHBand="0" w:evenHBand="0" w:firstRowFirstColumn="0" w:firstRowLastColumn="0" w:lastRowFirstColumn="0" w:lastRowLastColumn="0"/>
            <w:tcW w:w="4531" w:type="dxa"/>
          </w:tcPr>
          <w:p w14:paraId="37BA48C9" w14:textId="77777777" w:rsidR="00575D39" w:rsidRPr="0008336A" w:rsidRDefault="00575D39" w:rsidP="00BD1734">
            <w:pPr>
              <w:pStyle w:val="Tabletext"/>
              <w:rPr>
                <w:b w:val="0"/>
                <w:bCs w:val="0"/>
              </w:rPr>
            </w:pPr>
            <w:r w:rsidRPr="0008336A">
              <w:rPr>
                <w:b w:val="0"/>
                <w:bCs w:val="0"/>
              </w:rPr>
              <w:t>Renforcement de la capacité des États Membres d'échanger efficacement des informations, de trouver des solutions et de lutter contre les menaces en matière de cybersécurité ainsi que d'élaborer et de mettre en œuvre des stratégies et des capacités au niveau national, y compris par le biais du renforcement des capacités, en encourageant la coopération aux niveaux national, régional et international en vue d'une participation accrue entre les États Membres et les acteurs concernés.</w:t>
            </w:r>
          </w:p>
        </w:tc>
        <w:tc>
          <w:tcPr>
            <w:tcW w:w="7230" w:type="dxa"/>
          </w:tcPr>
          <w:p w14:paraId="00872835"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Un nouveau cycle du programme des Centres d'excellence de l'UIT a commencé et couvre des thèmes comme la cybersécurité, l'Internet des objets, la politique et la réglementation, entre autres. Le troisième indice mondial de cybersécurité de l'UIT a été publié, la quatrième itération a débuté. Trois ateliers régionaux sur les stratégies nationales de cybersécurité ont été organisés. Cinq initiatives régionales ont été lancées pour l'Afrique, les États arabes, l'Asie-Pacifique, l'Europe et au niveau interrégional (CEI et Asie-Pacifique).</w:t>
            </w:r>
          </w:p>
        </w:tc>
        <w:tc>
          <w:tcPr>
            <w:tcW w:w="2835" w:type="dxa"/>
          </w:tcPr>
          <w:p w14:paraId="5C1E1CEB"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6FEA03BB" w14:textId="77777777" w:rsidTr="0093094E">
        <w:tc>
          <w:tcPr>
            <w:cnfStyle w:val="001000000000" w:firstRow="0" w:lastRow="0" w:firstColumn="1" w:lastColumn="0" w:oddVBand="0" w:evenVBand="0" w:oddHBand="0" w:evenHBand="0" w:firstRowFirstColumn="0" w:firstRowLastColumn="0" w:lastRowFirstColumn="0" w:lastRowLastColumn="0"/>
            <w:tcW w:w="4531" w:type="dxa"/>
          </w:tcPr>
          <w:p w14:paraId="13077F3C" w14:textId="77777777" w:rsidR="00575D39" w:rsidRPr="0008336A" w:rsidRDefault="00575D39" w:rsidP="00BD1734">
            <w:pPr>
              <w:pStyle w:val="Tabletext"/>
              <w:rPr>
                <w:b w:val="0"/>
                <w:bCs w:val="0"/>
              </w:rPr>
            </w:pPr>
            <w:r w:rsidRPr="0008336A">
              <w:rPr>
                <w:b w:val="0"/>
                <w:bCs w:val="0"/>
              </w:rPr>
              <w:t>Assistance efficace en vue de renforcer la capacité des États Membres d'utiliser les télécommunications/TIC pour l'atténuation et la gestion des risques de catastrophe.</w:t>
            </w:r>
          </w:p>
        </w:tc>
        <w:tc>
          <w:tcPr>
            <w:tcW w:w="7230" w:type="dxa"/>
          </w:tcPr>
          <w:p w14:paraId="21A8E4AF"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Le 3ème Forum mondial sur les télécommunications d'urgence (GET-19) a mis en en évidence l'importance des systèmes d'alerte avancée et de surveillance, ainsi que les besoins et les possibilités de partenariats et de coopération. </w:t>
            </w:r>
          </w:p>
          <w:p w14:paraId="6759D6C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L'initiative pour la création d'un fichier de candidats pour les télécommunications d'urgence de l'UIT a été lancée.</w:t>
            </w:r>
          </w:p>
          <w:p w14:paraId="7C917BE3"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L'UIT a adhéré à la Charte de connectivité en cas de crise en tant que membre principal. Trois initiatives régionales ont été lancées dans la région Amériques, la région des États arabes et la région Asie-Pacifique. </w:t>
            </w:r>
            <w:bookmarkStart w:id="245" w:name="lt_pId135"/>
            <w:r w:rsidRPr="0008336A">
              <w:t xml:space="preserve">À l'occasion de la réunion de la Commission d'études 2 (Question 5/2), un atelier sur le thème "Organisation d'entraînements et d'exercices sur les communications d'urgence au niveau </w:t>
            </w:r>
            <w:proofErr w:type="gramStart"/>
            <w:r w:rsidRPr="0008336A">
              <w:t>national:</w:t>
            </w:r>
            <w:proofErr w:type="gramEnd"/>
            <w:r w:rsidRPr="0008336A">
              <w:t xml:space="preserve"> Lignes directrices à l'intention des petits États insulaires en développement (PEID) et des pays les moins avancés (PMA)" a été organisé.</w:t>
            </w:r>
            <w:bookmarkEnd w:id="245"/>
          </w:p>
        </w:tc>
        <w:tc>
          <w:tcPr>
            <w:tcW w:w="2835" w:type="dxa"/>
          </w:tcPr>
          <w:p w14:paraId="744AAD5F"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7F9DFE43" w14:textId="77777777" w:rsidR="00575D39" w:rsidRPr="0079797D" w:rsidRDefault="00575D39" w:rsidP="00BD1734">
      <w:pPr>
        <w:pStyle w:val="Headingb"/>
        <w:spacing w:before="240" w:after="240"/>
        <w:rPr>
          <w:i/>
          <w:iCs/>
          <w:color w:val="C0504D" w:themeColor="accent2"/>
        </w:rPr>
      </w:pPr>
      <w:r w:rsidRPr="0079797D">
        <w:rPr>
          <w:i/>
          <w:iCs/>
          <w:color w:val="C0504D" w:themeColor="accent2"/>
        </w:rPr>
        <w:lastRenderedPageBreak/>
        <w:t>Déclaration 2021 sur les résultats attendus, la mesure et les indicateurs de risque</w:t>
      </w:r>
    </w:p>
    <w:tbl>
      <w:tblPr>
        <w:tblStyle w:val="GridTable1Light-Accent12"/>
        <w:tblW w:w="14596" w:type="dxa"/>
        <w:tblLook w:val="04A0" w:firstRow="1" w:lastRow="0" w:firstColumn="1" w:lastColumn="0" w:noHBand="0" w:noVBand="1"/>
      </w:tblPr>
      <w:tblGrid>
        <w:gridCol w:w="4649"/>
        <w:gridCol w:w="7112"/>
        <w:gridCol w:w="2835"/>
      </w:tblGrid>
      <w:tr w:rsidR="00575D39" w:rsidRPr="0008336A" w14:paraId="32BE2B36" w14:textId="77777777" w:rsidTr="00930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6B304EBE"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w:t>
            </w:r>
          </w:p>
        </w:tc>
        <w:tc>
          <w:tcPr>
            <w:tcW w:w="7112" w:type="dxa"/>
          </w:tcPr>
          <w:p w14:paraId="3749B959"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résultat</w:t>
            </w:r>
          </w:p>
        </w:tc>
        <w:tc>
          <w:tcPr>
            <w:tcW w:w="2835" w:type="dxa"/>
          </w:tcPr>
          <w:p w14:paraId="22585B95"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risque</w:t>
            </w:r>
          </w:p>
        </w:tc>
      </w:tr>
      <w:tr w:rsidR="00575D39" w:rsidRPr="0008336A" w14:paraId="07579E50" w14:textId="77777777" w:rsidTr="0093094E">
        <w:tc>
          <w:tcPr>
            <w:cnfStyle w:val="001000000000" w:firstRow="0" w:lastRow="0" w:firstColumn="1" w:lastColumn="0" w:oddVBand="0" w:evenVBand="0" w:oddHBand="0" w:evenHBand="0" w:firstRowFirstColumn="0" w:firstRowLastColumn="0" w:lastRowFirstColumn="0" w:lastRowLastColumn="0"/>
            <w:tcW w:w="4649" w:type="dxa"/>
          </w:tcPr>
          <w:p w14:paraId="448C866A" w14:textId="77777777" w:rsidR="00575D39" w:rsidRPr="0008336A" w:rsidRDefault="00575D39" w:rsidP="00BD1734">
            <w:pPr>
              <w:pStyle w:val="Tabletext"/>
              <w:rPr>
                <w:b w:val="0"/>
                <w:bCs w:val="0"/>
              </w:rPr>
            </w:pPr>
            <w:r w:rsidRPr="0008336A">
              <w:rPr>
                <w:b w:val="0"/>
                <w:bCs w:val="0"/>
              </w:rPr>
              <w:t>Renforcement de la capacité des membres de l'UIT de fournir des infrastructures et des services de télécommunication/TIC robustes.</w:t>
            </w:r>
          </w:p>
        </w:tc>
        <w:tc>
          <w:tcPr>
            <w:tcW w:w="7112" w:type="dxa"/>
          </w:tcPr>
          <w:p w14:paraId="5E0D7B8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lignes directrices, de manuels, d'études d'évaluation et de publications établies dans différents pays sur les questions pertinentes, à l'élaboration desquels le BDT a contribué.</w:t>
            </w:r>
          </w:p>
          <w:p w14:paraId="4647EC63"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d'utilisateurs/d'abonnés ayant accès aux outils sur les questions pertinentes dans différents pays, à l'élaboration desquels le BDT a contribué.</w:t>
            </w:r>
          </w:p>
          <w:p w14:paraId="50447AB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d'experts participant aux formations, séminaires et aux ateliers organisés dans différents pays sur les questions pertinentes, à l'élaboration desquels le BDT a contribué, et satisfaction de ces experts.</w:t>
            </w:r>
          </w:p>
        </w:tc>
        <w:tc>
          <w:tcPr>
            <w:tcW w:w="2835" w:type="dxa"/>
          </w:tcPr>
          <w:p w14:paraId="6E2495C5"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 soutien/d'engagement de la part des partenaires et des pays.</w:t>
            </w:r>
          </w:p>
          <w:p w14:paraId="0C9297D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468617F</w:t>
            </w:r>
          </w:p>
          <w:p w14:paraId="6ED89EF9"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Concurrents arrivant dans le domaine de la cybersécurité − tout en étant flexible dans le domaine de la mobilisation de ressources.</w:t>
            </w:r>
          </w:p>
        </w:tc>
      </w:tr>
      <w:tr w:rsidR="00575D39" w:rsidRPr="0008336A" w14:paraId="0775A33B" w14:textId="77777777" w:rsidTr="0093094E">
        <w:tc>
          <w:tcPr>
            <w:cnfStyle w:val="001000000000" w:firstRow="0" w:lastRow="0" w:firstColumn="1" w:lastColumn="0" w:oddVBand="0" w:evenVBand="0" w:oddHBand="0" w:evenHBand="0" w:firstRowFirstColumn="0" w:firstRowLastColumn="0" w:lastRowFirstColumn="0" w:lastRowLastColumn="0"/>
            <w:tcW w:w="4649" w:type="dxa"/>
          </w:tcPr>
          <w:p w14:paraId="47610D3F" w14:textId="77777777" w:rsidR="00575D39" w:rsidRPr="0008336A" w:rsidRDefault="00575D39" w:rsidP="00BD1734">
            <w:pPr>
              <w:pStyle w:val="Tabletext"/>
              <w:rPr>
                <w:b w:val="0"/>
                <w:bCs w:val="0"/>
              </w:rPr>
            </w:pPr>
            <w:r w:rsidRPr="0008336A">
              <w:rPr>
                <w:b w:val="0"/>
                <w:bCs w:val="0"/>
              </w:rPr>
              <w:t>Renforcement de la capacité des États Membres d'échanger efficacement des informations, de trouver des solutions et de lutter contre les menaces en matière de cybersécurité ainsi que d'élaborer et de mettre en œuvre des stratégies et des capacités au niveau national, y compris par le biais du renforcement des capacités, en encourageant la coopération aux niveaux national, régional et international en vue d'une participation accrue entre les États Membres et les acteurs concernés.</w:t>
            </w:r>
          </w:p>
        </w:tc>
        <w:tc>
          <w:tcPr>
            <w:tcW w:w="7112" w:type="dxa"/>
          </w:tcPr>
          <w:p w14:paraId="71460DD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Nombre de stratégies nationales en matière de cybersécurité mises en œuvre dans les différents pays, à l'élaboration desquelles le BDT a </w:t>
            </w:r>
            <w:proofErr w:type="gramStart"/>
            <w:r w:rsidRPr="0008336A">
              <w:t>contribué;</w:t>
            </w:r>
            <w:proofErr w:type="gramEnd"/>
            <w:r w:rsidRPr="0008336A">
              <w:t xml:space="preserve"> nombre d'équipes CERT à la création desquelles le BDT a contribué; nombre de pays pour lesquels le BDT a fourni une assistance technique et renforcé les capacités et la sensibilisation en matière de cybersécurité; nombre de cyberattaques repoussées par les équipes CERT mises en place avec l'appui du BDT.</w:t>
            </w:r>
          </w:p>
        </w:tc>
        <w:tc>
          <w:tcPr>
            <w:tcW w:w="2835" w:type="dxa"/>
          </w:tcPr>
          <w:p w14:paraId="278DD6C9"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Difficultés à valoriser et conserver les talents.</w:t>
            </w:r>
          </w:p>
        </w:tc>
      </w:tr>
      <w:tr w:rsidR="00575D39" w:rsidRPr="0008336A" w14:paraId="34E4B1C8" w14:textId="77777777" w:rsidTr="0093094E">
        <w:tc>
          <w:tcPr>
            <w:cnfStyle w:val="001000000000" w:firstRow="0" w:lastRow="0" w:firstColumn="1" w:lastColumn="0" w:oddVBand="0" w:evenVBand="0" w:oddHBand="0" w:evenHBand="0" w:firstRowFirstColumn="0" w:firstRowLastColumn="0" w:lastRowFirstColumn="0" w:lastRowLastColumn="0"/>
            <w:tcW w:w="4649" w:type="dxa"/>
          </w:tcPr>
          <w:p w14:paraId="4703C97A" w14:textId="77777777" w:rsidR="00575D39" w:rsidRPr="0008336A" w:rsidRDefault="00575D39" w:rsidP="00BD1734">
            <w:pPr>
              <w:pStyle w:val="Tabletext"/>
              <w:rPr>
                <w:b w:val="0"/>
                <w:bCs w:val="0"/>
              </w:rPr>
            </w:pPr>
            <w:r w:rsidRPr="0008336A">
              <w:rPr>
                <w:b w:val="0"/>
                <w:bCs w:val="0"/>
              </w:rPr>
              <w:t>Renforcement de la capacité des États Membres d'utiliser les télécommunications/TIC pour l'atténuation et la gestion des risques de catastrophe, pour garantir la disponibilité des télécommunications d'urgence et appuyer la coopération dans ce domaine.</w:t>
            </w:r>
          </w:p>
        </w:tc>
        <w:tc>
          <w:tcPr>
            <w:tcW w:w="7112" w:type="dxa"/>
          </w:tcPr>
          <w:p w14:paraId="77552C4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d'États Membres auxquels le BDT a prêté assistance dans le cadre d'opérations de secours immédiatement après une catastrophe, aussi bien en leur fournissant des équipements qu'en procédant à des évaluations des dégâts subis par les infrastructures; nombre d'États Membres ayant bénéficié de l'assistance du BDT pour élaborer et installer des systèmes d'alerte avancée; nombre d'États Membres ayant bénéficié de l'assistance du BDT pour élaborer et mettre en place des plans nationaux sur les télécommunications d'urgence.</w:t>
            </w:r>
          </w:p>
        </w:tc>
        <w:tc>
          <w:tcPr>
            <w:tcW w:w="2835" w:type="dxa"/>
          </w:tcPr>
          <w:p w14:paraId="198F98C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448514EE" w14:textId="381F3978" w:rsidR="00575D39" w:rsidRPr="0079797D" w:rsidRDefault="00575D39" w:rsidP="00BD1734">
      <w:pPr>
        <w:pStyle w:val="Heading1"/>
        <w:rPr>
          <w:color w:val="1F497D" w:themeColor="text2"/>
        </w:rPr>
      </w:pPr>
      <w:bookmarkStart w:id="246" w:name="_Toc34307502"/>
      <w:bookmarkStart w:id="247" w:name="_Toc34307580"/>
      <w:bookmarkStart w:id="248" w:name="_Toc34307678"/>
      <w:bookmarkStart w:id="249" w:name="_Toc39493343"/>
      <w:r w:rsidRPr="0079797D">
        <w:rPr>
          <w:color w:val="1F497D" w:themeColor="text2"/>
        </w:rPr>
        <w:lastRenderedPageBreak/>
        <w:t>II.4.3 – D.3 Environnement favorable</w:t>
      </w:r>
      <w:bookmarkEnd w:id="246"/>
      <w:bookmarkEnd w:id="247"/>
      <w:bookmarkEnd w:id="248"/>
      <w:bookmarkEnd w:id="249"/>
    </w:p>
    <w:p w14:paraId="4080CF0B" w14:textId="77777777" w:rsidR="00575D39" w:rsidRPr="0079797D" w:rsidRDefault="00575D39" w:rsidP="00BD1734">
      <w:pPr>
        <w:pStyle w:val="Headingb"/>
        <w:rPr>
          <w:i/>
          <w:iCs/>
          <w:color w:val="C0504D" w:themeColor="accent2"/>
        </w:rPr>
      </w:pPr>
      <w:r w:rsidRPr="0079797D">
        <w:rPr>
          <w:i/>
          <w:iCs/>
          <w:color w:val="C0504D" w:themeColor="accent2"/>
        </w:rPr>
        <w:t>Description de l'Objectif</w:t>
      </w:r>
    </w:p>
    <w:p w14:paraId="2893B802"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Promouvoir la mise en place d'un environnement politique et réglementaire favorable au développement durable des télécommunications/TIC.</w:t>
      </w:r>
    </w:p>
    <w:p w14:paraId="4606E47E" w14:textId="201A258C"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250" w:name="lt_pId466"/>
      <w:r w:rsidRPr="0008336A">
        <w:rPr>
          <w:rFonts w:asciiTheme="minorHAnsi" w:hAnsiTheme="minorHAnsi"/>
        </w:rPr>
        <w:t>L'Objectif D.3 utilise 2</w:t>
      </w:r>
      <w:r w:rsidR="00E00C8B" w:rsidRPr="0008336A">
        <w:rPr>
          <w:rFonts w:asciiTheme="minorHAnsi" w:hAnsiTheme="minorHAnsi"/>
        </w:rPr>
        <w:t>7</w:t>
      </w:r>
      <w:r w:rsidRPr="0008336A">
        <w:rPr>
          <w:rFonts w:asciiTheme="minorHAnsi" w:hAnsiTheme="minorHAnsi"/>
        </w:rPr>
        <w:t>,</w:t>
      </w:r>
      <w:r w:rsidR="00E00C8B" w:rsidRPr="0008336A">
        <w:rPr>
          <w:rFonts w:asciiTheme="minorHAnsi" w:hAnsiTheme="minorHAnsi"/>
        </w:rPr>
        <w:t>60</w:t>
      </w:r>
      <w:r w:rsidRPr="0008336A">
        <w:rPr>
          <w:rFonts w:asciiTheme="minorHAnsi" w:hAnsiTheme="minorHAnsi"/>
        </w:rPr>
        <w:t xml:space="preserve">% des ressources prévues pour les Objectifs de l'UIT-D ou </w:t>
      </w:r>
      <w:r w:rsidR="00E00C8B" w:rsidRPr="0008336A">
        <w:rPr>
          <w:rFonts w:asciiTheme="minorHAnsi" w:hAnsiTheme="minorHAnsi"/>
        </w:rPr>
        <w:t>9</w:t>
      </w:r>
      <w:r w:rsidRPr="0008336A">
        <w:rPr>
          <w:rFonts w:asciiTheme="minorHAnsi" w:hAnsiTheme="minorHAnsi"/>
        </w:rPr>
        <w:t>,</w:t>
      </w:r>
      <w:r w:rsidR="00E00C8B" w:rsidRPr="0008336A">
        <w:rPr>
          <w:rFonts w:asciiTheme="minorHAnsi" w:hAnsiTheme="minorHAnsi"/>
        </w:rPr>
        <w:t>93</w:t>
      </w:r>
      <w:r w:rsidRPr="0008336A">
        <w:rPr>
          <w:rFonts w:asciiTheme="minorHAnsi" w:hAnsiTheme="minorHAnsi"/>
        </w:rPr>
        <w:t>% des ressources prévues de l'UIT pour 2021-2024.</w:t>
      </w:r>
    </w:p>
    <w:bookmarkEnd w:id="250"/>
    <w:p w14:paraId="11787F5B" w14:textId="77777777" w:rsidR="00575D39" w:rsidRPr="0079797D" w:rsidRDefault="00575D39" w:rsidP="00BD1734">
      <w:pPr>
        <w:pStyle w:val="Headingb"/>
        <w:rPr>
          <w:i/>
          <w:iCs/>
          <w:color w:val="C0504D" w:themeColor="accent2"/>
        </w:rPr>
      </w:pPr>
      <w:r w:rsidRPr="0079797D">
        <w:rPr>
          <w:i/>
          <w:iCs/>
          <w:color w:val="C0504D" w:themeColor="accent2"/>
        </w:rPr>
        <w:t>Récapitulatif de l'imputation des coûts</w:t>
      </w:r>
    </w:p>
    <w:bookmarkStart w:id="251" w:name="_MON_1644208831"/>
    <w:bookmarkEnd w:id="251"/>
    <w:p w14:paraId="56BA87C5" w14:textId="3EAF460A" w:rsidR="00575D39" w:rsidRPr="0008336A" w:rsidRDefault="00AD144A"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object w:dxaOrig="13140" w:dyaOrig="3780" w14:anchorId="27E42249">
          <v:shape id="_x0000_i1049" type="#_x0000_t75" style="width:657pt;height:189pt" o:ole="">
            <v:imagedata r:id="rId69" o:title=""/>
          </v:shape>
          <o:OLEObject Type="Embed" ProgID="Excel.Sheet.12" ShapeID="_x0000_i1049" DrawAspect="Content" ObjectID="_1650187662" r:id="rId70"/>
        </w:object>
      </w:r>
    </w:p>
    <w:p w14:paraId="4C71B5AA"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p>
    <w:p w14:paraId="415329CD"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i/>
          <w:iCs/>
        </w:rPr>
      </w:pPr>
      <w:r w:rsidRPr="0008336A">
        <w:rPr>
          <w:rFonts w:asciiTheme="minorHAnsi" w:hAnsiTheme="minorHAnsi"/>
          <w:b/>
          <w:bCs/>
          <w:i/>
          <w:iCs/>
        </w:rPr>
        <w:br w:type="page"/>
      </w:r>
    </w:p>
    <w:p w14:paraId="2E777EA8" w14:textId="77777777" w:rsidR="00575D39" w:rsidRPr="0079797D" w:rsidRDefault="00575D39" w:rsidP="00BD1734">
      <w:pPr>
        <w:pStyle w:val="Headingb"/>
        <w:spacing w:after="240"/>
        <w:rPr>
          <w:i/>
          <w:iCs/>
          <w:color w:val="C0504D" w:themeColor="accent2"/>
        </w:rPr>
      </w:pPr>
      <w:r w:rsidRPr="0079797D">
        <w:rPr>
          <w:i/>
          <w:iCs/>
          <w:color w:val="C0504D" w:themeColor="accent2"/>
        </w:rPr>
        <w:lastRenderedPageBreak/>
        <w:t>Rapport d'activité 2019</w:t>
      </w:r>
    </w:p>
    <w:tbl>
      <w:tblPr>
        <w:tblStyle w:val="GridTable1Light-Accent12"/>
        <w:tblW w:w="0" w:type="auto"/>
        <w:tblLook w:val="04A0" w:firstRow="1" w:lastRow="0" w:firstColumn="1" w:lastColumn="0" w:noHBand="0" w:noVBand="1"/>
      </w:tblPr>
      <w:tblGrid>
        <w:gridCol w:w="3913"/>
        <w:gridCol w:w="7738"/>
        <w:gridCol w:w="2337"/>
      </w:tblGrid>
      <w:tr w:rsidR="00575D39" w:rsidRPr="0008336A" w14:paraId="3C70592C" w14:textId="77777777" w:rsidTr="009C16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15" w:type="dxa"/>
          </w:tcPr>
          <w:p w14:paraId="3942BD10"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 obtenus</w:t>
            </w:r>
          </w:p>
        </w:tc>
        <w:tc>
          <w:tcPr>
            <w:tcW w:w="7746" w:type="dxa"/>
          </w:tcPr>
          <w:p w14:paraId="505BD3F8"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Mesure</w:t>
            </w:r>
          </w:p>
        </w:tc>
        <w:tc>
          <w:tcPr>
            <w:tcW w:w="2337" w:type="dxa"/>
          </w:tcPr>
          <w:p w14:paraId="6DDFC408"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 xml:space="preserve">Risque </w:t>
            </w:r>
          </w:p>
        </w:tc>
      </w:tr>
      <w:tr w:rsidR="00575D39" w:rsidRPr="0008336A" w14:paraId="75849620" w14:textId="77777777" w:rsidTr="00AD144A">
        <w:tc>
          <w:tcPr>
            <w:cnfStyle w:val="001000000000" w:firstRow="0" w:lastRow="0" w:firstColumn="1" w:lastColumn="0" w:oddVBand="0" w:evenVBand="0" w:oddHBand="0" w:evenHBand="0" w:firstRowFirstColumn="0" w:firstRowLastColumn="0" w:lastRowFirstColumn="0" w:lastRowLastColumn="0"/>
            <w:tcW w:w="3915" w:type="dxa"/>
          </w:tcPr>
          <w:p w14:paraId="3D19C6F9" w14:textId="77777777" w:rsidR="00575D39" w:rsidRPr="0008336A" w:rsidRDefault="00575D39" w:rsidP="00BD1734">
            <w:pPr>
              <w:pStyle w:val="Tabletext"/>
              <w:rPr>
                <w:b w:val="0"/>
                <w:bCs w:val="0"/>
              </w:rPr>
            </w:pPr>
            <w:r w:rsidRPr="0008336A">
              <w:rPr>
                <w:b w:val="0"/>
                <w:bCs w:val="0"/>
              </w:rPr>
              <w:t>Résultats très positifs concernant le renforcement de la capacité des États Membres d'améliorer leurs cadres politiques, juridiques et réglementaires.</w:t>
            </w:r>
          </w:p>
        </w:tc>
        <w:tc>
          <w:tcPr>
            <w:tcW w:w="7746" w:type="dxa"/>
          </w:tcPr>
          <w:p w14:paraId="20F31E1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bookmarkStart w:id="252" w:name="lt_pId003"/>
            <w:r w:rsidRPr="0008336A">
              <w:t>L'édition de 2019 du Colloque mondial des régulateurs (GSR-19) a réuni plus de 325 participants, notamment des ministres, des directeurs d'autorités de régulation et des dirigeants de grandes entreprises de 64 pays.</w:t>
            </w:r>
            <w:bookmarkEnd w:id="252"/>
            <w:r w:rsidRPr="0008336A">
              <w:t xml:space="preserve"> Le GSR-19 a adopté les Lignes directrices relatives aux bonnes pratiques sur le thème "Accélérer la mise en place de la connectivité numérique pour tous". Ces lignes directrices appuient la généralisation des réseaux du dernier kilomètre pour permettre à chacun de participer à l'économie numérique et recueillir les fruits de la transformation numérique. L'Outil de suivi réglementaire des TIC a été lancé afin d'aider à étayer les grandes décisions de politique générale. Une série de formations a été organisée à l'intention des régulateurs sur les politiques et la réglementation dans le domaine du numérique et l'évolution de l'environnement commercial, ainsi que sur les approches réglementaires collaboratives propres à favoriser la transformation numérique. Lancés lors du GSR-19, les Critères de référence pour la réglementation collaborative (5G) sont un nouvel outil permettant de modéliser des configurations et des outils réglementaires et de proposer des solutions collaboratives intersectorielles pour accélérer la mise en place d'une réglementation efficace au service de la transformation numérique.</w:t>
            </w:r>
          </w:p>
        </w:tc>
        <w:tc>
          <w:tcPr>
            <w:tcW w:w="2337" w:type="dxa"/>
          </w:tcPr>
          <w:p w14:paraId="29D54353"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Risques maîtrisés. Ressources humaines et financières suffisantes.</w:t>
            </w:r>
          </w:p>
        </w:tc>
      </w:tr>
      <w:tr w:rsidR="00575D39" w:rsidRPr="0008336A" w14:paraId="0A513D53" w14:textId="77777777" w:rsidTr="00AD144A">
        <w:tc>
          <w:tcPr>
            <w:cnfStyle w:val="001000000000" w:firstRow="0" w:lastRow="0" w:firstColumn="1" w:lastColumn="0" w:oddVBand="0" w:evenVBand="0" w:oddHBand="0" w:evenHBand="0" w:firstRowFirstColumn="0" w:firstRowLastColumn="0" w:lastRowFirstColumn="0" w:lastRowLastColumn="0"/>
            <w:tcW w:w="3915" w:type="dxa"/>
          </w:tcPr>
          <w:p w14:paraId="7A8034B2" w14:textId="77777777" w:rsidR="00575D39" w:rsidRPr="0008336A" w:rsidRDefault="00575D39" w:rsidP="00BD1734">
            <w:pPr>
              <w:pStyle w:val="Tabletext"/>
              <w:rPr>
                <w:b w:val="0"/>
                <w:bCs w:val="0"/>
              </w:rPr>
            </w:pPr>
            <w:r w:rsidRPr="0008336A">
              <w:rPr>
                <w:b w:val="0"/>
                <w:bCs w:val="0"/>
              </w:rPr>
              <w:t>Niveau d'appui satisfaisant en vue de renforcer la capacité des États Membres de produire des statistiques sur les télécommunications/TIC de qualité et comparables à l'échelle internationale.</w:t>
            </w:r>
          </w:p>
        </w:tc>
        <w:tc>
          <w:tcPr>
            <w:tcW w:w="7746" w:type="dxa"/>
          </w:tcPr>
          <w:p w14:paraId="2372803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Les réunions du Groupe d'experts sur les indicateurs de télécommunications/TIC (EGTI) et du Groupe d'experts sur les indicateurs relatifs à l'utilisation des TIC par les ménages (EGH), ainsi que deux ateliers régionaux sur les statistiques ont été organisés (CEI, Afrique) afin de renforcer la capacité des pays de ces régions de produire des statistiques et des indicateurs nationaux sur les télécommunications/TIC selon les normes internationales.</w:t>
            </w:r>
          </w:p>
        </w:tc>
        <w:tc>
          <w:tcPr>
            <w:tcW w:w="2337" w:type="dxa"/>
          </w:tcPr>
          <w:p w14:paraId="7AAE431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6F752E8A" w14:textId="77777777" w:rsidTr="00AD144A">
        <w:tc>
          <w:tcPr>
            <w:cnfStyle w:val="001000000000" w:firstRow="0" w:lastRow="0" w:firstColumn="1" w:lastColumn="0" w:oddVBand="0" w:evenVBand="0" w:oddHBand="0" w:evenHBand="0" w:firstRowFirstColumn="0" w:firstRowLastColumn="0" w:lastRowFirstColumn="0" w:lastRowLastColumn="0"/>
            <w:tcW w:w="3915" w:type="dxa"/>
          </w:tcPr>
          <w:p w14:paraId="69AA5CCF" w14:textId="77777777" w:rsidR="00575D39" w:rsidRPr="0008336A" w:rsidRDefault="00575D39" w:rsidP="00BD1734">
            <w:pPr>
              <w:pStyle w:val="Tabletext"/>
              <w:rPr>
                <w:b w:val="0"/>
                <w:bCs w:val="0"/>
              </w:rPr>
            </w:pPr>
            <w:r w:rsidRPr="0008336A">
              <w:rPr>
                <w:b w:val="0"/>
                <w:bCs w:val="0"/>
              </w:rPr>
              <w:t>Moyens importants mis à disposition pour renforcer les capacités humaines et institutionnelles des membres de l'UIT d'exploiter pleinement le potentiel des télécommunications/TIC.</w:t>
            </w:r>
          </w:p>
        </w:tc>
        <w:tc>
          <w:tcPr>
            <w:tcW w:w="7746" w:type="dxa"/>
          </w:tcPr>
          <w:p w14:paraId="47B7723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Une nouvelle version du portail de l'Académie de l'UIT a été élaborée en vue de rendre plus sûr et plus convivial, pour les utilisateurs de dispositifs mobiles, l'accès aux activités, aux cours et aux ateliers de renforcement des capacités organisés par l'UIT dans le domaine des technologies de l'information et de la communication ainsi que du développement numérique.</w:t>
            </w:r>
          </w:p>
        </w:tc>
        <w:tc>
          <w:tcPr>
            <w:tcW w:w="2337" w:type="dxa"/>
          </w:tcPr>
          <w:p w14:paraId="63A5ECA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6F9156C3" w14:textId="77777777" w:rsidTr="00AD144A">
        <w:tc>
          <w:tcPr>
            <w:cnfStyle w:val="001000000000" w:firstRow="0" w:lastRow="0" w:firstColumn="1" w:lastColumn="0" w:oddVBand="0" w:evenVBand="0" w:oddHBand="0" w:evenHBand="0" w:firstRowFirstColumn="0" w:firstRowLastColumn="0" w:lastRowFirstColumn="0" w:lastRowLastColumn="0"/>
            <w:tcW w:w="3915" w:type="dxa"/>
          </w:tcPr>
          <w:p w14:paraId="7D875CD7" w14:textId="77777777" w:rsidR="00575D39" w:rsidRPr="0008336A" w:rsidRDefault="00575D39" w:rsidP="009C1620">
            <w:pPr>
              <w:pStyle w:val="Tabletext"/>
              <w:keepLines/>
              <w:rPr>
                <w:b w:val="0"/>
                <w:bCs w:val="0"/>
              </w:rPr>
            </w:pPr>
            <w:r w:rsidRPr="0008336A">
              <w:rPr>
                <w:b w:val="0"/>
                <w:bCs w:val="0"/>
              </w:rPr>
              <w:lastRenderedPageBreak/>
              <w:t>Contribution efficace au renforcement de la capacité des membres de l'UIT d'intégrer l'innovation dans le secteur des télécommunications/TIC et le passage au tout numérique dans leurs programmes nationaux de développement.</w:t>
            </w:r>
          </w:p>
        </w:tc>
        <w:tc>
          <w:tcPr>
            <w:tcW w:w="7746" w:type="dxa"/>
          </w:tcPr>
          <w:p w14:paraId="4D0195E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La cartographie </w:t>
            </w:r>
            <w:proofErr w:type="gramStart"/>
            <w:r w:rsidRPr="0008336A">
              <w:t>du large bande</w:t>
            </w:r>
            <w:proofErr w:type="gramEnd"/>
            <w:r w:rsidRPr="0008336A">
              <w:t xml:space="preserve"> a été améliorée afin de donner une image plus claire de l'infrastructure de réseau et des possibilités d'investissement et faire le point sur la situation en matière de connectivité dans le monde. Les cartes correspondantes présentent des informations communiquées par plus de 440 opérateurs et 24 000 points d'accès du monde entier. Le kit pratique sur la planification économique du déploiement de l'infrastructure TIC offre aux régulateurs et aux décideurs une méthode claire et pratique pour procéder à une évaluation économique exacte des propositions de plans d'installation et de déploiement de l'infrastructure large bande.</w:t>
            </w:r>
          </w:p>
        </w:tc>
        <w:tc>
          <w:tcPr>
            <w:tcW w:w="2337" w:type="dxa"/>
          </w:tcPr>
          <w:p w14:paraId="50E1554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Soutien/engagement satisfaisant de la part des partenaires et des pays.</w:t>
            </w:r>
          </w:p>
        </w:tc>
      </w:tr>
    </w:tbl>
    <w:p w14:paraId="35BA6C1B" w14:textId="3B71E0AF" w:rsidR="00575D39" w:rsidRPr="0079797D" w:rsidRDefault="00575D39" w:rsidP="00BD1734">
      <w:pPr>
        <w:pStyle w:val="Headingb"/>
        <w:spacing w:after="240"/>
        <w:rPr>
          <w:i/>
          <w:iCs/>
          <w:color w:val="C0504D" w:themeColor="accent2"/>
        </w:rPr>
      </w:pPr>
      <w:r w:rsidRPr="0079797D">
        <w:rPr>
          <w:i/>
          <w:iCs/>
          <w:color w:val="C0504D" w:themeColor="accent2"/>
        </w:rPr>
        <w:t>Déclaration 2021 sur les résultats attendus, la mesure et les indicateurs de risque</w:t>
      </w:r>
    </w:p>
    <w:tbl>
      <w:tblPr>
        <w:tblStyle w:val="GridTable1Light-Accent12"/>
        <w:tblW w:w="0" w:type="auto"/>
        <w:tblLook w:val="04A0" w:firstRow="1" w:lastRow="0" w:firstColumn="1" w:lastColumn="0" w:noHBand="0" w:noVBand="1"/>
      </w:tblPr>
      <w:tblGrid>
        <w:gridCol w:w="4111"/>
        <w:gridCol w:w="7508"/>
        <w:gridCol w:w="2329"/>
      </w:tblGrid>
      <w:tr w:rsidR="00575D39" w:rsidRPr="0008336A" w14:paraId="2DE66802" w14:textId="77777777" w:rsidTr="009C16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4BD205A0"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w:t>
            </w:r>
          </w:p>
        </w:tc>
        <w:tc>
          <w:tcPr>
            <w:tcW w:w="7508" w:type="dxa"/>
          </w:tcPr>
          <w:p w14:paraId="532E9F58"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résultat</w:t>
            </w:r>
          </w:p>
        </w:tc>
        <w:tc>
          <w:tcPr>
            <w:tcW w:w="2329" w:type="dxa"/>
          </w:tcPr>
          <w:p w14:paraId="3EA3D31A"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risque</w:t>
            </w:r>
          </w:p>
        </w:tc>
      </w:tr>
      <w:tr w:rsidR="00575D39" w:rsidRPr="0008336A" w14:paraId="4B4FA1A0" w14:textId="77777777" w:rsidTr="009C1620">
        <w:tc>
          <w:tcPr>
            <w:cnfStyle w:val="001000000000" w:firstRow="0" w:lastRow="0" w:firstColumn="1" w:lastColumn="0" w:oddVBand="0" w:evenVBand="0" w:oddHBand="0" w:evenHBand="0" w:firstRowFirstColumn="0" w:firstRowLastColumn="0" w:lastRowFirstColumn="0" w:lastRowLastColumn="0"/>
            <w:tcW w:w="4111" w:type="dxa"/>
          </w:tcPr>
          <w:p w14:paraId="7B30ED37" w14:textId="77777777" w:rsidR="00575D39" w:rsidRPr="0008336A" w:rsidRDefault="00575D39" w:rsidP="00BD1734">
            <w:pPr>
              <w:pStyle w:val="Tabletext"/>
              <w:rPr>
                <w:b w:val="0"/>
                <w:bCs w:val="0"/>
              </w:rPr>
            </w:pPr>
            <w:r w:rsidRPr="0008336A">
              <w:rPr>
                <w:b w:val="0"/>
                <w:bCs w:val="0"/>
              </w:rPr>
              <w:t>Renforcement de la capacité des États Membres d'améliorer leurs cadres politiques, juridiques et réglementaires favorables au développement des télécommunications/TIC.</w:t>
            </w:r>
          </w:p>
        </w:tc>
        <w:tc>
          <w:tcPr>
            <w:tcW w:w="7508" w:type="dxa"/>
          </w:tcPr>
          <w:p w14:paraId="1F0944AE"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Envoi en temps voulu des questionnaires annuels aux États Membres (sur les aspects réglementaires, économiques et financiers) et des données relatives au centre d'information sur les questions de politique, de réglementation, d'économie et de financement, et base de données "L'œil sur les TIC".</w:t>
            </w:r>
          </w:p>
          <w:p w14:paraId="419C77B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publications, de lignes directrices relatives aux bonnes pratiques, de ressources et de kits pratiques en ligne élaborés et publiés sur les politiques et les réglementations relatives aux TIC, ainsi que sur les aspects économiques et financiers, et nombre de consultations du site web/de téléchargements de données réglementaires et politiques et d'informations sur la plate-forme en ligne "L'œil sur les TIC".</w:t>
            </w:r>
          </w:p>
          <w:p w14:paraId="2AA888C9"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participants au Colloque mondial des régulateurs, aux forums et ateliers régionaux sur les questions de réglementation et d'économies, aux dialogues stratégiques sur les questions d'actualité en matière de réglementation et de politique et taux de satisfaction des participants.</w:t>
            </w:r>
          </w:p>
        </w:tc>
        <w:tc>
          <w:tcPr>
            <w:tcW w:w="2329" w:type="dxa"/>
          </w:tcPr>
          <w:p w14:paraId="1E94457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 soutien/d'engagement de la part des partenaires et des pays.</w:t>
            </w:r>
          </w:p>
          <w:p w14:paraId="393898E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Engagement politique limité.</w:t>
            </w:r>
          </w:p>
        </w:tc>
      </w:tr>
      <w:tr w:rsidR="00575D39" w:rsidRPr="0008336A" w14:paraId="7F96C998" w14:textId="77777777" w:rsidTr="009C1620">
        <w:tc>
          <w:tcPr>
            <w:cnfStyle w:val="001000000000" w:firstRow="0" w:lastRow="0" w:firstColumn="1" w:lastColumn="0" w:oddVBand="0" w:evenVBand="0" w:oddHBand="0" w:evenHBand="0" w:firstRowFirstColumn="0" w:firstRowLastColumn="0" w:lastRowFirstColumn="0" w:lastRowLastColumn="0"/>
            <w:tcW w:w="4111" w:type="dxa"/>
          </w:tcPr>
          <w:p w14:paraId="48F855AF" w14:textId="77777777" w:rsidR="00575D39" w:rsidRPr="0008336A" w:rsidRDefault="00575D39" w:rsidP="009C1620">
            <w:pPr>
              <w:pStyle w:val="Tabletext"/>
              <w:keepLines/>
              <w:rPr>
                <w:b w:val="0"/>
                <w:bCs w:val="0"/>
              </w:rPr>
            </w:pPr>
            <w:r w:rsidRPr="0008336A">
              <w:rPr>
                <w:b w:val="0"/>
                <w:bCs w:val="0"/>
              </w:rPr>
              <w:lastRenderedPageBreak/>
              <w:t>Renforcement de la capacité des États Membres de produire des statistiques sur les télécommunications/TIC de qualité et comparables à l'échelle internationale, qui tiennent compte de l'évolution et des tendances dans le secteur des télécommunications/TIC, à partir de normes et de méthodologies convenues.</w:t>
            </w:r>
          </w:p>
        </w:tc>
        <w:tc>
          <w:tcPr>
            <w:tcW w:w="7508" w:type="dxa"/>
          </w:tcPr>
          <w:p w14:paraId="79FBFD4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Publication dans les délais de la base de données de l'UIT sur les indicateurs des télécommunications/TIC dans le monde (WTI).</w:t>
            </w:r>
          </w:p>
          <w:p w14:paraId="532F88EB"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données et d'indicateurs disponibles dans la base de données WTI.</w:t>
            </w:r>
          </w:p>
        </w:tc>
        <w:tc>
          <w:tcPr>
            <w:tcW w:w="2329" w:type="dxa"/>
          </w:tcPr>
          <w:p w14:paraId="61A48532"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0EF87078" w14:textId="77777777" w:rsidTr="009C1620">
        <w:tc>
          <w:tcPr>
            <w:cnfStyle w:val="001000000000" w:firstRow="0" w:lastRow="0" w:firstColumn="1" w:lastColumn="0" w:oddVBand="0" w:evenVBand="0" w:oddHBand="0" w:evenHBand="0" w:firstRowFirstColumn="0" w:firstRowLastColumn="0" w:lastRowFirstColumn="0" w:lastRowLastColumn="0"/>
            <w:tcW w:w="4111" w:type="dxa"/>
          </w:tcPr>
          <w:p w14:paraId="56C0C4C7" w14:textId="77777777" w:rsidR="00575D39" w:rsidRPr="0008336A" w:rsidRDefault="00575D39" w:rsidP="00BD1734">
            <w:pPr>
              <w:pStyle w:val="Tabletext"/>
              <w:rPr>
                <w:b w:val="0"/>
                <w:bCs w:val="0"/>
              </w:rPr>
            </w:pPr>
            <w:r w:rsidRPr="0008336A">
              <w:rPr>
                <w:b w:val="0"/>
                <w:bCs w:val="0"/>
              </w:rPr>
              <w:t>Renforcement des capacités humaines et institutionnelles des membres de l'UIT d'exploiter pleinement le potentiel des télécommunications/TIC.</w:t>
            </w:r>
          </w:p>
        </w:tc>
        <w:tc>
          <w:tcPr>
            <w:tcW w:w="7508" w:type="dxa"/>
          </w:tcPr>
          <w:p w14:paraId="3C49EA2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et niveau des personnes formées.</w:t>
            </w:r>
          </w:p>
          <w:p w14:paraId="7AA978B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participants ayant réussi l'évaluation à l'issue de la formation.</w:t>
            </w:r>
          </w:p>
          <w:p w14:paraId="52880EEB"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participants satisfaits de la formation.</w:t>
            </w:r>
          </w:p>
          <w:p w14:paraId="48B12782"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programmes de formation de haut niveau élaborés.</w:t>
            </w:r>
          </w:p>
          <w:p w14:paraId="4F4593C5"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formations organisées se rapportant aux initiatives régionales.</w:t>
            </w:r>
          </w:p>
        </w:tc>
        <w:tc>
          <w:tcPr>
            <w:tcW w:w="2329" w:type="dxa"/>
          </w:tcPr>
          <w:p w14:paraId="3B42DBD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0FC05C5A" w14:textId="77777777" w:rsidTr="009C1620">
        <w:tc>
          <w:tcPr>
            <w:cnfStyle w:val="001000000000" w:firstRow="0" w:lastRow="0" w:firstColumn="1" w:lastColumn="0" w:oddVBand="0" w:evenVBand="0" w:oddHBand="0" w:evenHBand="0" w:firstRowFirstColumn="0" w:firstRowLastColumn="0" w:lastRowFirstColumn="0" w:lastRowLastColumn="0"/>
            <w:tcW w:w="4111" w:type="dxa"/>
          </w:tcPr>
          <w:p w14:paraId="6BFF6942" w14:textId="77777777" w:rsidR="00575D39" w:rsidRPr="0008336A" w:rsidRDefault="00575D39" w:rsidP="00BD1734">
            <w:pPr>
              <w:pStyle w:val="Tabletext"/>
              <w:rPr>
                <w:b w:val="0"/>
                <w:bCs w:val="0"/>
              </w:rPr>
            </w:pPr>
            <w:r w:rsidRPr="0008336A">
              <w:rPr>
                <w:b w:val="0"/>
                <w:bCs w:val="0"/>
              </w:rPr>
              <w:t>Renforcement de la capacité des membres de l'UIT d'intégrer l'innovation dans le secteur des télécommunications/TIC et le passage au tout numérique dans leurs programmes nationaux de développement et d'élaborer des stratégies visant à promouvoir les initiatives en matière d'innovation, y compris dans le cadre de partenariats publics, privés ou public-privé.</w:t>
            </w:r>
          </w:p>
        </w:tc>
        <w:tc>
          <w:tcPr>
            <w:tcW w:w="7508" w:type="dxa"/>
          </w:tcPr>
          <w:p w14:paraId="4075F59F"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d'initiatives (par exemple lignes directrices et recommandations, kits pratiques à faire soi-même etc.) et projets locaux destinés à renforcer les écosystèmes d'innovation des États Membres.</w:t>
            </w:r>
          </w:p>
          <w:p w14:paraId="085CBD4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 xml:space="preserve">Nombre de nouveaux partenariats avec les principaux partenaires qui encouragent les écosystèmes d'innovation. </w:t>
            </w:r>
          </w:p>
          <w:p w14:paraId="68D68244"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partenariats, d'initiatives et de projets qui se sont traduits par des mesures concrètes pour les membres.</w:t>
            </w:r>
          </w:p>
        </w:tc>
        <w:tc>
          <w:tcPr>
            <w:tcW w:w="2329" w:type="dxa"/>
          </w:tcPr>
          <w:p w14:paraId="0850685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61A3B4BF"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p>
    <w:p w14:paraId="6059EB3C"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br w:type="page"/>
      </w:r>
    </w:p>
    <w:p w14:paraId="74A2538E" w14:textId="77777777" w:rsidR="00575D39" w:rsidRPr="0079797D" w:rsidRDefault="00575D39" w:rsidP="00BD1734">
      <w:pPr>
        <w:pStyle w:val="Heading1"/>
        <w:rPr>
          <w:color w:val="1F497D" w:themeColor="text2"/>
        </w:rPr>
      </w:pPr>
      <w:bookmarkStart w:id="253" w:name="_Toc34307503"/>
      <w:bookmarkStart w:id="254" w:name="_Toc34307581"/>
      <w:bookmarkStart w:id="255" w:name="_Toc34307679"/>
      <w:bookmarkStart w:id="256" w:name="_Toc39493344"/>
      <w:r w:rsidRPr="0079797D">
        <w:rPr>
          <w:color w:val="1F497D" w:themeColor="text2"/>
        </w:rPr>
        <w:lastRenderedPageBreak/>
        <w:t>II.4.4 – D.4 Société de l'information inclusive</w:t>
      </w:r>
      <w:bookmarkEnd w:id="253"/>
      <w:bookmarkEnd w:id="254"/>
      <w:bookmarkEnd w:id="255"/>
      <w:bookmarkEnd w:id="256"/>
    </w:p>
    <w:p w14:paraId="126C6AF8" w14:textId="77777777" w:rsidR="00575D39" w:rsidRPr="0079797D" w:rsidRDefault="00575D39" w:rsidP="00BD1734">
      <w:pPr>
        <w:pStyle w:val="Headingb"/>
        <w:rPr>
          <w:i/>
          <w:iCs/>
          <w:color w:val="C0504D" w:themeColor="accent2"/>
        </w:rPr>
      </w:pPr>
      <w:r w:rsidRPr="0079797D">
        <w:rPr>
          <w:i/>
          <w:iCs/>
          <w:color w:val="C0504D" w:themeColor="accent2"/>
        </w:rPr>
        <w:t>Description de l'Objectif</w:t>
      </w:r>
    </w:p>
    <w:p w14:paraId="645073A6"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bookmarkStart w:id="257" w:name="lt_pId482"/>
      <w:r w:rsidRPr="0008336A">
        <w:rPr>
          <w:rFonts w:asciiTheme="minorHAnsi" w:hAnsiTheme="minorHAnsi"/>
        </w:rPr>
        <w:t>Promouvoir le développement et l'utilisation des télécommunications/TIC et d'applications pour donner aux individus et aux sociétés des moyens d'agir en faveur du développement durable.</w:t>
      </w:r>
    </w:p>
    <w:p w14:paraId="7D71930C"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r w:rsidRPr="0008336A">
        <w:rPr>
          <w:rFonts w:asciiTheme="minorHAnsi" w:hAnsiTheme="minorHAnsi"/>
        </w:rPr>
        <w:t>L'Objectif D.4 utilise 19,60% des ressources prévues pour les Objectifs de l'UIT-D ou 6,89% des ressources prévues de l'UIT pour 2021-2024.</w:t>
      </w:r>
    </w:p>
    <w:bookmarkEnd w:id="257"/>
    <w:p w14:paraId="09233B35" w14:textId="77777777" w:rsidR="00575D39" w:rsidRPr="0079797D" w:rsidRDefault="00575D39" w:rsidP="00BD1734">
      <w:pPr>
        <w:pStyle w:val="Headingb"/>
        <w:rPr>
          <w:i/>
          <w:iCs/>
          <w:color w:val="C0504D" w:themeColor="accent2"/>
        </w:rPr>
      </w:pPr>
      <w:r w:rsidRPr="0079797D">
        <w:rPr>
          <w:i/>
          <w:iCs/>
          <w:color w:val="C0504D" w:themeColor="accent2"/>
        </w:rPr>
        <w:t>Récapitulatif de l'imputation des coûts</w:t>
      </w:r>
    </w:p>
    <w:bookmarkStart w:id="258" w:name="_Hlk33430977"/>
    <w:bookmarkStart w:id="259" w:name="_MON_1644209107"/>
    <w:bookmarkEnd w:id="259"/>
    <w:p w14:paraId="27A31FDF"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rPr>
      </w:pPr>
      <w:r w:rsidRPr="0008336A">
        <w:rPr>
          <w:rFonts w:asciiTheme="minorHAnsi" w:hAnsiTheme="minorHAnsi"/>
          <w:b/>
          <w:bCs/>
        </w:rPr>
        <w:object w:dxaOrig="12570" w:dyaOrig="3915" w14:anchorId="76040230">
          <v:shape id="_x0000_i1050" type="#_x0000_t75" style="width:628.5pt;height:195.75pt" o:ole="">
            <v:imagedata r:id="rId71" o:title=""/>
          </v:shape>
          <o:OLEObject Type="Embed" ProgID="Excel.Sheet.12" ShapeID="_x0000_i1050" DrawAspect="Content" ObjectID="_1650187663" r:id="rId72"/>
        </w:object>
      </w:r>
    </w:p>
    <w:bookmarkEnd w:id="258"/>
    <w:p w14:paraId="02841BFD" w14:textId="77777777"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b/>
          <w:bCs/>
          <w:i/>
          <w:iCs/>
        </w:rPr>
      </w:pPr>
      <w:r w:rsidRPr="0008336A">
        <w:rPr>
          <w:rFonts w:asciiTheme="minorHAnsi" w:hAnsiTheme="minorHAnsi"/>
          <w:b/>
          <w:bCs/>
          <w:i/>
          <w:iCs/>
        </w:rPr>
        <w:br w:type="page"/>
      </w:r>
    </w:p>
    <w:p w14:paraId="2132771A" w14:textId="77777777" w:rsidR="00575D39" w:rsidRPr="0079797D" w:rsidRDefault="00575D39" w:rsidP="00BD1734">
      <w:pPr>
        <w:pStyle w:val="Headingb"/>
        <w:spacing w:after="240"/>
        <w:rPr>
          <w:i/>
          <w:iCs/>
          <w:color w:val="C0504D" w:themeColor="accent2"/>
        </w:rPr>
      </w:pPr>
      <w:r w:rsidRPr="0079797D">
        <w:rPr>
          <w:i/>
          <w:iCs/>
          <w:color w:val="C0504D" w:themeColor="accent2"/>
        </w:rPr>
        <w:lastRenderedPageBreak/>
        <w:t>Rapport d'activité 2019</w:t>
      </w:r>
    </w:p>
    <w:tbl>
      <w:tblPr>
        <w:tblStyle w:val="GridTable1Light-Accent12"/>
        <w:tblW w:w="0" w:type="auto"/>
        <w:tblLook w:val="04A0" w:firstRow="1" w:lastRow="0" w:firstColumn="1" w:lastColumn="0" w:noHBand="0" w:noVBand="1"/>
      </w:tblPr>
      <w:tblGrid>
        <w:gridCol w:w="3544"/>
        <w:gridCol w:w="8647"/>
        <w:gridCol w:w="1757"/>
      </w:tblGrid>
      <w:tr w:rsidR="00575D39" w:rsidRPr="0008336A" w14:paraId="7C43EAB8" w14:textId="77777777" w:rsidTr="00AE3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280FF126"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 obtenus</w:t>
            </w:r>
          </w:p>
        </w:tc>
        <w:tc>
          <w:tcPr>
            <w:tcW w:w="8647" w:type="dxa"/>
          </w:tcPr>
          <w:p w14:paraId="06A2FAFA"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Mesure</w:t>
            </w:r>
          </w:p>
        </w:tc>
        <w:tc>
          <w:tcPr>
            <w:tcW w:w="1757" w:type="dxa"/>
          </w:tcPr>
          <w:p w14:paraId="3582F6D4"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 xml:space="preserve">Risque </w:t>
            </w:r>
          </w:p>
        </w:tc>
      </w:tr>
      <w:tr w:rsidR="00575D39" w:rsidRPr="0008336A" w14:paraId="3B664332" w14:textId="77777777" w:rsidTr="003C5123">
        <w:tc>
          <w:tcPr>
            <w:cnfStyle w:val="001000000000" w:firstRow="0" w:lastRow="0" w:firstColumn="1" w:lastColumn="0" w:oddVBand="0" w:evenVBand="0" w:oddHBand="0" w:evenHBand="0" w:firstRowFirstColumn="0" w:firstRowLastColumn="0" w:lastRowFirstColumn="0" w:lastRowLastColumn="0"/>
            <w:tcW w:w="3544" w:type="dxa"/>
          </w:tcPr>
          <w:p w14:paraId="54908E87" w14:textId="77777777" w:rsidR="00575D39" w:rsidRPr="0008336A" w:rsidRDefault="00575D39" w:rsidP="00BD1734">
            <w:pPr>
              <w:pStyle w:val="Tabletext"/>
              <w:rPr>
                <w:b w:val="0"/>
                <w:bCs w:val="0"/>
              </w:rPr>
            </w:pPr>
            <w:r w:rsidRPr="0008336A">
              <w:rPr>
                <w:b w:val="0"/>
                <w:bCs w:val="0"/>
              </w:rPr>
              <w:t>Activités efficaces menées pour améliorer l'accès aux télécommunications/TIC et leur utilisation dans les PMA, les PEID, les PDSL et les pays dont l'économie est en transition</w:t>
            </w:r>
          </w:p>
        </w:tc>
        <w:tc>
          <w:tcPr>
            <w:tcW w:w="8647" w:type="dxa"/>
          </w:tcPr>
          <w:p w14:paraId="48B8AA48"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L'Initiative pour les politiques et la réglementation pour le numérique en Afrique (PRIDA) a été lancée en vue d'encourager la mise en place d'un réseau large bande accessible à tous et financièrement abordable sur l'ensemble du continent, pour accéder aux futures retombées des services Internet. Le projet UIT-UNICEF pour la connectivité dans les écoles, également appelé initiative GIGA, a été lancé à l'occasion de l'Assemblée générale des Nations Unies en septembre. Il a pour objectif de fournir une connectivité dans toutes les écoles du monde entier. Quelque 3,7 milliards de personnes dans le monde, dont 360 millions de jeunes, n'ont pas accès à l'Internet.</w:t>
            </w:r>
          </w:p>
        </w:tc>
        <w:tc>
          <w:tcPr>
            <w:tcW w:w="1757" w:type="dxa"/>
          </w:tcPr>
          <w:p w14:paraId="6F6972CE"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Les risques potentiels ont été maîtrisés étant donné qu'un niveau suffisant de ressources a été mis à disposition.</w:t>
            </w:r>
          </w:p>
        </w:tc>
      </w:tr>
      <w:tr w:rsidR="00575D39" w:rsidRPr="0008336A" w14:paraId="5AC3A748" w14:textId="77777777" w:rsidTr="003C5123">
        <w:tc>
          <w:tcPr>
            <w:cnfStyle w:val="001000000000" w:firstRow="0" w:lastRow="0" w:firstColumn="1" w:lastColumn="0" w:oddVBand="0" w:evenVBand="0" w:oddHBand="0" w:evenHBand="0" w:firstRowFirstColumn="0" w:firstRowLastColumn="0" w:lastRowFirstColumn="0" w:lastRowLastColumn="0"/>
            <w:tcW w:w="3544" w:type="dxa"/>
          </w:tcPr>
          <w:p w14:paraId="5D2CA077" w14:textId="77777777" w:rsidR="00575D39" w:rsidRPr="0008336A" w:rsidRDefault="00575D39" w:rsidP="00BD1734">
            <w:pPr>
              <w:pStyle w:val="Tabletext"/>
              <w:rPr>
                <w:b w:val="0"/>
                <w:bCs w:val="0"/>
              </w:rPr>
            </w:pPr>
            <w:r w:rsidRPr="0008336A">
              <w:rPr>
                <w:b w:val="0"/>
                <w:bCs w:val="0"/>
              </w:rPr>
              <w:t>Niveau satisfaisant d'appui pour renforcer la capacité des membres de l'UIT d'exploiter et d'utiliser les nouvelles technologies.</w:t>
            </w:r>
          </w:p>
        </w:tc>
        <w:tc>
          <w:tcPr>
            <w:tcW w:w="8647" w:type="dxa"/>
          </w:tcPr>
          <w:p w14:paraId="1414E42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Un atelier sur la société intelligente a été organisé afin de mieux faire comprendre les concepts, les exigences et les possibilités associés à l'exploitation des nouvelles technologies comme l'Internet des objets, l'intelligence artificielle, les mégadonnées, etc.</w:t>
            </w:r>
          </w:p>
        </w:tc>
        <w:tc>
          <w:tcPr>
            <w:tcW w:w="1757" w:type="dxa"/>
          </w:tcPr>
          <w:p w14:paraId="008072E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Le soutien/</w:t>
            </w:r>
            <w:r w:rsidRPr="0008336A">
              <w:br/>
              <w:t>l'engagement de la part des pays et des parties prenantes était approprié.</w:t>
            </w:r>
          </w:p>
        </w:tc>
      </w:tr>
      <w:tr w:rsidR="00575D39" w:rsidRPr="0008336A" w14:paraId="785015AD" w14:textId="77777777" w:rsidTr="003C5123">
        <w:tc>
          <w:tcPr>
            <w:cnfStyle w:val="001000000000" w:firstRow="0" w:lastRow="0" w:firstColumn="1" w:lastColumn="0" w:oddVBand="0" w:evenVBand="0" w:oddHBand="0" w:evenHBand="0" w:firstRowFirstColumn="0" w:firstRowLastColumn="0" w:lastRowFirstColumn="0" w:lastRowLastColumn="0"/>
            <w:tcW w:w="3544" w:type="dxa"/>
          </w:tcPr>
          <w:p w14:paraId="1EF55FEF" w14:textId="77777777" w:rsidR="00575D39" w:rsidRPr="0008336A" w:rsidRDefault="00575D39" w:rsidP="00BD1734">
            <w:pPr>
              <w:pStyle w:val="Tabletext"/>
              <w:rPr>
                <w:b w:val="0"/>
                <w:bCs w:val="0"/>
              </w:rPr>
            </w:pPr>
            <w:r w:rsidRPr="0008336A">
              <w:rPr>
                <w:b w:val="0"/>
                <w:bCs w:val="0"/>
              </w:rPr>
              <w:t>Contribution au renforcement de la capacité des membres de l'UIT d'élaborer des stratégies, des politiques et des pratiques favorisant l'inclusion numérique, en particulier pour l'autonomisation des femmes et des jeunes filles, des personnes handicapées et des autres personnes ayant des besoins particuliers.</w:t>
            </w:r>
          </w:p>
        </w:tc>
        <w:tc>
          <w:tcPr>
            <w:tcW w:w="8647" w:type="dxa"/>
          </w:tcPr>
          <w:p w14:paraId="466E0C8B"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Le portail de l'Académie de l'UIT est devenu un outil au service de l'inclusion numérique, grâce à l'élargissement de l'offre en matière de formation, qui comprend aujourd'hui l'accessibilité des TIC ainsi que des cours de formation destinés aux communautés autochtones et marginalisées. En 2019, 2 000 nouveaux utilisateurs se sont inscrits à l'Académie de l'UIT, pour un total de plus de 10 200 utilisateurs et 61 pays du monde entier utilisent déjà la plate-forme qu'offre l'Académie de l'UIT. En 2019, la Journée internationale des jeunes filles dans le secteur des TIC a été célébrée dans 102 pays. Nombre de membres connaissant l'existence de politiques, stratégies et lignes directrices relatives à l'inclusion numérique et ayant bénéficié d'une formation ou de conseils en la matière. Délégation d'entrepreneures EQUALS à ITU Telecom World 2019 et tenue des Prix EQUALS in Tech en 2019.</w:t>
            </w:r>
          </w:p>
        </w:tc>
        <w:tc>
          <w:tcPr>
            <w:tcW w:w="1757" w:type="dxa"/>
          </w:tcPr>
          <w:p w14:paraId="06E41D98"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1DBAAD83" w14:textId="77777777" w:rsidTr="003C5123">
        <w:tc>
          <w:tcPr>
            <w:cnfStyle w:val="001000000000" w:firstRow="0" w:lastRow="0" w:firstColumn="1" w:lastColumn="0" w:oddVBand="0" w:evenVBand="0" w:oddHBand="0" w:evenHBand="0" w:firstRowFirstColumn="0" w:firstRowLastColumn="0" w:lastRowFirstColumn="0" w:lastRowLastColumn="0"/>
            <w:tcW w:w="3544" w:type="dxa"/>
          </w:tcPr>
          <w:p w14:paraId="335C764C" w14:textId="77777777" w:rsidR="00575D39" w:rsidRPr="0008336A" w:rsidRDefault="00575D39" w:rsidP="00AE3B80">
            <w:pPr>
              <w:pStyle w:val="Tabletext"/>
              <w:keepLines/>
              <w:rPr>
                <w:rFonts w:asciiTheme="minorHAnsi" w:hAnsiTheme="minorHAnsi"/>
                <w:b w:val="0"/>
                <w:bCs w:val="0"/>
              </w:rPr>
            </w:pPr>
            <w:r w:rsidRPr="0008336A">
              <w:rPr>
                <w:rFonts w:asciiTheme="minorHAnsi" w:hAnsiTheme="minorHAnsi"/>
                <w:b w:val="0"/>
                <w:bCs w:val="0"/>
              </w:rPr>
              <w:lastRenderedPageBreak/>
              <w:t>Renforcement de la capacité des membres de l'UIT de concevoir des stratégies et des solutions en matière de télécommunications/TIC relatives à l'adaptation aux effets des changements climatiques et à l'atténuation de ces effets ainsi qu'à l'utilisation d'énergies vertes/renouvelables.</w:t>
            </w:r>
          </w:p>
        </w:tc>
        <w:tc>
          <w:tcPr>
            <w:tcW w:w="8647" w:type="dxa"/>
          </w:tcPr>
          <w:p w14:paraId="7D33238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Initiative de premier plan menée dans les Caraïbes en collaboration avec des régulateurs des ministères de l'éducation et des ONG de la région, la population a été sensibilisée aux effets néfastes des changements climatiques grâce à la plantation d'arbres dans de nombreuses écoles des îles du Caraïbes lors des célébrations de la Journée des jeunes filles dans le Secteur des TIC de 2019. Un atelier sur les TIC d'avant-garde au service de la lutte contre les changements climatiques a eu lieu dans le cadre des travaux de la Commission d'études 2 de l'UIT</w:t>
            </w:r>
            <w:r w:rsidRPr="0008336A">
              <w:noBreakHyphen/>
              <w:t>D sur les TIC et l'environnement. Dans le cadre du Partenariat mondial sur les statistiques relatifs aux déchets d'équipements électriques et électroniques (GESP), un portail en ligne à code source ouvert a été créé sur le site web globalewaste.org, afin de rendre accessibles au public des données et des statistiques sur les déchets d'équipements électriques et électroniques.</w:t>
            </w:r>
          </w:p>
        </w:tc>
        <w:tc>
          <w:tcPr>
            <w:tcW w:w="1757" w:type="dxa"/>
          </w:tcPr>
          <w:p w14:paraId="2DE74E7C" w14:textId="77777777" w:rsidR="00575D39" w:rsidRPr="0008336A" w:rsidRDefault="00575D39" w:rsidP="00BD1734">
            <w:pPr>
              <w:keepNext/>
              <w:keepLines/>
              <w:tabs>
                <w:tab w:val="left" w:pos="284"/>
                <w:tab w:val="left" w:pos="851"/>
                <w:tab w:val="left" w:pos="1418"/>
                <w:tab w:val="left" w:pos="1871"/>
                <w:tab w:val="left" w:pos="1985"/>
                <w:tab w:val="left" w:pos="2552"/>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p>
        </w:tc>
      </w:tr>
    </w:tbl>
    <w:p w14:paraId="7F60AC37" w14:textId="77777777" w:rsidR="00575D39" w:rsidRPr="0079797D" w:rsidRDefault="00575D39" w:rsidP="00BD1734">
      <w:pPr>
        <w:pStyle w:val="Headingb"/>
        <w:spacing w:after="240"/>
        <w:rPr>
          <w:i/>
          <w:iCs/>
          <w:color w:val="C0504D" w:themeColor="accent2"/>
        </w:rPr>
      </w:pPr>
      <w:r w:rsidRPr="0079797D">
        <w:rPr>
          <w:i/>
          <w:iCs/>
          <w:color w:val="C0504D" w:themeColor="accent2"/>
        </w:rPr>
        <w:t>Déclaration 2021 sur les résultats attendus, la mesure et les indicateurs de risque</w:t>
      </w:r>
    </w:p>
    <w:tbl>
      <w:tblPr>
        <w:tblStyle w:val="GridTable1Light-Accent12"/>
        <w:tblW w:w="14029" w:type="dxa"/>
        <w:tblLook w:val="04A0" w:firstRow="1" w:lastRow="0" w:firstColumn="1" w:lastColumn="0" w:noHBand="0" w:noVBand="1"/>
      </w:tblPr>
      <w:tblGrid>
        <w:gridCol w:w="4649"/>
        <w:gridCol w:w="6545"/>
        <w:gridCol w:w="2835"/>
      </w:tblGrid>
      <w:tr w:rsidR="00575D39" w:rsidRPr="0008336A" w14:paraId="7FAD8238" w14:textId="77777777" w:rsidTr="00AE3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tcPr>
          <w:p w14:paraId="3ABBACC5" w14:textId="77777777" w:rsidR="00575D39" w:rsidRPr="0079797D" w:rsidRDefault="00575D39" w:rsidP="00BD1734">
            <w:pPr>
              <w:pStyle w:val="Tablehead"/>
              <w:rPr>
                <w:b/>
                <w:bCs w:val="0"/>
                <w:i/>
                <w:iCs/>
                <w:color w:val="365F91" w:themeColor="accent1" w:themeShade="BF"/>
              </w:rPr>
            </w:pPr>
            <w:r w:rsidRPr="0079797D">
              <w:rPr>
                <w:b/>
                <w:bCs w:val="0"/>
                <w:i/>
                <w:iCs/>
                <w:color w:val="365F91" w:themeColor="accent1" w:themeShade="BF"/>
              </w:rPr>
              <w:t>Résultats</w:t>
            </w:r>
          </w:p>
        </w:tc>
        <w:tc>
          <w:tcPr>
            <w:tcW w:w="6545" w:type="dxa"/>
          </w:tcPr>
          <w:p w14:paraId="4CDFE5E5"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résultat</w:t>
            </w:r>
          </w:p>
        </w:tc>
        <w:tc>
          <w:tcPr>
            <w:tcW w:w="2835" w:type="dxa"/>
          </w:tcPr>
          <w:p w14:paraId="44836459" w14:textId="77777777" w:rsidR="00575D39" w:rsidRPr="0079797D" w:rsidRDefault="00575D39" w:rsidP="00BD1734">
            <w:pPr>
              <w:pStyle w:val="Tablehead"/>
              <w:cnfStyle w:val="100000000000" w:firstRow="1" w:lastRow="0" w:firstColumn="0" w:lastColumn="0" w:oddVBand="0" w:evenVBand="0" w:oddHBand="0" w:evenHBand="0" w:firstRowFirstColumn="0" w:firstRowLastColumn="0" w:lastRowFirstColumn="0" w:lastRowLastColumn="0"/>
              <w:rPr>
                <w:b/>
                <w:bCs w:val="0"/>
                <w:i/>
                <w:iCs/>
                <w:color w:val="365F91" w:themeColor="accent1" w:themeShade="BF"/>
              </w:rPr>
            </w:pPr>
            <w:r w:rsidRPr="0079797D">
              <w:rPr>
                <w:b/>
                <w:bCs w:val="0"/>
                <w:i/>
                <w:iCs/>
                <w:color w:val="365F91" w:themeColor="accent1" w:themeShade="BF"/>
              </w:rPr>
              <w:t>Indicateurs de risque</w:t>
            </w:r>
          </w:p>
        </w:tc>
      </w:tr>
      <w:tr w:rsidR="00575D39" w:rsidRPr="0008336A" w14:paraId="3676004F" w14:textId="77777777" w:rsidTr="00AE3B80">
        <w:tc>
          <w:tcPr>
            <w:cnfStyle w:val="001000000000" w:firstRow="0" w:lastRow="0" w:firstColumn="1" w:lastColumn="0" w:oddVBand="0" w:evenVBand="0" w:oddHBand="0" w:evenHBand="0" w:firstRowFirstColumn="0" w:firstRowLastColumn="0" w:lastRowFirstColumn="0" w:lastRowLastColumn="0"/>
            <w:tcW w:w="4649" w:type="dxa"/>
          </w:tcPr>
          <w:p w14:paraId="3E69A105" w14:textId="77777777" w:rsidR="00575D39" w:rsidRPr="0008336A" w:rsidRDefault="00575D39" w:rsidP="00BD1734">
            <w:pPr>
              <w:pStyle w:val="Tabletext"/>
              <w:rPr>
                <w:b w:val="0"/>
                <w:bCs w:val="0"/>
              </w:rPr>
            </w:pPr>
            <w:r w:rsidRPr="0008336A">
              <w:rPr>
                <w:b w:val="0"/>
                <w:bCs w:val="0"/>
              </w:rPr>
              <w:t>Amélioration de l'accès aux télécommunications/TIC et de leur utilisation dans les pays les moins avancés (PMA), les petits États insulaires en développement (PEID) et les pays en développement sans littoral (PDSL), ainsi que dans les pays dont l'économie est en transition.</w:t>
            </w:r>
          </w:p>
        </w:tc>
        <w:tc>
          <w:tcPr>
            <w:tcW w:w="6545" w:type="dxa"/>
          </w:tcPr>
          <w:p w14:paraId="75530E43"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pays bénéficiant d'une assistance ciblée grâce à des initiatives prises par le BDT et bénéficiant ainsi d'une meilleure connectivité et d'une plus grande disponibilité de télécommunications/TIC, à un prix financièrement abordable.</w:t>
            </w:r>
          </w:p>
          <w:p w14:paraId="0E570B31"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pays ayant reçu une assistance grâce à des initiatives prises par le BDT, y compris nombre de bourses demandées et nombre de bourses accordées.</w:t>
            </w:r>
          </w:p>
        </w:tc>
        <w:tc>
          <w:tcPr>
            <w:tcW w:w="2835" w:type="dxa"/>
          </w:tcPr>
          <w:p w14:paraId="3C550B2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 polyvalence, de souplesse et de préparation du personnel pour s'adapter à l'évolution des besoins.</w:t>
            </w:r>
          </w:p>
          <w:p w14:paraId="259A95EA"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1257C90D" w14:textId="77777777" w:rsidTr="00AE3B80">
        <w:tc>
          <w:tcPr>
            <w:cnfStyle w:val="001000000000" w:firstRow="0" w:lastRow="0" w:firstColumn="1" w:lastColumn="0" w:oddVBand="0" w:evenVBand="0" w:oddHBand="0" w:evenHBand="0" w:firstRowFirstColumn="0" w:firstRowLastColumn="0" w:lastRowFirstColumn="0" w:lastRowLastColumn="0"/>
            <w:tcW w:w="4649" w:type="dxa"/>
          </w:tcPr>
          <w:p w14:paraId="67F6A96B" w14:textId="77777777" w:rsidR="00575D39" w:rsidRPr="0008336A" w:rsidRDefault="00575D39" w:rsidP="00BD1734">
            <w:pPr>
              <w:pStyle w:val="Tabletext"/>
              <w:rPr>
                <w:b w:val="0"/>
                <w:bCs w:val="0"/>
              </w:rPr>
            </w:pPr>
            <w:r w:rsidRPr="0008336A">
              <w:rPr>
                <w:b w:val="0"/>
                <w:bCs w:val="0"/>
              </w:rPr>
              <w:t>Renforcement de la capacité des membres de l'UIT d'accélérer le développement économique et social en exploitant et en utilisant les nouvelles technologies et les services et applications des télécommunications/TIC.</w:t>
            </w:r>
          </w:p>
        </w:tc>
        <w:tc>
          <w:tcPr>
            <w:tcW w:w="6545" w:type="dxa"/>
          </w:tcPr>
          <w:p w14:paraId="7CCE5C1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kits pratiques publiés et téléchargés pour l'élaboration de stratégies numériques sectorielles nationales; nombre de rapports publiés sur les bonnes pratiques en matière d'utilisation des télécommunications/TIC au service du développement; nombre de manifestations/ateliers/séminaires consacrés à l'utilisation des télécommunications/TIC au service du développement et visant à fournir une aide aux pays en développement concernant les problèmes auxquels leurs populations et sociétés sont confrontées, et nombre de participants à ces manifestations/ateliers/séminaires.</w:t>
            </w:r>
          </w:p>
        </w:tc>
        <w:tc>
          <w:tcPr>
            <w:tcW w:w="2835" w:type="dxa"/>
          </w:tcPr>
          <w:p w14:paraId="13AFBF9E"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Ressources humaines et financières insuffisantes.</w:t>
            </w:r>
          </w:p>
          <w:p w14:paraId="5856BB2E"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Manque de soutien/d'engagement de la part des partenaires et des pays.</w:t>
            </w:r>
          </w:p>
        </w:tc>
      </w:tr>
      <w:tr w:rsidR="00575D39" w:rsidRPr="0008336A" w14:paraId="496B1734" w14:textId="77777777" w:rsidTr="00AE3B80">
        <w:tc>
          <w:tcPr>
            <w:cnfStyle w:val="001000000000" w:firstRow="0" w:lastRow="0" w:firstColumn="1" w:lastColumn="0" w:oddVBand="0" w:evenVBand="0" w:oddHBand="0" w:evenHBand="0" w:firstRowFirstColumn="0" w:firstRowLastColumn="0" w:lastRowFirstColumn="0" w:lastRowLastColumn="0"/>
            <w:tcW w:w="4649" w:type="dxa"/>
          </w:tcPr>
          <w:p w14:paraId="4CC8BC6E" w14:textId="77777777" w:rsidR="00575D39" w:rsidRPr="0008336A" w:rsidRDefault="00575D39" w:rsidP="00BD1734">
            <w:pPr>
              <w:pStyle w:val="Tabletext"/>
              <w:rPr>
                <w:b w:val="0"/>
                <w:bCs w:val="0"/>
              </w:rPr>
            </w:pPr>
            <w:r w:rsidRPr="0008336A">
              <w:rPr>
                <w:b w:val="0"/>
                <w:bCs w:val="0"/>
              </w:rPr>
              <w:lastRenderedPageBreak/>
              <w:t>Renforcement de la capacité des membres de l'UIT d'élaborer des stratégies, des politiques et des pratiques favorisant l'inclusion numérique, en particulier pour l'autonomisation des femmes et des jeunes filles, des personnes handicapées et des autres personnes ayant des besoins particuliers.</w:t>
            </w:r>
          </w:p>
        </w:tc>
        <w:tc>
          <w:tcPr>
            <w:tcW w:w="6545" w:type="dxa"/>
          </w:tcPr>
          <w:p w14:paraId="4BF1B774"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Volume des ressources sur l'inclusion numérique élaborées ou mises à la disposition des membres, y compris les publications, les politiques, les stratégies, les lignes directrices, les bonnes pratiques, les études de cas, les matériels didactiques, les ressources et les kits pratiques en ligne, et nombre de consultations de sites web de l'UIT-D sur l'inclusion numérique.</w:t>
            </w:r>
          </w:p>
          <w:p w14:paraId="1317C1C6"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de membres connaissant l'existence de politiques, stratégies et lignes directrices relatives à l'inclusion numérique et ayant bénéficié d'une formation ou de conseils en la matière.</w:t>
            </w:r>
          </w:p>
        </w:tc>
        <w:tc>
          <w:tcPr>
            <w:tcW w:w="2835" w:type="dxa"/>
          </w:tcPr>
          <w:p w14:paraId="11717A3C"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r w:rsidR="00575D39" w:rsidRPr="0008336A" w14:paraId="28DCE32B" w14:textId="77777777" w:rsidTr="00AE3B80">
        <w:tc>
          <w:tcPr>
            <w:cnfStyle w:val="001000000000" w:firstRow="0" w:lastRow="0" w:firstColumn="1" w:lastColumn="0" w:oddVBand="0" w:evenVBand="0" w:oddHBand="0" w:evenHBand="0" w:firstRowFirstColumn="0" w:firstRowLastColumn="0" w:lastRowFirstColumn="0" w:lastRowLastColumn="0"/>
            <w:tcW w:w="4649" w:type="dxa"/>
          </w:tcPr>
          <w:p w14:paraId="2C6603B4" w14:textId="77777777" w:rsidR="00575D39" w:rsidRPr="0008336A" w:rsidRDefault="00575D39" w:rsidP="00BD1734">
            <w:pPr>
              <w:pStyle w:val="Tabletext"/>
              <w:rPr>
                <w:b w:val="0"/>
                <w:bCs w:val="0"/>
              </w:rPr>
            </w:pPr>
            <w:r w:rsidRPr="0008336A">
              <w:rPr>
                <w:b w:val="0"/>
                <w:bCs w:val="0"/>
              </w:rPr>
              <w:t>Renforcement de la capacité des membres de l'UIT de concevoir des stratégies et des solutions en matière de télécommunications/TIC relatives à l'adaptation aux effets des changements climatiques et à l'atténuation de ces effets ainsi qu'à l'utilisation d'énergies vertes/renouvelables.</w:t>
            </w:r>
          </w:p>
        </w:tc>
        <w:tc>
          <w:tcPr>
            <w:tcW w:w="6545" w:type="dxa"/>
          </w:tcPr>
          <w:p w14:paraId="60A8D3C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d'États Membres ayant bénéficié de l'assistance du BDT pour sensibiliser davantage l'opinion aux conséquences des changements climatiques et promouvoir l'utilisation des télécommunications/TIC pour atténuer ces conséquences négatives.</w:t>
            </w:r>
          </w:p>
          <w:p w14:paraId="47D051E7"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d'États Membres ayant bénéficié de l'assistance du BDT pour élaborer leurs stratégies et leurs cadres politiques et réglementaires relatifs aux changements climatiques.</w:t>
            </w:r>
          </w:p>
          <w:p w14:paraId="1DE2ED00"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r w:rsidRPr="0008336A">
              <w:t>Nombre d'États Membres ayant bénéficié de l'assistance du BDT pour élaborer une stratégie et des cadres politiques et réglementaires relatifs aux déchets d'équipements électriques et électroniques.</w:t>
            </w:r>
          </w:p>
        </w:tc>
        <w:tc>
          <w:tcPr>
            <w:tcW w:w="2835" w:type="dxa"/>
          </w:tcPr>
          <w:p w14:paraId="25AAE9ED" w14:textId="77777777" w:rsidR="00575D39" w:rsidRPr="0008336A" w:rsidRDefault="00575D39" w:rsidP="00BD1734">
            <w:pPr>
              <w:pStyle w:val="Tabletext"/>
              <w:cnfStyle w:val="000000000000" w:firstRow="0" w:lastRow="0" w:firstColumn="0" w:lastColumn="0" w:oddVBand="0" w:evenVBand="0" w:oddHBand="0" w:evenHBand="0" w:firstRowFirstColumn="0" w:firstRowLastColumn="0" w:lastRowFirstColumn="0" w:lastRowLastColumn="0"/>
            </w:pPr>
          </w:p>
        </w:tc>
      </w:tr>
    </w:tbl>
    <w:p w14:paraId="3D03B9B2" w14:textId="3A65B122" w:rsidR="00575D39" w:rsidRPr="0008336A" w:rsidRDefault="00575D39" w:rsidP="00BD1734">
      <w:pPr>
        <w:tabs>
          <w:tab w:val="clear" w:pos="567"/>
          <w:tab w:val="clear" w:pos="1134"/>
          <w:tab w:val="clear" w:pos="1701"/>
          <w:tab w:val="clear" w:pos="2268"/>
          <w:tab w:val="clear" w:pos="2835"/>
          <w:tab w:val="left" w:pos="794"/>
          <w:tab w:val="left" w:pos="1191"/>
          <w:tab w:val="left" w:pos="1588"/>
          <w:tab w:val="left" w:pos="1985"/>
        </w:tabs>
        <w:rPr>
          <w:rFonts w:asciiTheme="minorHAnsi" w:hAnsiTheme="minorHAnsi"/>
        </w:rPr>
      </w:pPr>
    </w:p>
    <w:p w14:paraId="37E889D0" w14:textId="77777777" w:rsidR="009C63B3" w:rsidRPr="0008336A" w:rsidRDefault="009C63B3" w:rsidP="00BD1734">
      <w:pPr>
        <w:sectPr w:rsidR="009C63B3" w:rsidRPr="0008336A" w:rsidSect="00AA62D7">
          <w:pgSz w:w="16834" w:h="11907" w:orient="landscape" w:code="9"/>
          <w:pgMar w:top="1134" w:right="1418" w:bottom="1134" w:left="1418" w:header="720" w:footer="720" w:gutter="0"/>
          <w:paperSrc w:first="7" w:other="7"/>
          <w:cols w:space="720"/>
          <w:docGrid w:linePitch="326"/>
        </w:sectPr>
      </w:pPr>
    </w:p>
    <w:p w14:paraId="3452B296" w14:textId="206EB729" w:rsidR="009C63B3" w:rsidRPr="0079797D" w:rsidRDefault="0079797D" w:rsidP="0079797D">
      <w:pPr>
        <w:pStyle w:val="Title4"/>
        <w:ind w:left="3119"/>
        <w:jc w:val="left"/>
        <w:rPr>
          <w:color w:val="1F497D" w:themeColor="text2"/>
          <w:sz w:val="52"/>
          <w:szCs w:val="54"/>
        </w:rPr>
      </w:pPr>
      <w:bookmarkStart w:id="260" w:name="_Toc34307504"/>
      <w:bookmarkStart w:id="261" w:name="_Toc34307582"/>
      <w:bookmarkStart w:id="262" w:name="_Toc34307680"/>
      <w:bookmarkStart w:id="263" w:name="_Toc39492763"/>
      <w:bookmarkStart w:id="264" w:name="_Toc39493345"/>
      <w:r w:rsidRPr="0079797D">
        <w:rPr>
          <w:noProof/>
          <w:color w:val="1F497D" w:themeColor="text2"/>
          <w:sz w:val="52"/>
          <w:szCs w:val="54"/>
        </w:rPr>
        <w:lastRenderedPageBreak/>
        <w:drawing>
          <wp:anchor distT="0" distB="0" distL="114300" distR="114300" simplePos="0" relativeHeight="251720704" behindDoc="1" locked="0" layoutInCell="1" allowOverlap="1" wp14:anchorId="288BDB2C" wp14:editId="5CB804C3">
            <wp:simplePos x="0" y="0"/>
            <wp:positionH relativeFrom="column">
              <wp:posOffset>-798654</wp:posOffset>
            </wp:positionH>
            <wp:positionV relativeFrom="page">
              <wp:posOffset>17965</wp:posOffset>
            </wp:positionV>
            <wp:extent cx="7639291" cy="10802856"/>
            <wp:effectExtent l="0" t="0" r="0" b="0"/>
            <wp:wrapNone/>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fond.jpg"/>
                    <pic:cNvPicPr/>
                  </pic:nvPicPr>
                  <pic:blipFill>
                    <a:blip r:embed="rId13">
                      <a:extLst>
                        <a:ext uri="{28A0092B-C50C-407E-A947-70E740481C1C}">
                          <a14:useLocalDpi xmlns:a14="http://schemas.microsoft.com/office/drawing/2010/main" val="0"/>
                        </a:ext>
                      </a:extLst>
                    </a:blip>
                    <a:stretch>
                      <a:fillRect/>
                    </a:stretch>
                  </pic:blipFill>
                  <pic:spPr>
                    <a:xfrm>
                      <a:off x="0" y="0"/>
                      <a:ext cx="7639291" cy="10802856"/>
                    </a:xfrm>
                    <a:prstGeom prst="rect">
                      <a:avLst/>
                    </a:prstGeom>
                  </pic:spPr>
                </pic:pic>
              </a:graphicData>
            </a:graphic>
            <wp14:sizeRelH relativeFrom="margin">
              <wp14:pctWidth>0</wp14:pctWidth>
            </wp14:sizeRelH>
            <wp14:sizeRelV relativeFrom="margin">
              <wp14:pctHeight>0</wp14:pctHeight>
            </wp14:sizeRelV>
          </wp:anchor>
        </w:drawing>
      </w:r>
      <w:r w:rsidR="009C63B3" w:rsidRPr="0079797D">
        <w:rPr>
          <w:color w:val="1F497D" w:themeColor="text2"/>
          <w:sz w:val="52"/>
          <w:szCs w:val="54"/>
        </w:rPr>
        <w:t xml:space="preserve">PROJET DE </w:t>
      </w:r>
      <w:r w:rsidR="009C63B3" w:rsidRPr="0079797D">
        <w:rPr>
          <w:color w:val="1F497D" w:themeColor="text2"/>
          <w:sz w:val="52"/>
          <w:szCs w:val="54"/>
        </w:rPr>
        <w:br/>
        <w:t xml:space="preserve">PLAN OPÉRATIONNEL </w:t>
      </w:r>
      <w:r w:rsidRPr="0079797D">
        <w:rPr>
          <w:color w:val="1F497D" w:themeColor="text2"/>
          <w:sz w:val="52"/>
          <w:szCs w:val="54"/>
        </w:rPr>
        <w:br/>
      </w:r>
      <w:r w:rsidR="009C63B3" w:rsidRPr="0079797D">
        <w:rPr>
          <w:color w:val="1F497D" w:themeColor="text2"/>
          <w:sz w:val="52"/>
          <w:szCs w:val="54"/>
        </w:rPr>
        <w:t xml:space="preserve">DE L'UIT </w:t>
      </w:r>
      <w:bookmarkEnd w:id="260"/>
      <w:bookmarkEnd w:id="261"/>
      <w:bookmarkEnd w:id="262"/>
      <w:bookmarkEnd w:id="263"/>
      <w:bookmarkEnd w:id="264"/>
    </w:p>
    <w:p w14:paraId="6399FC62" w14:textId="4546CF92" w:rsidR="009C63B3" w:rsidRPr="00373846" w:rsidRDefault="009C63B3" w:rsidP="00373846">
      <w:pPr>
        <w:spacing w:before="9840"/>
        <w:rPr>
          <w:color w:val="808080" w:themeColor="background1" w:themeShade="80"/>
          <w:sz w:val="36"/>
          <w:szCs w:val="36"/>
        </w:rPr>
      </w:pPr>
      <w:r w:rsidRPr="00373846">
        <w:rPr>
          <w:color w:val="808080" w:themeColor="background1" w:themeShade="80"/>
          <w:sz w:val="36"/>
          <w:szCs w:val="36"/>
        </w:rPr>
        <w:t>Synthèse</w:t>
      </w:r>
    </w:p>
    <w:p w14:paraId="257417EA" w14:textId="48B06FBA" w:rsidR="009C63B3" w:rsidRPr="00373846" w:rsidRDefault="009C63B3" w:rsidP="00BD1734">
      <w:pPr>
        <w:spacing w:before="240"/>
        <w:rPr>
          <w:color w:val="808080" w:themeColor="background1" w:themeShade="80"/>
          <w:sz w:val="36"/>
          <w:szCs w:val="36"/>
        </w:rPr>
      </w:pPr>
      <w:r w:rsidRPr="00373846">
        <w:rPr>
          <w:color w:val="808080" w:themeColor="background1" w:themeShade="80"/>
          <w:sz w:val="36"/>
          <w:szCs w:val="36"/>
        </w:rPr>
        <w:t>Objectifs</w:t>
      </w:r>
    </w:p>
    <w:p w14:paraId="3F1C3E50" w14:textId="78833444" w:rsidR="009C63B3" w:rsidRPr="0079797D" w:rsidRDefault="009C63B3" w:rsidP="0079797D">
      <w:pPr>
        <w:spacing w:before="240"/>
        <w:rPr>
          <w:sz w:val="44"/>
          <w:szCs w:val="44"/>
        </w:rPr>
      </w:pPr>
      <w:r w:rsidRPr="009A511F">
        <w:rPr>
          <w:b/>
          <w:bCs/>
          <w:color w:val="DAEEF3" w:themeColor="accent5" w:themeTint="33"/>
          <w:sz w:val="44"/>
          <w:szCs w:val="44"/>
        </w:rPr>
        <w:t>Annexes</w:t>
      </w:r>
      <w:r w:rsidRPr="0079797D">
        <w:rPr>
          <w:sz w:val="44"/>
          <w:szCs w:val="44"/>
        </w:rPr>
        <w:br w:type="page"/>
      </w:r>
    </w:p>
    <w:p w14:paraId="074ABDFF" w14:textId="77777777" w:rsidR="009C63B3" w:rsidRPr="0008336A" w:rsidRDefault="009C63B3" w:rsidP="00BD1734">
      <w:pPr>
        <w:pStyle w:val="Title4"/>
        <w:pBdr>
          <w:bottom w:val="single" w:sz="4" w:space="1" w:color="auto"/>
        </w:pBdr>
        <w:jc w:val="left"/>
        <w:rPr>
          <w:b w:val="0"/>
          <w:bCs/>
        </w:rPr>
      </w:pPr>
      <w:bookmarkStart w:id="265" w:name="_Toc34307583"/>
      <w:bookmarkStart w:id="266" w:name="_Toc34307681"/>
      <w:bookmarkStart w:id="267" w:name="_Toc39492764"/>
      <w:bookmarkStart w:id="268" w:name="_Toc39493346"/>
      <w:r w:rsidRPr="0008336A">
        <w:rPr>
          <w:bCs/>
        </w:rPr>
        <w:lastRenderedPageBreak/>
        <w:t>Partie III – Annexes</w:t>
      </w:r>
      <w:bookmarkEnd w:id="265"/>
      <w:bookmarkEnd w:id="266"/>
      <w:bookmarkEnd w:id="267"/>
      <w:bookmarkEnd w:id="268"/>
    </w:p>
    <w:p w14:paraId="596786D3" w14:textId="77777777" w:rsidR="009C63B3" w:rsidRPr="0008336A" w:rsidRDefault="009C63B3" w:rsidP="00BD1734"/>
    <w:p w14:paraId="3AE3C7B4" w14:textId="26BEA426" w:rsidR="00F50964" w:rsidRPr="0008336A" w:rsidRDefault="009C63B3">
      <w:pPr>
        <w:pStyle w:val="TOC1"/>
        <w:rPr>
          <w:rFonts w:asciiTheme="minorHAnsi" w:eastAsiaTheme="minorEastAsia" w:hAnsiTheme="minorHAnsi" w:cstheme="minorBidi"/>
          <w:noProof/>
          <w:sz w:val="22"/>
          <w:szCs w:val="22"/>
          <w:lang w:eastAsia="en-GB"/>
        </w:rPr>
      </w:pPr>
      <w:r w:rsidRPr="0008336A">
        <w:fldChar w:fldCharType="begin"/>
      </w:r>
      <w:r w:rsidRPr="0008336A">
        <w:instrText xml:space="preserve"> TOC \h \z \t "Annex_No;1;Annex_ref;1;Annex_title;1" </w:instrText>
      </w:r>
      <w:r w:rsidRPr="0008336A">
        <w:fldChar w:fldCharType="separate"/>
      </w:r>
      <w:hyperlink w:anchor="_Toc39492981" w:history="1">
        <w:r w:rsidR="00F50964" w:rsidRPr="0008336A">
          <w:rPr>
            <w:rStyle w:val="Hyperlink"/>
            <w:noProof/>
          </w:rPr>
          <w:t>Annexe A − Attribution des ressources par produit pour 2021-2024</w:t>
        </w:r>
        <w:r w:rsidR="00F50964" w:rsidRPr="0008336A">
          <w:rPr>
            <w:noProof/>
            <w:webHidden/>
          </w:rPr>
          <w:tab/>
        </w:r>
        <w:r w:rsidR="00F50964" w:rsidRPr="0008336A">
          <w:rPr>
            <w:noProof/>
            <w:webHidden/>
          </w:rPr>
          <w:tab/>
        </w:r>
        <w:r w:rsidR="00F50964" w:rsidRPr="0008336A">
          <w:rPr>
            <w:noProof/>
            <w:webHidden/>
          </w:rPr>
          <w:fldChar w:fldCharType="begin"/>
        </w:r>
        <w:r w:rsidR="00F50964" w:rsidRPr="0008336A">
          <w:rPr>
            <w:noProof/>
            <w:webHidden/>
          </w:rPr>
          <w:instrText xml:space="preserve"> PAGEREF _Toc39492981 \h </w:instrText>
        </w:r>
        <w:r w:rsidR="00F50964" w:rsidRPr="0008336A">
          <w:rPr>
            <w:noProof/>
            <w:webHidden/>
          </w:rPr>
        </w:r>
        <w:r w:rsidR="00F50964" w:rsidRPr="0008336A">
          <w:rPr>
            <w:noProof/>
            <w:webHidden/>
          </w:rPr>
          <w:fldChar w:fldCharType="separate"/>
        </w:r>
        <w:r w:rsidR="001C1B0F">
          <w:rPr>
            <w:noProof/>
            <w:webHidden/>
          </w:rPr>
          <w:t>71</w:t>
        </w:r>
        <w:r w:rsidR="00F50964" w:rsidRPr="0008336A">
          <w:rPr>
            <w:noProof/>
            <w:webHidden/>
          </w:rPr>
          <w:fldChar w:fldCharType="end"/>
        </w:r>
      </w:hyperlink>
    </w:p>
    <w:p w14:paraId="6953DB49" w14:textId="37B43536" w:rsidR="00F50964" w:rsidRPr="0008336A" w:rsidRDefault="00E13D84">
      <w:pPr>
        <w:pStyle w:val="TOC1"/>
        <w:rPr>
          <w:rFonts w:asciiTheme="minorHAnsi" w:eastAsiaTheme="minorEastAsia" w:hAnsiTheme="minorHAnsi" w:cstheme="minorBidi"/>
          <w:noProof/>
          <w:sz w:val="22"/>
          <w:szCs w:val="22"/>
          <w:lang w:eastAsia="en-GB"/>
        </w:rPr>
      </w:pPr>
      <w:hyperlink w:anchor="_Toc39492985" w:history="1">
        <w:r w:rsidR="00F50964" w:rsidRPr="0008336A">
          <w:rPr>
            <w:rStyle w:val="Hyperlink"/>
            <w:noProof/>
          </w:rPr>
          <w:t>Annexe B − Attribution des ressources par Objectif  de développement durable (ODD)</w:t>
        </w:r>
        <w:r w:rsidR="00F50964" w:rsidRPr="0008336A">
          <w:rPr>
            <w:noProof/>
            <w:webHidden/>
          </w:rPr>
          <w:tab/>
        </w:r>
        <w:r w:rsidR="00F50964" w:rsidRPr="0008336A">
          <w:rPr>
            <w:noProof/>
            <w:webHidden/>
          </w:rPr>
          <w:tab/>
        </w:r>
        <w:r w:rsidR="00F50964" w:rsidRPr="0008336A">
          <w:rPr>
            <w:noProof/>
            <w:webHidden/>
          </w:rPr>
          <w:fldChar w:fldCharType="begin"/>
        </w:r>
        <w:r w:rsidR="00F50964" w:rsidRPr="0008336A">
          <w:rPr>
            <w:noProof/>
            <w:webHidden/>
          </w:rPr>
          <w:instrText xml:space="preserve"> PAGEREF _Toc39492985 \h </w:instrText>
        </w:r>
        <w:r w:rsidR="00F50964" w:rsidRPr="0008336A">
          <w:rPr>
            <w:noProof/>
            <w:webHidden/>
          </w:rPr>
        </w:r>
        <w:r w:rsidR="00F50964" w:rsidRPr="0008336A">
          <w:rPr>
            <w:noProof/>
            <w:webHidden/>
          </w:rPr>
          <w:fldChar w:fldCharType="separate"/>
        </w:r>
        <w:r w:rsidR="001C1B0F">
          <w:rPr>
            <w:noProof/>
            <w:webHidden/>
          </w:rPr>
          <w:t>75</w:t>
        </w:r>
        <w:r w:rsidR="00F50964" w:rsidRPr="0008336A">
          <w:rPr>
            <w:noProof/>
            <w:webHidden/>
          </w:rPr>
          <w:fldChar w:fldCharType="end"/>
        </w:r>
      </w:hyperlink>
    </w:p>
    <w:p w14:paraId="5110675F" w14:textId="5D10A75A" w:rsidR="00F50964" w:rsidRPr="0008336A" w:rsidRDefault="00E13D84">
      <w:pPr>
        <w:pStyle w:val="TOC1"/>
        <w:rPr>
          <w:rFonts w:asciiTheme="minorHAnsi" w:eastAsiaTheme="minorEastAsia" w:hAnsiTheme="minorHAnsi" w:cstheme="minorBidi"/>
          <w:noProof/>
          <w:sz w:val="22"/>
          <w:szCs w:val="22"/>
          <w:lang w:eastAsia="en-GB"/>
        </w:rPr>
      </w:pPr>
      <w:hyperlink w:anchor="_Toc39492986" w:history="1">
        <w:r w:rsidR="00F50964" w:rsidRPr="0008336A">
          <w:rPr>
            <w:rStyle w:val="Hyperlink"/>
            <w:noProof/>
          </w:rPr>
          <w:t>Annexe C – Projet de Résolution</w:t>
        </w:r>
        <w:r w:rsidR="00F50964" w:rsidRPr="0008336A">
          <w:rPr>
            <w:rStyle w:val="Hyperlink"/>
            <w:noProof/>
          </w:rPr>
          <w:tab/>
        </w:r>
        <w:r w:rsidR="00F50964" w:rsidRPr="0008336A">
          <w:rPr>
            <w:noProof/>
            <w:webHidden/>
          </w:rPr>
          <w:tab/>
        </w:r>
        <w:r w:rsidR="00F50964" w:rsidRPr="0008336A">
          <w:rPr>
            <w:noProof/>
            <w:webHidden/>
          </w:rPr>
          <w:fldChar w:fldCharType="begin"/>
        </w:r>
        <w:r w:rsidR="00F50964" w:rsidRPr="0008336A">
          <w:rPr>
            <w:noProof/>
            <w:webHidden/>
          </w:rPr>
          <w:instrText xml:space="preserve"> PAGEREF _Toc39492986 \h </w:instrText>
        </w:r>
        <w:r w:rsidR="00F50964" w:rsidRPr="0008336A">
          <w:rPr>
            <w:noProof/>
            <w:webHidden/>
          </w:rPr>
        </w:r>
        <w:r w:rsidR="00F50964" w:rsidRPr="0008336A">
          <w:rPr>
            <w:noProof/>
            <w:webHidden/>
          </w:rPr>
          <w:fldChar w:fldCharType="separate"/>
        </w:r>
        <w:r w:rsidR="001C1B0F">
          <w:rPr>
            <w:noProof/>
            <w:webHidden/>
          </w:rPr>
          <w:t>76</w:t>
        </w:r>
        <w:r w:rsidR="00F50964" w:rsidRPr="0008336A">
          <w:rPr>
            <w:noProof/>
            <w:webHidden/>
          </w:rPr>
          <w:fldChar w:fldCharType="end"/>
        </w:r>
      </w:hyperlink>
    </w:p>
    <w:p w14:paraId="19C20017" w14:textId="2B73D63D" w:rsidR="009C63B3" w:rsidRPr="0008336A" w:rsidRDefault="009C63B3" w:rsidP="00BD1734">
      <w:r w:rsidRPr="0008336A">
        <w:fldChar w:fldCharType="end"/>
      </w:r>
    </w:p>
    <w:p w14:paraId="428A3B56" w14:textId="77777777" w:rsidR="009C63B3" w:rsidRPr="0008336A" w:rsidRDefault="009C63B3" w:rsidP="00BD1734">
      <w:r w:rsidRPr="0008336A">
        <w:br w:type="page"/>
      </w:r>
    </w:p>
    <w:p w14:paraId="4C1328EF" w14:textId="69B2367D" w:rsidR="009C63B3" w:rsidRPr="0008336A" w:rsidRDefault="009C63B3" w:rsidP="00BD1734">
      <w:pPr>
        <w:pStyle w:val="Annextitle"/>
      </w:pPr>
      <w:bookmarkStart w:id="269" w:name="_Toc39492981"/>
      <w:r w:rsidRPr="0008336A">
        <w:lastRenderedPageBreak/>
        <w:t>Annexe A − Attribution des ressources par produit pour 2021-2024</w:t>
      </w:r>
      <w:bookmarkEnd w:id="269"/>
    </w:p>
    <w:bookmarkStart w:id="270" w:name="_Toc34377292"/>
    <w:bookmarkEnd w:id="270"/>
    <w:bookmarkStart w:id="271" w:name="_MON_1644213056"/>
    <w:bookmarkEnd w:id="271"/>
    <w:p w14:paraId="161638BC" w14:textId="77777777" w:rsidR="009C63B3" w:rsidRPr="0008336A" w:rsidRDefault="009C63B3" w:rsidP="00BD1734">
      <w:pPr>
        <w:jc w:val="center"/>
      </w:pPr>
      <w:r w:rsidRPr="0008336A">
        <w:object w:dxaOrig="16455" w:dyaOrig="20968" w14:anchorId="2509AC20">
          <v:shape id="_x0000_i1051" type="#_x0000_t75" style="width:377.65pt;height:648.95pt" o:ole="">
            <v:imagedata r:id="rId73" o:title=""/>
          </v:shape>
          <o:OLEObject Type="Embed" ProgID="Excel.Sheet.12" ShapeID="_x0000_i1051" DrawAspect="Content" ObjectID="_1650187664" r:id="rId74"/>
        </w:object>
      </w:r>
      <w:r w:rsidRPr="0008336A">
        <w:br w:type="page"/>
      </w:r>
    </w:p>
    <w:p w14:paraId="6D8B4AF4" w14:textId="77777777" w:rsidR="009C63B3" w:rsidRPr="0008336A" w:rsidRDefault="009C63B3" w:rsidP="00BD1734">
      <w:pPr>
        <w:pStyle w:val="Annextitle"/>
      </w:pPr>
      <w:bookmarkStart w:id="272" w:name="_Toc34377293"/>
      <w:bookmarkStart w:id="273" w:name="_Toc39492982"/>
      <w:r w:rsidRPr="0008336A">
        <w:lastRenderedPageBreak/>
        <w:t>Annexe A − Attribution des ressources par produit pour 2021-2024</w:t>
      </w:r>
      <w:bookmarkEnd w:id="272"/>
      <w:bookmarkEnd w:id="273"/>
    </w:p>
    <w:bookmarkStart w:id="274" w:name="_Toc34377294"/>
    <w:bookmarkEnd w:id="274"/>
    <w:bookmarkStart w:id="275" w:name="_MON_1644213915"/>
    <w:bookmarkEnd w:id="275"/>
    <w:p w14:paraId="13C7577F" w14:textId="77777777" w:rsidR="009C63B3" w:rsidRPr="0008336A" w:rsidRDefault="009C63B3" w:rsidP="00BD1734">
      <w:pPr>
        <w:jc w:val="center"/>
      </w:pPr>
      <w:r w:rsidRPr="0008336A">
        <w:object w:dxaOrig="12555" w:dyaOrig="10635" w14:anchorId="7F1D05E3">
          <v:shape id="_x0000_i1052" type="#_x0000_t75" style="width:455.75pt;height:405.2pt" o:ole="">
            <v:imagedata r:id="rId75" o:title=""/>
          </v:shape>
          <o:OLEObject Type="Embed" ProgID="Excel.Sheet.12" ShapeID="_x0000_i1052" DrawAspect="Content" ObjectID="_1650187665" r:id="rId76"/>
        </w:object>
      </w:r>
    </w:p>
    <w:p w14:paraId="6174697E" w14:textId="77777777" w:rsidR="009C63B3" w:rsidRPr="0008336A" w:rsidRDefault="009C63B3" w:rsidP="00BD1734">
      <w:r w:rsidRPr="0008336A">
        <w:br w:type="page"/>
      </w:r>
    </w:p>
    <w:p w14:paraId="49FFF61E" w14:textId="77777777" w:rsidR="009C63B3" w:rsidRPr="0008336A" w:rsidRDefault="009C63B3" w:rsidP="00BD1734">
      <w:pPr>
        <w:pStyle w:val="Annextitle"/>
      </w:pPr>
      <w:bookmarkStart w:id="276" w:name="_Toc34377295"/>
      <w:bookmarkStart w:id="277" w:name="_Toc39492983"/>
      <w:r w:rsidRPr="0008336A">
        <w:lastRenderedPageBreak/>
        <w:t>Annexe A − Attribution des ressources par produit pour 2021-2024</w:t>
      </w:r>
      <w:bookmarkEnd w:id="276"/>
      <w:bookmarkEnd w:id="277"/>
    </w:p>
    <w:bookmarkStart w:id="278" w:name="_Toc34377296"/>
    <w:bookmarkEnd w:id="278"/>
    <w:bookmarkStart w:id="279" w:name="_MON_1644215427"/>
    <w:bookmarkEnd w:id="279"/>
    <w:p w14:paraId="7B91B396" w14:textId="77777777" w:rsidR="009C63B3" w:rsidRPr="0008336A" w:rsidRDefault="009C63B3" w:rsidP="00F50964">
      <w:r w:rsidRPr="0008336A">
        <w:object w:dxaOrig="14385" w:dyaOrig="13869" w14:anchorId="1777D37F">
          <v:shape id="_x0000_i1053" type="#_x0000_t75" style="width:465.35pt;height:543.65pt" o:ole="">
            <v:imagedata r:id="rId77" o:title=""/>
          </v:shape>
          <o:OLEObject Type="Embed" ProgID="Excel.Sheet.12" ShapeID="_x0000_i1053" DrawAspect="Content" ObjectID="_1650187666" r:id="rId78"/>
        </w:object>
      </w:r>
    </w:p>
    <w:p w14:paraId="1FA387C4" w14:textId="77777777" w:rsidR="009C63B3" w:rsidRPr="0008336A" w:rsidRDefault="009C63B3" w:rsidP="00BD1734">
      <w:r w:rsidRPr="0008336A">
        <w:br w:type="page"/>
      </w:r>
    </w:p>
    <w:p w14:paraId="5F9C30DC" w14:textId="77777777" w:rsidR="009C63B3" w:rsidRPr="0008336A" w:rsidRDefault="009C63B3" w:rsidP="00BD1734">
      <w:pPr>
        <w:pStyle w:val="Annextitle"/>
      </w:pPr>
      <w:bookmarkStart w:id="280" w:name="_Toc39492984"/>
      <w:r w:rsidRPr="0008336A">
        <w:lastRenderedPageBreak/>
        <w:t>Annexe A − Attribution des ressources par produit pour 2021-2024</w:t>
      </w:r>
      <w:bookmarkEnd w:id="280"/>
    </w:p>
    <w:bookmarkStart w:id="281" w:name="_MON_1644217321"/>
    <w:bookmarkEnd w:id="281"/>
    <w:p w14:paraId="060B4CC7" w14:textId="77777777" w:rsidR="009C63B3" w:rsidRPr="0008336A" w:rsidRDefault="009C63B3" w:rsidP="00BD1734">
      <w:pPr>
        <w:jc w:val="center"/>
      </w:pPr>
      <w:r w:rsidRPr="0008336A">
        <w:object w:dxaOrig="13351" w:dyaOrig="27255" w14:anchorId="6AF976B1">
          <v:shape id="_x0000_i1054" type="#_x0000_t75" style="width:384.5pt;height:659.55pt" o:ole="">
            <v:imagedata r:id="rId79" o:title=""/>
          </v:shape>
          <o:OLEObject Type="Embed" ProgID="Excel.Sheet.12" ShapeID="_x0000_i1054" DrawAspect="Content" ObjectID="_1650187667" r:id="rId80"/>
        </w:object>
      </w:r>
    </w:p>
    <w:p w14:paraId="7A8D347F" w14:textId="18065684" w:rsidR="009C63B3" w:rsidRPr="0008336A" w:rsidRDefault="009C63B3" w:rsidP="00BD1734">
      <w:pPr>
        <w:pStyle w:val="Annextitle"/>
        <w:spacing w:after="480"/>
      </w:pPr>
      <w:bookmarkStart w:id="282" w:name="_Toc7706749"/>
      <w:bookmarkStart w:id="283" w:name="_Toc39492985"/>
      <w:r w:rsidRPr="0008336A">
        <w:lastRenderedPageBreak/>
        <w:t>A</w:t>
      </w:r>
      <w:r w:rsidR="00F50964" w:rsidRPr="0008336A">
        <w:t>nnexe</w:t>
      </w:r>
      <w:r w:rsidRPr="0008336A">
        <w:t xml:space="preserve"> B − Attribution des ressources par Objectif </w:t>
      </w:r>
      <w:r w:rsidRPr="0008336A">
        <w:br/>
        <w:t>de développement durable (ODD)</w:t>
      </w:r>
      <w:bookmarkEnd w:id="282"/>
      <w:bookmarkEnd w:id="283"/>
    </w:p>
    <w:bookmarkStart w:id="284" w:name="_Toc34377298"/>
    <w:bookmarkEnd w:id="284"/>
    <w:bookmarkStart w:id="285" w:name="_MON_1644218420"/>
    <w:bookmarkEnd w:id="285"/>
    <w:p w14:paraId="1623F3E9" w14:textId="77777777" w:rsidR="009C63B3" w:rsidRPr="0008336A" w:rsidRDefault="009C63B3" w:rsidP="00F50964">
      <w:r w:rsidRPr="0008336A">
        <w:object w:dxaOrig="15398" w:dyaOrig="9417" w14:anchorId="7F4B500B">
          <v:shape id="_x0000_i1055" type="#_x0000_t75" style="width:508.15pt;height:311.25pt" o:ole="">
            <v:imagedata r:id="rId81" o:title=""/>
          </v:shape>
          <o:OLEObject Type="Embed" ProgID="Excel.Sheet.12" ShapeID="_x0000_i1055" DrawAspect="Content" ObjectID="_1650187668" r:id="rId82"/>
        </w:object>
      </w:r>
    </w:p>
    <w:p w14:paraId="68C2654A" w14:textId="152CA55A" w:rsidR="00BD1734" w:rsidRPr="0008336A" w:rsidRDefault="00BD1734" w:rsidP="00BD1734">
      <w:r w:rsidRPr="0008336A">
        <w:br w:type="page"/>
      </w:r>
    </w:p>
    <w:p w14:paraId="08337F8C" w14:textId="77777777" w:rsidR="00BD1734" w:rsidRPr="0008336A" w:rsidRDefault="00BD1734" w:rsidP="00BD1734">
      <w:pPr>
        <w:pStyle w:val="AnnexNo"/>
        <w:spacing w:before="120" w:after="240"/>
      </w:pPr>
      <w:bookmarkStart w:id="286" w:name="_Toc39492986"/>
      <w:r w:rsidRPr="0008336A">
        <w:lastRenderedPageBreak/>
        <w:t>Annexe C</w:t>
      </w:r>
      <w:bookmarkEnd w:id="286"/>
    </w:p>
    <w:p w14:paraId="3AB0D47C" w14:textId="77777777" w:rsidR="00BD1734" w:rsidRPr="0008336A" w:rsidRDefault="00BD1734" w:rsidP="00BD1734">
      <w:pPr>
        <w:pStyle w:val="ResNo"/>
        <w:spacing w:before="600"/>
        <w:rPr>
          <w:rFonts w:cs="Calibri"/>
          <w:szCs w:val="28"/>
        </w:rPr>
      </w:pPr>
      <w:r w:rsidRPr="0008336A">
        <w:rPr>
          <w:rFonts w:cs="Calibri"/>
          <w:szCs w:val="28"/>
        </w:rPr>
        <w:t>PROJET DE RÉSOLUTION</w:t>
      </w:r>
    </w:p>
    <w:p w14:paraId="2CD45C7C" w14:textId="77777777" w:rsidR="00BD1734" w:rsidRPr="0008336A" w:rsidRDefault="00BD1734" w:rsidP="00BD1734">
      <w:pPr>
        <w:pStyle w:val="Restitle"/>
      </w:pPr>
      <w:r w:rsidRPr="0008336A">
        <w:t>Plan opérationnel quadriennal glissant de l'Union pour la période 2021-2024</w:t>
      </w:r>
    </w:p>
    <w:p w14:paraId="69ECC6CE" w14:textId="77777777" w:rsidR="00BD1734" w:rsidRPr="0008336A" w:rsidRDefault="00BD1734" w:rsidP="00BD1734">
      <w:pPr>
        <w:pStyle w:val="Normalaftertitle"/>
        <w:jc w:val="both"/>
        <w:rPr>
          <w:rFonts w:cstheme="minorHAnsi"/>
          <w:szCs w:val="24"/>
        </w:rPr>
      </w:pPr>
      <w:r w:rsidRPr="0008336A">
        <w:rPr>
          <w:rFonts w:cstheme="minorHAnsi"/>
          <w:szCs w:val="24"/>
        </w:rPr>
        <w:t>Le Conseil,</w:t>
      </w:r>
    </w:p>
    <w:p w14:paraId="3B93AACC" w14:textId="77777777" w:rsidR="00BD1734" w:rsidRPr="0008336A" w:rsidRDefault="00BD1734" w:rsidP="00BD1734">
      <w:pPr>
        <w:pStyle w:val="Call"/>
      </w:pPr>
      <w:r w:rsidRPr="0008336A">
        <w:t>reconnaissant</w:t>
      </w:r>
    </w:p>
    <w:p w14:paraId="2B0C2568" w14:textId="77777777" w:rsidR="00BD1734" w:rsidRPr="0008336A" w:rsidRDefault="00BD1734" w:rsidP="00BD1734">
      <w:r w:rsidRPr="0008336A">
        <w:t>les dispositions des articles 5, 11A, 12, 14A, 15 et 18 de la Convention de l'UIT,</w:t>
      </w:r>
    </w:p>
    <w:p w14:paraId="0C03E3B2" w14:textId="77777777" w:rsidR="00BD1734" w:rsidRPr="0008336A" w:rsidRDefault="00BD1734" w:rsidP="00BD1734">
      <w:pPr>
        <w:pStyle w:val="Call"/>
      </w:pPr>
      <w:r w:rsidRPr="0008336A">
        <w:t>rappelant</w:t>
      </w:r>
    </w:p>
    <w:p w14:paraId="0C42E022" w14:textId="65509E54" w:rsidR="00BD1734" w:rsidRPr="0008336A" w:rsidRDefault="00BD1734" w:rsidP="00BD1734">
      <w:pPr>
        <w:rPr>
          <w:rFonts w:cstheme="minorHAnsi"/>
          <w:szCs w:val="24"/>
        </w:rPr>
      </w:pPr>
      <w:r w:rsidRPr="0008336A">
        <w:rPr>
          <w:rFonts w:cstheme="minorHAnsi"/>
          <w:szCs w:val="24"/>
        </w:rPr>
        <w:t xml:space="preserve">la Résolution 71 (Rév. Dubaï, 2018) de la Conférence de plénipotentiaires relative </w:t>
      </w:r>
      <w:proofErr w:type="gramStart"/>
      <w:r w:rsidRPr="0008336A">
        <w:rPr>
          <w:rFonts w:cstheme="minorHAnsi"/>
          <w:szCs w:val="24"/>
        </w:rPr>
        <w:t>au</w:t>
      </w:r>
      <w:proofErr w:type="gramEnd"/>
      <w:r w:rsidRPr="0008336A">
        <w:rPr>
          <w:rFonts w:cstheme="minorHAnsi"/>
          <w:szCs w:val="24"/>
        </w:rPr>
        <w:t xml:space="preserve"> Plan stratégique de l'Union pour la période 2020-2023 et la Résolution 151 (Rév. Dubaï, 2018) de la Conférence de plénipotentiaires concernant la mise en œuvre à l'UIT de la gestion axée sur les résultats,</w:t>
      </w:r>
    </w:p>
    <w:p w14:paraId="7C9D423A" w14:textId="77777777" w:rsidR="00BD1734" w:rsidRPr="0008336A" w:rsidRDefault="00BD1734" w:rsidP="00BD1734">
      <w:pPr>
        <w:pStyle w:val="Call"/>
      </w:pPr>
      <w:r w:rsidRPr="0008336A">
        <w:t>ayant considéré</w:t>
      </w:r>
    </w:p>
    <w:p w14:paraId="3802AF05" w14:textId="77777777" w:rsidR="00BD1734" w:rsidRPr="0008336A" w:rsidRDefault="00BD1734" w:rsidP="00BD1734">
      <w:r w:rsidRPr="0008336A">
        <w:t xml:space="preserve">le projet de Plan opérationnel quadriennal glissant de l'Union pour la période 2021-2024 </w:t>
      </w:r>
      <w:r w:rsidRPr="0008336A">
        <w:rPr>
          <w:rFonts w:cstheme="minorHAnsi"/>
          <w:szCs w:val="24"/>
        </w:rPr>
        <w:t>(Document </w:t>
      </w:r>
      <w:hyperlink r:id="rId83" w:history="1">
        <w:r w:rsidRPr="0008336A">
          <w:rPr>
            <w:rStyle w:val="Hyperlink"/>
            <w:rFonts w:cstheme="minorHAnsi"/>
            <w:szCs w:val="24"/>
          </w:rPr>
          <w:t>C20/28</w:t>
        </w:r>
      </w:hyperlink>
      <w:hyperlink r:id="rId84" w:history="1"/>
      <w:r w:rsidRPr="0008336A">
        <w:rPr>
          <w:rFonts w:cstheme="minorHAnsi"/>
          <w:szCs w:val="24"/>
        </w:rPr>
        <w:t>),</w:t>
      </w:r>
    </w:p>
    <w:p w14:paraId="5A0127B5" w14:textId="77777777" w:rsidR="00BD1734" w:rsidRPr="0008336A" w:rsidRDefault="00BD1734" w:rsidP="00BD1734">
      <w:pPr>
        <w:pStyle w:val="Call"/>
      </w:pPr>
      <w:r w:rsidRPr="0008336A">
        <w:t>ayant considéré en outre</w:t>
      </w:r>
    </w:p>
    <w:p w14:paraId="795D433C" w14:textId="77777777" w:rsidR="00BD1734" w:rsidRPr="0008336A" w:rsidRDefault="00BD1734" w:rsidP="00BD1734">
      <w:pPr>
        <w:rPr>
          <w:rFonts w:cstheme="minorHAnsi"/>
          <w:szCs w:val="24"/>
        </w:rPr>
      </w:pPr>
      <w:r w:rsidRPr="0008336A">
        <w:t>la nécessité pour le Secrétaire général et les Directeurs des Bureaux de disposer d'une certaine souplesse dans la mise en œuvre des éléments du Plan opérationnel quadriennal glissant dont ils sont respectivement responsables, afin de tenir compte des changements qui pourraient avoir lieu entre deux sessions du Conseil</w:t>
      </w:r>
      <w:r w:rsidRPr="0008336A">
        <w:rPr>
          <w:rFonts w:cstheme="minorHAnsi"/>
          <w:szCs w:val="24"/>
        </w:rPr>
        <w:t>,</w:t>
      </w:r>
    </w:p>
    <w:p w14:paraId="09E95800" w14:textId="77777777" w:rsidR="00BD1734" w:rsidRPr="0008336A" w:rsidRDefault="00BD1734" w:rsidP="00BD1734">
      <w:pPr>
        <w:pStyle w:val="Call"/>
      </w:pPr>
      <w:r w:rsidRPr="0008336A">
        <w:t>décide</w:t>
      </w:r>
    </w:p>
    <w:p w14:paraId="57E1AD93" w14:textId="77777777" w:rsidR="00BD1734" w:rsidRPr="0008336A" w:rsidRDefault="00BD1734" w:rsidP="00BD1734">
      <w:pPr>
        <w:rPr>
          <w:rFonts w:cstheme="minorHAnsi"/>
          <w:szCs w:val="24"/>
        </w:rPr>
      </w:pPr>
      <w:r w:rsidRPr="0008336A">
        <w:rPr>
          <w:rFonts w:cstheme="minorHAnsi"/>
          <w:szCs w:val="24"/>
        </w:rPr>
        <w:t>1</w:t>
      </w:r>
      <w:r w:rsidRPr="0008336A">
        <w:rPr>
          <w:rFonts w:cstheme="minorHAnsi"/>
          <w:szCs w:val="24"/>
        </w:rPr>
        <w:tab/>
        <w:t xml:space="preserve">d'approuver le Plan opérationnel quadriennal glissant de l'Union pour </w:t>
      </w:r>
      <w:r w:rsidRPr="0008336A">
        <w:t>la période </w:t>
      </w:r>
      <w:r w:rsidRPr="0008336A">
        <w:rPr>
          <w:rFonts w:cstheme="minorHAnsi"/>
          <w:szCs w:val="24"/>
        </w:rPr>
        <w:t>2021-</w:t>
      </w:r>
      <w:proofErr w:type="gramStart"/>
      <w:r w:rsidRPr="0008336A">
        <w:rPr>
          <w:rFonts w:cstheme="minorHAnsi"/>
          <w:szCs w:val="24"/>
        </w:rPr>
        <w:t>2024;</w:t>
      </w:r>
      <w:proofErr w:type="gramEnd"/>
      <w:r w:rsidRPr="0008336A">
        <w:rPr>
          <w:rFonts w:cstheme="minorHAnsi"/>
          <w:szCs w:val="24"/>
        </w:rPr>
        <w:t xml:space="preserve"> et</w:t>
      </w:r>
    </w:p>
    <w:p w14:paraId="07CCB560" w14:textId="77777777" w:rsidR="00BD1734" w:rsidRPr="0008336A" w:rsidRDefault="00BD1734" w:rsidP="00BD1734">
      <w:r w:rsidRPr="0008336A">
        <w:t>2</w:t>
      </w:r>
      <w:r w:rsidRPr="0008336A">
        <w:tab/>
        <w:t>d'octroyer au Secrétaire général et aux Directeurs des Bureaux la souplesse nécessaire dans la mise en œuvre des éléments du Plan opérationnel quadriennal glissant dont ils sont respectivement responsables pour la période 2021-2024.</w:t>
      </w:r>
    </w:p>
    <w:p w14:paraId="4573AAA9" w14:textId="77777777" w:rsidR="00BD1734" w:rsidRPr="0008336A" w:rsidRDefault="00BD1734" w:rsidP="00BD1734">
      <w:pPr>
        <w:spacing w:before="360"/>
        <w:jc w:val="center"/>
      </w:pPr>
      <w:r w:rsidRPr="0008336A">
        <w:t>______________</w:t>
      </w:r>
    </w:p>
    <w:sectPr w:rsidR="00BD1734" w:rsidRPr="0008336A" w:rsidSect="009C63B3">
      <w:pgSz w:w="11907" w:h="16834" w:code="9"/>
      <w:pgMar w:top="1418" w:right="1134" w:bottom="1418" w:left="1134"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279E4" w14:textId="77777777" w:rsidR="00E13D84" w:rsidRDefault="00E13D84">
      <w:r>
        <w:separator/>
      </w:r>
    </w:p>
  </w:endnote>
  <w:endnote w:type="continuationSeparator" w:id="0">
    <w:p w14:paraId="462808FE" w14:textId="77777777" w:rsidR="00E13D84" w:rsidRDefault="00E13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4A705" w14:textId="02682E50" w:rsidR="00E13D84" w:rsidRPr="00AA62D7" w:rsidRDefault="00E13D84" w:rsidP="00AA62D7">
    <w:pPr>
      <w:pStyle w:val="Footer"/>
    </w:pPr>
    <w:fldSimple w:instr=" FILENAME \p  \* MERGEFORMAT ">
      <w:r>
        <w:t>P:\FRA\SG\CONSEIL\C20\000\028F.docx</w:t>
      </w:r>
    </w:fldSimple>
    <w:r>
      <w:t xml:space="preserve"> (467335)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BFB0E" w14:textId="77777777" w:rsidR="00E13D84" w:rsidRDefault="00E13D84" w:rsidP="009B5008">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7A9AB" w14:textId="3B915E1A" w:rsidR="00E13D84" w:rsidRDefault="00E13D84" w:rsidP="00575D39">
    <w:pPr>
      <w:pStyle w:val="Footer"/>
    </w:pPr>
    <w:fldSimple w:instr=" FILENAME \p  \* MERGEFORMAT ">
      <w:r>
        <w:t>P:\FRA\SG\CONSEIL\C20\000\028F.docx</w:t>
      </w:r>
    </w:fldSimple>
    <w:r>
      <w:t xml:space="preserve"> (467335)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8DC05" w14:textId="77777777" w:rsidR="00E13D84" w:rsidRDefault="00E13D84">
      <w:r>
        <w:t>____________________</w:t>
      </w:r>
    </w:p>
  </w:footnote>
  <w:footnote w:type="continuationSeparator" w:id="0">
    <w:p w14:paraId="5A86F8A0" w14:textId="77777777" w:rsidR="00E13D84" w:rsidRDefault="00E13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2180758"/>
      <w:docPartObj>
        <w:docPartGallery w:val="Page Numbers (Top of Page)"/>
        <w:docPartUnique/>
      </w:docPartObj>
    </w:sdtPr>
    <w:sdtEndPr>
      <w:rPr>
        <w:noProof/>
      </w:rPr>
    </w:sdtEndPr>
    <w:sdtContent>
      <w:p w14:paraId="47C9BA3F" w14:textId="0EF201C2" w:rsidR="00E13D84" w:rsidRDefault="00E13D84">
        <w:pPr>
          <w:pStyle w:val="Header"/>
        </w:pPr>
        <w:r>
          <w:fldChar w:fldCharType="begin"/>
        </w:r>
        <w:r>
          <w:instrText xml:space="preserve"> PAGE   \* MERGEFORMAT </w:instrText>
        </w:r>
        <w:r>
          <w:fldChar w:fldCharType="separate"/>
        </w:r>
        <w:r>
          <w:rPr>
            <w:noProof/>
          </w:rPr>
          <w:t>2</w:t>
        </w:r>
        <w:r>
          <w:rPr>
            <w:noProof/>
          </w:rPr>
          <w:fldChar w:fldCharType="end"/>
        </w:r>
      </w:p>
    </w:sdtContent>
  </w:sdt>
  <w:p w14:paraId="4D8BD933" w14:textId="7782A43E" w:rsidR="00E13D84" w:rsidRPr="00477CEE" w:rsidRDefault="00E13D84" w:rsidP="00477CEE">
    <w:pPr>
      <w:pStyle w:val="Header"/>
    </w:pPr>
    <w:r>
      <w:t>C20/28-F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9915882"/>
      <w:docPartObj>
        <w:docPartGallery w:val="Page Numbers (Top of Page)"/>
        <w:docPartUnique/>
      </w:docPartObj>
    </w:sdtPr>
    <w:sdtEndPr>
      <w:rPr>
        <w:noProof/>
      </w:rPr>
    </w:sdtEndPr>
    <w:sdtContent>
      <w:p w14:paraId="5B7BA57F" w14:textId="77777777" w:rsidR="00E13D84" w:rsidRDefault="00E13D84">
        <w:pPr>
          <w:pStyle w:val="Header"/>
        </w:pPr>
        <w:r>
          <w:fldChar w:fldCharType="begin"/>
        </w:r>
        <w:r>
          <w:instrText xml:space="preserve"> PAGE   \* MERGEFORMAT </w:instrText>
        </w:r>
        <w:r>
          <w:fldChar w:fldCharType="separate"/>
        </w:r>
        <w:r>
          <w:rPr>
            <w:noProof/>
          </w:rPr>
          <w:t>2</w:t>
        </w:r>
        <w:r>
          <w:rPr>
            <w:noProof/>
          </w:rPr>
          <w:fldChar w:fldCharType="end"/>
        </w:r>
      </w:p>
    </w:sdtContent>
  </w:sdt>
  <w:p w14:paraId="3188D4C6" w14:textId="77777777" w:rsidR="00E13D84" w:rsidRPr="00477CEE" w:rsidRDefault="00E13D84" w:rsidP="00477CEE">
    <w:pPr>
      <w:pStyle w:val="Header"/>
    </w:pPr>
    <w:r>
      <w:t>C20/28-F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D10D7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0272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1C9F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A5E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54A2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2CC6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4222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54EB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1207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04DA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1" w15:restartNumberingAfterBreak="0">
    <w:nsid w:val="6C45523F"/>
    <w:multiLevelType w:val="hybridMultilevel"/>
    <w:tmpl w:val="213C437E"/>
    <w:lvl w:ilvl="0" w:tplc="B80E9A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embedSystemFonts/>
  <w:proofState w:spelling="clean" w:grammar="clean"/>
  <w:attachedTemplate r:id="rId1"/>
  <w:linkStyle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6A7"/>
    <w:rsid w:val="00002716"/>
    <w:rsid w:val="00005791"/>
    <w:rsid w:val="00010827"/>
    <w:rsid w:val="00015089"/>
    <w:rsid w:val="000229AB"/>
    <w:rsid w:val="00022C52"/>
    <w:rsid w:val="0002520B"/>
    <w:rsid w:val="00027862"/>
    <w:rsid w:val="00037A9E"/>
    <w:rsid w:val="00037F91"/>
    <w:rsid w:val="00050F68"/>
    <w:rsid w:val="00051011"/>
    <w:rsid w:val="000539F1"/>
    <w:rsid w:val="00054747"/>
    <w:rsid w:val="00055A2A"/>
    <w:rsid w:val="000615C1"/>
    <w:rsid w:val="00061675"/>
    <w:rsid w:val="00061EAE"/>
    <w:rsid w:val="000743AA"/>
    <w:rsid w:val="0008336A"/>
    <w:rsid w:val="0009225C"/>
    <w:rsid w:val="000A17C4"/>
    <w:rsid w:val="000A26F5"/>
    <w:rsid w:val="000A3110"/>
    <w:rsid w:val="000A36A4"/>
    <w:rsid w:val="000B009C"/>
    <w:rsid w:val="000B1EE1"/>
    <w:rsid w:val="000B2352"/>
    <w:rsid w:val="000C61E9"/>
    <w:rsid w:val="000C7B84"/>
    <w:rsid w:val="000D261B"/>
    <w:rsid w:val="000D58A3"/>
    <w:rsid w:val="000E032B"/>
    <w:rsid w:val="000E3ED4"/>
    <w:rsid w:val="000E3F9C"/>
    <w:rsid w:val="000F1550"/>
    <w:rsid w:val="000F251B"/>
    <w:rsid w:val="000F5FE8"/>
    <w:rsid w:val="000F6644"/>
    <w:rsid w:val="00100833"/>
    <w:rsid w:val="00102F72"/>
    <w:rsid w:val="00107E85"/>
    <w:rsid w:val="00113EE8"/>
    <w:rsid w:val="0011455A"/>
    <w:rsid w:val="00114A65"/>
    <w:rsid w:val="00121D9A"/>
    <w:rsid w:val="00133061"/>
    <w:rsid w:val="001348B2"/>
    <w:rsid w:val="00141699"/>
    <w:rsid w:val="0014690C"/>
    <w:rsid w:val="00147000"/>
    <w:rsid w:val="00156BF6"/>
    <w:rsid w:val="00163091"/>
    <w:rsid w:val="001645CB"/>
    <w:rsid w:val="00164D7A"/>
    <w:rsid w:val="00166305"/>
    <w:rsid w:val="00166DBC"/>
    <w:rsid w:val="00167545"/>
    <w:rsid w:val="001703C6"/>
    <w:rsid w:val="00173781"/>
    <w:rsid w:val="00175ADF"/>
    <w:rsid w:val="00175CAE"/>
    <w:rsid w:val="001828DB"/>
    <w:rsid w:val="001850FE"/>
    <w:rsid w:val="00185135"/>
    <w:rsid w:val="00185F9C"/>
    <w:rsid w:val="001867F9"/>
    <w:rsid w:val="0019037C"/>
    <w:rsid w:val="001905A9"/>
    <w:rsid w:val="00191273"/>
    <w:rsid w:val="001942A7"/>
    <w:rsid w:val="0019587B"/>
    <w:rsid w:val="001A163D"/>
    <w:rsid w:val="001A441E"/>
    <w:rsid w:val="001A6733"/>
    <w:rsid w:val="001B357F"/>
    <w:rsid w:val="001C1B0F"/>
    <w:rsid w:val="001C3444"/>
    <w:rsid w:val="001C3702"/>
    <w:rsid w:val="001C4656"/>
    <w:rsid w:val="001C46BC"/>
    <w:rsid w:val="001D3152"/>
    <w:rsid w:val="001F23E6"/>
    <w:rsid w:val="001F4238"/>
    <w:rsid w:val="00200A38"/>
    <w:rsid w:val="00200A46"/>
    <w:rsid w:val="0020195E"/>
    <w:rsid w:val="00211B6F"/>
    <w:rsid w:val="0021438F"/>
    <w:rsid w:val="00217CC3"/>
    <w:rsid w:val="00220AB6"/>
    <w:rsid w:val="0022120F"/>
    <w:rsid w:val="002221E0"/>
    <w:rsid w:val="0022754A"/>
    <w:rsid w:val="00236560"/>
    <w:rsid w:val="0023662E"/>
    <w:rsid w:val="00245D0F"/>
    <w:rsid w:val="00250CF7"/>
    <w:rsid w:val="002548C3"/>
    <w:rsid w:val="002566BD"/>
    <w:rsid w:val="002577C1"/>
    <w:rsid w:val="00257ACD"/>
    <w:rsid w:val="00262908"/>
    <w:rsid w:val="002650F4"/>
    <w:rsid w:val="0027037E"/>
    <w:rsid w:val="002715FD"/>
    <w:rsid w:val="002770B1"/>
    <w:rsid w:val="00284B94"/>
    <w:rsid w:val="00284DE0"/>
    <w:rsid w:val="00285B33"/>
    <w:rsid w:val="00287A3C"/>
    <w:rsid w:val="00297471"/>
    <w:rsid w:val="002A2FC6"/>
    <w:rsid w:val="002A7BE3"/>
    <w:rsid w:val="002C1EC7"/>
    <w:rsid w:val="002C4342"/>
    <w:rsid w:val="002C7EA3"/>
    <w:rsid w:val="002D20AE"/>
    <w:rsid w:val="002D6C61"/>
    <w:rsid w:val="002E2104"/>
    <w:rsid w:val="002E2DAC"/>
    <w:rsid w:val="002E6963"/>
    <w:rsid w:val="002E6F8F"/>
    <w:rsid w:val="002F05D8"/>
    <w:rsid w:val="002F0682"/>
    <w:rsid w:val="002F2DE0"/>
    <w:rsid w:val="002F5E25"/>
    <w:rsid w:val="00302C7F"/>
    <w:rsid w:val="0030353C"/>
    <w:rsid w:val="00304CD5"/>
    <w:rsid w:val="003125C3"/>
    <w:rsid w:val="00312AE6"/>
    <w:rsid w:val="00317D1A"/>
    <w:rsid w:val="003211FF"/>
    <w:rsid w:val="00323587"/>
    <w:rsid w:val="00327247"/>
    <w:rsid w:val="00327A9D"/>
    <w:rsid w:val="0033130E"/>
    <w:rsid w:val="0033269C"/>
    <w:rsid w:val="00332EA2"/>
    <w:rsid w:val="003364C7"/>
    <w:rsid w:val="00343F9C"/>
    <w:rsid w:val="0035443C"/>
    <w:rsid w:val="0035516C"/>
    <w:rsid w:val="00355A4C"/>
    <w:rsid w:val="00355E48"/>
    <w:rsid w:val="003604FB"/>
    <w:rsid w:val="00360B73"/>
    <w:rsid w:val="00371955"/>
    <w:rsid w:val="00373846"/>
    <w:rsid w:val="00380B71"/>
    <w:rsid w:val="0038365A"/>
    <w:rsid w:val="00386A89"/>
    <w:rsid w:val="00392ACA"/>
    <w:rsid w:val="00393BFA"/>
    <w:rsid w:val="0039648E"/>
    <w:rsid w:val="003A052E"/>
    <w:rsid w:val="003A37E1"/>
    <w:rsid w:val="003A5AFE"/>
    <w:rsid w:val="003A5D5F"/>
    <w:rsid w:val="003A7FFE"/>
    <w:rsid w:val="003B0A63"/>
    <w:rsid w:val="003B2881"/>
    <w:rsid w:val="003B50E1"/>
    <w:rsid w:val="003B576E"/>
    <w:rsid w:val="003B6425"/>
    <w:rsid w:val="003C1746"/>
    <w:rsid w:val="003C1FD2"/>
    <w:rsid w:val="003C2AA9"/>
    <w:rsid w:val="003C5123"/>
    <w:rsid w:val="003C58BF"/>
    <w:rsid w:val="003D451D"/>
    <w:rsid w:val="003D5585"/>
    <w:rsid w:val="003E773C"/>
    <w:rsid w:val="003F2DD8"/>
    <w:rsid w:val="003F3F2D"/>
    <w:rsid w:val="003F50B2"/>
    <w:rsid w:val="003F7F42"/>
    <w:rsid w:val="00400CCF"/>
    <w:rsid w:val="00401BFF"/>
    <w:rsid w:val="00404424"/>
    <w:rsid w:val="0041156B"/>
    <w:rsid w:val="004122C5"/>
    <w:rsid w:val="00413B78"/>
    <w:rsid w:val="00416C0C"/>
    <w:rsid w:val="00416DDE"/>
    <w:rsid w:val="0044411E"/>
    <w:rsid w:val="00453435"/>
    <w:rsid w:val="00457136"/>
    <w:rsid w:val="00466398"/>
    <w:rsid w:val="0047306D"/>
    <w:rsid w:val="00473791"/>
    <w:rsid w:val="004743BE"/>
    <w:rsid w:val="00476E48"/>
    <w:rsid w:val="00477CEE"/>
    <w:rsid w:val="00481DE9"/>
    <w:rsid w:val="0049128B"/>
    <w:rsid w:val="00493B49"/>
    <w:rsid w:val="00495501"/>
    <w:rsid w:val="004A070A"/>
    <w:rsid w:val="004A0FDB"/>
    <w:rsid w:val="004A320E"/>
    <w:rsid w:val="004A4E9C"/>
    <w:rsid w:val="004B1A3C"/>
    <w:rsid w:val="004C06A7"/>
    <w:rsid w:val="004D2CC3"/>
    <w:rsid w:val="004D35CB"/>
    <w:rsid w:val="004E20E5"/>
    <w:rsid w:val="004E64EA"/>
    <w:rsid w:val="004E7828"/>
    <w:rsid w:val="004F2271"/>
    <w:rsid w:val="004F46AA"/>
    <w:rsid w:val="004F6A70"/>
    <w:rsid w:val="00500AD7"/>
    <w:rsid w:val="00502ABF"/>
    <w:rsid w:val="00504DB0"/>
    <w:rsid w:val="00507C35"/>
    <w:rsid w:val="00510735"/>
    <w:rsid w:val="00514D2F"/>
    <w:rsid w:val="0051547A"/>
    <w:rsid w:val="00520D85"/>
    <w:rsid w:val="00526883"/>
    <w:rsid w:val="005325E3"/>
    <w:rsid w:val="00532E8F"/>
    <w:rsid w:val="0054420E"/>
    <w:rsid w:val="00544D1B"/>
    <w:rsid w:val="00545DC0"/>
    <w:rsid w:val="00545F6C"/>
    <w:rsid w:val="005477D9"/>
    <w:rsid w:val="00554859"/>
    <w:rsid w:val="0055720C"/>
    <w:rsid w:val="005632DD"/>
    <w:rsid w:val="0056423B"/>
    <w:rsid w:val="00571853"/>
    <w:rsid w:val="00573424"/>
    <w:rsid w:val="0057402F"/>
    <w:rsid w:val="005749AB"/>
    <w:rsid w:val="00575452"/>
    <w:rsid w:val="00575D39"/>
    <w:rsid w:val="005849D6"/>
    <w:rsid w:val="00585367"/>
    <w:rsid w:val="005871A1"/>
    <w:rsid w:val="0058737E"/>
    <w:rsid w:val="00592518"/>
    <w:rsid w:val="00592E87"/>
    <w:rsid w:val="00594C4D"/>
    <w:rsid w:val="005A33B0"/>
    <w:rsid w:val="005B24D9"/>
    <w:rsid w:val="005C0EF6"/>
    <w:rsid w:val="005C1AF9"/>
    <w:rsid w:val="005C2DC2"/>
    <w:rsid w:val="005C304A"/>
    <w:rsid w:val="005C3D69"/>
    <w:rsid w:val="005C7C98"/>
    <w:rsid w:val="005D55A4"/>
    <w:rsid w:val="005D57C8"/>
    <w:rsid w:val="005D7761"/>
    <w:rsid w:val="005E0278"/>
    <w:rsid w:val="005E090D"/>
    <w:rsid w:val="005E2E0A"/>
    <w:rsid w:val="005E3CA0"/>
    <w:rsid w:val="005E44B1"/>
    <w:rsid w:val="005E67B0"/>
    <w:rsid w:val="005E7047"/>
    <w:rsid w:val="005E777F"/>
    <w:rsid w:val="005F1CA7"/>
    <w:rsid w:val="005F43DD"/>
    <w:rsid w:val="005F51A9"/>
    <w:rsid w:val="005F688E"/>
    <w:rsid w:val="005F6BE1"/>
    <w:rsid w:val="005F7416"/>
    <w:rsid w:val="00600C11"/>
    <w:rsid w:val="00606B89"/>
    <w:rsid w:val="00611EAF"/>
    <w:rsid w:val="00617C33"/>
    <w:rsid w:val="00623F30"/>
    <w:rsid w:val="00625FB8"/>
    <w:rsid w:val="006261BD"/>
    <w:rsid w:val="00635EDB"/>
    <w:rsid w:val="0064734E"/>
    <w:rsid w:val="00650137"/>
    <w:rsid w:val="006509D7"/>
    <w:rsid w:val="006515DC"/>
    <w:rsid w:val="00651CE8"/>
    <w:rsid w:val="00654541"/>
    <w:rsid w:val="0065521B"/>
    <w:rsid w:val="00671EF6"/>
    <w:rsid w:val="0067205B"/>
    <w:rsid w:val="006748F8"/>
    <w:rsid w:val="00680489"/>
    <w:rsid w:val="00680DF8"/>
    <w:rsid w:val="00683C32"/>
    <w:rsid w:val="00690BB2"/>
    <w:rsid w:val="00693D09"/>
    <w:rsid w:val="006A6549"/>
    <w:rsid w:val="006A7710"/>
    <w:rsid w:val="006A7A61"/>
    <w:rsid w:val="006B1E59"/>
    <w:rsid w:val="006B2FFB"/>
    <w:rsid w:val="006B7478"/>
    <w:rsid w:val="006C10A2"/>
    <w:rsid w:val="006C1F18"/>
    <w:rsid w:val="006C3537"/>
    <w:rsid w:val="006D40D5"/>
    <w:rsid w:val="006E6B2B"/>
    <w:rsid w:val="006F009A"/>
    <w:rsid w:val="006F3D93"/>
    <w:rsid w:val="007019B1"/>
    <w:rsid w:val="00713324"/>
    <w:rsid w:val="007173AF"/>
    <w:rsid w:val="00721657"/>
    <w:rsid w:val="007279A8"/>
    <w:rsid w:val="00727B1A"/>
    <w:rsid w:val="00733656"/>
    <w:rsid w:val="00735C36"/>
    <w:rsid w:val="00737CC2"/>
    <w:rsid w:val="00741337"/>
    <w:rsid w:val="007474BC"/>
    <w:rsid w:val="00752258"/>
    <w:rsid w:val="007529E1"/>
    <w:rsid w:val="00762880"/>
    <w:rsid w:val="00762AD6"/>
    <w:rsid w:val="00762E02"/>
    <w:rsid w:val="00767B68"/>
    <w:rsid w:val="00772290"/>
    <w:rsid w:val="007744EB"/>
    <w:rsid w:val="00777265"/>
    <w:rsid w:val="007805E7"/>
    <w:rsid w:val="0078113B"/>
    <w:rsid w:val="0078222A"/>
    <w:rsid w:val="00787D48"/>
    <w:rsid w:val="00795294"/>
    <w:rsid w:val="007952E8"/>
    <w:rsid w:val="0079797D"/>
    <w:rsid w:val="007A4E50"/>
    <w:rsid w:val="007B18A7"/>
    <w:rsid w:val="007B250E"/>
    <w:rsid w:val="007B299E"/>
    <w:rsid w:val="007B7CF2"/>
    <w:rsid w:val="007C27FC"/>
    <w:rsid w:val="007C4FDB"/>
    <w:rsid w:val="007C51FF"/>
    <w:rsid w:val="007D200C"/>
    <w:rsid w:val="007D50E4"/>
    <w:rsid w:val="007F1CC7"/>
    <w:rsid w:val="008027AC"/>
    <w:rsid w:val="008028CE"/>
    <w:rsid w:val="0080332E"/>
    <w:rsid w:val="008141E0"/>
    <w:rsid w:val="00814B10"/>
    <w:rsid w:val="00816EE1"/>
    <w:rsid w:val="00816F88"/>
    <w:rsid w:val="00822323"/>
    <w:rsid w:val="00827BC6"/>
    <w:rsid w:val="008300AD"/>
    <w:rsid w:val="00833024"/>
    <w:rsid w:val="00836BDB"/>
    <w:rsid w:val="008419B1"/>
    <w:rsid w:val="00844A56"/>
    <w:rsid w:val="00845B11"/>
    <w:rsid w:val="00851060"/>
    <w:rsid w:val="00852081"/>
    <w:rsid w:val="00853C5C"/>
    <w:rsid w:val="00861D25"/>
    <w:rsid w:val="00872B6E"/>
    <w:rsid w:val="00874DFD"/>
    <w:rsid w:val="00877137"/>
    <w:rsid w:val="008802F9"/>
    <w:rsid w:val="00883086"/>
    <w:rsid w:val="008879FD"/>
    <w:rsid w:val="00894C37"/>
    <w:rsid w:val="008A00EA"/>
    <w:rsid w:val="008A1C49"/>
    <w:rsid w:val="008A3F93"/>
    <w:rsid w:val="008A6236"/>
    <w:rsid w:val="008A6E1C"/>
    <w:rsid w:val="008A72FD"/>
    <w:rsid w:val="008B2EDF"/>
    <w:rsid w:val="008B54CB"/>
    <w:rsid w:val="008B5A3D"/>
    <w:rsid w:val="008C2897"/>
    <w:rsid w:val="008C4010"/>
    <w:rsid w:val="008C4FDF"/>
    <w:rsid w:val="008C6B1F"/>
    <w:rsid w:val="008D5E4F"/>
    <w:rsid w:val="008F14F5"/>
    <w:rsid w:val="008F20EB"/>
    <w:rsid w:val="008F71C1"/>
    <w:rsid w:val="00902D41"/>
    <w:rsid w:val="00902F49"/>
    <w:rsid w:val="00914004"/>
    <w:rsid w:val="0092088B"/>
    <w:rsid w:val="00922EC1"/>
    <w:rsid w:val="00926B4D"/>
    <w:rsid w:val="009301F1"/>
    <w:rsid w:val="009307DF"/>
    <w:rsid w:val="0093094E"/>
    <w:rsid w:val="00930B18"/>
    <w:rsid w:val="0093347F"/>
    <w:rsid w:val="009359B8"/>
    <w:rsid w:val="00935FF0"/>
    <w:rsid w:val="009431F8"/>
    <w:rsid w:val="00947A35"/>
    <w:rsid w:val="00962081"/>
    <w:rsid w:val="00966CB5"/>
    <w:rsid w:val="00975786"/>
    <w:rsid w:val="00977127"/>
    <w:rsid w:val="00981CB7"/>
    <w:rsid w:val="00983E1F"/>
    <w:rsid w:val="00984929"/>
    <w:rsid w:val="0098571D"/>
    <w:rsid w:val="00986D50"/>
    <w:rsid w:val="00993F46"/>
    <w:rsid w:val="00997358"/>
    <w:rsid w:val="009A452B"/>
    <w:rsid w:val="009A511F"/>
    <w:rsid w:val="009B050C"/>
    <w:rsid w:val="009B087F"/>
    <w:rsid w:val="009B2974"/>
    <w:rsid w:val="009B2AF4"/>
    <w:rsid w:val="009B5008"/>
    <w:rsid w:val="009C110B"/>
    <w:rsid w:val="009C1620"/>
    <w:rsid w:val="009C5441"/>
    <w:rsid w:val="009C63B3"/>
    <w:rsid w:val="009D119F"/>
    <w:rsid w:val="009D49A2"/>
    <w:rsid w:val="009E2E4A"/>
    <w:rsid w:val="009E53AC"/>
    <w:rsid w:val="009F3940"/>
    <w:rsid w:val="009F39F2"/>
    <w:rsid w:val="009F3EB2"/>
    <w:rsid w:val="009F6EB1"/>
    <w:rsid w:val="00A11D05"/>
    <w:rsid w:val="00A13162"/>
    <w:rsid w:val="00A20267"/>
    <w:rsid w:val="00A27056"/>
    <w:rsid w:val="00A3158C"/>
    <w:rsid w:val="00A32DF3"/>
    <w:rsid w:val="00A33E32"/>
    <w:rsid w:val="00A35E20"/>
    <w:rsid w:val="00A36F6D"/>
    <w:rsid w:val="00A41031"/>
    <w:rsid w:val="00A454E1"/>
    <w:rsid w:val="00A45A32"/>
    <w:rsid w:val="00A50CA0"/>
    <w:rsid w:val="00A525CC"/>
    <w:rsid w:val="00A53E7C"/>
    <w:rsid w:val="00A60087"/>
    <w:rsid w:val="00A705E8"/>
    <w:rsid w:val="00A721F4"/>
    <w:rsid w:val="00A817EC"/>
    <w:rsid w:val="00A9392C"/>
    <w:rsid w:val="00A9462B"/>
    <w:rsid w:val="00A97D59"/>
    <w:rsid w:val="00AA0133"/>
    <w:rsid w:val="00AA3E09"/>
    <w:rsid w:val="00AA4BEF"/>
    <w:rsid w:val="00AA62D7"/>
    <w:rsid w:val="00AB1659"/>
    <w:rsid w:val="00AB4962"/>
    <w:rsid w:val="00AB734E"/>
    <w:rsid w:val="00AB740F"/>
    <w:rsid w:val="00AC6F14"/>
    <w:rsid w:val="00AC7221"/>
    <w:rsid w:val="00AD144A"/>
    <w:rsid w:val="00AE3B80"/>
    <w:rsid w:val="00AE3BAB"/>
    <w:rsid w:val="00AE5961"/>
    <w:rsid w:val="00AF0745"/>
    <w:rsid w:val="00AF4971"/>
    <w:rsid w:val="00AF5276"/>
    <w:rsid w:val="00AF7C86"/>
    <w:rsid w:val="00B01046"/>
    <w:rsid w:val="00B11CB7"/>
    <w:rsid w:val="00B15596"/>
    <w:rsid w:val="00B310F9"/>
    <w:rsid w:val="00B37866"/>
    <w:rsid w:val="00B412FB"/>
    <w:rsid w:val="00B415BD"/>
    <w:rsid w:val="00B4576B"/>
    <w:rsid w:val="00B46350"/>
    <w:rsid w:val="00B46DF3"/>
    <w:rsid w:val="00B533E9"/>
    <w:rsid w:val="00B535ED"/>
    <w:rsid w:val="00B66E8F"/>
    <w:rsid w:val="00B80157"/>
    <w:rsid w:val="00B83D5E"/>
    <w:rsid w:val="00B8460A"/>
    <w:rsid w:val="00B84BF1"/>
    <w:rsid w:val="00B8650D"/>
    <w:rsid w:val="00B879B4"/>
    <w:rsid w:val="00B90F07"/>
    <w:rsid w:val="00B97BB9"/>
    <w:rsid w:val="00BA0009"/>
    <w:rsid w:val="00BB1863"/>
    <w:rsid w:val="00BB25EE"/>
    <w:rsid w:val="00BB363A"/>
    <w:rsid w:val="00BC10A0"/>
    <w:rsid w:val="00BC7BA2"/>
    <w:rsid w:val="00BD1734"/>
    <w:rsid w:val="00BD426B"/>
    <w:rsid w:val="00BD79F0"/>
    <w:rsid w:val="00BE2B4D"/>
    <w:rsid w:val="00BF644D"/>
    <w:rsid w:val="00C0112B"/>
    <w:rsid w:val="00C015F8"/>
    <w:rsid w:val="00C03E83"/>
    <w:rsid w:val="00C07E26"/>
    <w:rsid w:val="00C1011C"/>
    <w:rsid w:val="00C12F94"/>
    <w:rsid w:val="00C177C5"/>
    <w:rsid w:val="00C212A4"/>
    <w:rsid w:val="00C31764"/>
    <w:rsid w:val="00C34EC3"/>
    <w:rsid w:val="00C4038C"/>
    <w:rsid w:val="00C42BA2"/>
    <w:rsid w:val="00C44066"/>
    <w:rsid w:val="00C44E13"/>
    <w:rsid w:val="00C60A41"/>
    <w:rsid w:val="00C62DE8"/>
    <w:rsid w:val="00C62DFB"/>
    <w:rsid w:val="00C630E6"/>
    <w:rsid w:val="00C63812"/>
    <w:rsid w:val="00C64AF3"/>
    <w:rsid w:val="00C65261"/>
    <w:rsid w:val="00C66F4D"/>
    <w:rsid w:val="00C67BB5"/>
    <w:rsid w:val="00C72713"/>
    <w:rsid w:val="00C81D91"/>
    <w:rsid w:val="00C843AA"/>
    <w:rsid w:val="00C848EF"/>
    <w:rsid w:val="00C857B3"/>
    <w:rsid w:val="00C86600"/>
    <w:rsid w:val="00C87BCA"/>
    <w:rsid w:val="00C87EED"/>
    <w:rsid w:val="00C94506"/>
    <w:rsid w:val="00C954BC"/>
    <w:rsid w:val="00CA1F0B"/>
    <w:rsid w:val="00CB110F"/>
    <w:rsid w:val="00CB2A2E"/>
    <w:rsid w:val="00CB338A"/>
    <w:rsid w:val="00CB79C5"/>
    <w:rsid w:val="00CC411F"/>
    <w:rsid w:val="00CC4B75"/>
    <w:rsid w:val="00CC732E"/>
    <w:rsid w:val="00CD2FCD"/>
    <w:rsid w:val="00CD6A08"/>
    <w:rsid w:val="00CD7207"/>
    <w:rsid w:val="00CE0DBE"/>
    <w:rsid w:val="00CE5E4D"/>
    <w:rsid w:val="00CF02C4"/>
    <w:rsid w:val="00CF167F"/>
    <w:rsid w:val="00CF72E5"/>
    <w:rsid w:val="00D013EE"/>
    <w:rsid w:val="00D01F54"/>
    <w:rsid w:val="00D040F7"/>
    <w:rsid w:val="00D04A76"/>
    <w:rsid w:val="00D10FC7"/>
    <w:rsid w:val="00D126A6"/>
    <w:rsid w:val="00D1519F"/>
    <w:rsid w:val="00D20E99"/>
    <w:rsid w:val="00D21C83"/>
    <w:rsid w:val="00D324EB"/>
    <w:rsid w:val="00D33BC8"/>
    <w:rsid w:val="00D33C75"/>
    <w:rsid w:val="00D35BDD"/>
    <w:rsid w:val="00D471A2"/>
    <w:rsid w:val="00D5468D"/>
    <w:rsid w:val="00D63006"/>
    <w:rsid w:val="00D72301"/>
    <w:rsid w:val="00D87E6C"/>
    <w:rsid w:val="00D90E76"/>
    <w:rsid w:val="00D911DE"/>
    <w:rsid w:val="00D91B97"/>
    <w:rsid w:val="00D93ACC"/>
    <w:rsid w:val="00D93C08"/>
    <w:rsid w:val="00D95DAC"/>
    <w:rsid w:val="00DA0B53"/>
    <w:rsid w:val="00DB1171"/>
    <w:rsid w:val="00DB1519"/>
    <w:rsid w:val="00DB2840"/>
    <w:rsid w:val="00DC1BD3"/>
    <w:rsid w:val="00DC2C1A"/>
    <w:rsid w:val="00DD66B4"/>
    <w:rsid w:val="00DE1484"/>
    <w:rsid w:val="00DE1972"/>
    <w:rsid w:val="00DE27AB"/>
    <w:rsid w:val="00DF2AB3"/>
    <w:rsid w:val="00DF7250"/>
    <w:rsid w:val="00E00C8B"/>
    <w:rsid w:val="00E00CAA"/>
    <w:rsid w:val="00E03EBF"/>
    <w:rsid w:val="00E05209"/>
    <w:rsid w:val="00E0596C"/>
    <w:rsid w:val="00E11BCF"/>
    <w:rsid w:val="00E13D84"/>
    <w:rsid w:val="00E2258E"/>
    <w:rsid w:val="00E232A5"/>
    <w:rsid w:val="00E260C2"/>
    <w:rsid w:val="00E32596"/>
    <w:rsid w:val="00E34FCA"/>
    <w:rsid w:val="00E368F7"/>
    <w:rsid w:val="00E36EB8"/>
    <w:rsid w:val="00E37FB8"/>
    <w:rsid w:val="00E40B07"/>
    <w:rsid w:val="00E42326"/>
    <w:rsid w:val="00E43544"/>
    <w:rsid w:val="00E435B8"/>
    <w:rsid w:val="00E44D89"/>
    <w:rsid w:val="00E477EA"/>
    <w:rsid w:val="00E51CA0"/>
    <w:rsid w:val="00E55807"/>
    <w:rsid w:val="00E5733F"/>
    <w:rsid w:val="00E63B14"/>
    <w:rsid w:val="00E65CA0"/>
    <w:rsid w:val="00E6770F"/>
    <w:rsid w:val="00E70D9F"/>
    <w:rsid w:val="00E74360"/>
    <w:rsid w:val="00E83810"/>
    <w:rsid w:val="00E840F9"/>
    <w:rsid w:val="00E86307"/>
    <w:rsid w:val="00E86933"/>
    <w:rsid w:val="00E9208A"/>
    <w:rsid w:val="00E9605B"/>
    <w:rsid w:val="00E97298"/>
    <w:rsid w:val="00E97753"/>
    <w:rsid w:val="00EA7DE7"/>
    <w:rsid w:val="00EB22C5"/>
    <w:rsid w:val="00EB3EC1"/>
    <w:rsid w:val="00EB44C7"/>
    <w:rsid w:val="00EB7196"/>
    <w:rsid w:val="00EB7A8A"/>
    <w:rsid w:val="00EC4C63"/>
    <w:rsid w:val="00EE05E1"/>
    <w:rsid w:val="00EE3A64"/>
    <w:rsid w:val="00EE50E5"/>
    <w:rsid w:val="00EF01CF"/>
    <w:rsid w:val="00EF3528"/>
    <w:rsid w:val="00EF77D5"/>
    <w:rsid w:val="00F03590"/>
    <w:rsid w:val="00F03622"/>
    <w:rsid w:val="00F07330"/>
    <w:rsid w:val="00F077FD"/>
    <w:rsid w:val="00F1094D"/>
    <w:rsid w:val="00F204F3"/>
    <w:rsid w:val="00F218AB"/>
    <w:rsid w:val="00F238B3"/>
    <w:rsid w:val="00F24FED"/>
    <w:rsid w:val="00F25586"/>
    <w:rsid w:val="00F2651D"/>
    <w:rsid w:val="00F27362"/>
    <w:rsid w:val="00F31498"/>
    <w:rsid w:val="00F32FEF"/>
    <w:rsid w:val="00F415A5"/>
    <w:rsid w:val="00F41B1C"/>
    <w:rsid w:val="00F42E13"/>
    <w:rsid w:val="00F42F1C"/>
    <w:rsid w:val="00F43B44"/>
    <w:rsid w:val="00F440E5"/>
    <w:rsid w:val="00F448F6"/>
    <w:rsid w:val="00F50964"/>
    <w:rsid w:val="00F52741"/>
    <w:rsid w:val="00F53D8A"/>
    <w:rsid w:val="00F626F7"/>
    <w:rsid w:val="00F65A0B"/>
    <w:rsid w:val="00F67DB8"/>
    <w:rsid w:val="00F736F9"/>
    <w:rsid w:val="00F73833"/>
    <w:rsid w:val="00F877E6"/>
    <w:rsid w:val="00F9211C"/>
    <w:rsid w:val="00FA095D"/>
    <w:rsid w:val="00FA6C8B"/>
    <w:rsid w:val="00FA7C89"/>
    <w:rsid w:val="00FB3E99"/>
    <w:rsid w:val="00FB4139"/>
    <w:rsid w:val="00FB476E"/>
    <w:rsid w:val="00FC0D90"/>
    <w:rsid w:val="00FC5835"/>
    <w:rsid w:val="00FC7D8C"/>
    <w:rsid w:val="00FD20E3"/>
    <w:rsid w:val="00FD3980"/>
    <w:rsid w:val="00FD431E"/>
    <w:rsid w:val="00FD5A2C"/>
    <w:rsid w:val="00FE0D47"/>
    <w:rsid w:val="00FE1D5C"/>
    <w:rsid w:val="00FE2F8B"/>
    <w:rsid w:val="00FE3669"/>
    <w:rsid w:val="00FE5204"/>
    <w:rsid w:val="00FF287F"/>
    <w:rsid w:val="00FF564D"/>
    <w:rsid w:val="00FF69D8"/>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45864FE"/>
  <w15:docId w15:val="{3879F2CE-277B-4F3A-AFB6-1AFA6D52A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7CE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477CEE"/>
    <w:pPr>
      <w:keepNext/>
      <w:keepLines/>
      <w:spacing w:before="480"/>
      <w:ind w:left="567" w:hanging="567"/>
      <w:outlineLvl w:val="0"/>
    </w:pPr>
    <w:rPr>
      <w:b/>
      <w:sz w:val="28"/>
    </w:rPr>
  </w:style>
  <w:style w:type="paragraph" w:styleId="Heading2">
    <w:name w:val="heading 2"/>
    <w:basedOn w:val="Heading1"/>
    <w:next w:val="Normal"/>
    <w:link w:val="Heading2Char"/>
    <w:qFormat/>
    <w:rsid w:val="00477CEE"/>
    <w:pPr>
      <w:spacing w:before="320"/>
      <w:outlineLvl w:val="1"/>
    </w:pPr>
    <w:rPr>
      <w:sz w:val="24"/>
    </w:rPr>
  </w:style>
  <w:style w:type="paragraph" w:styleId="Heading3">
    <w:name w:val="heading 3"/>
    <w:basedOn w:val="Heading1"/>
    <w:next w:val="Normal"/>
    <w:link w:val="Heading3Char"/>
    <w:qFormat/>
    <w:rsid w:val="00477CEE"/>
    <w:pPr>
      <w:spacing w:before="200"/>
      <w:outlineLvl w:val="2"/>
    </w:pPr>
    <w:rPr>
      <w:sz w:val="24"/>
    </w:rPr>
  </w:style>
  <w:style w:type="paragraph" w:styleId="Heading4">
    <w:name w:val="heading 4"/>
    <w:basedOn w:val="Heading3"/>
    <w:next w:val="Normal"/>
    <w:link w:val="Heading4Char"/>
    <w:qFormat/>
    <w:rsid w:val="00477CEE"/>
    <w:pPr>
      <w:ind w:left="1134" w:hanging="1134"/>
      <w:outlineLvl w:val="3"/>
    </w:pPr>
  </w:style>
  <w:style w:type="paragraph" w:styleId="Heading5">
    <w:name w:val="heading 5"/>
    <w:basedOn w:val="Heading4"/>
    <w:next w:val="Normal"/>
    <w:link w:val="Heading5Char"/>
    <w:qFormat/>
    <w:rsid w:val="00477CEE"/>
    <w:pPr>
      <w:outlineLvl w:val="4"/>
    </w:pPr>
  </w:style>
  <w:style w:type="paragraph" w:styleId="Heading6">
    <w:name w:val="heading 6"/>
    <w:basedOn w:val="Heading4"/>
    <w:next w:val="Normal"/>
    <w:link w:val="Heading6Char"/>
    <w:qFormat/>
    <w:rsid w:val="00477CEE"/>
    <w:pPr>
      <w:outlineLvl w:val="5"/>
    </w:pPr>
  </w:style>
  <w:style w:type="paragraph" w:styleId="Heading7">
    <w:name w:val="heading 7"/>
    <w:basedOn w:val="Heading4"/>
    <w:next w:val="Normal"/>
    <w:link w:val="Heading7Char"/>
    <w:qFormat/>
    <w:rsid w:val="00477CEE"/>
    <w:pPr>
      <w:ind w:left="1701" w:hanging="1701"/>
      <w:outlineLvl w:val="6"/>
    </w:pPr>
  </w:style>
  <w:style w:type="paragraph" w:styleId="Heading8">
    <w:name w:val="heading 8"/>
    <w:basedOn w:val="Heading4"/>
    <w:next w:val="Normal"/>
    <w:link w:val="Heading8Char"/>
    <w:qFormat/>
    <w:rsid w:val="00477CEE"/>
    <w:pPr>
      <w:ind w:left="1701" w:hanging="1701"/>
      <w:outlineLvl w:val="7"/>
    </w:pPr>
  </w:style>
  <w:style w:type="paragraph" w:styleId="Heading9">
    <w:name w:val="heading 9"/>
    <w:basedOn w:val="Heading4"/>
    <w:next w:val="Normal"/>
    <w:link w:val="Heading9Char"/>
    <w:qFormat/>
    <w:rsid w:val="00477CE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477CE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477CE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477CE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477CE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477CE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477CE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477CE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477CE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77CEE"/>
    <w:pPr>
      <w:ind w:left="1698"/>
    </w:pPr>
  </w:style>
  <w:style w:type="paragraph" w:styleId="Index6">
    <w:name w:val="index 6"/>
    <w:basedOn w:val="Normal"/>
    <w:next w:val="Normal"/>
    <w:rsid w:val="00477CEE"/>
    <w:pPr>
      <w:ind w:left="1415"/>
    </w:pPr>
  </w:style>
  <w:style w:type="paragraph" w:styleId="Index5">
    <w:name w:val="index 5"/>
    <w:basedOn w:val="Normal"/>
    <w:next w:val="Normal"/>
    <w:rsid w:val="00477CEE"/>
    <w:pPr>
      <w:ind w:left="1132"/>
    </w:pPr>
  </w:style>
  <w:style w:type="paragraph" w:styleId="Index4">
    <w:name w:val="index 4"/>
    <w:basedOn w:val="Normal"/>
    <w:next w:val="Normal"/>
    <w:rsid w:val="00477CEE"/>
    <w:pPr>
      <w:ind w:left="849"/>
    </w:pPr>
  </w:style>
  <w:style w:type="paragraph" w:styleId="Index3">
    <w:name w:val="index 3"/>
    <w:basedOn w:val="Normal"/>
    <w:next w:val="Normal"/>
    <w:rsid w:val="00477CEE"/>
    <w:pPr>
      <w:ind w:left="566"/>
    </w:pPr>
  </w:style>
  <w:style w:type="paragraph" w:styleId="Index2">
    <w:name w:val="index 2"/>
    <w:basedOn w:val="Normal"/>
    <w:next w:val="Normal"/>
    <w:rsid w:val="00477CEE"/>
    <w:pPr>
      <w:ind w:left="283"/>
    </w:pPr>
  </w:style>
  <w:style w:type="paragraph" w:styleId="Index1">
    <w:name w:val="index 1"/>
    <w:basedOn w:val="Normal"/>
    <w:next w:val="Normal"/>
    <w:rsid w:val="00477CEE"/>
  </w:style>
  <w:style w:type="character" w:styleId="LineNumber">
    <w:name w:val="line number"/>
    <w:basedOn w:val="DefaultParagraphFont"/>
    <w:rsid w:val="00477CEE"/>
  </w:style>
  <w:style w:type="paragraph" w:styleId="IndexHeading">
    <w:name w:val="index heading"/>
    <w:basedOn w:val="Normal"/>
    <w:next w:val="Index1"/>
    <w:rsid w:val="00477CEE"/>
  </w:style>
  <w:style w:type="paragraph" w:styleId="Footer">
    <w:name w:val="footer"/>
    <w:basedOn w:val="Normal"/>
    <w:link w:val="FooterChar"/>
    <w:rsid w:val="00477CE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477CE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477CEE"/>
    <w:rPr>
      <w:rFonts w:ascii="Calibri" w:hAnsi="Calibri"/>
      <w:position w:val="6"/>
      <w:sz w:val="16"/>
    </w:rPr>
  </w:style>
  <w:style w:type="paragraph" w:styleId="FootnoteText">
    <w:name w:val="footnote text"/>
    <w:basedOn w:val="Normal"/>
    <w:link w:val="FootnoteTextChar"/>
    <w:rsid w:val="00477CEE"/>
    <w:pPr>
      <w:keepLines/>
      <w:tabs>
        <w:tab w:val="left" w:pos="256"/>
      </w:tabs>
      <w:ind w:left="256" w:hanging="256"/>
    </w:pPr>
  </w:style>
  <w:style w:type="paragraph" w:styleId="NormalIndent">
    <w:name w:val="Normal Indent"/>
    <w:basedOn w:val="Normal"/>
    <w:rsid w:val="00477CEE"/>
    <w:pPr>
      <w:ind w:left="567"/>
    </w:pPr>
  </w:style>
  <w:style w:type="paragraph" w:customStyle="1" w:styleId="enumlev1">
    <w:name w:val="enumlev1"/>
    <w:basedOn w:val="Normal"/>
    <w:rsid w:val="00477CEE"/>
    <w:pPr>
      <w:spacing w:before="86"/>
      <w:ind w:left="567" w:hanging="567"/>
    </w:pPr>
  </w:style>
  <w:style w:type="paragraph" w:customStyle="1" w:styleId="enumlev2">
    <w:name w:val="enumlev2"/>
    <w:basedOn w:val="enumlev1"/>
    <w:rsid w:val="00477CEE"/>
    <w:pPr>
      <w:ind w:left="1134"/>
    </w:pPr>
  </w:style>
  <w:style w:type="paragraph" w:customStyle="1" w:styleId="enumlev3">
    <w:name w:val="enumlev3"/>
    <w:basedOn w:val="enumlev2"/>
    <w:rsid w:val="00477CEE"/>
    <w:pPr>
      <w:ind w:left="1701"/>
    </w:pPr>
  </w:style>
  <w:style w:type="paragraph" w:customStyle="1" w:styleId="Normalaftertitle">
    <w:name w:val="Normal after title"/>
    <w:basedOn w:val="Normal"/>
    <w:next w:val="Normal"/>
    <w:link w:val="NormalaftertitleChar"/>
    <w:rsid w:val="00477CEE"/>
    <w:pPr>
      <w:spacing w:before="240"/>
    </w:pPr>
  </w:style>
  <w:style w:type="paragraph" w:customStyle="1" w:styleId="Equation">
    <w:name w:val="Equation"/>
    <w:basedOn w:val="Normal"/>
    <w:rsid w:val="00477CEE"/>
    <w:pPr>
      <w:tabs>
        <w:tab w:val="center" w:pos="4820"/>
        <w:tab w:val="right" w:pos="9639"/>
      </w:tabs>
    </w:pPr>
  </w:style>
  <w:style w:type="paragraph" w:customStyle="1" w:styleId="toc0">
    <w:name w:val="toc 0"/>
    <w:basedOn w:val="Normal"/>
    <w:next w:val="TOC1"/>
    <w:rsid w:val="00477CEE"/>
    <w:pPr>
      <w:tabs>
        <w:tab w:val="clear" w:pos="567"/>
        <w:tab w:val="clear" w:pos="1134"/>
        <w:tab w:val="clear" w:pos="1701"/>
        <w:tab w:val="clear" w:pos="2268"/>
        <w:tab w:val="clear" w:pos="2835"/>
        <w:tab w:val="right" w:pos="9781"/>
      </w:tabs>
    </w:pPr>
    <w:rPr>
      <w:b/>
    </w:rPr>
  </w:style>
  <w:style w:type="paragraph" w:customStyle="1" w:styleId="AnnexNo">
    <w:name w:val="Annex_No"/>
    <w:basedOn w:val="Normal"/>
    <w:next w:val="Annexref"/>
    <w:rsid w:val="00477CEE"/>
    <w:pPr>
      <w:spacing w:before="720"/>
      <w:jc w:val="center"/>
    </w:pPr>
    <w:rPr>
      <w:caps/>
      <w:sz w:val="28"/>
    </w:rPr>
  </w:style>
  <w:style w:type="paragraph" w:customStyle="1" w:styleId="ASN1">
    <w:name w:val="ASN.1"/>
    <w:basedOn w:val="Normal"/>
    <w:rsid w:val="00B37866"/>
    <w:pPr>
      <w:tabs>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477CEE"/>
    <w:pPr>
      <w:spacing w:before="80"/>
    </w:pPr>
  </w:style>
  <w:style w:type="paragraph" w:styleId="TOC9">
    <w:name w:val="toc 9"/>
    <w:basedOn w:val="Normal"/>
    <w:next w:val="Normal"/>
    <w:uiPriority w:val="39"/>
    <w:rsid w:val="00477CEE"/>
    <w:pPr>
      <w:tabs>
        <w:tab w:val="clear" w:pos="567"/>
        <w:tab w:val="clear" w:pos="1134"/>
        <w:tab w:val="clear" w:pos="1701"/>
        <w:tab w:val="clear" w:pos="2268"/>
        <w:tab w:val="clear" w:pos="2835"/>
        <w:tab w:val="right" w:leader="dot" w:pos="9645"/>
      </w:tabs>
      <w:ind w:left="1920"/>
    </w:pPr>
  </w:style>
  <w:style w:type="paragraph" w:customStyle="1" w:styleId="Source">
    <w:name w:val="Source"/>
    <w:basedOn w:val="Normal"/>
    <w:next w:val="Title1"/>
    <w:rsid w:val="00477CEE"/>
    <w:pPr>
      <w:spacing w:before="840"/>
      <w:jc w:val="center"/>
    </w:pPr>
    <w:rPr>
      <w:b/>
      <w:sz w:val="28"/>
    </w:rPr>
  </w:style>
  <w:style w:type="paragraph" w:customStyle="1" w:styleId="Title1">
    <w:name w:val="Title 1"/>
    <w:basedOn w:val="Source"/>
    <w:next w:val="Title2"/>
    <w:rsid w:val="00477CEE"/>
    <w:pPr>
      <w:spacing w:before="240"/>
    </w:pPr>
    <w:rPr>
      <w:b w:val="0"/>
      <w:caps/>
    </w:rPr>
  </w:style>
  <w:style w:type="paragraph" w:customStyle="1" w:styleId="Title2">
    <w:name w:val="Title 2"/>
    <w:basedOn w:val="Source"/>
    <w:next w:val="Title3"/>
    <w:rsid w:val="00477CEE"/>
    <w:pPr>
      <w:spacing w:before="240"/>
    </w:pPr>
    <w:rPr>
      <w:b w:val="0"/>
      <w:caps/>
    </w:rPr>
  </w:style>
  <w:style w:type="paragraph" w:customStyle="1" w:styleId="Title3">
    <w:name w:val="Title 3"/>
    <w:basedOn w:val="Title2"/>
    <w:next w:val="Normalaftertitle"/>
    <w:rsid w:val="00477CEE"/>
    <w:rPr>
      <w:caps w:val="0"/>
    </w:rPr>
  </w:style>
  <w:style w:type="paragraph" w:customStyle="1" w:styleId="Title4">
    <w:name w:val="Title 4"/>
    <w:basedOn w:val="Title3"/>
    <w:next w:val="Heading1"/>
    <w:rsid w:val="00477CEE"/>
    <w:rPr>
      <w:b/>
    </w:rPr>
  </w:style>
  <w:style w:type="paragraph" w:customStyle="1" w:styleId="FirstFooter">
    <w:name w:val="FirstFooter"/>
    <w:basedOn w:val="Footer"/>
    <w:rsid w:val="00477CEE"/>
    <w:rPr>
      <w:caps w:val="0"/>
    </w:rPr>
  </w:style>
  <w:style w:type="paragraph" w:customStyle="1" w:styleId="Annexref">
    <w:name w:val="Annex_ref"/>
    <w:basedOn w:val="Normal"/>
    <w:next w:val="Annextitle"/>
    <w:rsid w:val="00477CEE"/>
    <w:pPr>
      <w:jc w:val="center"/>
    </w:pPr>
    <w:rPr>
      <w:sz w:val="28"/>
    </w:rPr>
  </w:style>
  <w:style w:type="paragraph" w:customStyle="1" w:styleId="Annextitle">
    <w:name w:val="Annex_title"/>
    <w:basedOn w:val="Normal"/>
    <w:next w:val="Normal"/>
    <w:rsid w:val="00477CEE"/>
    <w:pPr>
      <w:spacing w:before="240" w:after="24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ppendixref"/>
    <w:rsid w:val="00477CEE"/>
  </w:style>
  <w:style w:type="paragraph" w:customStyle="1" w:styleId="Appendixref">
    <w:name w:val="Appendix_ref"/>
    <w:basedOn w:val="Annexref"/>
    <w:next w:val="Appendixtitle"/>
    <w:rsid w:val="00477CEE"/>
  </w:style>
  <w:style w:type="paragraph" w:customStyle="1" w:styleId="Appendixtitle">
    <w:name w:val="Appendix_title"/>
    <w:basedOn w:val="Annextitle"/>
    <w:next w:val="Normal"/>
    <w:rsid w:val="00477CEE"/>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477CE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477CE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477CEE"/>
    <w:pPr>
      <w:tabs>
        <w:tab w:val="clear" w:pos="567"/>
        <w:tab w:val="clear" w:pos="1134"/>
        <w:tab w:val="clear" w:pos="1701"/>
        <w:tab w:val="clear" w:pos="2268"/>
        <w:tab w:val="clear" w:pos="2835"/>
      </w:tabs>
      <w:spacing w:before="240" w:after="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477CEE"/>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477CEE"/>
  </w:style>
  <w:style w:type="paragraph" w:customStyle="1" w:styleId="Chaptitle">
    <w:name w:val="Chap_title"/>
    <w:basedOn w:val="Arttitle"/>
    <w:next w:val="Normal"/>
    <w:rsid w:val="00477CEE"/>
  </w:style>
  <w:style w:type="paragraph" w:customStyle="1" w:styleId="ddate">
    <w:name w:val="ddate"/>
    <w:basedOn w:val="Normal"/>
    <w:rsid w:val="00477CEE"/>
    <w:pPr>
      <w:framePr w:hSpace="181" w:wrap="notBeside" w:vAnchor="page" w:hAnchor="margin" w:x="1" w:y="852"/>
      <w:shd w:val="solid" w:color="FFFFFF" w:fill="FFFFFF"/>
      <w:tabs>
        <w:tab w:val="left" w:pos="1871"/>
      </w:tabs>
      <w:spacing w:before="0"/>
    </w:pPr>
    <w:rPr>
      <w:b/>
      <w:bCs/>
    </w:rPr>
  </w:style>
  <w:style w:type="paragraph" w:customStyle="1" w:styleId="dnum">
    <w:name w:val="dnum"/>
    <w:basedOn w:val="Normal"/>
    <w:rsid w:val="00477CEE"/>
    <w:pPr>
      <w:framePr w:hSpace="181" w:wrap="notBeside" w:vAnchor="page" w:hAnchor="margin" w:x="1" w:y="852"/>
      <w:shd w:val="solid" w:color="FFFFFF" w:fill="FFFFFF"/>
      <w:tabs>
        <w:tab w:val="left" w:pos="1871"/>
      </w:tabs>
    </w:pPr>
    <w:rPr>
      <w:b/>
      <w:bCs/>
    </w:rPr>
  </w:style>
  <w:style w:type="paragraph" w:customStyle="1" w:styleId="dorlang">
    <w:name w:val="dorlang"/>
    <w:basedOn w:val="Normal"/>
    <w:rsid w:val="00477CEE"/>
    <w:pPr>
      <w:framePr w:hSpace="181" w:wrap="notBeside" w:vAnchor="page" w:hAnchor="margin" w:x="1" w:y="852"/>
      <w:shd w:val="solid" w:color="FFFFFF" w:fill="FFFFFF"/>
      <w:tabs>
        <w:tab w:val="left" w:pos="1871"/>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Indent"/>
    <w:rsid w:val="00477CEE"/>
    <w:pPr>
      <w:tabs>
        <w:tab w:val="right" w:pos="1531"/>
      </w:tabs>
      <w:spacing w:before="80"/>
      <w:ind w:left="1701" w:hanging="1701"/>
    </w:pPr>
  </w:style>
  <w:style w:type="paragraph" w:customStyle="1" w:styleId="Figurelegend">
    <w:name w:val="Figure_legend"/>
    <w:basedOn w:val="Normal"/>
    <w:rsid w:val="00477CEE"/>
    <w:pPr>
      <w:keepNext/>
      <w:keepLines/>
      <w:spacing w:before="20" w:after="20"/>
    </w:pPr>
    <w:rPr>
      <w:sz w:val="18"/>
    </w:rPr>
  </w:style>
  <w:style w:type="paragraph" w:customStyle="1" w:styleId="FigureNo">
    <w:name w:val="Figure_No"/>
    <w:basedOn w:val="Normal"/>
    <w:next w:val="Figuretitle"/>
    <w:rsid w:val="00477CEE"/>
    <w:pPr>
      <w:keepNext/>
      <w:keepLines/>
      <w:spacing w:before="240" w:after="120"/>
      <w:jc w:val="center"/>
    </w:pPr>
    <w:rPr>
      <w:caps/>
    </w:rPr>
  </w:style>
  <w:style w:type="paragraph" w:customStyle="1" w:styleId="Figuretitle">
    <w:name w:val="Figure_title"/>
    <w:basedOn w:val="Tabletitle"/>
    <w:next w:val="Normalaftertitle"/>
    <w:rsid w:val="00477CEE"/>
    <w:pPr>
      <w:spacing w:before="240" w:after="480"/>
    </w:pPr>
  </w:style>
  <w:style w:type="paragraph" w:customStyle="1" w:styleId="Tabletitle">
    <w:name w:val="Table_title"/>
    <w:basedOn w:val="TableNo"/>
    <w:next w:val="Tabletext"/>
    <w:rsid w:val="00477CE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text">
    <w:name w:val="Table_text"/>
    <w:basedOn w:val="Normal"/>
    <w:link w:val="TabletextChar"/>
    <w:rsid w:val="00477CEE"/>
    <w:pPr>
      <w:tabs>
        <w:tab w:val="clear" w:pos="567"/>
        <w:tab w:val="clear" w:pos="1134"/>
        <w:tab w:val="clear" w:pos="1701"/>
        <w:tab w:val="clear" w:pos="2268"/>
        <w:tab w:val="clear" w:pos="2835"/>
      </w:tabs>
      <w:spacing w:before="60" w:after="60"/>
    </w:pPr>
    <w:rPr>
      <w:sz w:val="22"/>
    </w:rPr>
  </w:style>
  <w:style w:type="paragraph" w:customStyle="1" w:styleId="Figurewithouttitle">
    <w:name w:val="Figure_without_title"/>
    <w:basedOn w:val="Figure"/>
    <w:next w:val="Normalaftertitle"/>
    <w:rsid w:val="00477CEE"/>
    <w:pPr>
      <w:keepNext w:val="0"/>
      <w:spacing w:after="240"/>
    </w:pPr>
  </w:style>
  <w:style w:type="paragraph" w:customStyle="1" w:styleId="Headingb">
    <w:name w:val="Heading_b"/>
    <w:basedOn w:val="Heading3"/>
    <w:next w:val="Normal"/>
    <w:rsid w:val="00477CEE"/>
    <w:pPr>
      <w:spacing w:before="160"/>
      <w:outlineLvl w:val="0"/>
    </w:pPr>
  </w:style>
  <w:style w:type="paragraph" w:customStyle="1" w:styleId="Headingi">
    <w:name w:val="Heading_i"/>
    <w:basedOn w:val="Heading3"/>
    <w:next w:val="Normal"/>
    <w:rsid w:val="00477CEE"/>
    <w:pPr>
      <w:spacing w:before="160"/>
      <w:outlineLvl w:val="0"/>
    </w:pPr>
    <w:rPr>
      <w:b w:val="0"/>
      <w:i/>
    </w:rPr>
  </w:style>
  <w:style w:type="paragraph" w:customStyle="1" w:styleId="PartNo">
    <w:name w:val="Part_No"/>
    <w:basedOn w:val="AnnexNo"/>
    <w:next w:val="Parttitle"/>
    <w:rsid w:val="00477CEE"/>
  </w:style>
  <w:style w:type="paragraph" w:customStyle="1" w:styleId="Partref">
    <w:name w:val="Part_ref"/>
    <w:basedOn w:val="Annexref"/>
    <w:next w:val="Normalaftertitle"/>
    <w:rsid w:val="00477CEE"/>
  </w:style>
  <w:style w:type="paragraph" w:customStyle="1" w:styleId="Parttitle">
    <w:name w:val="Part_title"/>
    <w:basedOn w:val="Annextitle"/>
    <w:next w:val="Partref"/>
    <w:rsid w:val="00477CEE"/>
  </w:style>
  <w:style w:type="paragraph" w:customStyle="1" w:styleId="RecNo">
    <w:name w:val="Rec_No"/>
    <w:basedOn w:val="Normal"/>
    <w:next w:val="Rectitle"/>
    <w:rsid w:val="00477CEE"/>
    <w:pPr>
      <w:spacing w:before="720"/>
      <w:jc w:val="center"/>
    </w:pPr>
    <w:rPr>
      <w:caps/>
      <w:sz w:val="28"/>
    </w:rPr>
  </w:style>
  <w:style w:type="paragraph" w:customStyle="1" w:styleId="Rectitle">
    <w:name w:val="Rec_title"/>
    <w:basedOn w:val="Normal"/>
    <w:next w:val="Heading1"/>
    <w:rsid w:val="00477CEE"/>
    <w:pPr>
      <w:spacing w:before="240"/>
      <w:jc w:val="center"/>
    </w:pPr>
    <w:rPr>
      <w:b/>
      <w:sz w:val="28"/>
    </w:rPr>
  </w:style>
  <w:style w:type="paragraph" w:customStyle="1" w:styleId="Recref">
    <w:name w:val="Rec_ref"/>
    <w:basedOn w:val="Rectitle"/>
    <w:next w:val="Recdate"/>
    <w:rsid w:val="00477CEE"/>
    <w:pPr>
      <w:spacing w:before="120"/>
    </w:pPr>
    <w:rPr>
      <w:rFonts w:ascii="Times New Roman" w:hAnsi="Times New Roman"/>
      <w:b w:val="0"/>
      <w:sz w:val="24"/>
    </w:rPr>
  </w:style>
  <w:style w:type="paragraph" w:customStyle="1" w:styleId="Recdate">
    <w:name w:val="Rec_date"/>
    <w:basedOn w:val="Recref"/>
    <w:next w:val="Normalaftertitle"/>
    <w:rsid w:val="00477CEE"/>
    <w:pPr>
      <w:jc w:val="right"/>
    </w:pPr>
    <w:rPr>
      <w:sz w:val="22"/>
    </w:rPr>
  </w:style>
  <w:style w:type="paragraph" w:customStyle="1" w:styleId="Questiondate">
    <w:name w:val="Question_date"/>
    <w:basedOn w:val="Recdate"/>
    <w:next w:val="Normalaftertitle"/>
    <w:rsid w:val="00477CEE"/>
  </w:style>
  <w:style w:type="paragraph" w:customStyle="1" w:styleId="QuestionNo">
    <w:name w:val="Question_No"/>
    <w:basedOn w:val="RecNo"/>
    <w:next w:val="Questiontitle"/>
    <w:rsid w:val="00477CEE"/>
  </w:style>
  <w:style w:type="paragraph" w:customStyle="1" w:styleId="Questiontitle">
    <w:name w:val="Question_title"/>
    <w:basedOn w:val="Rectitle"/>
    <w:next w:val="Questionref"/>
    <w:rsid w:val="00477CEE"/>
  </w:style>
  <w:style w:type="paragraph" w:customStyle="1" w:styleId="Questionref">
    <w:name w:val="Question_ref"/>
    <w:basedOn w:val="Recref"/>
    <w:next w:val="Questiondate"/>
    <w:rsid w:val="00477CEE"/>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477CEE"/>
    <w:pPr>
      <w:ind w:left="567" w:hanging="567"/>
    </w:pPr>
  </w:style>
  <w:style w:type="paragraph" w:customStyle="1" w:styleId="Reftitle">
    <w:name w:val="Ref_title"/>
    <w:basedOn w:val="Normal"/>
    <w:next w:val="Reftext"/>
    <w:rsid w:val="00477CEE"/>
    <w:pPr>
      <w:spacing w:before="480"/>
      <w:jc w:val="center"/>
    </w:pPr>
    <w:rPr>
      <w:caps/>
      <w:sz w:val="28"/>
    </w:rPr>
  </w:style>
  <w:style w:type="paragraph" w:customStyle="1" w:styleId="Repdate">
    <w:name w:val="Rep_date"/>
    <w:basedOn w:val="Recdate"/>
    <w:next w:val="Normalaftertitle"/>
    <w:rsid w:val="00477CEE"/>
  </w:style>
  <w:style w:type="paragraph" w:customStyle="1" w:styleId="RepNo">
    <w:name w:val="Rep_No"/>
    <w:basedOn w:val="RecNo"/>
    <w:next w:val="Reptitle"/>
    <w:rsid w:val="00477CEE"/>
  </w:style>
  <w:style w:type="paragraph" w:customStyle="1" w:styleId="Reptitle">
    <w:name w:val="Rep_title"/>
    <w:basedOn w:val="Rectitle"/>
    <w:next w:val="Repref"/>
    <w:rsid w:val="00477CEE"/>
  </w:style>
  <w:style w:type="paragraph" w:customStyle="1" w:styleId="Repref">
    <w:name w:val="Rep_ref"/>
    <w:basedOn w:val="Recref"/>
    <w:next w:val="Repdate"/>
    <w:rsid w:val="00477CEE"/>
  </w:style>
  <w:style w:type="paragraph" w:customStyle="1" w:styleId="Resdate">
    <w:name w:val="Res_date"/>
    <w:basedOn w:val="Recdate"/>
    <w:next w:val="Normalaftertitle"/>
    <w:rsid w:val="00477CEE"/>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AnnexNo"/>
    <w:next w:val="Restitle"/>
    <w:rsid w:val="00477CEE"/>
  </w:style>
  <w:style w:type="paragraph" w:customStyle="1" w:styleId="Restitle">
    <w:name w:val="Res_title"/>
    <w:basedOn w:val="Annextitle"/>
    <w:next w:val="Normal"/>
    <w:link w:val="RestitleChar"/>
    <w:rsid w:val="00477CEE"/>
  </w:style>
  <w:style w:type="paragraph" w:customStyle="1" w:styleId="Resref">
    <w:name w:val="Res_ref"/>
    <w:basedOn w:val="Recref"/>
    <w:next w:val="Resdate"/>
    <w:rsid w:val="00477CEE"/>
  </w:style>
  <w:style w:type="paragraph" w:customStyle="1" w:styleId="SectionNo">
    <w:name w:val="Section_No"/>
    <w:basedOn w:val="AnnexNo"/>
    <w:next w:val="Sectiontitle"/>
    <w:rsid w:val="00477CEE"/>
  </w:style>
  <w:style w:type="paragraph" w:customStyle="1" w:styleId="Sectiontitle">
    <w:name w:val="Section_title"/>
    <w:basedOn w:val="Normal"/>
    <w:next w:val="Normalaftertitle"/>
    <w:rsid w:val="00477CEE"/>
    <w:rPr>
      <w:sz w:val="28"/>
    </w:rPr>
  </w:style>
  <w:style w:type="paragraph" w:customStyle="1" w:styleId="SpecialFooter">
    <w:name w:val="Special Footer"/>
    <w:basedOn w:val="Footer"/>
    <w:rsid w:val="00477CEE"/>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rsid w:val="00477CEE"/>
    <w:pPr>
      <w:spacing w:before="120" w:after="120"/>
      <w:jc w:val="center"/>
    </w:pPr>
    <w:rPr>
      <w:b/>
    </w:rPr>
  </w:style>
  <w:style w:type="paragraph" w:customStyle="1" w:styleId="Tablelegend">
    <w:name w:val="Table_legend"/>
    <w:basedOn w:val="Tabletext"/>
    <w:rsid w:val="00477CEE"/>
    <w:pPr>
      <w:spacing w:before="120"/>
    </w:pPr>
  </w:style>
  <w:style w:type="paragraph" w:customStyle="1" w:styleId="TableNo">
    <w:name w:val="Table_No"/>
    <w:basedOn w:val="Normal"/>
    <w:next w:val="Tabletitle"/>
    <w:rsid w:val="00477CEE"/>
    <w:pPr>
      <w:keepNext/>
      <w:spacing w:before="560" w:after="120"/>
      <w:jc w:val="center"/>
    </w:pPr>
    <w:rPr>
      <w:caps/>
    </w:rPr>
  </w:style>
  <w:style w:type="paragraph" w:customStyle="1" w:styleId="Tableref">
    <w:name w:val="Table_ref"/>
    <w:basedOn w:val="Normal"/>
    <w:next w:val="Tabletitle"/>
    <w:rsid w:val="00477CEE"/>
    <w:pPr>
      <w:keepNext/>
      <w:spacing w:before="567"/>
      <w:jc w:val="center"/>
    </w:pPr>
  </w:style>
  <w:style w:type="character" w:styleId="PageNumber">
    <w:name w:val="page number"/>
    <w:basedOn w:val="DefaultParagraphFont"/>
    <w:rsid w:val="00477CEE"/>
    <w:rPr>
      <w:rFonts w:ascii="Calibri" w:hAnsi="Calibri"/>
    </w:rPr>
  </w:style>
  <w:style w:type="character" w:customStyle="1" w:styleId="HeaderChar">
    <w:name w:val="Header Char"/>
    <w:basedOn w:val="DefaultParagraphFont"/>
    <w:link w:val="Header"/>
    <w:uiPriority w:val="99"/>
    <w:rsid w:val="00005791"/>
    <w:rPr>
      <w:rFonts w:ascii="Calibri" w:hAnsi="Calibri"/>
      <w:sz w:val="18"/>
      <w:lang w:val="fr-FR" w:eastAsia="en-US"/>
    </w:rPr>
  </w:style>
  <w:style w:type="character" w:customStyle="1" w:styleId="FooterChar">
    <w:name w:val="Footer Char"/>
    <w:basedOn w:val="DefaultParagraphFont"/>
    <w:link w:val="Footer"/>
    <w:rsid w:val="0056423B"/>
    <w:rPr>
      <w:rFonts w:ascii="Calibri" w:hAnsi="Calibri"/>
      <w:caps/>
      <w:noProof/>
      <w:sz w:val="16"/>
      <w:lang w:val="fr-FR" w:eastAsia="en-US"/>
    </w:rPr>
  </w:style>
  <w:style w:type="table" w:styleId="TableGrid">
    <w:name w:val="Table Grid"/>
    <w:basedOn w:val="TableNormal"/>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basedOn w:val="DefaultParagraphFont"/>
    <w:uiPriority w:val="99"/>
    <w:rsid w:val="00477CEE"/>
    <w:rPr>
      <w:color w:val="0000FF"/>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left" w:pos="1871"/>
      </w:tabs>
      <w:ind w:left="720"/>
      <w:contextualSpacing/>
    </w:pPr>
  </w:style>
  <w:style w:type="paragraph" w:customStyle="1" w:styleId="AppArtNo">
    <w:name w:val="App_Art_No"/>
    <w:basedOn w:val="ArtNo"/>
    <w:qFormat/>
    <w:rsid w:val="00A50CA0"/>
    <w:pPr>
      <w:tabs>
        <w:tab w:val="left" w:pos="1134"/>
        <w:tab w:val="left" w:pos="1871"/>
        <w:tab w:val="left" w:pos="2268"/>
      </w:tabs>
    </w:pPr>
  </w:style>
  <w:style w:type="paragraph" w:customStyle="1" w:styleId="AppArttitle">
    <w:name w:val="App_Art_title"/>
    <w:basedOn w:val="Arttitle"/>
    <w:qFormat/>
    <w:rsid w:val="00A50CA0"/>
    <w:pPr>
      <w:tabs>
        <w:tab w:val="left" w:pos="1134"/>
        <w:tab w:val="left" w:pos="1871"/>
        <w:tab w:val="left" w:pos="2268"/>
      </w:tabs>
    </w:pPr>
  </w:style>
  <w:style w:type="paragraph" w:customStyle="1" w:styleId="ApptoAnnex">
    <w:name w:val="App_to_Annex"/>
    <w:basedOn w:val="AppendixNo"/>
    <w:next w:val="Normal"/>
    <w:qFormat/>
    <w:rsid w:val="00A50CA0"/>
    <w:pPr>
      <w:tabs>
        <w:tab w:val="left" w:pos="1871"/>
      </w:tabs>
    </w:pPr>
  </w:style>
  <w:style w:type="paragraph" w:customStyle="1" w:styleId="Volumetitle">
    <w:name w:val="Volume_title"/>
    <w:basedOn w:val="Normal"/>
    <w:qFormat/>
    <w:rsid w:val="00A50CA0"/>
    <w:pPr>
      <w:tabs>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FB3E99"/>
    <w:pPr>
      <w:keepNext/>
      <w:tabs>
        <w:tab w:val="left" w:pos="1871"/>
      </w:tabs>
      <w:spacing w:before="240"/>
    </w:pPr>
    <w:rPr>
      <w:rFonts w:hAnsi="Times New Roman Bold"/>
    </w:rPr>
  </w:style>
  <w:style w:type="paragraph" w:customStyle="1" w:styleId="Reasons">
    <w:name w:val="Reasons"/>
    <w:basedOn w:val="Normal"/>
    <w:qFormat/>
    <w:rsid w:val="00477CEE"/>
  </w:style>
  <w:style w:type="paragraph" w:customStyle="1" w:styleId="Default">
    <w:name w:val="Default"/>
    <w:rsid w:val="00984929"/>
    <w:pPr>
      <w:autoSpaceDE w:val="0"/>
      <w:autoSpaceDN w:val="0"/>
      <w:adjustRightInd w:val="0"/>
    </w:pPr>
    <w:rPr>
      <w:rFonts w:ascii="Calibri" w:hAnsi="Calibri" w:cs="Calibri"/>
      <w:color w:val="000000"/>
      <w:sz w:val="24"/>
      <w:szCs w:val="24"/>
      <w:lang w:val="en-GB"/>
    </w:rPr>
  </w:style>
  <w:style w:type="character" w:customStyle="1" w:styleId="UnresolvedMention1">
    <w:name w:val="Unresolved Mention1"/>
    <w:basedOn w:val="DefaultParagraphFont"/>
    <w:uiPriority w:val="99"/>
    <w:semiHidden/>
    <w:unhideWhenUsed/>
    <w:rsid w:val="004C06A7"/>
    <w:rPr>
      <w:color w:val="605E5C"/>
      <w:shd w:val="clear" w:color="auto" w:fill="E1DFDD"/>
    </w:rPr>
  </w:style>
  <w:style w:type="character" w:customStyle="1" w:styleId="TabletextChar">
    <w:name w:val="Table_text Char"/>
    <w:basedOn w:val="DefaultParagraphFont"/>
    <w:link w:val="Tabletext"/>
    <w:locked/>
    <w:rsid w:val="00C212A4"/>
    <w:rPr>
      <w:rFonts w:ascii="Calibri" w:hAnsi="Calibri"/>
      <w:sz w:val="22"/>
      <w:lang w:val="fr-FR" w:eastAsia="en-US"/>
    </w:rPr>
  </w:style>
  <w:style w:type="paragraph" w:styleId="EndnoteText">
    <w:name w:val="endnote text"/>
    <w:basedOn w:val="Normal"/>
    <w:link w:val="EndnoteTextChar"/>
    <w:semiHidden/>
    <w:unhideWhenUsed/>
    <w:rsid w:val="003C1FD2"/>
    <w:pPr>
      <w:spacing w:before="0"/>
    </w:pPr>
    <w:rPr>
      <w:sz w:val="20"/>
    </w:rPr>
  </w:style>
  <w:style w:type="character" w:customStyle="1" w:styleId="EndnoteTextChar">
    <w:name w:val="Endnote Text Char"/>
    <w:basedOn w:val="DefaultParagraphFont"/>
    <w:link w:val="EndnoteText"/>
    <w:semiHidden/>
    <w:rsid w:val="003C1FD2"/>
    <w:rPr>
      <w:rFonts w:asciiTheme="minorHAnsi" w:hAnsiTheme="minorHAnsi"/>
      <w:lang w:val="fr-CH" w:eastAsia="en-US"/>
    </w:rPr>
  </w:style>
  <w:style w:type="table" w:styleId="GridTable1Light-Accent1">
    <w:name w:val="Grid Table 1 Light Accent 1"/>
    <w:basedOn w:val="TableNormal"/>
    <w:uiPriority w:val="46"/>
    <w:rsid w:val="008C289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D471A2"/>
    <w:rPr>
      <w:rFonts w:ascii="Calibri" w:eastAsia="SimSun" w:hAnsi="Calibri" w:cs="Arial"/>
      <w:sz w:val="22"/>
      <w:szCs w:val="22"/>
      <w:lang w:val="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Heading10">
    <w:name w:val="Heading_1"/>
    <w:basedOn w:val="Normal"/>
    <w:rsid w:val="00D471A2"/>
    <w:pPr>
      <w:spacing w:line="480" w:lineRule="auto"/>
    </w:pPr>
    <w:rPr>
      <w:b/>
      <w:bCs/>
      <w:color w:val="00B0F0"/>
      <w:szCs w:val="24"/>
      <w:lang w:val="en-GB"/>
    </w:rPr>
  </w:style>
  <w:style w:type="paragraph" w:customStyle="1" w:styleId="Table-t">
    <w:name w:val="Table-t"/>
    <w:basedOn w:val="Normal"/>
    <w:rsid w:val="00C81D91"/>
    <w:rPr>
      <w:b/>
      <w:bCs/>
    </w:rPr>
  </w:style>
  <w:style w:type="paragraph" w:customStyle="1" w:styleId="Table-h">
    <w:name w:val="Table-h"/>
    <w:basedOn w:val="Normal"/>
    <w:rsid w:val="00B15596"/>
    <w:rPr>
      <w:b/>
      <w:bCs/>
      <w:i/>
      <w:iCs/>
    </w:rPr>
  </w:style>
  <w:style w:type="paragraph" w:customStyle="1" w:styleId="Head">
    <w:name w:val="Head"/>
    <w:basedOn w:val="Normal"/>
    <w:rsid w:val="00477CEE"/>
    <w:pPr>
      <w:tabs>
        <w:tab w:val="left" w:pos="6663"/>
      </w:tabs>
      <w:overflowPunct/>
      <w:autoSpaceDE/>
      <w:autoSpaceDN/>
      <w:adjustRightInd/>
      <w:spacing w:before="0"/>
      <w:textAlignment w:val="auto"/>
    </w:pPr>
  </w:style>
  <w:style w:type="paragraph" w:styleId="List">
    <w:name w:val="List"/>
    <w:basedOn w:val="Normal"/>
    <w:rsid w:val="00477CEE"/>
    <w:pPr>
      <w:tabs>
        <w:tab w:val="left" w:pos="2127"/>
      </w:tabs>
      <w:ind w:left="2127" w:hanging="2127"/>
    </w:pPr>
  </w:style>
  <w:style w:type="paragraph" w:customStyle="1" w:styleId="Part">
    <w:name w:val="Part"/>
    <w:basedOn w:val="Normal"/>
    <w:rsid w:val="00477CEE"/>
    <w:pPr>
      <w:tabs>
        <w:tab w:val="left" w:pos="1276"/>
      </w:tabs>
      <w:spacing w:before="199"/>
      <w:ind w:left="1701" w:hanging="1701"/>
    </w:pPr>
    <w:rPr>
      <w:caps/>
    </w:rPr>
  </w:style>
  <w:style w:type="paragraph" w:customStyle="1" w:styleId="meeting">
    <w:name w:val="meeting"/>
    <w:basedOn w:val="Head"/>
    <w:next w:val="Head"/>
    <w:rsid w:val="00477CEE"/>
    <w:pPr>
      <w:tabs>
        <w:tab w:val="left" w:pos="7371"/>
      </w:tabs>
      <w:spacing w:after="567"/>
    </w:pPr>
  </w:style>
  <w:style w:type="paragraph" w:customStyle="1" w:styleId="Subject">
    <w:name w:val="Subject"/>
    <w:basedOn w:val="Normal"/>
    <w:next w:val="Source"/>
    <w:rsid w:val="00477CEE"/>
    <w:pPr>
      <w:tabs>
        <w:tab w:val="left" w:pos="709"/>
      </w:tabs>
      <w:spacing w:before="0"/>
      <w:ind w:left="709" w:hanging="709"/>
    </w:pPr>
  </w:style>
  <w:style w:type="paragraph" w:customStyle="1" w:styleId="Object">
    <w:name w:val="Object"/>
    <w:basedOn w:val="Subject"/>
    <w:next w:val="Subject"/>
    <w:rsid w:val="00477CEE"/>
  </w:style>
  <w:style w:type="paragraph" w:customStyle="1" w:styleId="Data">
    <w:name w:val="Data"/>
    <w:basedOn w:val="Subject"/>
    <w:next w:val="Subject"/>
    <w:rsid w:val="00477CEE"/>
  </w:style>
  <w:style w:type="character" w:styleId="FollowedHyperlink">
    <w:name w:val="FollowedHyperlink"/>
    <w:basedOn w:val="DefaultParagraphFont"/>
    <w:rsid w:val="00477CEE"/>
    <w:rPr>
      <w:color w:val="800080"/>
      <w:u w:val="single"/>
    </w:rPr>
  </w:style>
  <w:style w:type="paragraph" w:customStyle="1" w:styleId="Figure">
    <w:name w:val="Figure"/>
    <w:basedOn w:val="Normal"/>
    <w:next w:val="Figuretitle"/>
    <w:rsid w:val="00477CEE"/>
    <w:pPr>
      <w:keepNext/>
      <w:keepLines/>
      <w:spacing w:after="120"/>
      <w:jc w:val="center"/>
    </w:pPr>
  </w:style>
  <w:style w:type="paragraph" w:customStyle="1" w:styleId="firstfooter0">
    <w:name w:val="firstfooter"/>
    <w:basedOn w:val="Normal"/>
    <w:rsid w:val="00477CE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477CEE"/>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paragraph" w:styleId="BalloonText">
    <w:name w:val="Balloon Text"/>
    <w:basedOn w:val="Normal"/>
    <w:link w:val="BalloonTextChar"/>
    <w:semiHidden/>
    <w:unhideWhenUsed/>
    <w:rsid w:val="00D33BC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33BC8"/>
    <w:rPr>
      <w:rFonts w:ascii="Segoe UI" w:hAnsi="Segoe UI" w:cs="Segoe UI"/>
      <w:sz w:val="18"/>
      <w:szCs w:val="18"/>
      <w:lang w:val="fr-FR" w:eastAsia="en-US"/>
    </w:rPr>
  </w:style>
  <w:style w:type="numbering" w:customStyle="1" w:styleId="NoList1">
    <w:name w:val="No List1"/>
    <w:next w:val="NoList"/>
    <w:uiPriority w:val="99"/>
    <w:semiHidden/>
    <w:unhideWhenUsed/>
    <w:rsid w:val="00575D39"/>
  </w:style>
  <w:style w:type="character" w:customStyle="1" w:styleId="Heading1Char">
    <w:name w:val="Heading 1 Char"/>
    <w:basedOn w:val="DefaultParagraphFont"/>
    <w:link w:val="Heading1"/>
    <w:rsid w:val="00575D39"/>
    <w:rPr>
      <w:rFonts w:ascii="Calibri" w:hAnsi="Calibri"/>
      <w:b/>
      <w:sz w:val="28"/>
      <w:lang w:val="fr-FR" w:eastAsia="en-US"/>
    </w:rPr>
  </w:style>
  <w:style w:type="character" w:customStyle="1" w:styleId="Heading2Char">
    <w:name w:val="Heading 2 Char"/>
    <w:basedOn w:val="DefaultParagraphFont"/>
    <w:link w:val="Heading2"/>
    <w:rsid w:val="00575D39"/>
    <w:rPr>
      <w:rFonts w:ascii="Calibri" w:hAnsi="Calibri"/>
      <w:b/>
      <w:sz w:val="24"/>
      <w:lang w:val="fr-FR" w:eastAsia="en-US"/>
    </w:rPr>
  </w:style>
  <w:style w:type="character" w:customStyle="1" w:styleId="Heading3Char">
    <w:name w:val="Heading 3 Char"/>
    <w:basedOn w:val="DefaultParagraphFont"/>
    <w:link w:val="Heading3"/>
    <w:rsid w:val="00575D39"/>
    <w:rPr>
      <w:rFonts w:ascii="Calibri" w:hAnsi="Calibri"/>
      <w:b/>
      <w:sz w:val="24"/>
      <w:lang w:val="fr-FR" w:eastAsia="en-US"/>
    </w:rPr>
  </w:style>
  <w:style w:type="character" w:customStyle="1" w:styleId="Heading4Char">
    <w:name w:val="Heading 4 Char"/>
    <w:basedOn w:val="DefaultParagraphFont"/>
    <w:link w:val="Heading4"/>
    <w:rsid w:val="00575D39"/>
    <w:rPr>
      <w:rFonts w:ascii="Calibri" w:hAnsi="Calibri"/>
      <w:b/>
      <w:sz w:val="24"/>
      <w:lang w:val="fr-FR" w:eastAsia="en-US"/>
    </w:rPr>
  </w:style>
  <w:style w:type="character" w:customStyle="1" w:styleId="Heading5Char">
    <w:name w:val="Heading 5 Char"/>
    <w:basedOn w:val="DefaultParagraphFont"/>
    <w:link w:val="Heading5"/>
    <w:rsid w:val="00575D39"/>
    <w:rPr>
      <w:rFonts w:ascii="Calibri" w:hAnsi="Calibri"/>
      <w:b/>
      <w:sz w:val="24"/>
      <w:lang w:val="fr-FR" w:eastAsia="en-US"/>
    </w:rPr>
  </w:style>
  <w:style w:type="character" w:customStyle="1" w:styleId="Heading6Char">
    <w:name w:val="Heading 6 Char"/>
    <w:basedOn w:val="DefaultParagraphFont"/>
    <w:link w:val="Heading6"/>
    <w:rsid w:val="00575D39"/>
    <w:rPr>
      <w:rFonts w:ascii="Calibri" w:hAnsi="Calibri"/>
      <w:b/>
      <w:sz w:val="24"/>
      <w:lang w:val="fr-FR" w:eastAsia="en-US"/>
    </w:rPr>
  </w:style>
  <w:style w:type="character" w:customStyle="1" w:styleId="Heading7Char">
    <w:name w:val="Heading 7 Char"/>
    <w:basedOn w:val="DefaultParagraphFont"/>
    <w:link w:val="Heading7"/>
    <w:rsid w:val="00575D39"/>
    <w:rPr>
      <w:rFonts w:ascii="Calibri" w:hAnsi="Calibri"/>
      <w:b/>
      <w:sz w:val="24"/>
      <w:lang w:val="fr-FR" w:eastAsia="en-US"/>
    </w:rPr>
  </w:style>
  <w:style w:type="character" w:customStyle="1" w:styleId="Heading8Char">
    <w:name w:val="Heading 8 Char"/>
    <w:basedOn w:val="DefaultParagraphFont"/>
    <w:link w:val="Heading8"/>
    <w:rsid w:val="00575D39"/>
    <w:rPr>
      <w:rFonts w:ascii="Calibri" w:hAnsi="Calibri"/>
      <w:b/>
      <w:sz w:val="24"/>
      <w:lang w:val="fr-FR" w:eastAsia="en-US"/>
    </w:rPr>
  </w:style>
  <w:style w:type="character" w:customStyle="1" w:styleId="Heading9Char">
    <w:name w:val="Heading 9 Char"/>
    <w:basedOn w:val="DefaultParagraphFont"/>
    <w:link w:val="Heading9"/>
    <w:rsid w:val="00575D39"/>
    <w:rPr>
      <w:rFonts w:ascii="Calibri" w:hAnsi="Calibri"/>
      <w:b/>
      <w:sz w:val="24"/>
      <w:lang w:val="fr-FR" w:eastAsia="en-US"/>
    </w:rPr>
  </w:style>
  <w:style w:type="character" w:customStyle="1" w:styleId="FootnoteTextChar">
    <w:name w:val="Footnote Text Char"/>
    <w:basedOn w:val="DefaultParagraphFont"/>
    <w:link w:val="FootnoteText"/>
    <w:rsid w:val="00575D39"/>
    <w:rPr>
      <w:rFonts w:ascii="Calibri" w:hAnsi="Calibri"/>
      <w:sz w:val="24"/>
      <w:lang w:val="fr-FR" w:eastAsia="en-US"/>
    </w:rPr>
  </w:style>
  <w:style w:type="table" w:customStyle="1" w:styleId="TableGrid1">
    <w:name w:val="Table Grid1"/>
    <w:basedOn w:val="TableNormal"/>
    <w:next w:val="TableGrid"/>
    <w:rsid w:val="00575D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2">
    <w:name w:val="Grid Table 1 Light - Accent 12"/>
    <w:basedOn w:val="TableNormal"/>
    <w:next w:val="GridTable1Light-Accent1"/>
    <w:uiPriority w:val="46"/>
    <w:rsid w:val="00575D3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next w:val="GridTable1Light-Accent1"/>
    <w:uiPriority w:val="46"/>
    <w:rsid w:val="00575D39"/>
    <w:rPr>
      <w:rFonts w:ascii="Calibri" w:eastAsia="SimSun" w:hAnsi="Calibri" w:cs="Arial"/>
      <w:sz w:val="22"/>
      <w:szCs w:val="22"/>
      <w:lang w:val="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92ACA"/>
    <w:rPr>
      <w:color w:val="605E5C"/>
      <w:shd w:val="clear" w:color="auto" w:fill="E1DFDD"/>
    </w:rPr>
  </w:style>
  <w:style w:type="character" w:customStyle="1" w:styleId="NormalaftertitleChar">
    <w:name w:val="Normal after title Char"/>
    <w:basedOn w:val="DefaultParagraphFont"/>
    <w:link w:val="Normalaftertitle"/>
    <w:rsid w:val="00BD1734"/>
    <w:rPr>
      <w:rFonts w:ascii="Calibri" w:hAnsi="Calibri"/>
      <w:sz w:val="24"/>
      <w:lang w:val="fr-FR" w:eastAsia="en-US"/>
    </w:rPr>
  </w:style>
  <w:style w:type="character" w:customStyle="1" w:styleId="CallChar">
    <w:name w:val="Call Char"/>
    <w:basedOn w:val="DefaultParagraphFont"/>
    <w:link w:val="Call"/>
    <w:rsid w:val="00BD1734"/>
    <w:rPr>
      <w:rFonts w:ascii="Calibri" w:hAnsi="Calibri"/>
      <w:i/>
      <w:sz w:val="24"/>
      <w:lang w:val="fr-FR" w:eastAsia="en-US"/>
    </w:rPr>
  </w:style>
  <w:style w:type="character" w:customStyle="1" w:styleId="RestitleChar">
    <w:name w:val="Res_title Char"/>
    <w:basedOn w:val="DefaultParagraphFont"/>
    <w:link w:val="Restitle"/>
    <w:locked/>
    <w:rsid w:val="00BD1734"/>
    <w:rPr>
      <w:rFonts w:ascii="Calibri" w:hAnsi="Calibri"/>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package" Target="embeddings/Microsoft_Excel_Worksheet1.xlsx"/><Relationship Id="rId42" Type="http://schemas.openxmlformats.org/officeDocument/2006/relationships/package" Target="embeddings/Microsoft_Excel_Worksheet10.xls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Excel_Worksheet23.xlsx"/><Relationship Id="rId84" Type="http://schemas.openxmlformats.org/officeDocument/2006/relationships/hyperlink" Target="http://www.itu.int/oth/R0B05000017/en" TargetMode="Externa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package" Target="embeddings/Microsoft_Excel_Worksheet5.xls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Excel_Worksheet18.xlsx"/><Relationship Id="rId74" Type="http://schemas.openxmlformats.org/officeDocument/2006/relationships/package" Target="embeddings/Microsoft_Excel_Worksheet26.xlsx"/><Relationship Id="rId79" Type="http://schemas.openxmlformats.org/officeDocument/2006/relationships/image" Target="media/image34.emf"/><Relationship Id="rId5" Type="http://schemas.openxmlformats.org/officeDocument/2006/relationships/numbering" Target="numbering.xml"/><Relationship Id="rId19" Type="http://schemas.openxmlformats.org/officeDocument/2006/relationships/package" Target="embeddings/Microsoft_Excel_Worksheet.xlsx"/><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package" Target="embeddings/Microsoft_Excel_Worksheet4.xls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Excel_Worksheet13.xlsx"/><Relationship Id="rId56" Type="http://schemas.openxmlformats.org/officeDocument/2006/relationships/package" Target="embeddings/Microsoft_Excel_Worksheet17.xlsx"/><Relationship Id="rId64" Type="http://schemas.openxmlformats.org/officeDocument/2006/relationships/package" Target="embeddings/Microsoft_Excel_Worksheet21.xlsx"/><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package" Target="embeddings/Microsoft_Excel_Worksheet25.xlsx"/><Relationship Id="rId80" Type="http://schemas.openxmlformats.org/officeDocument/2006/relationships/package" Target="embeddings/Microsoft_Excel_Worksheet29.xlsx"/><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itu.int/en/council/Documents/basic-texts/RES-071-F.pdf" TargetMode="External"/><Relationship Id="rId17" Type="http://schemas.openxmlformats.org/officeDocument/2006/relationships/image" Target="media/image3.emf"/><Relationship Id="rId25" Type="http://schemas.openxmlformats.org/officeDocument/2006/relationships/header" Target="header2.xml"/><Relationship Id="rId33" Type="http://schemas.openxmlformats.org/officeDocument/2006/relationships/image" Target="media/image11.emf"/><Relationship Id="rId38" Type="http://schemas.openxmlformats.org/officeDocument/2006/relationships/package" Target="embeddings/Microsoft_Excel_Worksheet8.xlsx"/><Relationship Id="rId46" Type="http://schemas.openxmlformats.org/officeDocument/2006/relationships/package" Target="embeddings/Microsoft_Excel_Worksheet12.xlsx"/><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image" Target="media/image5.emf"/><Relationship Id="rId41" Type="http://schemas.openxmlformats.org/officeDocument/2006/relationships/image" Target="media/image15.emf"/><Relationship Id="rId54" Type="http://schemas.openxmlformats.org/officeDocument/2006/relationships/package" Target="embeddings/Microsoft_Excel_Worksheet16.xlsx"/><Relationship Id="rId62" Type="http://schemas.openxmlformats.org/officeDocument/2006/relationships/package" Target="embeddings/Microsoft_Excel_Worksheet20.xlsx"/><Relationship Id="rId70" Type="http://schemas.openxmlformats.org/officeDocument/2006/relationships/package" Target="embeddings/Microsoft_Excel_Worksheet24.xlsx"/><Relationship Id="rId75" Type="http://schemas.openxmlformats.org/officeDocument/2006/relationships/image" Target="media/image32.emf"/><Relationship Id="rId83" Type="http://schemas.openxmlformats.org/officeDocument/2006/relationships/hyperlink" Target="https://www.itu.int/md/S20-CL-C-0028/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package" Target="embeddings/Microsoft_Excel_Worksheet2.xlsx"/><Relationship Id="rId28" Type="http://schemas.openxmlformats.org/officeDocument/2006/relationships/package" Target="embeddings/Microsoft_Excel_Worksheet3.xlsx"/><Relationship Id="rId36" Type="http://schemas.openxmlformats.org/officeDocument/2006/relationships/package" Target="embeddings/Microsoft_Excel_Worksheet7.xls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package" Target="embeddings/Microsoft_Excel_Worksheet11.xlsx"/><Relationship Id="rId52" Type="http://schemas.openxmlformats.org/officeDocument/2006/relationships/package" Target="embeddings/Microsoft_Excel_Worksheet15.xlsx"/><Relationship Id="rId60" Type="http://schemas.openxmlformats.org/officeDocument/2006/relationships/package" Target="embeddings/Microsoft_Excel_Worksheet19.xls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Excel_Worksheet28.xlsx"/><Relationship Id="rId81" Type="http://schemas.openxmlformats.org/officeDocument/2006/relationships/image" Target="media/image35.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4.emf"/><Relationship Id="rId39" Type="http://schemas.openxmlformats.org/officeDocument/2006/relationships/image" Target="media/image14.emf"/><Relationship Id="rId34" Type="http://schemas.openxmlformats.org/officeDocument/2006/relationships/package" Target="embeddings/Microsoft_Excel_Worksheet6.xlsx"/><Relationship Id="rId50" Type="http://schemas.openxmlformats.org/officeDocument/2006/relationships/package" Target="embeddings/Microsoft_Excel_Worksheet14.xlsx"/><Relationship Id="rId55" Type="http://schemas.openxmlformats.org/officeDocument/2006/relationships/image" Target="media/image22.emf"/><Relationship Id="rId76" Type="http://schemas.openxmlformats.org/officeDocument/2006/relationships/package" Target="embeddings/Microsoft_Excel_Worksheet27.xlsx"/><Relationship Id="rId7" Type="http://schemas.openxmlformats.org/officeDocument/2006/relationships/settings" Target="settings.xml"/><Relationship Id="rId71" Type="http://schemas.openxmlformats.org/officeDocument/2006/relationships/image" Target="media/image30.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7.emf"/><Relationship Id="rId40" Type="http://schemas.openxmlformats.org/officeDocument/2006/relationships/package" Target="embeddings/Microsoft_Excel_Worksheet9.xlsx"/><Relationship Id="rId45" Type="http://schemas.openxmlformats.org/officeDocument/2006/relationships/image" Target="media/image17.emf"/><Relationship Id="rId66" Type="http://schemas.openxmlformats.org/officeDocument/2006/relationships/package" Target="embeddings/Microsoft_Excel_Worksheet22.xlsx"/><Relationship Id="rId61" Type="http://schemas.openxmlformats.org/officeDocument/2006/relationships/image" Target="media/image25.emf"/><Relationship Id="rId82" Type="http://schemas.openxmlformats.org/officeDocument/2006/relationships/package" Target="embeddings/Microsoft_Excel_Worksheet30.xlsx"/></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zel\AppData\Roaming\Microsoft\Templates\POOL%20F%20-%20ITU\PF_C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8F4433E584047A097BE66491F0F20" ma:contentTypeVersion="10" ma:contentTypeDescription="Create a new document." ma:contentTypeScope="" ma:versionID="fa8afc5d86603c1925ed271018c9909a">
  <xsd:schema xmlns:xsd="http://www.w3.org/2001/XMLSchema" xmlns:xs="http://www.w3.org/2001/XMLSchema" xmlns:p="http://schemas.microsoft.com/office/2006/metadata/properties" xmlns:ns3="8480b3bf-ff93-433f-9495-f8457f78f22f" targetNamespace="http://schemas.microsoft.com/office/2006/metadata/properties" ma:root="true" ma:fieldsID="945714bf9aca0f2ad10803486a386f4a" ns3:_="">
    <xsd:import namespace="8480b3bf-ff93-433f-9495-f8457f78f22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0b3bf-ff93-433f-9495-f8457f78f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C3174-FCE0-420C-8C48-4A24C6BFD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0b3bf-ff93-433f-9495-f8457f78f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63BC9C-FE95-45D6-A19F-D72A68266AEA}">
  <ds:schemaRefs>
    <ds:schemaRef ds:uri="http://schemas.microsoft.com/sharepoint/v3/contenttype/forms"/>
  </ds:schemaRefs>
</ds:datastoreItem>
</file>

<file path=customXml/itemProps3.xml><?xml version="1.0" encoding="utf-8"?>
<ds:datastoreItem xmlns:ds="http://schemas.openxmlformats.org/officeDocument/2006/customXml" ds:itemID="{937953A0-DC8E-44BE-929A-AFD711459F05}">
  <ds:schemaRef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purl.org/dc/terms/"/>
    <ds:schemaRef ds:uri="8480b3bf-ff93-433f-9495-f8457f78f22f"/>
    <ds:schemaRef ds:uri="http://purl.org/dc/dcmitype/"/>
    <ds:schemaRef ds:uri="http://purl.org/dc/elements/1.1/"/>
  </ds:schemaRefs>
</ds:datastoreItem>
</file>

<file path=customXml/itemProps4.xml><?xml version="1.0" encoding="utf-8"?>
<ds:datastoreItem xmlns:ds="http://schemas.openxmlformats.org/officeDocument/2006/customXml" ds:itemID="{154476E0-BBF8-4D69-AA48-BF40210BD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PF_C20.dotx</Template>
  <TotalTime>3</TotalTime>
  <Pages>76</Pages>
  <Words>11317</Words>
  <Characters>71778</Characters>
  <Application>Microsoft Office Word</Application>
  <DocSecurity>0</DocSecurity>
  <Lines>598</Lines>
  <Paragraphs>165</Paragraphs>
  <ScaleCrop>false</ScaleCrop>
  <HeadingPairs>
    <vt:vector size="2" baseType="variant">
      <vt:variant>
        <vt:lpstr>Title</vt:lpstr>
      </vt:variant>
      <vt:variant>
        <vt:i4>1</vt:i4>
      </vt:variant>
    </vt:vector>
  </HeadingPairs>
  <TitlesOfParts>
    <vt:vector size="1" baseType="lpstr">
      <vt:lpstr>TDAG17</vt:lpstr>
    </vt:vector>
  </TitlesOfParts>
  <Manager>General Secretariat - Pool</Manager>
  <Company>International Telecommunication Union (ITU)</Company>
  <LinksUpToDate>false</LinksUpToDate>
  <CharactersWithSpaces>82930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opérationnel quadriennal glissant de l'Union pour la période 2021-2024</dc:title>
  <dc:subject>Council 2020</dc:subject>
  <dc:creator>French</dc:creator>
  <cp:keywords>C2020, C20</cp:keywords>
  <cp:lastModifiedBy>Brouard, Ricarda</cp:lastModifiedBy>
  <cp:revision>4</cp:revision>
  <cp:lastPrinted>2014-11-04T09:22:00Z</cp:lastPrinted>
  <dcterms:created xsi:type="dcterms:W3CDTF">2020-05-05T10:35:00Z</dcterms:created>
  <dcterms:modified xsi:type="dcterms:W3CDTF">2020-05-05T10:39:00Z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0x010100B638F4433E584047A097BE66491F0F20</vt:lpwstr>
  </property>
</Properties>
</file>