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36ADD" w14:paraId="7D071FD1" w14:textId="77777777">
        <w:trPr>
          <w:cantSplit/>
        </w:trPr>
        <w:tc>
          <w:tcPr>
            <w:tcW w:w="6911" w:type="dxa"/>
          </w:tcPr>
          <w:p w14:paraId="12D5F7A1" w14:textId="6E4841FA" w:rsidR="00BC7BC0" w:rsidRPr="00D36ADD" w:rsidRDefault="000569B4" w:rsidP="004650FA">
            <w:pPr>
              <w:tabs>
                <w:tab w:val="clear" w:pos="1588"/>
                <w:tab w:val="clear" w:pos="1985"/>
                <w:tab w:val="left" w:pos="4545"/>
              </w:tabs>
              <w:spacing w:before="360" w:after="48"/>
              <w:rPr>
                <w:position w:val="6"/>
                <w:szCs w:val="22"/>
              </w:rPr>
            </w:pPr>
            <w:r w:rsidRPr="00D36ADD">
              <w:rPr>
                <w:b/>
                <w:smallCaps/>
                <w:sz w:val="28"/>
                <w:szCs w:val="28"/>
              </w:rPr>
              <w:t>СОВЕТ 20</w:t>
            </w:r>
            <w:r w:rsidR="00836F49" w:rsidRPr="00D36ADD">
              <w:rPr>
                <w:b/>
                <w:smallCaps/>
                <w:sz w:val="28"/>
                <w:szCs w:val="28"/>
              </w:rPr>
              <w:t>20</w:t>
            </w:r>
          </w:p>
        </w:tc>
        <w:tc>
          <w:tcPr>
            <w:tcW w:w="3120" w:type="dxa"/>
          </w:tcPr>
          <w:p w14:paraId="3589A837" w14:textId="6F7A5A6A" w:rsidR="00BC7BC0" w:rsidRPr="00D36ADD" w:rsidRDefault="00836F49" w:rsidP="00836F49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D36ADD">
              <w:rPr>
                <w:lang w:eastAsia="ru-RU"/>
              </w:rPr>
              <w:drawing>
                <wp:inline distT="0" distB="0" distL="0" distR="0" wp14:anchorId="43EB77CA" wp14:editId="3B5F4DC9">
                  <wp:extent cx="681990" cy="719455"/>
                  <wp:effectExtent l="0" t="0" r="3810" b="444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36ADD" w14:paraId="6A48AA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5C8CF7" w14:textId="77777777" w:rsidR="00BC7BC0" w:rsidRPr="00D36AD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A9892E9" w14:textId="77777777" w:rsidR="00BC7BC0" w:rsidRPr="00D36ADD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D36ADD" w14:paraId="18BB72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BF9AEE" w14:textId="77777777" w:rsidR="00BC7BC0" w:rsidRPr="00D36ADD" w:rsidRDefault="00BC7B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A742D3" w14:textId="77777777" w:rsidR="00BC7BC0" w:rsidRPr="00D36ADD" w:rsidRDefault="00BC7B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D36ADD" w14:paraId="7138315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A2428E8" w14:textId="445351EC" w:rsidR="00BC7BC0" w:rsidRPr="00D36ADD" w:rsidRDefault="00BC7BC0" w:rsidP="00D05C1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08424405" w14:textId="13809B62" w:rsidR="00BC7BC0" w:rsidRPr="00D36ADD" w:rsidRDefault="0040454A" w:rsidP="00D05C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36ADD">
              <w:rPr>
                <w:b/>
                <w:bCs/>
                <w:szCs w:val="22"/>
              </w:rPr>
              <w:t>Пересмотр 1</w:t>
            </w:r>
            <w:r w:rsidRPr="00D36ADD">
              <w:rPr>
                <w:b/>
                <w:bCs/>
                <w:szCs w:val="22"/>
              </w:rPr>
              <w:br/>
            </w:r>
            <w:r w:rsidR="00BC7BC0" w:rsidRPr="00D36ADD">
              <w:rPr>
                <w:b/>
                <w:bCs/>
                <w:szCs w:val="22"/>
              </w:rPr>
              <w:t>Документ</w:t>
            </w:r>
            <w:r w:rsidRPr="00D36ADD">
              <w:rPr>
                <w:b/>
                <w:bCs/>
                <w:szCs w:val="22"/>
              </w:rPr>
              <w:t>а</w:t>
            </w:r>
            <w:r w:rsidR="00BC7BC0" w:rsidRPr="00D36ADD">
              <w:rPr>
                <w:b/>
                <w:bCs/>
                <w:szCs w:val="22"/>
              </w:rPr>
              <w:t xml:space="preserve"> </w:t>
            </w:r>
            <w:proofErr w:type="spellStart"/>
            <w:r w:rsidR="00BC7BC0" w:rsidRPr="00D36ADD">
              <w:rPr>
                <w:b/>
                <w:bCs/>
                <w:szCs w:val="22"/>
              </w:rPr>
              <w:t>C</w:t>
            </w:r>
            <w:r w:rsidR="00836F49" w:rsidRPr="00D36ADD">
              <w:rPr>
                <w:b/>
                <w:bCs/>
                <w:szCs w:val="22"/>
              </w:rPr>
              <w:t>20</w:t>
            </w:r>
            <w:proofErr w:type="spellEnd"/>
            <w:r w:rsidR="00BC7BC0" w:rsidRPr="00D36ADD">
              <w:rPr>
                <w:b/>
                <w:bCs/>
                <w:szCs w:val="22"/>
              </w:rPr>
              <w:t>/</w:t>
            </w:r>
            <w:r w:rsidR="00836F49" w:rsidRPr="00D36ADD">
              <w:rPr>
                <w:b/>
                <w:bCs/>
                <w:szCs w:val="22"/>
              </w:rPr>
              <w:t>22</w:t>
            </w:r>
            <w:r w:rsidR="00BC7BC0" w:rsidRPr="00D36ADD">
              <w:rPr>
                <w:b/>
                <w:bCs/>
                <w:szCs w:val="22"/>
              </w:rPr>
              <w:t>-R</w:t>
            </w:r>
          </w:p>
        </w:tc>
      </w:tr>
      <w:tr w:rsidR="00BC7BC0" w:rsidRPr="00D36ADD" w14:paraId="0BBB933D" w14:textId="77777777">
        <w:trPr>
          <w:cantSplit/>
          <w:trHeight w:val="23"/>
        </w:trPr>
        <w:tc>
          <w:tcPr>
            <w:tcW w:w="6911" w:type="dxa"/>
            <w:vMerge/>
          </w:tcPr>
          <w:p w14:paraId="13C96897" w14:textId="77777777" w:rsidR="00BC7BC0" w:rsidRPr="00D36A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30BE331C" w14:textId="17B2E04B" w:rsidR="00BC7BC0" w:rsidRPr="00D36ADD" w:rsidRDefault="0040454A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36ADD">
              <w:rPr>
                <w:b/>
                <w:bCs/>
              </w:rPr>
              <w:t>6 ноября</w:t>
            </w:r>
            <w:r w:rsidR="00D05C16" w:rsidRPr="00D36ADD">
              <w:rPr>
                <w:b/>
                <w:bCs/>
              </w:rPr>
              <w:t xml:space="preserve"> 20</w:t>
            </w:r>
            <w:r w:rsidR="00CC5408" w:rsidRPr="00D36ADD">
              <w:rPr>
                <w:b/>
                <w:bCs/>
              </w:rPr>
              <w:t>20</w:t>
            </w:r>
            <w:r w:rsidR="008222E3" w:rsidRPr="00D36ADD">
              <w:rPr>
                <w:b/>
                <w:bCs/>
              </w:rPr>
              <w:t> года</w:t>
            </w:r>
          </w:p>
        </w:tc>
      </w:tr>
      <w:tr w:rsidR="00BC7BC0" w:rsidRPr="00D36ADD" w14:paraId="750F6344" w14:textId="77777777">
        <w:trPr>
          <w:cantSplit/>
          <w:trHeight w:val="23"/>
        </w:trPr>
        <w:tc>
          <w:tcPr>
            <w:tcW w:w="6911" w:type="dxa"/>
            <w:vMerge/>
          </w:tcPr>
          <w:p w14:paraId="360C4B60" w14:textId="77777777" w:rsidR="00BC7BC0" w:rsidRPr="00D36A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10B46EE8" w14:textId="77777777" w:rsidR="00BC7BC0" w:rsidRPr="00D36ADD" w:rsidRDefault="008222E3" w:rsidP="00A322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36ADD">
              <w:rPr>
                <w:b/>
                <w:bCs/>
              </w:rPr>
              <w:t xml:space="preserve">Оригинал: </w:t>
            </w:r>
            <w:r w:rsidR="00A322AD" w:rsidRPr="00D36ADD">
              <w:rPr>
                <w:b/>
                <w:bCs/>
              </w:rPr>
              <w:t>английский</w:t>
            </w:r>
          </w:p>
        </w:tc>
      </w:tr>
      <w:tr w:rsidR="00BC7BC0" w:rsidRPr="00D36ADD" w14:paraId="02360BA8" w14:textId="77777777">
        <w:trPr>
          <w:cantSplit/>
        </w:trPr>
        <w:tc>
          <w:tcPr>
            <w:tcW w:w="10031" w:type="dxa"/>
            <w:gridSpan w:val="2"/>
          </w:tcPr>
          <w:p w14:paraId="6A600F40" w14:textId="77777777" w:rsidR="00BC7BC0" w:rsidRPr="00D36ADD" w:rsidRDefault="00077520" w:rsidP="00C714C3">
            <w:pPr>
              <w:pStyle w:val="Source"/>
              <w:spacing w:before="720"/>
              <w:rPr>
                <w:szCs w:val="22"/>
              </w:rPr>
            </w:pPr>
            <w:bookmarkStart w:id="1" w:name="dtitle2" w:colFirst="0" w:colLast="0"/>
            <w:r w:rsidRPr="00D36ADD">
              <w:t>Отчет</w:t>
            </w:r>
            <w:r w:rsidR="008222E3" w:rsidRPr="00D36ADD">
              <w:t xml:space="preserve"> Генерального секретаря</w:t>
            </w:r>
          </w:p>
        </w:tc>
      </w:tr>
      <w:tr w:rsidR="00BC7BC0" w:rsidRPr="00D36ADD" w14:paraId="6CED0434" w14:textId="77777777">
        <w:trPr>
          <w:cantSplit/>
        </w:trPr>
        <w:tc>
          <w:tcPr>
            <w:tcW w:w="10031" w:type="dxa"/>
            <w:gridSpan w:val="2"/>
          </w:tcPr>
          <w:p w14:paraId="6E69D3BE" w14:textId="0FD048BD" w:rsidR="00BC7BC0" w:rsidRPr="00D36ADD" w:rsidRDefault="008036FD" w:rsidP="003C6CA3">
            <w:pPr>
              <w:pStyle w:val="Title1"/>
            </w:pPr>
            <w:bookmarkStart w:id="2" w:name="dtitle3" w:colFirst="0" w:colLast="0"/>
            <w:bookmarkEnd w:id="1"/>
            <w:r w:rsidRPr="00D36ADD">
              <w:t xml:space="preserve">ДЕВЯТЫЙ ЕЖЕГОДНЫЙ </w:t>
            </w:r>
            <w:r w:rsidR="003C6CA3" w:rsidRPr="00D36ADD">
              <w:t xml:space="preserve">ОТЧЕТ </w:t>
            </w:r>
            <w:r w:rsidR="00306A72" w:rsidRPr="00D36ADD">
              <w:br/>
            </w:r>
            <w:r w:rsidR="003C6CA3" w:rsidRPr="00D36ADD">
              <w:t>НЕЗАВИСИМОГО КОНСУЛЬТАТИВНОГО КОМИТЕТА ПО УПРАВЛЕНИЮ (</w:t>
            </w:r>
            <w:proofErr w:type="spellStart"/>
            <w:r w:rsidR="003C6CA3" w:rsidRPr="00D36ADD">
              <w:t>IMAC</w:t>
            </w:r>
            <w:proofErr w:type="spellEnd"/>
            <w:r w:rsidR="003C6CA3" w:rsidRPr="00D36ADD">
              <w:t>)</w:t>
            </w:r>
          </w:p>
        </w:tc>
      </w:tr>
      <w:tr w:rsidR="00B85B77" w:rsidRPr="00D36ADD" w14:paraId="02A771AE" w14:textId="77777777">
        <w:trPr>
          <w:cantSplit/>
        </w:trPr>
        <w:tc>
          <w:tcPr>
            <w:tcW w:w="10031" w:type="dxa"/>
            <w:gridSpan w:val="2"/>
          </w:tcPr>
          <w:p w14:paraId="5BC72A1D" w14:textId="77777777" w:rsidR="00B85B77" w:rsidRPr="00D36ADD" w:rsidRDefault="00B85B77" w:rsidP="00B85B77">
            <w:pPr>
              <w:pStyle w:val="Title2"/>
            </w:pPr>
          </w:p>
        </w:tc>
      </w:tr>
    </w:tbl>
    <w:p w14:paraId="6CC0DD33" w14:textId="41297F31" w:rsidR="00971428" w:rsidRPr="00D36ADD" w:rsidRDefault="003C6CA3" w:rsidP="005936EA">
      <w:pPr>
        <w:pStyle w:val="Normalaftertitle"/>
      </w:pPr>
      <w:bookmarkStart w:id="3" w:name="lt_pId014"/>
      <w:bookmarkEnd w:id="2"/>
      <w:r w:rsidRPr="00D36ADD">
        <w:t xml:space="preserve">Имею честь направить Государствам – Членам Совета отчет </w:t>
      </w:r>
      <w:r w:rsidR="000F5715" w:rsidRPr="00D36ADD">
        <w:t>п</w:t>
      </w:r>
      <w:r w:rsidRPr="00D36ADD">
        <w:t>редседателя Независимого консультативного комитета по управлению (</w:t>
      </w:r>
      <w:proofErr w:type="spellStart"/>
      <w:r w:rsidRPr="00D36ADD">
        <w:t>IMAC</w:t>
      </w:r>
      <w:proofErr w:type="spellEnd"/>
      <w:r w:rsidRPr="00D36ADD">
        <w:t>).</w:t>
      </w:r>
    </w:p>
    <w:p w14:paraId="3DF2E830" w14:textId="77777777" w:rsidR="008222E3" w:rsidRPr="00D36ADD" w:rsidRDefault="005936EA" w:rsidP="005936E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D36ADD">
        <w:tab/>
      </w:r>
      <w:r w:rsidR="008222E3" w:rsidRPr="00D36ADD">
        <w:t>Хоулинь ЧЖАО</w:t>
      </w:r>
      <w:bookmarkEnd w:id="3"/>
      <w:r w:rsidR="008222E3" w:rsidRPr="00D36ADD">
        <w:br/>
      </w:r>
      <w:r w:rsidRPr="00D36ADD">
        <w:tab/>
      </w:r>
      <w:r w:rsidR="008222E3" w:rsidRPr="00D36ADD">
        <w:t>Генеральный секретарь</w:t>
      </w:r>
    </w:p>
    <w:p w14:paraId="2AC2512E" w14:textId="77777777" w:rsidR="008222E3" w:rsidRPr="00D36ADD" w:rsidRDefault="008222E3" w:rsidP="000127C1">
      <w:r w:rsidRPr="00D36ADD">
        <w:br w:type="page"/>
      </w:r>
    </w:p>
    <w:p w14:paraId="7BB12015" w14:textId="47F60835" w:rsidR="00077520" w:rsidRPr="00D36ADD" w:rsidRDefault="008036FD" w:rsidP="00B85B77">
      <w:pPr>
        <w:pStyle w:val="Title1"/>
        <w:spacing w:after="240"/>
      </w:pPr>
      <w:r w:rsidRPr="00D36ADD">
        <w:lastRenderedPageBreak/>
        <w:t>ДЕВЯТЫЙ ЕЖЕГОДНЫЙ</w:t>
      </w:r>
      <w:r w:rsidR="008C2207" w:rsidRPr="00D36ADD">
        <w:t xml:space="preserve"> </w:t>
      </w:r>
      <w:r w:rsidR="00A322AD" w:rsidRPr="00D36ADD">
        <w:t xml:space="preserve">ОТЧЕТ </w:t>
      </w:r>
      <w:r w:rsidR="008A755F" w:rsidRPr="00D36ADD">
        <w:br/>
      </w:r>
      <w:r w:rsidR="00A322AD" w:rsidRPr="00D36ADD">
        <w:t>НЕЗАВИСИМОГО КОНСУЛЬТАТИВНОГО КОМИТЕТА ПО УПРАВЛЕНИЮ (</w:t>
      </w:r>
      <w:proofErr w:type="spellStart"/>
      <w:r w:rsidR="00A322AD" w:rsidRPr="00D36ADD">
        <w:t>IMAC</w:t>
      </w:r>
      <w:proofErr w:type="spellEnd"/>
      <w:r w:rsidR="00A322AD" w:rsidRPr="00D36ADD">
        <w:t>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22D4" w:rsidRPr="00D36ADD" w14:paraId="5F99C817" w14:textId="77777777" w:rsidTr="00ED410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8C5AE" w14:textId="77777777" w:rsidR="00D222D4" w:rsidRPr="00D36ADD" w:rsidRDefault="00D222D4" w:rsidP="00ED4103">
            <w:pPr>
              <w:pStyle w:val="Headingb"/>
            </w:pPr>
            <w:r w:rsidRPr="00D36ADD">
              <w:t>Резюме</w:t>
            </w:r>
          </w:p>
          <w:p w14:paraId="18348E63" w14:textId="03314BC0" w:rsidR="00D222D4" w:rsidRPr="00D36ADD" w:rsidRDefault="00470798" w:rsidP="004C5AE0">
            <w:r w:rsidRPr="00D36ADD">
              <w:t>В настоящем девятом ежегодном отчете Независимого консультативного комитета по управлению (</w:t>
            </w:r>
            <w:proofErr w:type="spellStart"/>
            <w:r w:rsidRPr="00D36ADD">
              <w:t>IMAC</w:t>
            </w:r>
            <w:proofErr w:type="spellEnd"/>
            <w:r w:rsidRPr="00D36ADD">
              <w:t xml:space="preserve">) Совету МСЭ содержатся сделанные в соответствии с кругом ведения </w:t>
            </w:r>
            <w:proofErr w:type="spellStart"/>
            <w:r w:rsidRPr="00D36ADD">
              <w:t>IMAC</w:t>
            </w:r>
            <w:proofErr w:type="spellEnd"/>
            <w:r w:rsidRPr="00D36ADD">
              <w:t xml:space="preserve"> заключения и рекомендации для рассмотрения Советом</w:t>
            </w:r>
            <w:r w:rsidR="00D222D4" w:rsidRPr="00D36ADD">
              <w:t>.</w:t>
            </w:r>
          </w:p>
          <w:p w14:paraId="1533C09F" w14:textId="70CE67E4" w:rsidR="00470798" w:rsidRPr="00D36ADD" w:rsidRDefault="008F132E" w:rsidP="004C5AE0">
            <w:r w:rsidRPr="00D36ADD">
              <w:t>Настоящий отчет заменяет собой промежуточный отчет, подготовленный для сессии Совета, запланированной на июнь</w:t>
            </w:r>
            <w:r w:rsidR="00470798" w:rsidRPr="00D36ADD">
              <w:t xml:space="preserve"> 2020</w:t>
            </w:r>
            <w:r w:rsidRPr="00D36ADD">
              <w:t> года</w:t>
            </w:r>
            <w:r w:rsidR="00470798" w:rsidRPr="00D36ADD">
              <w:t>.</w:t>
            </w:r>
          </w:p>
          <w:p w14:paraId="0FFDC8C9" w14:textId="77777777" w:rsidR="00D222D4" w:rsidRPr="00D36ADD" w:rsidRDefault="00D222D4" w:rsidP="00ED4103">
            <w:pPr>
              <w:pStyle w:val="Headingb"/>
            </w:pPr>
            <w:r w:rsidRPr="00D36ADD">
              <w:t>Необходимые действия</w:t>
            </w:r>
          </w:p>
          <w:p w14:paraId="160C9266" w14:textId="3F1CF76C" w:rsidR="00D222D4" w:rsidRPr="00D36ADD" w:rsidRDefault="00470798" w:rsidP="00CD5E77">
            <w:r w:rsidRPr="00D36ADD">
              <w:t xml:space="preserve">Совету предлагается </w:t>
            </w:r>
            <w:r w:rsidRPr="00D36ADD">
              <w:rPr>
                <w:b/>
                <w:bCs/>
              </w:rPr>
              <w:t>утвердить</w:t>
            </w:r>
            <w:r w:rsidRPr="00D36ADD">
              <w:t xml:space="preserve"> отчет </w:t>
            </w:r>
            <w:proofErr w:type="spellStart"/>
            <w:r w:rsidRPr="00D36ADD">
              <w:t>IMAC</w:t>
            </w:r>
            <w:proofErr w:type="spellEnd"/>
            <w:r w:rsidRPr="00D36ADD">
              <w:t xml:space="preserve"> и содержащиеся в нем рекомендации для принятия мер секретариатом</w:t>
            </w:r>
            <w:r w:rsidR="00D222D4" w:rsidRPr="00D36ADD">
              <w:t>.</w:t>
            </w:r>
          </w:p>
          <w:p w14:paraId="7B59228D" w14:textId="77777777" w:rsidR="00D222D4" w:rsidRPr="00D36ADD" w:rsidRDefault="00D222D4" w:rsidP="00ED4103">
            <w:pPr>
              <w:jc w:val="center"/>
            </w:pPr>
            <w:r w:rsidRPr="00D36ADD">
              <w:t>____________</w:t>
            </w:r>
          </w:p>
          <w:p w14:paraId="258F70B6" w14:textId="77777777" w:rsidR="00D222D4" w:rsidRPr="00D36ADD" w:rsidRDefault="00D222D4" w:rsidP="00ED4103">
            <w:pPr>
              <w:pStyle w:val="Headingb"/>
            </w:pPr>
            <w:r w:rsidRPr="00D36ADD">
              <w:t>Справочные материалы</w:t>
            </w:r>
          </w:p>
          <w:p w14:paraId="0AE3C8C4" w14:textId="285A6574" w:rsidR="005927D0" w:rsidRPr="00D36ADD" w:rsidRDefault="00D36ADD" w:rsidP="006C165E">
            <w:pPr>
              <w:spacing w:after="120"/>
              <w:rPr>
                <w:i/>
                <w:iCs/>
              </w:rPr>
            </w:pPr>
            <w:hyperlink r:id="rId9" w:history="1">
              <w:r w:rsidR="006C165E" w:rsidRPr="00D36ADD">
                <w:rPr>
                  <w:rStyle w:val="Hyperlink1"/>
                  <w:lang w:val="ru-RU"/>
                </w:rPr>
                <w:t>Резолюция 162</w:t>
              </w:r>
            </w:hyperlink>
            <w:r w:rsidR="006C165E" w:rsidRPr="00D36ADD">
              <w:rPr>
                <w:rStyle w:val="Ohne"/>
                <w:i/>
                <w:iCs/>
              </w:rPr>
              <w:t xml:space="preserve"> (Пересм. Пусан, 2014 г.), </w:t>
            </w:r>
            <w:hyperlink r:id="rId10" w:history="1">
              <w:r w:rsidR="006C165E" w:rsidRPr="00D36ADD">
                <w:rPr>
                  <w:rStyle w:val="Hyperlink1"/>
                  <w:lang w:val="ru-RU"/>
                </w:rPr>
                <w:t>Решение 615</w:t>
              </w:r>
            </w:hyperlink>
            <w:r w:rsidR="006C165E" w:rsidRPr="00D36ADD">
              <w:rPr>
                <w:rStyle w:val="Ohne"/>
                <w:i/>
                <w:iCs/>
              </w:rPr>
              <w:t xml:space="preserve"> Совета</w:t>
            </w:r>
            <w:r w:rsidR="006C165E" w:rsidRPr="00D36ADD">
              <w:rPr>
                <w:rStyle w:val="Ohne"/>
                <w:i/>
                <w:iCs/>
              </w:rPr>
              <w:br/>
              <w:t xml:space="preserve">Ежегодные отчеты </w:t>
            </w:r>
            <w:proofErr w:type="spellStart"/>
            <w:r w:rsidR="006C165E" w:rsidRPr="00D36ADD">
              <w:rPr>
                <w:rStyle w:val="Ohne"/>
                <w:i/>
                <w:iCs/>
              </w:rPr>
              <w:t>IMAC</w:t>
            </w:r>
            <w:proofErr w:type="spellEnd"/>
            <w:r w:rsidR="006C165E" w:rsidRPr="00D36ADD">
              <w:rPr>
                <w:rStyle w:val="Ohne"/>
                <w:i/>
                <w:iCs/>
              </w:rPr>
              <w:t>:</w:t>
            </w:r>
            <w:r w:rsidR="006C165E" w:rsidRPr="00D36ADD">
              <w:rPr>
                <w:rStyle w:val="Ohne"/>
                <w:i/>
                <w:iCs/>
              </w:rPr>
              <w:br/>
            </w:r>
            <w:hyperlink r:id="rId11" w:history="1"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C12</w:t>
              </w:r>
              <w:proofErr w:type="spellEnd"/>
              <w:r w:rsidR="00D222D4" w:rsidRPr="00D36ADD">
                <w:rPr>
                  <w:rStyle w:val="Hyperlink"/>
                  <w:i/>
                  <w:iCs/>
                </w:rPr>
                <w:t>/44</w:t>
              </w:r>
            </w:hyperlink>
            <w:r w:rsidR="00D222D4" w:rsidRPr="00D36ADD">
              <w:rPr>
                <w:i/>
                <w:iCs/>
              </w:rPr>
              <w:t xml:space="preserve"> (перв</w:t>
            </w:r>
            <w:r w:rsidR="005927D0" w:rsidRPr="00D36ADD">
              <w:rPr>
                <w:i/>
                <w:iCs/>
              </w:rPr>
              <w:t xml:space="preserve">ый ежегодный отчет </w:t>
            </w:r>
            <w:proofErr w:type="spellStart"/>
            <w:r w:rsidR="005927D0" w:rsidRPr="00D36ADD">
              <w:rPr>
                <w:i/>
                <w:iCs/>
              </w:rPr>
              <w:t>IMAC</w:t>
            </w:r>
            <w:proofErr w:type="spellEnd"/>
            <w:r w:rsidR="005927D0" w:rsidRPr="00D36ADD">
              <w:rPr>
                <w:i/>
                <w:iCs/>
              </w:rPr>
              <w:t xml:space="preserve"> Совету);</w:t>
            </w:r>
            <w:r w:rsidR="005927D0" w:rsidRPr="00D36ADD">
              <w:rPr>
                <w:i/>
                <w:iCs/>
              </w:rPr>
              <w:br/>
            </w:r>
            <w:hyperlink r:id="rId12" w:history="1"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C13</w:t>
              </w:r>
              <w:proofErr w:type="spellEnd"/>
              <w:r w:rsidR="00D222D4" w:rsidRPr="00D36ADD">
                <w:rPr>
                  <w:rStyle w:val="Hyperlink"/>
                  <w:i/>
                  <w:iCs/>
                </w:rPr>
                <w:t xml:space="preserve">/65 + </w:t>
              </w:r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Corr.1</w:t>
              </w:r>
              <w:proofErr w:type="spellEnd"/>
            </w:hyperlink>
            <w:r w:rsidR="00D222D4" w:rsidRPr="00D36ADD">
              <w:rPr>
                <w:i/>
                <w:iCs/>
              </w:rPr>
              <w:t xml:space="preserve"> (второй ежегодный отчет </w:t>
            </w:r>
            <w:proofErr w:type="spellStart"/>
            <w:r w:rsidR="00D222D4" w:rsidRPr="00D36ADD">
              <w:rPr>
                <w:i/>
                <w:iCs/>
              </w:rPr>
              <w:t>IMAC</w:t>
            </w:r>
            <w:proofErr w:type="spellEnd"/>
            <w:r w:rsidR="00D222D4" w:rsidRPr="00D36ADD">
              <w:rPr>
                <w:i/>
                <w:iCs/>
              </w:rPr>
              <w:t xml:space="preserve"> Совету)</w:t>
            </w:r>
            <w:r w:rsidR="005927D0" w:rsidRPr="00D36ADD">
              <w:rPr>
                <w:i/>
                <w:iCs/>
              </w:rPr>
              <w:t>;</w:t>
            </w:r>
            <w:r w:rsidR="005927D0" w:rsidRPr="00D36ADD">
              <w:rPr>
                <w:i/>
                <w:iCs/>
              </w:rPr>
              <w:br/>
            </w:r>
            <w:hyperlink r:id="rId13" w:history="1"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C14</w:t>
              </w:r>
              <w:proofErr w:type="spellEnd"/>
              <w:r w:rsidR="00D222D4" w:rsidRPr="00D36ADD">
                <w:rPr>
                  <w:rStyle w:val="Hyperlink"/>
                  <w:i/>
                  <w:iCs/>
                </w:rPr>
                <w:t xml:space="preserve">/22 + </w:t>
              </w:r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Add.1</w:t>
              </w:r>
              <w:proofErr w:type="spellEnd"/>
            </w:hyperlink>
            <w:r w:rsidR="00D222D4" w:rsidRPr="00D36ADD">
              <w:rPr>
                <w:i/>
                <w:iCs/>
              </w:rPr>
              <w:t xml:space="preserve"> (третий ежегодный отчет </w:t>
            </w:r>
            <w:proofErr w:type="spellStart"/>
            <w:r w:rsidR="00D222D4" w:rsidRPr="00D36ADD">
              <w:rPr>
                <w:i/>
                <w:iCs/>
              </w:rPr>
              <w:t>IMAC</w:t>
            </w:r>
            <w:proofErr w:type="spellEnd"/>
            <w:r w:rsidR="00D222D4" w:rsidRPr="00D36ADD">
              <w:rPr>
                <w:i/>
                <w:iCs/>
              </w:rPr>
              <w:t xml:space="preserve"> Совету)</w:t>
            </w:r>
            <w:r w:rsidR="005927D0" w:rsidRPr="00D36ADD">
              <w:rPr>
                <w:i/>
                <w:iCs/>
              </w:rPr>
              <w:t>;</w:t>
            </w:r>
            <w:r w:rsidR="005927D0" w:rsidRPr="00D36ADD">
              <w:rPr>
                <w:i/>
                <w:iCs/>
              </w:rPr>
              <w:br/>
            </w:r>
            <w:hyperlink r:id="rId14" w:history="1"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C15</w:t>
              </w:r>
              <w:proofErr w:type="spellEnd"/>
              <w:r w:rsidR="00D222D4" w:rsidRPr="00D36ADD">
                <w:rPr>
                  <w:rStyle w:val="Hyperlink"/>
                  <w:i/>
                  <w:iCs/>
                </w:rPr>
                <w:t xml:space="preserve">/22 + </w:t>
              </w:r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Add.1</w:t>
              </w:r>
              <w:proofErr w:type="spellEnd"/>
              <w:r w:rsidR="00D222D4" w:rsidRPr="00D36ADD">
                <w:rPr>
                  <w:rStyle w:val="Hyperlink"/>
                  <w:i/>
                  <w:iCs/>
                </w:rPr>
                <w:t>−2</w:t>
              </w:r>
            </w:hyperlink>
            <w:r w:rsidR="00D222D4" w:rsidRPr="00D36ADD">
              <w:rPr>
                <w:i/>
                <w:iCs/>
              </w:rPr>
              <w:t xml:space="preserve"> (четвертый ежегодный отчет </w:t>
            </w:r>
            <w:proofErr w:type="spellStart"/>
            <w:r w:rsidR="00D222D4" w:rsidRPr="00D36ADD">
              <w:rPr>
                <w:i/>
                <w:iCs/>
              </w:rPr>
              <w:t>IMAC</w:t>
            </w:r>
            <w:proofErr w:type="spellEnd"/>
            <w:r w:rsidR="00D222D4" w:rsidRPr="00D36ADD">
              <w:rPr>
                <w:i/>
                <w:iCs/>
              </w:rPr>
              <w:t xml:space="preserve"> Совету)</w:t>
            </w:r>
            <w:r w:rsidR="005927D0" w:rsidRPr="00D36ADD">
              <w:rPr>
                <w:i/>
                <w:iCs/>
              </w:rPr>
              <w:t>;</w:t>
            </w:r>
            <w:r w:rsidR="005927D0" w:rsidRPr="00D36ADD">
              <w:rPr>
                <w:i/>
                <w:iCs/>
              </w:rPr>
              <w:br/>
            </w:r>
            <w:hyperlink r:id="rId15" w:history="1"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C16</w:t>
              </w:r>
              <w:proofErr w:type="spellEnd"/>
              <w:r w:rsidR="00D222D4" w:rsidRPr="00D36ADD">
                <w:rPr>
                  <w:rStyle w:val="Hyperlink"/>
                  <w:i/>
                  <w:iCs/>
                </w:rPr>
                <w:t xml:space="preserve">/22 + </w:t>
              </w:r>
              <w:proofErr w:type="spellStart"/>
              <w:r w:rsidR="00D222D4" w:rsidRPr="00D36ADD">
                <w:rPr>
                  <w:rStyle w:val="Hyperlink"/>
                  <w:i/>
                  <w:iCs/>
                </w:rPr>
                <w:t>Add.1</w:t>
              </w:r>
              <w:proofErr w:type="spellEnd"/>
            </w:hyperlink>
            <w:r w:rsidR="00D222D4" w:rsidRPr="00D36ADD">
              <w:rPr>
                <w:i/>
                <w:iCs/>
              </w:rPr>
              <w:t xml:space="preserve"> (пятый ежегодный отчет </w:t>
            </w:r>
            <w:proofErr w:type="spellStart"/>
            <w:r w:rsidR="00D222D4" w:rsidRPr="00D36ADD">
              <w:rPr>
                <w:i/>
                <w:iCs/>
              </w:rPr>
              <w:t>IMAC</w:t>
            </w:r>
            <w:proofErr w:type="spellEnd"/>
            <w:r w:rsidR="00D222D4" w:rsidRPr="00D36ADD">
              <w:rPr>
                <w:i/>
                <w:iCs/>
              </w:rPr>
              <w:t xml:space="preserve"> Совету)</w:t>
            </w:r>
            <w:r w:rsidR="005927D0" w:rsidRPr="00D36ADD">
              <w:rPr>
                <w:i/>
                <w:iCs/>
              </w:rPr>
              <w:t>;</w:t>
            </w:r>
            <w:r w:rsidR="005927D0" w:rsidRPr="00D36ADD">
              <w:rPr>
                <w:i/>
                <w:iCs/>
              </w:rPr>
              <w:br/>
            </w:r>
            <w:hyperlink r:id="rId16" w:history="1">
              <w:proofErr w:type="spellStart"/>
              <w:r w:rsidR="005927D0" w:rsidRPr="00D36AD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</w:t>
              </w:r>
              <w:proofErr w:type="spellEnd"/>
              <w:r w:rsidR="005927D0" w:rsidRPr="00D36AD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/22</w:t>
              </w:r>
            </w:hyperlink>
            <w:r w:rsidR="005927D0" w:rsidRPr="00D36ADD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</w:rPr>
              <w:t xml:space="preserve"> </w:t>
            </w:r>
            <w:r w:rsidR="005927D0" w:rsidRPr="00D36ADD">
              <w:rPr>
                <w:i/>
                <w:iCs/>
              </w:rPr>
              <w:t xml:space="preserve">(шестой ежегодный отчет </w:t>
            </w:r>
            <w:proofErr w:type="spellStart"/>
            <w:r w:rsidR="005927D0" w:rsidRPr="00D36ADD">
              <w:rPr>
                <w:i/>
                <w:iCs/>
              </w:rPr>
              <w:t>IMAC</w:t>
            </w:r>
            <w:proofErr w:type="spellEnd"/>
            <w:r w:rsidR="005927D0" w:rsidRPr="00D36ADD">
              <w:rPr>
                <w:i/>
                <w:iCs/>
              </w:rPr>
              <w:t xml:space="preserve"> Совету)</w:t>
            </w:r>
            <w:r w:rsidR="004D631B" w:rsidRPr="00D36ADD">
              <w:rPr>
                <w:i/>
                <w:iCs/>
              </w:rPr>
              <w:t>;</w:t>
            </w:r>
            <w:r w:rsidR="00141998" w:rsidRPr="00D36ADD">
              <w:rPr>
                <w:i/>
                <w:iCs/>
              </w:rPr>
              <w:br/>
            </w:r>
            <w:hyperlink r:id="rId17" w:history="1">
              <w:proofErr w:type="spellStart"/>
              <w:r w:rsidR="00141998" w:rsidRPr="00D36ADD">
                <w:rPr>
                  <w:rStyle w:val="Hyperlink1"/>
                  <w:lang w:val="ru-RU"/>
                </w:rPr>
                <w:t>C18</w:t>
              </w:r>
              <w:proofErr w:type="spellEnd"/>
              <w:r w:rsidR="00141998" w:rsidRPr="00D36ADD">
                <w:rPr>
                  <w:rStyle w:val="Hyperlink1"/>
                  <w:lang w:val="ru-RU"/>
                </w:rPr>
                <w:t xml:space="preserve">/22 + </w:t>
              </w:r>
              <w:proofErr w:type="spellStart"/>
              <w:r w:rsidR="00141998" w:rsidRPr="00D36ADD">
                <w:rPr>
                  <w:rStyle w:val="Hyperlink1"/>
                  <w:lang w:val="ru-RU"/>
                </w:rPr>
                <w:t>Add.1</w:t>
              </w:r>
              <w:proofErr w:type="spellEnd"/>
            </w:hyperlink>
            <w:r w:rsidR="00141998" w:rsidRPr="00D36ADD">
              <w:rPr>
                <w:rStyle w:val="Ohne"/>
                <w:i/>
                <w:iCs/>
              </w:rPr>
              <w:t xml:space="preserve"> (седьмой ежегодный отчет </w:t>
            </w:r>
            <w:proofErr w:type="spellStart"/>
            <w:r w:rsidR="00141998" w:rsidRPr="00D36ADD">
              <w:rPr>
                <w:rStyle w:val="Ohne"/>
                <w:i/>
                <w:iCs/>
              </w:rPr>
              <w:t>IMAC</w:t>
            </w:r>
            <w:proofErr w:type="spellEnd"/>
            <w:r w:rsidR="00141998" w:rsidRPr="00D36ADD">
              <w:rPr>
                <w:rStyle w:val="Ohne"/>
                <w:i/>
                <w:iCs/>
              </w:rPr>
              <w:t xml:space="preserve"> Совету)</w:t>
            </w:r>
            <w:r w:rsidR="004D631B" w:rsidRPr="00D36ADD">
              <w:rPr>
                <w:rStyle w:val="Ohne"/>
                <w:i/>
                <w:iCs/>
              </w:rPr>
              <w:t>;</w:t>
            </w:r>
            <w:r w:rsidR="006C165E" w:rsidRPr="00D36ADD">
              <w:rPr>
                <w:rStyle w:val="Ohne"/>
                <w:i/>
                <w:iCs/>
              </w:rPr>
              <w:br/>
            </w:r>
            <w:hyperlink r:id="rId18" w:history="1">
              <w:proofErr w:type="spellStart"/>
              <w:r w:rsidR="006C165E" w:rsidRPr="00D36ADD">
                <w:rPr>
                  <w:rStyle w:val="Hyperlink1"/>
                  <w:lang w:val="ru-RU"/>
                </w:rPr>
                <w:t>C19</w:t>
              </w:r>
              <w:proofErr w:type="spellEnd"/>
              <w:r w:rsidR="006C165E" w:rsidRPr="00D36ADD">
                <w:rPr>
                  <w:rStyle w:val="Hyperlink1"/>
                  <w:lang w:val="ru-RU"/>
                </w:rPr>
                <w:t>/22</w:t>
              </w:r>
            </w:hyperlink>
            <w:r w:rsidR="006C165E" w:rsidRPr="00D36ADD">
              <w:rPr>
                <w:rStyle w:val="Ohne"/>
                <w:i/>
                <w:iCs/>
              </w:rPr>
              <w:t xml:space="preserve"> (восьмой ежегодный отчет </w:t>
            </w:r>
            <w:proofErr w:type="spellStart"/>
            <w:r w:rsidR="006C165E" w:rsidRPr="00D36ADD">
              <w:rPr>
                <w:rStyle w:val="Ohne"/>
                <w:i/>
                <w:iCs/>
              </w:rPr>
              <w:t>IMAC</w:t>
            </w:r>
            <w:proofErr w:type="spellEnd"/>
            <w:r w:rsidR="006C165E" w:rsidRPr="00D36ADD">
              <w:rPr>
                <w:rStyle w:val="Ohne"/>
                <w:i/>
                <w:iCs/>
              </w:rPr>
              <w:t xml:space="preserve"> Совету)</w:t>
            </w:r>
          </w:p>
        </w:tc>
      </w:tr>
    </w:tbl>
    <w:p w14:paraId="2D689FEC" w14:textId="6A545068" w:rsidR="005927D0" w:rsidRPr="00D36ADD" w:rsidRDefault="005927D0" w:rsidP="0052695D">
      <w:pPr>
        <w:pStyle w:val="Heading1"/>
      </w:pPr>
      <w:r w:rsidRPr="00D36ADD">
        <w:t>1</w:t>
      </w:r>
      <w:r w:rsidRPr="00D36ADD">
        <w:tab/>
      </w:r>
      <w:r w:rsidR="00BA43EE" w:rsidRPr="00D36ADD">
        <w:t>Введение</w:t>
      </w:r>
    </w:p>
    <w:p w14:paraId="21CBE54C" w14:textId="34452DF7" w:rsidR="005927D0" w:rsidRPr="00D36ADD" w:rsidRDefault="005927D0" w:rsidP="0052695D">
      <w:pPr>
        <w:keepNext/>
        <w:keepLines/>
      </w:pPr>
      <w:r w:rsidRPr="00D36ADD">
        <w:t>1.1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выступает в </w:t>
      </w:r>
      <w:r w:rsidR="00CD5E77" w:rsidRPr="00D36ADD">
        <w:t xml:space="preserve">качестве </w:t>
      </w:r>
      <w:r w:rsidR="00141998" w:rsidRPr="00D36ADD">
        <w:t>независимо</w:t>
      </w:r>
      <w:r w:rsidR="00CD5E77" w:rsidRPr="00D36ADD">
        <w:t>го</w:t>
      </w:r>
      <w:r w:rsidR="00141998" w:rsidRPr="00D36ADD">
        <w:t xml:space="preserve"> </w:t>
      </w:r>
      <w:r w:rsidRPr="00D36ADD">
        <w:t>экспертно-консультативно</w:t>
      </w:r>
      <w:r w:rsidR="00CD5E77" w:rsidRPr="00D36ADD">
        <w:t>го органа</w:t>
      </w:r>
      <w:r w:rsidR="00A15317" w:rsidRPr="00D36ADD">
        <w:t>,</w:t>
      </w:r>
      <w:r w:rsidRPr="00D36ADD">
        <w:t xml:space="preserve"> </w:t>
      </w:r>
      <w:r w:rsidR="00007BD8" w:rsidRPr="00D36ADD">
        <w:t xml:space="preserve">и </w:t>
      </w:r>
      <w:r w:rsidR="00CD5E77" w:rsidRPr="00D36ADD">
        <w:t>его</w:t>
      </w:r>
      <w:r w:rsidR="00007BD8" w:rsidRPr="00D36ADD">
        <w:t xml:space="preserve"> цель</w:t>
      </w:r>
      <w:r w:rsidR="00CD5E77" w:rsidRPr="00D36ADD">
        <w:t xml:space="preserve"> заключается в</w:t>
      </w:r>
      <w:r w:rsidRPr="00D36ADD">
        <w:t xml:space="preserve"> </w:t>
      </w:r>
      <w:r w:rsidR="00CD5E77" w:rsidRPr="00D36ADD">
        <w:t>оказании</w:t>
      </w:r>
      <w:r w:rsidRPr="00D36ADD">
        <w:t xml:space="preserve"> </w:t>
      </w:r>
      <w:r w:rsidR="00CD5E77" w:rsidRPr="00D36ADD">
        <w:t xml:space="preserve">содействия </w:t>
      </w:r>
      <w:r w:rsidR="002438AA" w:rsidRPr="00D36ADD">
        <w:t xml:space="preserve">Совету и Генеральному секретарю </w:t>
      </w:r>
      <w:r w:rsidRPr="00D36ADD">
        <w:t xml:space="preserve">в выполнении ими </w:t>
      </w:r>
      <w:r w:rsidR="00063D14" w:rsidRPr="00D36ADD">
        <w:t xml:space="preserve">своих </w:t>
      </w:r>
      <w:r w:rsidRPr="00D36ADD">
        <w:t xml:space="preserve">функций </w:t>
      </w:r>
      <w:r w:rsidR="00063D14" w:rsidRPr="00D36ADD">
        <w:t xml:space="preserve">по </w:t>
      </w:r>
      <w:r w:rsidR="007F75DA" w:rsidRPr="00D36ADD">
        <w:t>управлени</w:t>
      </w:r>
      <w:r w:rsidR="00063D14" w:rsidRPr="00D36ADD">
        <w:t>ю</w:t>
      </w:r>
      <w:r w:rsidRPr="00D36ADD">
        <w:t xml:space="preserve"> финансовой отчетност</w:t>
      </w:r>
      <w:r w:rsidR="007F75DA" w:rsidRPr="00D36ADD">
        <w:t>ью</w:t>
      </w:r>
      <w:r w:rsidRPr="00D36ADD">
        <w:t>, механизм</w:t>
      </w:r>
      <w:r w:rsidR="007F75DA" w:rsidRPr="00D36ADD">
        <w:t>ами</w:t>
      </w:r>
      <w:r w:rsidRPr="00D36ADD">
        <w:t xml:space="preserve"> внутреннего контроля, процедур</w:t>
      </w:r>
      <w:r w:rsidR="007F75DA" w:rsidRPr="00D36ADD">
        <w:t>ами</w:t>
      </w:r>
      <w:r w:rsidRPr="00D36ADD">
        <w:t xml:space="preserve"> управления рисками и процесс</w:t>
      </w:r>
      <w:r w:rsidR="007F75DA" w:rsidRPr="00D36ADD">
        <w:t>ами</w:t>
      </w:r>
      <w:r w:rsidRPr="00D36ADD">
        <w:t xml:space="preserve"> руководства, а также по другим связанным с аудитом вопросам, указанным в круге ведения </w:t>
      </w:r>
      <w:proofErr w:type="spellStart"/>
      <w:r w:rsidRPr="00D36ADD">
        <w:t>IMAC</w:t>
      </w:r>
      <w:proofErr w:type="spellEnd"/>
      <w:r w:rsidRPr="00D36ADD">
        <w:t xml:space="preserve">. </w:t>
      </w:r>
      <w:r w:rsidR="00D279DD" w:rsidRPr="00D36ADD">
        <w:t>Таким образом,</w:t>
      </w:r>
      <w:r w:rsidRPr="00D36ADD">
        <w:t xml:space="preserve"> </w:t>
      </w:r>
      <w:proofErr w:type="spellStart"/>
      <w:r w:rsidRPr="00D36ADD">
        <w:t>IMAC</w:t>
      </w:r>
      <w:proofErr w:type="spellEnd"/>
      <w:r w:rsidRPr="00D36ADD">
        <w:t xml:space="preserve"> содействует повышению прозрачности, укреплению функций подотчетности и </w:t>
      </w:r>
      <w:r w:rsidR="00D279DD" w:rsidRPr="00D36ADD">
        <w:t>поддержанию</w:t>
      </w:r>
      <w:r w:rsidRPr="00D36ADD">
        <w:t xml:space="preserve"> надлежащего управления. </w:t>
      </w:r>
      <w:proofErr w:type="spellStart"/>
      <w:r w:rsidRPr="00D36ADD">
        <w:t>IMAC</w:t>
      </w:r>
      <w:proofErr w:type="spellEnd"/>
      <w:r w:rsidRPr="00D36ADD">
        <w:t xml:space="preserve"> не проводит аудит</w:t>
      </w:r>
      <w:r w:rsidR="00063D14" w:rsidRPr="00D36ADD">
        <w:t>орск</w:t>
      </w:r>
      <w:r w:rsidR="00084A24" w:rsidRPr="00D36ADD">
        <w:t>их</w:t>
      </w:r>
      <w:r w:rsidR="00063D14" w:rsidRPr="00D36ADD">
        <w:t xml:space="preserve"> провер</w:t>
      </w:r>
      <w:r w:rsidR="00084A24" w:rsidRPr="00D36ADD">
        <w:t>о</w:t>
      </w:r>
      <w:r w:rsidR="00063D14" w:rsidRPr="00D36ADD">
        <w:t>к</w:t>
      </w:r>
      <w:r w:rsidRPr="00D36ADD">
        <w:t xml:space="preserve"> и не дублирует какие-либо исполнительные или</w:t>
      </w:r>
      <w:r w:rsidR="00D279DD" w:rsidRPr="00D36ADD">
        <w:t xml:space="preserve"> </w:t>
      </w:r>
      <w:r w:rsidRPr="00D36ADD">
        <w:t xml:space="preserve">аудиторские </w:t>
      </w:r>
      <w:r w:rsidR="00D279DD" w:rsidRPr="00D36ADD">
        <w:t xml:space="preserve">внутренние или внешние </w:t>
      </w:r>
      <w:r w:rsidRPr="00D36ADD">
        <w:t xml:space="preserve">функции, </w:t>
      </w:r>
      <w:r w:rsidR="00161447" w:rsidRPr="00D36ADD">
        <w:t>но</w:t>
      </w:r>
      <w:r w:rsidRPr="00D36ADD">
        <w:t xml:space="preserve"> </w:t>
      </w:r>
      <w:r w:rsidR="00D279DD" w:rsidRPr="00D36ADD">
        <w:t>помогает</w:t>
      </w:r>
      <w:r w:rsidRPr="00D36ADD">
        <w:t xml:space="preserve"> обеспеч</w:t>
      </w:r>
      <w:r w:rsidR="00D279DD" w:rsidRPr="00D36ADD">
        <w:t>ить</w:t>
      </w:r>
      <w:r w:rsidRPr="00D36ADD">
        <w:t xml:space="preserve"> наилучше</w:t>
      </w:r>
      <w:r w:rsidR="00D279DD" w:rsidRPr="00D36ADD">
        <w:t>е</w:t>
      </w:r>
      <w:r w:rsidRPr="00D36ADD">
        <w:t xml:space="preserve"> использовани</w:t>
      </w:r>
      <w:r w:rsidR="003273C3" w:rsidRPr="00D36ADD">
        <w:t xml:space="preserve">е </w:t>
      </w:r>
      <w:r w:rsidRPr="00D36ADD">
        <w:t xml:space="preserve">аудита и других ресурсов в общих рамках обеспечения </w:t>
      </w:r>
      <w:r w:rsidR="00063D14" w:rsidRPr="00D36ADD">
        <w:t xml:space="preserve">деятельности </w:t>
      </w:r>
      <w:r w:rsidRPr="00D36ADD">
        <w:t>МСЭ.</w:t>
      </w:r>
    </w:p>
    <w:p w14:paraId="062DF24A" w14:textId="02BB620B" w:rsidR="00BA43EE" w:rsidRPr="00D36ADD" w:rsidRDefault="00BA43EE" w:rsidP="00216F64">
      <w:pPr>
        <w:pStyle w:val="Heading1"/>
        <w:spacing w:before="300"/>
      </w:pPr>
      <w:r w:rsidRPr="00D36ADD">
        <w:t>2</w:t>
      </w:r>
      <w:r w:rsidRPr="00D36ADD">
        <w:tab/>
      </w:r>
      <w:r w:rsidR="003273C3" w:rsidRPr="00D36ADD">
        <w:t>Членский состав и деятельность</w:t>
      </w:r>
      <w:r w:rsidRPr="00D36ADD">
        <w:t xml:space="preserve"> </w:t>
      </w:r>
      <w:proofErr w:type="spellStart"/>
      <w:r w:rsidRPr="00D36ADD">
        <w:t>IMAC</w:t>
      </w:r>
      <w:proofErr w:type="spellEnd"/>
    </w:p>
    <w:p w14:paraId="2BB4BCC1" w14:textId="3E4B8677" w:rsidR="00BA43EE" w:rsidRPr="00D36ADD" w:rsidRDefault="00BA43EE" w:rsidP="00BA43EE">
      <w:pPr>
        <w:keepNext/>
        <w:keepLines/>
      </w:pPr>
      <w:r w:rsidRPr="00D36ADD">
        <w:t>2.1</w:t>
      </w:r>
      <w:r w:rsidRPr="00D36ADD">
        <w:tab/>
      </w:r>
      <w:r w:rsidR="00216F64" w:rsidRPr="00D36ADD">
        <w:t>В настоящее время</w:t>
      </w:r>
      <w:r w:rsidR="00DC53A0" w:rsidRPr="00D36ADD">
        <w:t xml:space="preserve"> состав </w:t>
      </w:r>
      <w:proofErr w:type="spellStart"/>
      <w:r w:rsidR="00DC53A0" w:rsidRPr="00D36ADD">
        <w:t>IMAC</w:t>
      </w:r>
      <w:proofErr w:type="spellEnd"/>
      <w:r w:rsidR="00DC53A0" w:rsidRPr="00D36ADD">
        <w:t xml:space="preserve"> </w:t>
      </w:r>
      <w:r w:rsidR="00216F64" w:rsidRPr="00D36ADD">
        <w:t>образуют</w:t>
      </w:r>
      <w:r w:rsidR="00DC53A0" w:rsidRPr="00D36ADD">
        <w:t xml:space="preserve"> члены, назначенные сессией Совета 2019</w:t>
      </w:r>
      <w:r w:rsidR="00216F64" w:rsidRPr="00D36ADD">
        <w:t> </w:t>
      </w:r>
      <w:r w:rsidR="00DC53A0" w:rsidRPr="00D36ADD">
        <w:t>года (</w:t>
      </w:r>
      <w:r w:rsidR="00DC53A0" w:rsidRPr="00D36ADD">
        <w:rPr>
          <w:i/>
          <w:iCs/>
        </w:rPr>
        <w:t xml:space="preserve">Решение 615 − </w:t>
      </w:r>
      <w:r w:rsidR="003273C3" w:rsidRPr="00D36ADD">
        <w:rPr>
          <w:i/>
          <w:iCs/>
        </w:rPr>
        <w:t>Назначение членов Независимого консультативного комитета по управлению (</w:t>
      </w:r>
      <w:proofErr w:type="spellStart"/>
      <w:r w:rsidR="003273C3" w:rsidRPr="00D36ADD">
        <w:rPr>
          <w:i/>
          <w:iCs/>
        </w:rPr>
        <w:t>IMAC</w:t>
      </w:r>
      <w:proofErr w:type="spellEnd"/>
      <w:r w:rsidR="003273C3" w:rsidRPr="00D36ADD">
        <w:rPr>
          <w:i/>
          <w:iCs/>
        </w:rPr>
        <w:t>)</w:t>
      </w:r>
      <w:r w:rsidR="00DC53A0" w:rsidRPr="00D36ADD">
        <w:t>)</w:t>
      </w:r>
      <w:r w:rsidR="002438AA" w:rsidRPr="00D36ADD">
        <w:t xml:space="preserve">; таким образом, </w:t>
      </w:r>
      <w:r w:rsidR="00DC53A0" w:rsidRPr="00D36ADD">
        <w:t>по состоянию на 1 января 2020 года</w:t>
      </w:r>
      <w:r w:rsidR="004769FD" w:rsidRPr="00D36ADD">
        <w:t xml:space="preserve"> членами Комитета являются:</w:t>
      </w:r>
    </w:p>
    <w:p w14:paraId="4FB9F09C" w14:textId="61CE3B50" w:rsidR="00BA43EE" w:rsidRPr="00D36ADD" w:rsidRDefault="00BA43EE" w:rsidP="00216F64">
      <w:pPr>
        <w:pStyle w:val="enumlev1"/>
        <w:spacing w:before="20"/>
      </w:pPr>
      <w:r w:rsidRPr="00D36ADD">
        <w:t>−</w:t>
      </w:r>
      <w:r w:rsidRPr="00D36ADD">
        <w:tab/>
        <w:t xml:space="preserve">г-н </w:t>
      </w:r>
      <w:proofErr w:type="spellStart"/>
      <w:r w:rsidR="004769FD" w:rsidRPr="00D36ADD">
        <w:t>Камлеш</w:t>
      </w:r>
      <w:proofErr w:type="spellEnd"/>
      <w:r w:rsidR="004769FD" w:rsidRPr="00D36ADD">
        <w:t xml:space="preserve"> </w:t>
      </w:r>
      <w:proofErr w:type="spellStart"/>
      <w:r w:rsidR="004769FD" w:rsidRPr="00D36ADD">
        <w:t>Викамсей</w:t>
      </w:r>
      <w:proofErr w:type="spellEnd"/>
      <w:r w:rsidR="004769FD" w:rsidRPr="00D36ADD">
        <w:t xml:space="preserve"> </w:t>
      </w:r>
      <w:r w:rsidRPr="00D36ADD">
        <w:t>(</w:t>
      </w:r>
      <w:r w:rsidR="00D36ADD" w:rsidRPr="00D36ADD">
        <w:t>председатель</w:t>
      </w:r>
      <w:r w:rsidRPr="00D36ADD">
        <w:t>)</w:t>
      </w:r>
      <w:r w:rsidR="004D631B" w:rsidRPr="00D36ADD">
        <w:t>;</w:t>
      </w:r>
    </w:p>
    <w:p w14:paraId="2B5068DD" w14:textId="1F3B8572" w:rsidR="00BA43EE" w:rsidRPr="00D36ADD" w:rsidRDefault="00BA43EE" w:rsidP="00216F64">
      <w:pPr>
        <w:pStyle w:val="enumlev1"/>
        <w:spacing w:before="20"/>
      </w:pPr>
      <w:r w:rsidRPr="00D36ADD">
        <w:t>−</w:t>
      </w:r>
      <w:r w:rsidRPr="00D36ADD">
        <w:tab/>
        <w:t xml:space="preserve">г-жа </w:t>
      </w:r>
      <w:r w:rsidR="004769FD" w:rsidRPr="00D36ADD">
        <w:t>Сара Хаммер</w:t>
      </w:r>
      <w:r w:rsidR="004D631B" w:rsidRPr="00D36ADD">
        <w:t>;</w:t>
      </w:r>
    </w:p>
    <w:p w14:paraId="46D3B81B" w14:textId="497B20DC" w:rsidR="00BA43EE" w:rsidRPr="00D36ADD" w:rsidRDefault="00BA43EE" w:rsidP="00216F64">
      <w:pPr>
        <w:pStyle w:val="enumlev1"/>
        <w:spacing w:before="20"/>
      </w:pPr>
      <w:r w:rsidRPr="00D36ADD">
        <w:t>−</w:t>
      </w:r>
      <w:r w:rsidRPr="00D36ADD">
        <w:tab/>
        <w:t xml:space="preserve">г-н </w:t>
      </w:r>
      <w:r w:rsidR="004769FD" w:rsidRPr="00D36ADD">
        <w:t>Александр Нарукавников</w:t>
      </w:r>
      <w:r w:rsidR="004D631B" w:rsidRPr="00D36ADD">
        <w:t>;</w:t>
      </w:r>
    </w:p>
    <w:p w14:paraId="434ACB23" w14:textId="13A8657A" w:rsidR="00BA43EE" w:rsidRPr="00D36ADD" w:rsidRDefault="00BA43EE" w:rsidP="00216F64">
      <w:pPr>
        <w:pStyle w:val="enumlev1"/>
        <w:spacing w:before="20"/>
      </w:pPr>
      <w:r w:rsidRPr="00D36ADD">
        <w:t>−</w:t>
      </w:r>
      <w:r w:rsidRPr="00D36ADD">
        <w:tab/>
        <w:t xml:space="preserve">г-н </w:t>
      </w:r>
      <w:r w:rsidR="004769FD" w:rsidRPr="00D36ADD">
        <w:t xml:space="preserve">Оноре </w:t>
      </w:r>
      <w:proofErr w:type="spellStart"/>
      <w:r w:rsidR="004769FD" w:rsidRPr="00D36ADD">
        <w:t>Ндоко</w:t>
      </w:r>
      <w:proofErr w:type="spellEnd"/>
      <w:r w:rsidR="004D631B" w:rsidRPr="00D36ADD">
        <w:t>;</w:t>
      </w:r>
    </w:p>
    <w:p w14:paraId="275FC3B3" w14:textId="3E49ACB9" w:rsidR="00BA43EE" w:rsidRPr="00D36ADD" w:rsidRDefault="00BA43EE" w:rsidP="00216F64">
      <w:pPr>
        <w:pStyle w:val="enumlev1"/>
        <w:spacing w:before="20"/>
      </w:pPr>
      <w:r w:rsidRPr="00D36ADD">
        <w:t>−</w:t>
      </w:r>
      <w:r w:rsidRPr="00D36ADD">
        <w:tab/>
        <w:t xml:space="preserve">г-н </w:t>
      </w:r>
      <w:r w:rsidR="004769FD" w:rsidRPr="00D36ADD">
        <w:t>Хенрик Шнайдер</w:t>
      </w:r>
      <w:r w:rsidR="004D631B" w:rsidRPr="00D36ADD">
        <w:t>.</w:t>
      </w:r>
    </w:p>
    <w:p w14:paraId="4317F566" w14:textId="1C14DF0F" w:rsidR="00345097" w:rsidRPr="00D36ADD" w:rsidRDefault="00BA43EE" w:rsidP="00BA43EE">
      <w:r w:rsidRPr="00D36ADD">
        <w:lastRenderedPageBreak/>
        <w:t>2.2</w:t>
      </w:r>
      <w:r w:rsidRPr="00D36ADD">
        <w:tab/>
      </w:r>
      <w:r w:rsidR="0047705D" w:rsidRPr="00D36ADD">
        <w:t>Уходящие три</w:t>
      </w:r>
      <w:r w:rsidR="00C679B5" w:rsidRPr="00D36ADD">
        <w:t xml:space="preserve"> (3) член</w:t>
      </w:r>
      <w:r w:rsidR="0047705D" w:rsidRPr="00D36ADD">
        <w:t>а</w:t>
      </w:r>
      <w:r w:rsidR="00C679B5" w:rsidRPr="00D36ADD">
        <w:t xml:space="preserve"> Комитета</w:t>
      </w:r>
      <w:r w:rsidR="0047705D" w:rsidRPr="00D36ADD">
        <w:t xml:space="preserve"> первоначально были</w:t>
      </w:r>
      <w:r w:rsidR="00C679B5" w:rsidRPr="00D36ADD">
        <w:t xml:space="preserve"> назначен</w:t>
      </w:r>
      <w:r w:rsidR="0047705D" w:rsidRPr="00D36ADD">
        <w:t>ы</w:t>
      </w:r>
      <w:r w:rsidR="00C679B5" w:rsidRPr="00D36ADD">
        <w:t xml:space="preserve"> в 2012 году </w:t>
      </w:r>
      <w:r w:rsidR="00457308" w:rsidRPr="00D36ADD">
        <w:t>во время создания</w:t>
      </w:r>
      <w:r w:rsidR="00C679B5" w:rsidRPr="00D36ADD">
        <w:t xml:space="preserve"> </w:t>
      </w:r>
      <w:proofErr w:type="spellStart"/>
      <w:r w:rsidR="00C679B5" w:rsidRPr="00D36ADD">
        <w:t>IMAC</w:t>
      </w:r>
      <w:proofErr w:type="spellEnd"/>
      <w:r w:rsidR="00345097" w:rsidRPr="00D36ADD">
        <w:t>:</w:t>
      </w:r>
    </w:p>
    <w:p w14:paraId="4543799F" w14:textId="62BDAD15" w:rsidR="00345097" w:rsidRPr="00D36ADD" w:rsidRDefault="00345097" w:rsidP="00216F64">
      <w:pPr>
        <w:pStyle w:val="enumlev1"/>
        <w:spacing w:before="20"/>
      </w:pPr>
      <w:r w:rsidRPr="00D36ADD">
        <w:t>−</w:t>
      </w:r>
      <w:r w:rsidRPr="00D36ADD">
        <w:tab/>
        <w:t xml:space="preserve">д-р </w:t>
      </w:r>
      <w:r w:rsidR="0047705D" w:rsidRPr="00D36ADD">
        <w:t xml:space="preserve">Беате </w:t>
      </w:r>
      <w:proofErr w:type="spellStart"/>
      <w:r w:rsidRPr="00D36ADD">
        <w:t>Деген</w:t>
      </w:r>
      <w:proofErr w:type="spellEnd"/>
      <w:r w:rsidRPr="00D36ADD">
        <w:t>;</w:t>
      </w:r>
    </w:p>
    <w:p w14:paraId="77A82F0C" w14:textId="1AE44A6E" w:rsidR="00345097" w:rsidRPr="00D36ADD" w:rsidRDefault="00345097" w:rsidP="00216F64">
      <w:pPr>
        <w:pStyle w:val="enumlev1"/>
        <w:spacing w:before="20"/>
      </w:pPr>
      <w:r w:rsidRPr="00D36ADD">
        <w:t>−</w:t>
      </w:r>
      <w:r w:rsidRPr="00D36ADD">
        <w:tab/>
        <w:t xml:space="preserve">г-н </w:t>
      </w:r>
      <w:proofErr w:type="spellStart"/>
      <w:r w:rsidR="0047705D" w:rsidRPr="00D36ADD">
        <w:t>Абдессалам</w:t>
      </w:r>
      <w:proofErr w:type="spellEnd"/>
      <w:r w:rsidR="0047705D" w:rsidRPr="00D36ADD">
        <w:t xml:space="preserve"> </w:t>
      </w:r>
      <w:r w:rsidRPr="00D36ADD">
        <w:t>Эль-</w:t>
      </w:r>
      <w:proofErr w:type="spellStart"/>
      <w:r w:rsidRPr="00D36ADD">
        <w:t>Харуши</w:t>
      </w:r>
      <w:proofErr w:type="spellEnd"/>
      <w:r w:rsidRPr="00D36ADD">
        <w:t>;</w:t>
      </w:r>
    </w:p>
    <w:p w14:paraId="7556E18A" w14:textId="0B05DC47" w:rsidR="00345097" w:rsidRPr="00D36ADD" w:rsidRDefault="00345097" w:rsidP="00216F64">
      <w:pPr>
        <w:pStyle w:val="enumlev1"/>
        <w:spacing w:before="20"/>
      </w:pPr>
      <w:r w:rsidRPr="00D36ADD">
        <w:t>−</w:t>
      </w:r>
      <w:r w:rsidRPr="00D36ADD">
        <w:tab/>
        <w:t>г-н</w:t>
      </w:r>
      <w:r w:rsidR="0047705D" w:rsidRPr="00D36ADD">
        <w:t xml:space="preserve"> Грэм </w:t>
      </w:r>
      <w:r w:rsidRPr="00D36ADD">
        <w:t>Миллер.</w:t>
      </w:r>
    </w:p>
    <w:p w14:paraId="74470456" w14:textId="61684DC7" w:rsidR="00BA43EE" w:rsidRPr="00D36ADD" w:rsidRDefault="00345097" w:rsidP="00BA43EE">
      <w:r w:rsidRPr="00D36ADD">
        <w:t>2.3</w:t>
      </w:r>
      <w:r w:rsidRPr="00D36ADD">
        <w:tab/>
        <w:t xml:space="preserve">Двадцать четвертое собрание </w:t>
      </w:r>
      <w:proofErr w:type="spellStart"/>
      <w:r w:rsidRPr="00D36ADD">
        <w:t>IMAC</w:t>
      </w:r>
      <w:proofErr w:type="spellEnd"/>
      <w:r w:rsidRPr="00D36ADD">
        <w:t xml:space="preserve"> (состоявшееся в октябре 2019 г.) было последним собранием с участием </w:t>
      </w:r>
      <w:r w:rsidR="006C74C9" w:rsidRPr="00D36ADD">
        <w:t xml:space="preserve">этих </w:t>
      </w:r>
      <w:r w:rsidRPr="00D36ADD">
        <w:t xml:space="preserve">трех </w:t>
      </w:r>
      <w:r w:rsidR="006C74C9" w:rsidRPr="00D36ADD">
        <w:t xml:space="preserve">уходящих </w:t>
      </w:r>
      <w:r w:rsidRPr="00D36ADD">
        <w:t xml:space="preserve">членов, </w:t>
      </w:r>
      <w:r w:rsidR="006C74C9" w:rsidRPr="00D36ADD">
        <w:t xml:space="preserve">которые </w:t>
      </w:r>
      <w:r w:rsidR="00C679B5" w:rsidRPr="00D36ADD">
        <w:t xml:space="preserve">выразили благодарность и признательность Совету за возможность работать в Комитете и </w:t>
      </w:r>
      <w:r w:rsidR="00D569F4" w:rsidRPr="00D36ADD">
        <w:t xml:space="preserve">оказывать </w:t>
      </w:r>
      <w:r w:rsidR="00B96E17" w:rsidRPr="00D36ADD">
        <w:t>поддержку</w:t>
      </w:r>
      <w:r w:rsidR="00D569F4" w:rsidRPr="00D36ADD">
        <w:t xml:space="preserve"> МСЭ, а также Генеральному секретарю и </w:t>
      </w:r>
      <w:r w:rsidR="00216F64" w:rsidRPr="00D36ADD">
        <w:t xml:space="preserve">напряженно работающим </w:t>
      </w:r>
      <w:r w:rsidR="00D569F4" w:rsidRPr="00D36ADD">
        <w:t xml:space="preserve">сотрудникам </w:t>
      </w:r>
      <w:r w:rsidR="007C2E19" w:rsidRPr="00D36ADD">
        <w:t>С</w:t>
      </w:r>
      <w:r w:rsidR="00D569F4" w:rsidRPr="00D36ADD">
        <w:t xml:space="preserve">екретариата за их </w:t>
      </w:r>
      <w:r w:rsidR="00216F64" w:rsidRPr="00D36ADD">
        <w:t>неизменное</w:t>
      </w:r>
      <w:r w:rsidR="00D569F4" w:rsidRPr="00D36ADD">
        <w:t xml:space="preserve"> </w:t>
      </w:r>
      <w:r w:rsidR="00B96E17" w:rsidRPr="00D36ADD">
        <w:t>содействие</w:t>
      </w:r>
      <w:r w:rsidR="00D569F4" w:rsidRPr="00D36ADD">
        <w:t xml:space="preserve"> и </w:t>
      </w:r>
      <w:r w:rsidR="00216F64" w:rsidRPr="00D36ADD">
        <w:t>добрую волю</w:t>
      </w:r>
      <w:r w:rsidR="00D569F4" w:rsidRPr="00D36ADD">
        <w:t xml:space="preserve">, которые </w:t>
      </w:r>
      <w:r w:rsidR="00B96E17" w:rsidRPr="00D36ADD">
        <w:t>облегчали работу</w:t>
      </w:r>
      <w:r w:rsidR="00D569F4" w:rsidRPr="00D36ADD">
        <w:t xml:space="preserve"> </w:t>
      </w:r>
      <w:proofErr w:type="spellStart"/>
      <w:r w:rsidR="00D569F4" w:rsidRPr="00D36ADD">
        <w:t>IMAC</w:t>
      </w:r>
      <w:proofErr w:type="spellEnd"/>
      <w:r w:rsidR="00D569F4" w:rsidRPr="00D36ADD">
        <w:t>.</w:t>
      </w:r>
    </w:p>
    <w:p w14:paraId="7142B455" w14:textId="40BDFBE1" w:rsidR="00345097" w:rsidRPr="00D36ADD" w:rsidRDefault="00345097" w:rsidP="00BA43EE">
      <w:r w:rsidRPr="00D36ADD">
        <w:t>2.4</w:t>
      </w:r>
      <w:r w:rsidRPr="00D36ADD">
        <w:tab/>
      </w:r>
      <w:proofErr w:type="spellStart"/>
      <w:r w:rsidRPr="00D36ADD">
        <w:t>IMAC</w:t>
      </w:r>
      <w:proofErr w:type="spellEnd"/>
      <w:r w:rsidR="00007801" w:rsidRPr="00D36ADD">
        <w:t xml:space="preserve"> провел собрание в Женеве</w:t>
      </w:r>
      <w:r w:rsidRPr="00D36ADD">
        <w:t xml:space="preserve"> </w:t>
      </w:r>
      <w:r w:rsidR="00007801" w:rsidRPr="00D36ADD">
        <w:t>в октябре</w:t>
      </w:r>
      <w:r w:rsidRPr="00D36ADD">
        <w:t xml:space="preserve"> 2019</w:t>
      </w:r>
      <w:r w:rsidR="00007801" w:rsidRPr="00D36ADD">
        <w:t xml:space="preserve"> года в своем предыдущем составе и в новом составе – в феврале </w:t>
      </w:r>
      <w:r w:rsidRPr="00D36ADD">
        <w:t>2020</w:t>
      </w:r>
      <w:r w:rsidR="00007801" w:rsidRPr="00D36ADD">
        <w:t xml:space="preserve"> года и </w:t>
      </w:r>
      <w:r w:rsidR="007C2E19" w:rsidRPr="00D36ADD">
        <w:t xml:space="preserve">в июне и октябре 2020 года </w:t>
      </w:r>
      <w:r w:rsidR="00007801" w:rsidRPr="00D36ADD">
        <w:t>в виртуальном режиме</w:t>
      </w:r>
      <w:r w:rsidRPr="00D36ADD">
        <w:t>.</w:t>
      </w:r>
    </w:p>
    <w:p w14:paraId="637E5BA3" w14:textId="0540064B" w:rsidR="00BA43EE" w:rsidRPr="00D36ADD" w:rsidRDefault="00BA43EE" w:rsidP="00BA43EE">
      <w:r w:rsidRPr="00D36ADD">
        <w:t>2.</w:t>
      </w:r>
      <w:r w:rsidR="00345097" w:rsidRPr="00D36ADD">
        <w:t>5</w:t>
      </w:r>
      <w:r w:rsidRPr="00D36ADD">
        <w:tab/>
      </w:r>
      <w:r w:rsidR="00D569F4" w:rsidRPr="00D36ADD">
        <w:t xml:space="preserve">На собрании в виртуальном режиме, состоявшемся в июне 2020 года, члены Комитета назначили председателем г-на </w:t>
      </w:r>
      <w:proofErr w:type="spellStart"/>
      <w:r w:rsidR="00D569F4" w:rsidRPr="00D36ADD">
        <w:t>Камлеша</w:t>
      </w:r>
      <w:proofErr w:type="spellEnd"/>
      <w:r w:rsidR="00D569F4" w:rsidRPr="00D36ADD">
        <w:t xml:space="preserve"> </w:t>
      </w:r>
      <w:proofErr w:type="spellStart"/>
      <w:r w:rsidR="00D569F4" w:rsidRPr="00D36ADD">
        <w:t>Викамсея</w:t>
      </w:r>
      <w:proofErr w:type="spellEnd"/>
      <w:r w:rsidR="00D569F4" w:rsidRPr="00D36ADD">
        <w:t xml:space="preserve">, который будет выполнять </w:t>
      </w:r>
      <w:r w:rsidR="00EA5C62" w:rsidRPr="00D36ADD">
        <w:t>свои</w:t>
      </w:r>
      <w:r w:rsidR="00D569F4" w:rsidRPr="00D36ADD">
        <w:t xml:space="preserve"> функции </w:t>
      </w:r>
      <w:r w:rsidR="00EA5C62" w:rsidRPr="00D36ADD">
        <w:t xml:space="preserve">в этом качестве </w:t>
      </w:r>
      <w:r w:rsidR="00D569F4" w:rsidRPr="00D36ADD">
        <w:t>в течение двух лет</w:t>
      </w:r>
      <w:r w:rsidR="00EA5C62" w:rsidRPr="00D36ADD">
        <w:t xml:space="preserve"> согласно кругу ведения </w:t>
      </w:r>
      <w:proofErr w:type="spellStart"/>
      <w:r w:rsidR="00EA5C62" w:rsidRPr="00D36ADD">
        <w:t>IMAC</w:t>
      </w:r>
      <w:proofErr w:type="spellEnd"/>
      <w:r w:rsidR="00EA5C62" w:rsidRPr="00D36ADD">
        <w:t xml:space="preserve">. </w:t>
      </w:r>
    </w:p>
    <w:p w14:paraId="018E7AEC" w14:textId="5D250B26" w:rsidR="00BA43EE" w:rsidRPr="00D36ADD" w:rsidRDefault="00BA43EE" w:rsidP="00BA43EE">
      <w:r w:rsidRPr="00D36ADD">
        <w:t>2.</w:t>
      </w:r>
      <w:r w:rsidR="00345097" w:rsidRPr="00D36ADD">
        <w:t>6</w:t>
      </w:r>
      <w:r w:rsidRPr="00D36ADD">
        <w:tab/>
        <w:t xml:space="preserve">Со времени представления своего последнего ежегодного отчета Совету в 2019 году </w:t>
      </w:r>
      <w:proofErr w:type="spellStart"/>
      <w:r w:rsidRPr="00D36ADD">
        <w:t>IMAC</w:t>
      </w:r>
      <w:proofErr w:type="spellEnd"/>
      <w:r w:rsidRPr="00D36ADD">
        <w:t xml:space="preserve"> работал во всех сферах своей ответственности, включая внутренний аудит, управление рисками, внутренний контроль, оценку, этику, представление отчетов по проверенной финансовой отчетности организации и финансовых отчетов, а также внешний аудит.</w:t>
      </w:r>
    </w:p>
    <w:p w14:paraId="520E6921" w14:textId="2276A0AB" w:rsidR="00BA43EE" w:rsidRPr="00D36ADD" w:rsidRDefault="00BA43EE" w:rsidP="00BA43EE">
      <w:pPr>
        <w:rPr>
          <w:spacing w:val="-2"/>
        </w:rPr>
      </w:pPr>
      <w:r w:rsidRPr="00D36ADD">
        <w:t>2.</w:t>
      </w:r>
      <w:r w:rsidR="00345097" w:rsidRPr="00D36ADD">
        <w:t>7</w:t>
      </w:r>
      <w:r w:rsidRPr="00D36ADD">
        <w:tab/>
      </w:r>
      <w:r w:rsidR="00345097" w:rsidRPr="00D36ADD">
        <w:rPr>
          <w:spacing w:val="-2"/>
        </w:rPr>
        <w:t xml:space="preserve">Члены </w:t>
      </w:r>
      <w:proofErr w:type="spellStart"/>
      <w:r w:rsidRPr="00D36ADD">
        <w:rPr>
          <w:spacing w:val="-2"/>
        </w:rPr>
        <w:t>IMAC</w:t>
      </w:r>
      <w:proofErr w:type="spellEnd"/>
      <w:r w:rsidRPr="00D36ADD">
        <w:rPr>
          <w:spacing w:val="-2"/>
        </w:rPr>
        <w:t xml:space="preserve"> </w:t>
      </w:r>
      <w:r w:rsidR="007C2E19" w:rsidRPr="00D36ADD">
        <w:rPr>
          <w:spacing w:val="-2"/>
        </w:rPr>
        <w:t xml:space="preserve">приняли </w:t>
      </w:r>
      <w:r w:rsidRPr="00D36ADD">
        <w:rPr>
          <w:spacing w:val="-2"/>
        </w:rPr>
        <w:t>участ</w:t>
      </w:r>
      <w:r w:rsidR="007C2E19" w:rsidRPr="00D36ADD">
        <w:rPr>
          <w:spacing w:val="-2"/>
        </w:rPr>
        <w:t>ие</w:t>
      </w:r>
      <w:r w:rsidRPr="00D36ADD">
        <w:rPr>
          <w:spacing w:val="-2"/>
        </w:rPr>
        <w:t xml:space="preserve"> в собрании Рабочей группы Совета по финансовым и людским ресурсам (</w:t>
      </w:r>
      <w:proofErr w:type="spellStart"/>
      <w:r w:rsidRPr="00D36ADD">
        <w:rPr>
          <w:spacing w:val="-2"/>
        </w:rPr>
        <w:t>РГС-ФЛР</w:t>
      </w:r>
      <w:proofErr w:type="spellEnd"/>
      <w:r w:rsidRPr="00D36ADD">
        <w:rPr>
          <w:spacing w:val="-2"/>
        </w:rPr>
        <w:t>), состоявшемся 3 февраля 2020 года,</w:t>
      </w:r>
      <w:r w:rsidR="00EA5C62" w:rsidRPr="00D36ADD">
        <w:rPr>
          <w:spacing w:val="-2"/>
        </w:rPr>
        <w:t xml:space="preserve"> </w:t>
      </w:r>
      <w:r w:rsidR="00E61E24" w:rsidRPr="00D36ADD">
        <w:rPr>
          <w:spacing w:val="-2"/>
        </w:rPr>
        <w:t>на</w:t>
      </w:r>
      <w:r w:rsidR="00EA5C62" w:rsidRPr="00D36ADD">
        <w:rPr>
          <w:spacing w:val="-2"/>
        </w:rPr>
        <w:t xml:space="preserve"> которо</w:t>
      </w:r>
      <w:r w:rsidR="00E61E24" w:rsidRPr="00D36ADD">
        <w:rPr>
          <w:spacing w:val="-2"/>
        </w:rPr>
        <w:t>м</w:t>
      </w:r>
      <w:r w:rsidR="00EA5C62" w:rsidRPr="00D36ADD">
        <w:rPr>
          <w:spacing w:val="-2"/>
        </w:rPr>
        <w:t xml:space="preserve">, в частности, обсуждались </w:t>
      </w:r>
      <w:r w:rsidR="007C2E19" w:rsidRPr="00D36ADD">
        <w:rPr>
          <w:spacing w:val="-2"/>
        </w:rPr>
        <w:t>аспекты</w:t>
      </w:r>
      <w:r w:rsidR="00DB5C71" w:rsidRPr="00D36ADD">
        <w:rPr>
          <w:spacing w:val="-2"/>
        </w:rPr>
        <w:t xml:space="preserve"> </w:t>
      </w:r>
      <w:r w:rsidR="00EA5C62" w:rsidRPr="00D36ADD">
        <w:rPr>
          <w:spacing w:val="-2"/>
        </w:rPr>
        <w:t>управлени</w:t>
      </w:r>
      <w:r w:rsidR="00E61E24" w:rsidRPr="00D36ADD">
        <w:rPr>
          <w:spacing w:val="-2"/>
        </w:rPr>
        <w:t>я</w:t>
      </w:r>
      <w:r w:rsidR="00EA5C62" w:rsidRPr="00D36ADD">
        <w:rPr>
          <w:spacing w:val="-2"/>
        </w:rPr>
        <w:t>, ориентированно</w:t>
      </w:r>
      <w:r w:rsidR="00E61E24" w:rsidRPr="00D36ADD">
        <w:rPr>
          <w:spacing w:val="-2"/>
        </w:rPr>
        <w:t>го</w:t>
      </w:r>
      <w:r w:rsidR="00EA5C62" w:rsidRPr="00D36ADD">
        <w:rPr>
          <w:spacing w:val="-2"/>
        </w:rPr>
        <w:t xml:space="preserve"> на результаты, </w:t>
      </w:r>
      <w:r w:rsidR="00E61E24" w:rsidRPr="00D36ADD">
        <w:rPr>
          <w:spacing w:val="-2"/>
        </w:rPr>
        <w:t xml:space="preserve">случай </w:t>
      </w:r>
      <w:r w:rsidR="00EA5C62" w:rsidRPr="00D36ADD">
        <w:rPr>
          <w:spacing w:val="-2"/>
        </w:rPr>
        <w:t>мошенничеств</w:t>
      </w:r>
      <w:r w:rsidR="00E61E24" w:rsidRPr="00D36ADD">
        <w:rPr>
          <w:spacing w:val="-2"/>
        </w:rPr>
        <w:t>а</w:t>
      </w:r>
      <w:r w:rsidR="00EA5C62" w:rsidRPr="00D36ADD">
        <w:rPr>
          <w:spacing w:val="-2"/>
        </w:rPr>
        <w:t xml:space="preserve"> и связанные с ним вопросы</w:t>
      </w:r>
      <w:r w:rsidR="00DB5C71" w:rsidRPr="00D36ADD">
        <w:rPr>
          <w:spacing w:val="-2"/>
        </w:rPr>
        <w:t xml:space="preserve">, </w:t>
      </w:r>
      <w:r w:rsidR="00E61E24" w:rsidRPr="00D36ADD">
        <w:rPr>
          <w:spacing w:val="-2"/>
        </w:rPr>
        <w:t>а также</w:t>
      </w:r>
      <w:r w:rsidR="00DB5C71" w:rsidRPr="00D36ADD">
        <w:rPr>
          <w:spacing w:val="-2"/>
        </w:rPr>
        <w:t xml:space="preserve"> была </w:t>
      </w:r>
      <w:r w:rsidR="007C2E19" w:rsidRPr="00D36ADD">
        <w:rPr>
          <w:spacing w:val="-2"/>
        </w:rPr>
        <w:t>проведена</w:t>
      </w:r>
      <w:r w:rsidR="00DB5C71" w:rsidRPr="00D36ADD">
        <w:rPr>
          <w:spacing w:val="-2"/>
        </w:rPr>
        <w:t xml:space="preserve"> презентация на тему ук</w:t>
      </w:r>
      <w:r w:rsidR="00EA5C62" w:rsidRPr="00D36ADD">
        <w:rPr>
          <w:spacing w:val="-2"/>
        </w:rPr>
        <w:t>реплени</w:t>
      </w:r>
      <w:r w:rsidR="00DB5C71" w:rsidRPr="00D36ADD">
        <w:rPr>
          <w:spacing w:val="-2"/>
        </w:rPr>
        <w:t>я</w:t>
      </w:r>
      <w:r w:rsidR="00EA5C62" w:rsidRPr="00D36ADD">
        <w:rPr>
          <w:spacing w:val="-2"/>
        </w:rPr>
        <w:t xml:space="preserve"> </w:t>
      </w:r>
      <w:r w:rsidR="007C2E19" w:rsidRPr="00D36ADD">
        <w:rPr>
          <w:spacing w:val="-2"/>
        </w:rPr>
        <w:t>системы</w:t>
      </w:r>
      <w:r w:rsidR="008A167C" w:rsidRPr="00D36ADD">
        <w:rPr>
          <w:spacing w:val="-2"/>
        </w:rPr>
        <w:t xml:space="preserve"> </w:t>
      </w:r>
      <w:r w:rsidR="00EA5C62" w:rsidRPr="00D36ADD">
        <w:rPr>
          <w:spacing w:val="-2"/>
        </w:rPr>
        <w:t xml:space="preserve">управления рисками </w:t>
      </w:r>
      <w:r w:rsidR="00E61E24" w:rsidRPr="00D36ADD">
        <w:rPr>
          <w:spacing w:val="-2"/>
        </w:rPr>
        <w:t xml:space="preserve">в </w:t>
      </w:r>
      <w:r w:rsidR="00EA5C62" w:rsidRPr="00D36ADD">
        <w:rPr>
          <w:spacing w:val="-2"/>
        </w:rPr>
        <w:t>МСЭ</w:t>
      </w:r>
      <w:r w:rsidRPr="00D36ADD">
        <w:rPr>
          <w:spacing w:val="-2"/>
        </w:rPr>
        <w:t>.</w:t>
      </w:r>
    </w:p>
    <w:p w14:paraId="67EF8E8E" w14:textId="6D8917EB" w:rsidR="00CB21CC" w:rsidRPr="00D36ADD" w:rsidRDefault="00BA43EE" w:rsidP="00BA43EE">
      <w:r w:rsidRPr="00D36ADD">
        <w:t>2.</w:t>
      </w:r>
      <w:r w:rsidR="00345097" w:rsidRPr="00D36ADD">
        <w:t>8</w:t>
      </w:r>
      <w:r w:rsidRPr="00D36ADD">
        <w:tab/>
      </w:r>
      <w:r w:rsidR="00CB21CC" w:rsidRPr="00D36ADD">
        <w:t xml:space="preserve">В ходе своих собраний </w:t>
      </w:r>
      <w:proofErr w:type="spellStart"/>
      <w:r w:rsidR="00CB21CC" w:rsidRPr="00D36ADD">
        <w:t>IMAC</w:t>
      </w:r>
      <w:proofErr w:type="spellEnd"/>
      <w:r w:rsidR="00CB21CC" w:rsidRPr="00D36ADD">
        <w:t xml:space="preserve"> провел </w:t>
      </w:r>
      <w:r w:rsidR="00764F14" w:rsidRPr="00D36ADD">
        <w:t>предметные</w:t>
      </w:r>
      <w:r w:rsidR="00CB21CC" w:rsidRPr="00D36ADD">
        <w:t xml:space="preserve"> </w:t>
      </w:r>
      <w:r w:rsidR="008A167C" w:rsidRPr="00D36ADD">
        <w:t>обсуждения</w:t>
      </w:r>
      <w:r w:rsidR="00CB21CC" w:rsidRPr="00D36ADD">
        <w:t xml:space="preserve"> с Генеральным секретарем и заместителем Генерального секретаря, Директором Бюро развития электросвязи, Департаментом по управлению финансовыми ресурсами, внутренним аудитором, Внешним аудитором, </w:t>
      </w:r>
      <w:r w:rsidR="009C6A7E" w:rsidRPr="00D36ADD">
        <w:t>с</w:t>
      </w:r>
      <w:r w:rsidR="00506414" w:rsidRPr="00D36ADD">
        <w:t xml:space="preserve">оветником по правовым вопросам, сотрудником по вопросам этики, </w:t>
      </w:r>
      <w:r w:rsidR="009C6A7E" w:rsidRPr="00D36ADD">
        <w:t xml:space="preserve">Отделом </w:t>
      </w:r>
      <w:r w:rsidR="00506414" w:rsidRPr="00D36ADD">
        <w:t>проекта строительства</w:t>
      </w:r>
      <w:r w:rsidR="00B15EB8" w:rsidRPr="00D36ADD">
        <w:t xml:space="preserve"> нового здания</w:t>
      </w:r>
      <w:r w:rsidR="00506414" w:rsidRPr="00D36ADD">
        <w:t xml:space="preserve">, Департаментом управления людскими ресурсами, </w:t>
      </w:r>
      <w:r w:rsidR="00CB21CC" w:rsidRPr="00D36ADD">
        <w:t>Департаментом по стратегическому планированию и связям с членами</w:t>
      </w:r>
      <w:r w:rsidR="00764F14" w:rsidRPr="00D36ADD">
        <w:t>,</w:t>
      </w:r>
      <w:r w:rsidR="00CB21CC" w:rsidRPr="00D36ADD">
        <w:t xml:space="preserve"> </w:t>
      </w:r>
      <w:r w:rsidR="00764F14" w:rsidRPr="00D36ADD">
        <w:t>а также</w:t>
      </w:r>
      <w:r w:rsidR="00CB21CC" w:rsidRPr="00D36ADD">
        <w:t>, по мере необходимости, с другими представителями руководства</w:t>
      </w:r>
      <w:r w:rsidR="008A167C" w:rsidRPr="00D36ADD">
        <w:t>.</w:t>
      </w:r>
    </w:p>
    <w:p w14:paraId="7D640918" w14:textId="4C087FE9" w:rsidR="00BA43EE" w:rsidRPr="00D36ADD" w:rsidRDefault="00CB21CC" w:rsidP="00BA43EE">
      <w:r w:rsidRPr="00D36ADD">
        <w:t>2.</w:t>
      </w:r>
      <w:r w:rsidR="00345097" w:rsidRPr="00D36ADD">
        <w:t>9</w:t>
      </w:r>
      <w:r w:rsidRPr="00D36ADD">
        <w:tab/>
        <w:t xml:space="preserve">Все отчеты о собраниях Комитета и его ежегодные отчеты, а также другие ключевые документы доступны Членам МСЭ в разделе </w:t>
      </w:r>
      <w:proofErr w:type="spellStart"/>
      <w:r w:rsidRPr="00D36ADD">
        <w:t>IMAC</w:t>
      </w:r>
      <w:proofErr w:type="spellEnd"/>
      <w:r w:rsidRPr="00D36ADD">
        <w:t xml:space="preserve"> </w:t>
      </w:r>
      <w:hyperlink r:id="rId19" w:history="1">
        <w:r w:rsidR="008A167C" w:rsidRPr="00D36ADD">
          <w:rPr>
            <w:rStyle w:val="Hyperlink"/>
          </w:rPr>
          <w:t>общедоступного сайта МСЭ</w:t>
        </w:r>
      </w:hyperlink>
      <w:r w:rsidR="00764F14" w:rsidRPr="00D36ADD">
        <w:t xml:space="preserve">, </w:t>
      </w:r>
      <w:r w:rsidRPr="00D36ADD">
        <w:t>на</w:t>
      </w:r>
      <w:r w:rsidR="00764F14" w:rsidRPr="00D36ADD">
        <w:t xml:space="preserve"> который можно также перейти с</w:t>
      </w:r>
      <w:r w:rsidRPr="00D36ADD">
        <w:t xml:space="preserve"> веб-страниц</w:t>
      </w:r>
      <w:r w:rsidR="00764F14" w:rsidRPr="00D36ADD">
        <w:t>ы</w:t>
      </w:r>
      <w:r w:rsidRPr="00D36ADD">
        <w:t xml:space="preserve"> Совета МСЭ</w:t>
      </w:r>
      <w:r w:rsidR="00BA43EE" w:rsidRPr="00D36ADD">
        <w:t>.</w:t>
      </w:r>
    </w:p>
    <w:p w14:paraId="4FF3C37D" w14:textId="71CCF7BE" w:rsidR="00345097" w:rsidRPr="00D36ADD" w:rsidRDefault="00345097" w:rsidP="00345097">
      <w:r w:rsidRPr="00D36ADD">
        <w:t>2.10</w:t>
      </w:r>
      <w:r w:rsidRPr="00D36ADD">
        <w:tab/>
      </w:r>
      <w:r w:rsidR="006409AC" w:rsidRPr="00D36ADD">
        <w:t>Из-за ограничений на поездки, связанные с пандемией</w:t>
      </w:r>
      <w:r w:rsidRPr="00D36ADD">
        <w:t xml:space="preserve"> </w:t>
      </w:r>
      <w:proofErr w:type="spellStart"/>
      <w:r w:rsidR="00445945" w:rsidRPr="00D36ADD">
        <w:t>COVID</w:t>
      </w:r>
      <w:proofErr w:type="spellEnd"/>
      <w:r w:rsidRPr="00D36ADD">
        <w:t>-19</w:t>
      </w:r>
      <w:r w:rsidR="006409AC" w:rsidRPr="00D36ADD">
        <w:t xml:space="preserve">, пришлось уплотнить временные рамки проведения виртуальных собраний </w:t>
      </w:r>
      <w:proofErr w:type="spellStart"/>
      <w:r w:rsidRPr="00D36ADD">
        <w:t>IMAC</w:t>
      </w:r>
      <w:proofErr w:type="spellEnd"/>
      <w:r w:rsidR="006409AC" w:rsidRPr="00D36ADD">
        <w:t>, для того чтобы обеспечить участие всех членов, которые находятся в разных частях мира</w:t>
      </w:r>
      <w:r w:rsidRPr="00D36ADD">
        <w:t xml:space="preserve">, </w:t>
      </w:r>
      <w:r w:rsidR="006409AC" w:rsidRPr="00D36ADD">
        <w:t>вследствие чего может потребоваться планировать проведение дополнительных сессий, чтобы всесторонне рассмотреть все вопросы, порученные</w:t>
      </w:r>
      <w:r w:rsidRPr="00D36ADD">
        <w:t xml:space="preserve"> </w:t>
      </w:r>
      <w:proofErr w:type="spellStart"/>
      <w:r w:rsidRPr="00D36ADD">
        <w:t>IMAC</w:t>
      </w:r>
      <w:proofErr w:type="spellEnd"/>
      <w:r w:rsidRPr="00D36ADD">
        <w:t>.</w:t>
      </w:r>
    </w:p>
    <w:p w14:paraId="559F6E45" w14:textId="26C86F61" w:rsidR="00345097" w:rsidRPr="00D36ADD" w:rsidRDefault="00345097" w:rsidP="00345097">
      <w:r w:rsidRPr="00D36ADD">
        <w:t>2.11</w:t>
      </w:r>
      <w:r w:rsidRPr="00D36ADD">
        <w:tab/>
      </w:r>
      <w:r w:rsidR="006409AC" w:rsidRPr="00D36ADD">
        <w:t xml:space="preserve">Члены </w:t>
      </w:r>
      <w:proofErr w:type="spellStart"/>
      <w:r w:rsidRPr="00D36ADD">
        <w:t>IMAC</w:t>
      </w:r>
      <w:proofErr w:type="spellEnd"/>
      <w:r w:rsidRPr="00D36ADD">
        <w:t xml:space="preserve"> </w:t>
      </w:r>
      <w:r w:rsidR="006409AC" w:rsidRPr="00D36ADD">
        <w:t xml:space="preserve">в целом одобрили уровень взаимодействия руководства МСЭ с </w:t>
      </w:r>
      <w:proofErr w:type="spellStart"/>
      <w:r w:rsidR="006409AC" w:rsidRPr="00D36ADD">
        <w:t>IMAC</w:t>
      </w:r>
      <w:proofErr w:type="spellEnd"/>
      <w:r w:rsidR="00764F14" w:rsidRPr="00D36ADD">
        <w:t xml:space="preserve"> в рамках конструктивного процесса,</w:t>
      </w:r>
      <w:r w:rsidRPr="00D36ADD">
        <w:t xml:space="preserve"> </w:t>
      </w:r>
      <w:r w:rsidR="006409AC" w:rsidRPr="00D36ADD">
        <w:t xml:space="preserve">в частности </w:t>
      </w:r>
      <w:r w:rsidR="00764F14" w:rsidRPr="00D36ADD">
        <w:t xml:space="preserve">по таким аспектам, как </w:t>
      </w:r>
      <w:r w:rsidR="006409AC" w:rsidRPr="00D36ADD">
        <w:t>адаптация новых членов</w:t>
      </w:r>
      <w:r w:rsidRPr="00D36ADD">
        <w:t xml:space="preserve">, </w:t>
      </w:r>
      <w:r w:rsidR="006409AC" w:rsidRPr="00D36ADD">
        <w:t>открытость</w:t>
      </w:r>
      <w:r w:rsidRPr="00D36ADD">
        <w:t xml:space="preserve">, </w:t>
      </w:r>
      <w:r w:rsidR="006409AC" w:rsidRPr="00D36ADD">
        <w:t xml:space="preserve">готовность и реагирование руководства на поставленные </w:t>
      </w:r>
      <w:proofErr w:type="spellStart"/>
      <w:r w:rsidR="006409AC" w:rsidRPr="00D36ADD">
        <w:t>IMAC</w:t>
      </w:r>
      <w:proofErr w:type="spellEnd"/>
      <w:r w:rsidR="006409AC" w:rsidRPr="00D36ADD">
        <w:t xml:space="preserve"> вопросы, а также инициативность в обращении к </w:t>
      </w:r>
      <w:proofErr w:type="spellStart"/>
      <w:r w:rsidR="006409AC" w:rsidRPr="00D36ADD">
        <w:t>IMAC</w:t>
      </w:r>
      <w:proofErr w:type="spellEnd"/>
      <w:r w:rsidR="006409AC" w:rsidRPr="00D36ADD">
        <w:t xml:space="preserve"> для получения консультаций по вопросам, относящимся к компетенции</w:t>
      </w:r>
      <w:r w:rsidRPr="00D36ADD">
        <w:t xml:space="preserve"> </w:t>
      </w:r>
      <w:proofErr w:type="spellStart"/>
      <w:r w:rsidRPr="00D36ADD">
        <w:t>IMAC</w:t>
      </w:r>
      <w:proofErr w:type="spellEnd"/>
      <w:r w:rsidRPr="00D36ADD">
        <w:t xml:space="preserve">. </w:t>
      </w:r>
      <w:r w:rsidR="006409AC" w:rsidRPr="00D36ADD">
        <w:t>Конкретные рекомендации</w:t>
      </w:r>
      <w:r w:rsidR="00764F14" w:rsidRPr="00D36ADD">
        <w:t xml:space="preserve"> в рамках</w:t>
      </w:r>
      <w:r w:rsidR="006409AC" w:rsidRPr="00D36ADD">
        <w:t xml:space="preserve"> сфер ответственности</w:t>
      </w:r>
      <w:r w:rsidRPr="00D36ADD">
        <w:t xml:space="preserve"> </w:t>
      </w:r>
      <w:proofErr w:type="spellStart"/>
      <w:r w:rsidRPr="00D36ADD">
        <w:t>IMAC</w:t>
      </w:r>
      <w:proofErr w:type="spellEnd"/>
      <w:r w:rsidR="006409AC" w:rsidRPr="00D36ADD">
        <w:t xml:space="preserve"> включены в соответствующие разделы настоящего отчета</w:t>
      </w:r>
      <w:r w:rsidRPr="00D36ADD">
        <w:t>.</w:t>
      </w:r>
    </w:p>
    <w:p w14:paraId="6056416E" w14:textId="1F7C89A4" w:rsidR="00345097" w:rsidRPr="00D36ADD" w:rsidRDefault="00345097" w:rsidP="00345097">
      <w:pPr>
        <w:pStyle w:val="Heading1"/>
      </w:pPr>
      <w:r w:rsidRPr="00D36ADD">
        <w:lastRenderedPageBreak/>
        <w:t>3</w:t>
      </w:r>
      <w:r w:rsidRPr="00D36ADD">
        <w:tab/>
      </w:r>
      <w:r w:rsidR="00764F14" w:rsidRPr="00D36ADD">
        <w:t xml:space="preserve">Воздействие </w:t>
      </w:r>
      <w:proofErr w:type="spellStart"/>
      <w:r w:rsidR="00DC5F7A" w:rsidRPr="00D36ADD">
        <w:t>COVID</w:t>
      </w:r>
      <w:proofErr w:type="spellEnd"/>
      <w:r w:rsidRPr="00D36ADD">
        <w:t xml:space="preserve">-19 </w:t>
      </w:r>
      <w:r w:rsidR="00764F14" w:rsidRPr="00D36ADD">
        <w:t>на деятельность МСЭ</w:t>
      </w:r>
    </w:p>
    <w:p w14:paraId="6818F62B" w14:textId="46C212F6" w:rsidR="00345097" w:rsidRPr="00D36ADD" w:rsidRDefault="00345097" w:rsidP="00345097">
      <w:r w:rsidRPr="00D36ADD">
        <w:t>3.1</w:t>
      </w:r>
      <w:r w:rsidRPr="00D36ADD">
        <w:tab/>
      </w:r>
      <w:r w:rsidR="00683BF3" w:rsidRPr="00D36ADD">
        <w:t>Комитет получил информацию о воздействии текущей пандемии</w:t>
      </w:r>
      <w:r w:rsidRPr="00D36ADD">
        <w:t xml:space="preserve"> </w:t>
      </w:r>
      <w:proofErr w:type="spellStart"/>
      <w:r w:rsidRPr="00D36ADD">
        <w:t>COVID</w:t>
      </w:r>
      <w:proofErr w:type="spellEnd"/>
      <w:r w:rsidRPr="00D36ADD">
        <w:t xml:space="preserve">-19 </w:t>
      </w:r>
      <w:r w:rsidR="00683BF3" w:rsidRPr="00D36ADD">
        <w:t xml:space="preserve">на функционирование и виды деятельности МСЭ, о новых реализованных инициативах и программах, а также о мерах, введенных в связи с </w:t>
      </w:r>
      <w:proofErr w:type="spellStart"/>
      <w:r w:rsidRPr="00D36ADD">
        <w:t>COVID</w:t>
      </w:r>
      <w:proofErr w:type="spellEnd"/>
      <w:r w:rsidRPr="00D36ADD">
        <w:t>-19.</w:t>
      </w:r>
    </w:p>
    <w:p w14:paraId="20A8CE54" w14:textId="70617434" w:rsidR="00345097" w:rsidRPr="00D36ADD" w:rsidRDefault="00345097" w:rsidP="00345097">
      <w:r w:rsidRPr="00D36ADD">
        <w:t>3.2</w:t>
      </w:r>
      <w:r w:rsidRPr="00D36ADD">
        <w:tab/>
      </w:r>
      <w:r w:rsidR="00683BF3" w:rsidRPr="00D36ADD">
        <w:t>Комитет с особым удовлетворением отметил внутренние инвестиции для приобретения предметов и оборудования медицинского назначения, а также для обеспечения медицинских, в том числе психологических консультаций для персонала</w:t>
      </w:r>
      <w:r w:rsidRPr="00D36ADD">
        <w:t>.</w:t>
      </w:r>
    </w:p>
    <w:p w14:paraId="070025EA" w14:textId="241B7C44" w:rsidR="00345097" w:rsidRPr="00D36ADD" w:rsidRDefault="00345097" w:rsidP="00345097">
      <w:r w:rsidRPr="00D36ADD">
        <w:t>3.3</w:t>
      </w:r>
      <w:r w:rsidRPr="00D36ADD">
        <w:tab/>
      </w:r>
      <w:r w:rsidR="00683BF3" w:rsidRPr="00D36ADD">
        <w:t>В то же время организация смогла провести все свои собрания, используя платформы для виртуальных собраний, в которых приняли участие большое число членов</w:t>
      </w:r>
      <w:r w:rsidRPr="00D36ADD">
        <w:t>.</w:t>
      </w:r>
    </w:p>
    <w:p w14:paraId="74C39837" w14:textId="22C579F5" w:rsidR="00345097" w:rsidRPr="00D36ADD" w:rsidRDefault="00345097" w:rsidP="00345097">
      <w:pPr>
        <w:pStyle w:val="Heading1"/>
      </w:pPr>
      <w:r w:rsidRPr="00D36ADD">
        <w:t>4</w:t>
      </w:r>
      <w:r w:rsidRPr="00D36ADD">
        <w:tab/>
      </w:r>
      <w:r w:rsidR="00683BF3" w:rsidRPr="00D36ADD">
        <w:t>Оценка работы МСЭ</w:t>
      </w:r>
    </w:p>
    <w:p w14:paraId="0EB3590A" w14:textId="68D3C96D" w:rsidR="00345097" w:rsidRPr="00D36ADD" w:rsidRDefault="00345097" w:rsidP="00345097">
      <w:r w:rsidRPr="00D36ADD">
        <w:t>4.1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683BF3" w:rsidRPr="00D36ADD">
        <w:t>высоко оценил работу, проделанную МСЭ в период пандемии</w:t>
      </w:r>
      <w:r w:rsidRPr="00D36ADD">
        <w:t xml:space="preserve"> </w:t>
      </w:r>
      <w:proofErr w:type="spellStart"/>
      <w:r w:rsidRPr="00D36ADD">
        <w:t>COVID</w:t>
      </w:r>
      <w:proofErr w:type="spellEnd"/>
      <w:r w:rsidRPr="00D36ADD">
        <w:t>-19</w:t>
      </w:r>
      <w:r w:rsidR="00683BF3" w:rsidRPr="00D36ADD">
        <w:t xml:space="preserve">, включая все инициативы, мероприятия, продукты и партнерства, связанные с </w:t>
      </w:r>
      <w:proofErr w:type="spellStart"/>
      <w:r w:rsidRPr="00D36ADD">
        <w:t>COVID</w:t>
      </w:r>
      <w:proofErr w:type="spellEnd"/>
      <w:r w:rsidRPr="00D36ADD">
        <w:t xml:space="preserve">-19, </w:t>
      </w:r>
      <w:r w:rsidR="00683BF3" w:rsidRPr="00D36ADD">
        <w:t>которые дополнили работу других учреждений ООН и Секретариата ООН, и подчеркнул важность роли МСЭ в соединении мира</w:t>
      </w:r>
      <w:r w:rsidRPr="00D36ADD">
        <w:t>.</w:t>
      </w:r>
    </w:p>
    <w:p w14:paraId="116B8D35" w14:textId="5F5A6915" w:rsidR="00345097" w:rsidRPr="00D36ADD" w:rsidRDefault="00345097" w:rsidP="00345097">
      <w:proofErr w:type="gramStart"/>
      <w:r w:rsidRPr="00D36ADD">
        <w:t>4.2</w:t>
      </w:r>
      <w:proofErr w:type="gramEnd"/>
      <w:r w:rsidRPr="00D36ADD">
        <w:tab/>
      </w:r>
      <w:r w:rsidR="005C7C6C" w:rsidRPr="00D36ADD">
        <w:t>В связи с этим Комитет обсудил также необходимость распространения культуры оценки и предложил руководству МСЭ продумать конкретные действия для проведения оценки таких инициатив, в том что касается результата и воздействия</w:t>
      </w:r>
      <w:r w:rsidRPr="00D36ADD">
        <w:t>.</w:t>
      </w:r>
    </w:p>
    <w:p w14:paraId="6614E30C" w14:textId="10F7F782" w:rsidR="00345097" w:rsidRPr="00D36ADD" w:rsidRDefault="00345097" w:rsidP="00345097">
      <w:r w:rsidRPr="00D36ADD">
        <w:t>4.3</w:t>
      </w:r>
      <w:r w:rsidRPr="00D36ADD">
        <w:tab/>
      </w:r>
      <w:r w:rsidR="005C7C6C" w:rsidRPr="00D36ADD">
        <w:t xml:space="preserve">Ввиду этого члены </w:t>
      </w:r>
      <w:proofErr w:type="spellStart"/>
      <w:r w:rsidRPr="00D36ADD">
        <w:t>IMAC</w:t>
      </w:r>
      <w:proofErr w:type="spellEnd"/>
      <w:r w:rsidRPr="00D36ADD">
        <w:t xml:space="preserve"> </w:t>
      </w:r>
      <w:r w:rsidR="005C7C6C" w:rsidRPr="00D36ADD">
        <w:t xml:space="preserve">призвали секретариат провести в надлежащее время анализ воздействия и оценку действий, предпринятых в целях смягчения последствий пандемии, и выявить положительный опыт и перспективы на период после </w:t>
      </w:r>
      <w:proofErr w:type="spellStart"/>
      <w:r w:rsidRPr="00D36ADD">
        <w:t>COVID</w:t>
      </w:r>
      <w:proofErr w:type="spellEnd"/>
      <w:r w:rsidRPr="00D36ADD">
        <w:t>-19.</w:t>
      </w:r>
    </w:p>
    <w:p w14:paraId="4A57376C" w14:textId="7A20281B" w:rsidR="00345097" w:rsidRPr="00D36ADD" w:rsidRDefault="00345097" w:rsidP="00345097">
      <w:pPr>
        <w:pStyle w:val="Heading1"/>
      </w:pPr>
      <w:r w:rsidRPr="00D36ADD">
        <w:t>5</w:t>
      </w:r>
      <w:r w:rsidRPr="00D36ADD">
        <w:tab/>
      </w:r>
      <w:r w:rsidR="005C7C6C" w:rsidRPr="00D36ADD">
        <w:t>Управление финансами</w:t>
      </w:r>
    </w:p>
    <w:p w14:paraId="0EF611F0" w14:textId="07034765" w:rsidR="00345097" w:rsidRPr="00D36ADD" w:rsidRDefault="00345097" w:rsidP="00E60D60">
      <w:r w:rsidRPr="00D36ADD">
        <w:t>5.1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B57C7D" w:rsidRPr="00D36ADD">
        <w:t>продолжал отслеживать финансовые вопросы</w:t>
      </w:r>
      <w:r w:rsidR="00E60D60" w:rsidRPr="00D36ADD">
        <w:t xml:space="preserve"> и обсуждать изменения в этой области с Департаментом управления финансовыми ресурсами</w:t>
      </w:r>
      <w:r w:rsidRPr="00D36ADD">
        <w:t xml:space="preserve">. </w:t>
      </w:r>
      <w:r w:rsidR="00E60D60" w:rsidRPr="00D36ADD">
        <w:t>Со времени своего последнего отчета для Совета Комитет был информирован, в частности, о внедрении нового руководство по закупкам, о</w:t>
      </w:r>
      <w:r w:rsidR="00C714C3" w:rsidRPr="00D36ADD">
        <w:t> </w:t>
      </w:r>
      <w:r w:rsidR="00E60D60" w:rsidRPr="00D36ADD">
        <w:t xml:space="preserve">ходе обсуждения порядка финансирования обязательств по медицинскому страхованию после выхода в отставку </w:t>
      </w:r>
      <w:r w:rsidRPr="00D36ADD">
        <w:t>(</w:t>
      </w:r>
      <w:proofErr w:type="spellStart"/>
      <w:r w:rsidR="00864DBD" w:rsidRPr="00D36ADD">
        <w:t>АСХИ</w:t>
      </w:r>
      <w:proofErr w:type="spellEnd"/>
      <w:r w:rsidRPr="00D36ADD">
        <w:t xml:space="preserve">) </w:t>
      </w:r>
      <w:r w:rsidR="00E60D60" w:rsidRPr="00D36ADD">
        <w:t>на уровне ООН</w:t>
      </w:r>
      <w:r w:rsidR="00827FFA" w:rsidRPr="00D36ADD">
        <w:t>, а также о ходе восстановления прежнего корректива по месту службы</w:t>
      </w:r>
      <w:r w:rsidRPr="00D36ADD">
        <w:t>.</w:t>
      </w:r>
    </w:p>
    <w:p w14:paraId="111AE6A7" w14:textId="3E01C994" w:rsidR="00345097" w:rsidRPr="00D36ADD" w:rsidRDefault="00345097" w:rsidP="00345097">
      <w:r w:rsidRPr="00D36ADD">
        <w:t>5.2</w:t>
      </w:r>
      <w:r w:rsidRPr="00D36ADD">
        <w:tab/>
      </w:r>
      <w:r w:rsidR="00827FFA" w:rsidRPr="00D36ADD">
        <w:t>Комитет повторил свою Рекомендацию </w:t>
      </w:r>
      <w:r w:rsidRPr="00D36ADD">
        <w:t>4/2016</w:t>
      </w:r>
      <w:r w:rsidR="00827FFA" w:rsidRPr="00D36ADD">
        <w:t>, что</w:t>
      </w:r>
      <w:r w:rsidRPr="00D36ADD">
        <w:t xml:space="preserve"> </w:t>
      </w:r>
      <w:r w:rsidR="00DC5F7A" w:rsidRPr="00D36ADD">
        <w:t xml:space="preserve">руководству МСЭ </w:t>
      </w:r>
      <w:r w:rsidR="00827FFA" w:rsidRPr="00D36ADD">
        <w:t xml:space="preserve">необходимо </w:t>
      </w:r>
      <w:r w:rsidR="00DC5F7A" w:rsidRPr="00D36ADD">
        <w:t xml:space="preserve">следить за обсуждениями, проходящими в рабочей группе ООН по вопросам </w:t>
      </w:r>
      <w:proofErr w:type="spellStart"/>
      <w:r w:rsidR="00DC5F7A" w:rsidRPr="00D36ADD">
        <w:t>АСХИ</w:t>
      </w:r>
      <w:proofErr w:type="spellEnd"/>
      <w:r w:rsidR="00DC5F7A" w:rsidRPr="00D36ADD">
        <w:t>, и разработать план финансирования этих обязательств в будущем</w:t>
      </w:r>
      <w:r w:rsidRPr="00D36ADD">
        <w:t>.</w:t>
      </w:r>
    </w:p>
    <w:p w14:paraId="500F4C90" w14:textId="4FC5CAFD" w:rsidR="00345097" w:rsidRPr="00D36ADD" w:rsidRDefault="00345097" w:rsidP="00345097">
      <w:r w:rsidRPr="00D36ADD">
        <w:t>5.3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C22A4B" w:rsidRPr="00D36ADD">
        <w:t>приветствует</w:t>
      </w:r>
      <w:r w:rsidR="00827FFA" w:rsidRPr="00D36ADD">
        <w:t xml:space="preserve"> решение руководства реализовать с 2022 года рекомендацию рабочей группы ООН о схеме финансирования для новых работников, как только она будет одобрена Генеральной Ассамблеей ООН</w:t>
      </w:r>
      <w:r w:rsidRPr="00D36ADD">
        <w:t>.</w:t>
      </w:r>
    </w:p>
    <w:p w14:paraId="75F91D7B" w14:textId="2A2D10E2" w:rsidR="00345097" w:rsidRPr="00D36ADD" w:rsidRDefault="00345097" w:rsidP="00345097">
      <w:r w:rsidRPr="00D36ADD">
        <w:t>5.4</w:t>
      </w:r>
      <w:r w:rsidRPr="00D36ADD">
        <w:tab/>
      </w:r>
      <w:r w:rsidR="00827FFA" w:rsidRPr="00D36ADD">
        <w:t>Комитет задал, в частности, вопросы о движении денежных средств и уровне ликвидности в организации, а также</w:t>
      </w:r>
      <w:r w:rsidR="00CC1C01" w:rsidRPr="00D36ADD">
        <w:t xml:space="preserve"> о долгосрочных финансовых последствиях пандемии </w:t>
      </w:r>
      <w:proofErr w:type="spellStart"/>
      <w:r w:rsidRPr="00D36ADD">
        <w:t>COVID</w:t>
      </w:r>
      <w:proofErr w:type="spellEnd"/>
      <w:r w:rsidRPr="00D36ADD">
        <w:t xml:space="preserve">-19. </w:t>
      </w:r>
      <w:proofErr w:type="spellStart"/>
      <w:r w:rsidRPr="00D36ADD">
        <w:t>IMAC</w:t>
      </w:r>
      <w:proofErr w:type="spellEnd"/>
      <w:r w:rsidRPr="00D36ADD">
        <w:t xml:space="preserve"> </w:t>
      </w:r>
      <w:r w:rsidR="00CC1C01" w:rsidRPr="00D36ADD">
        <w:t>отметил, что руководство выразило уверенность в ликвидности организации в течение последующих шести месяцев, и продолжит взаимодействие по данному вопросу с Департаментом управления финансовыми ресурсами</w:t>
      </w:r>
      <w:r w:rsidRPr="00D36ADD">
        <w:t>.</w:t>
      </w:r>
    </w:p>
    <w:p w14:paraId="06E6CD29" w14:textId="64351E01" w:rsidR="00E12E53" w:rsidRPr="00D36ADD" w:rsidRDefault="00E12E53" w:rsidP="00E12E53">
      <w:pPr>
        <w:pStyle w:val="Heading1"/>
      </w:pPr>
      <w:r w:rsidRPr="00D36ADD">
        <w:t>6</w:t>
      </w:r>
      <w:r w:rsidRPr="00D36ADD">
        <w:tab/>
      </w:r>
      <w:r w:rsidR="00CC1C01" w:rsidRPr="00D36ADD">
        <w:t>Внутренний аудит</w:t>
      </w:r>
    </w:p>
    <w:p w14:paraId="5F59514B" w14:textId="7ABB4E42" w:rsidR="00E12E53" w:rsidRPr="00D36ADD" w:rsidRDefault="00E12E53" w:rsidP="00E12E53">
      <w:r w:rsidRPr="00D36ADD">
        <w:t>6.1</w:t>
      </w:r>
      <w:r w:rsidRPr="00D36ADD">
        <w:tab/>
      </w:r>
      <w:proofErr w:type="spellStart"/>
      <w:r w:rsidR="00DC5F7A" w:rsidRPr="00D36ADD">
        <w:t>IMAC</w:t>
      </w:r>
      <w:proofErr w:type="spellEnd"/>
      <w:r w:rsidR="00DC5F7A" w:rsidRPr="00D36ADD">
        <w:t xml:space="preserve"> продолжал проводить анализ планирования и осуществления деятельности по внутреннему аудиту, а также результатов, представленных в отчетах о внутреннем аудите за 2019</w:t>
      </w:r>
      <w:r w:rsidR="00C714C3" w:rsidRPr="00D36ADD">
        <w:t>−</w:t>
      </w:r>
      <w:r w:rsidR="00DC5F7A" w:rsidRPr="00D36ADD">
        <w:t>2020 годы</w:t>
      </w:r>
      <w:r w:rsidRPr="00D36ADD">
        <w:t>.</w:t>
      </w:r>
    </w:p>
    <w:p w14:paraId="00909B51" w14:textId="29006E56" w:rsidR="00E12E53" w:rsidRPr="00D36ADD" w:rsidRDefault="00E12E53" w:rsidP="00E12E53">
      <w:r w:rsidRPr="00D36ADD">
        <w:lastRenderedPageBreak/>
        <w:t>6.2</w:t>
      </w:r>
      <w:r w:rsidRPr="00D36ADD">
        <w:tab/>
      </w:r>
      <w:r w:rsidR="00C22A4B" w:rsidRPr="00D36ADD">
        <w:t>Комитет выразил обеспокоенность в связи с ресурсами, выделенными для проведения Подразделением внутреннего аудита</w:t>
      </w:r>
      <w:r w:rsidR="00423789" w:rsidRPr="00D36ADD">
        <w:t xml:space="preserve"> (</w:t>
      </w:r>
      <w:proofErr w:type="spellStart"/>
      <w:r w:rsidR="00423789" w:rsidRPr="00D36ADD">
        <w:t>IAU</w:t>
      </w:r>
      <w:proofErr w:type="spellEnd"/>
      <w:r w:rsidR="00423789" w:rsidRPr="00D36ADD">
        <w:t>)</w:t>
      </w:r>
      <w:r w:rsidR="00C22A4B" w:rsidRPr="00D36ADD">
        <w:t xml:space="preserve"> аудиторской деятельности</w:t>
      </w:r>
      <w:r w:rsidRPr="00D36ADD">
        <w:t xml:space="preserve">. </w:t>
      </w:r>
      <w:proofErr w:type="spellStart"/>
      <w:r w:rsidRPr="00D36ADD">
        <w:t>IMAC</w:t>
      </w:r>
      <w:proofErr w:type="spellEnd"/>
      <w:r w:rsidRPr="00D36ADD">
        <w:t xml:space="preserve"> </w:t>
      </w:r>
      <w:r w:rsidR="00C22A4B" w:rsidRPr="00D36ADD">
        <w:t>ранее доводил до сведения руководства аналогичную обеспокоенность в форме ряда рекомендаций, а именно</w:t>
      </w:r>
      <w:r w:rsidRPr="00D36ADD">
        <w:t>:</w:t>
      </w:r>
    </w:p>
    <w:p w14:paraId="46A32993" w14:textId="766CC6CC" w:rsidR="00E12E53" w:rsidRPr="00D36ADD" w:rsidRDefault="00E12E53" w:rsidP="00E12E53">
      <w:pPr>
        <w:pStyle w:val="enumlev1"/>
      </w:pPr>
      <w:r w:rsidRPr="00D36ADD">
        <w:t>−</w:t>
      </w:r>
      <w:r w:rsidRPr="00D36ADD">
        <w:tab/>
      </w:r>
      <w:r w:rsidR="00DC5F7A" w:rsidRPr="00D36ADD">
        <w:t>Рек</w:t>
      </w:r>
      <w:r w:rsidRPr="00D36ADD">
        <w:t>. 11/2016</w:t>
      </w:r>
      <w:r w:rsidR="00DC5F7A" w:rsidRPr="00D36ADD">
        <w:t> г.</w:t>
      </w:r>
      <w:r w:rsidRPr="00D36ADD">
        <w:t xml:space="preserve">: </w:t>
      </w:r>
      <w:r w:rsidR="00ED4844" w:rsidRPr="00D36ADD">
        <w:t>"</w:t>
      </w:r>
      <w:proofErr w:type="spellStart"/>
      <w:r w:rsidR="00DC5F7A" w:rsidRPr="00D36ADD">
        <w:t>IMAC</w:t>
      </w:r>
      <w:proofErr w:type="spellEnd"/>
      <w:r w:rsidR="00DC5F7A" w:rsidRPr="00D36ADD">
        <w:t xml:space="preserve"> рекомендует осуществлять надлежащее использование ресурсов Подразделения внутреннего аудита и тщательное управление ими, с тем чтобы максимальная доля ресурсов направлялась на непосредственно аудиторскую деятельность</w:t>
      </w:r>
      <w:r w:rsidR="00ED4844" w:rsidRPr="00D36ADD">
        <w:t>"</w:t>
      </w:r>
      <w:r w:rsidRPr="00D36ADD">
        <w:t>.</w:t>
      </w:r>
    </w:p>
    <w:p w14:paraId="7C7EBA40" w14:textId="331A2EDF" w:rsidR="00E12E53" w:rsidRPr="00D36ADD" w:rsidRDefault="00E12E53" w:rsidP="00E12E53">
      <w:pPr>
        <w:pStyle w:val="enumlev1"/>
      </w:pPr>
      <w:r w:rsidRPr="00D36ADD">
        <w:t>−</w:t>
      </w:r>
      <w:r w:rsidRPr="00D36ADD">
        <w:tab/>
      </w:r>
      <w:r w:rsidR="00DC5F7A" w:rsidRPr="00D36ADD">
        <w:t>Рек</w:t>
      </w:r>
      <w:r w:rsidRPr="00D36ADD">
        <w:t>. 2/2017</w:t>
      </w:r>
      <w:r w:rsidR="00DC5F7A" w:rsidRPr="00D36ADD">
        <w:t> г.</w:t>
      </w:r>
      <w:r w:rsidRPr="00D36ADD">
        <w:t xml:space="preserve">: </w:t>
      </w:r>
      <w:r w:rsidR="00ED4844" w:rsidRPr="00D36ADD">
        <w:t>"</w:t>
      </w:r>
      <w:proofErr w:type="spellStart"/>
      <w:r w:rsidR="00F014AA" w:rsidRPr="00D36ADD">
        <w:t>IMAC</w:t>
      </w:r>
      <w:proofErr w:type="spellEnd"/>
      <w:r w:rsidR="00F014AA" w:rsidRPr="00D36ADD">
        <w:t xml:space="preserve"> рекомендует, чтобы в рамках внутреннего аудита были предприняты шаги по принятию планирования аудита на несколько лет, основанного на оценке рисков, в том числе его скользящий цикл, с целью обеспечения со временем надлежащего надзора за ключевыми областями и оперативной деятельностью, что позволит наиболее эффективно использовать ограниченные ресурсы внутреннего аудита</w:t>
      </w:r>
      <w:r w:rsidR="00ED4844" w:rsidRPr="00D36ADD">
        <w:t>"</w:t>
      </w:r>
      <w:r w:rsidRPr="00D36ADD">
        <w:t>.</w:t>
      </w:r>
    </w:p>
    <w:p w14:paraId="24BC2A5A" w14:textId="49C252FC" w:rsidR="00E12E53" w:rsidRPr="00D36ADD" w:rsidRDefault="00E12E53" w:rsidP="00E12E53">
      <w:pPr>
        <w:pStyle w:val="enumlev1"/>
      </w:pPr>
      <w:r w:rsidRPr="00D36ADD">
        <w:t>−</w:t>
      </w:r>
      <w:r w:rsidRPr="00D36ADD">
        <w:tab/>
      </w:r>
      <w:r w:rsidR="00DC5F7A" w:rsidRPr="00D36ADD">
        <w:t>Рек</w:t>
      </w:r>
      <w:r w:rsidRPr="00D36ADD">
        <w:t>. 3/2017</w:t>
      </w:r>
      <w:r w:rsidR="00DC5F7A" w:rsidRPr="00D36ADD">
        <w:t> г.</w:t>
      </w:r>
      <w:r w:rsidRPr="00D36ADD">
        <w:t xml:space="preserve">: </w:t>
      </w:r>
      <w:r w:rsidR="00ED4844" w:rsidRPr="00D36ADD">
        <w:t>"</w:t>
      </w:r>
      <w:r w:rsidR="00F014AA" w:rsidRPr="00D36ADD">
        <w:rPr>
          <w:rFonts w:asciiTheme="minorHAnsi" w:hAnsiTheme="minorHAnsi"/>
          <w:szCs w:val="24"/>
        </w:rPr>
        <w:t xml:space="preserve">Как </w:t>
      </w:r>
      <w:proofErr w:type="spellStart"/>
      <w:r w:rsidR="00F014AA" w:rsidRPr="00D36ADD">
        <w:rPr>
          <w:rFonts w:asciiTheme="minorHAnsi" w:hAnsiTheme="minorHAnsi"/>
          <w:szCs w:val="24"/>
        </w:rPr>
        <w:t>IMAC</w:t>
      </w:r>
      <w:proofErr w:type="spellEnd"/>
      <w:r w:rsidR="00F014AA" w:rsidRPr="00D36ADD">
        <w:rPr>
          <w:rFonts w:asciiTheme="minorHAnsi" w:hAnsiTheme="minorHAnsi"/>
          <w:szCs w:val="24"/>
        </w:rPr>
        <w:t xml:space="preserve"> рекомендовал в 2016 году</w:t>
      </w:r>
      <w:r w:rsidR="00532461" w:rsidRPr="00D36ADD">
        <w:rPr>
          <w:rFonts w:asciiTheme="minorHAnsi" w:hAnsiTheme="minorHAnsi"/>
          <w:szCs w:val="24"/>
        </w:rPr>
        <w:t>,</w:t>
      </w:r>
      <w:r w:rsidR="00F014AA" w:rsidRPr="00D36ADD">
        <w:rPr>
          <w:rFonts w:asciiTheme="minorHAnsi" w:hAnsiTheme="minorHAnsi"/>
          <w:szCs w:val="24"/>
        </w:rPr>
        <w:t xml:space="preserve"> необходимо, чтобы ограниченные ресурсы </w:t>
      </w:r>
      <w:r w:rsidR="00F014AA" w:rsidRPr="00D36ADD">
        <w:t>внутреннего</w:t>
      </w:r>
      <w:r w:rsidR="00F014AA" w:rsidRPr="00D36ADD">
        <w:rPr>
          <w:rFonts w:asciiTheme="minorHAnsi" w:hAnsiTheme="minorHAnsi"/>
          <w:szCs w:val="24"/>
        </w:rPr>
        <w:t xml:space="preserve"> аудита использовалась для изучения тех областей, в которых существуют первоочередные риски для организации</w:t>
      </w:r>
      <w:r w:rsidR="00ED4844" w:rsidRPr="00D36ADD">
        <w:t>"</w:t>
      </w:r>
      <w:r w:rsidRPr="00D36ADD">
        <w:t>.</w:t>
      </w:r>
    </w:p>
    <w:p w14:paraId="61B19755" w14:textId="25C92C71" w:rsidR="00E12E53" w:rsidRPr="00D36ADD" w:rsidRDefault="00E12E53" w:rsidP="00E12E53">
      <w:r w:rsidRPr="00D36ADD">
        <w:t>6.3</w:t>
      </w:r>
      <w:r w:rsidRPr="00D36ADD">
        <w:tab/>
      </w:r>
      <w:r w:rsidR="00B27F4A" w:rsidRPr="00D36ADD">
        <w:t xml:space="preserve">Члены </w:t>
      </w:r>
      <w:proofErr w:type="spellStart"/>
      <w:r w:rsidRPr="00D36ADD">
        <w:t>IMAC</w:t>
      </w:r>
      <w:proofErr w:type="spellEnd"/>
      <w:r w:rsidRPr="00D36ADD">
        <w:t xml:space="preserve"> </w:t>
      </w:r>
      <w:r w:rsidR="00B27F4A" w:rsidRPr="00D36ADD">
        <w:t xml:space="preserve">вновь выразили обеспокоенность </w:t>
      </w:r>
      <w:r w:rsidR="00F320DC" w:rsidRPr="00D36ADD">
        <w:t>по поводу</w:t>
      </w:r>
      <w:r w:rsidR="00B27F4A" w:rsidRPr="00D36ADD">
        <w:t xml:space="preserve"> использовани</w:t>
      </w:r>
      <w:r w:rsidR="00F320DC" w:rsidRPr="00D36ADD">
        <w:t>я</w:t>
      </w:r>
      <w:r w:rsidR="00B27F4A" w:rsidRPr="00D36ADD">
        <w:t xml:space="preserve"> ограниченных ресурс</w:t>
      </w:r>
      <w:r w:rsidR="00884635" w:rsidRPr="00D36ADD">
        <w:t>ов</w:t>
      </w:r>
      <w:r w:rsidRPr="00D36ADD">
        <w:t xml:space="preserve">, </w:t>
      </w:r>
      <w:r w:rsidR="00884635" w:rsidRPr="00D36ADD">
        <w:t>охват</w:t>
      </w:r>
      <w:r w:rsidR="00F320DC" w:rsidRPr="00D36ADD">
        <w:t>а</w:t>
      </w:r>
      <w:r w:rsidR="00884635" w:rsidRPr="00D36ADD">
        <w:t xml:space="preserve"> аудиторской работы и </w:t>
      </w:r>
      <w:r w:rsidR="00F320DC" w:rsidRPr="00D36ADD">
        <w:t>адекватности</w:t>
      </w:r>
      <w:r w:rsidR="00884635" w:rsidRPr="00D36ADD">
        <w:t xml:space="preserve"> процессов</w:t>
      </w:r>
      <w:r w:rsidRPr="00D36ADD">
        <w:t xml:space="preserve">. </w:t>
      </w:r>
      <w:r w:rsidR="00884635" w:rsidRPr="00D36ADD">
        <w:t>Предыдущий период был отмечен существенным</w:t>
      </w:r>
      <w:r w:rsidR="002C2654" w:rsidRPr="00D36ADD">
        <w:t>и</w:t>
      </w:r>
      <w:r w:rsidR="00884635" w:rsidRPr="00D36ADD">
        <w:t xml:space="preserve"> </w:t>
      </w:r>
      <w:r w:rsidR="002C2654" w:rsidRPr="00D36ADD">
        <w:t>нарушениями</w:t>
      </w:r>
      <w:r w:rsidR="00884635" w:rsidRPr="00D36ADD">
        <w:t>, но</w:t>
      </w:r>
      <w:r w:rsidRPr="00D36ADD">
        <w:t xml:space="preserve"> </w:t>
      </w:r>
      <w:proofErr w:type="spellStart"/>
      <w:r w:rsidRPr="00D36ADD">
        <w:t>IAU</w:t>
      </w:r>
      <w:proofErr w:type="spellEnd"/>
      <w:r w:rsidRPr="00D36ADD">
        <w:t xml:space="preserve"> </w:t>
      </w:r>
      <w:r w:rsidR="00867B58" w:rsidRPr="00D36ADD">
        <w:t>должно</w:t>
      </w:r>
      <w:r w:rsidR="00884635" w:rsidRPr="00D36ADD">
        <w:t xml:space="preserve"> наверстать упущения в работе, необходимой для </w:t>
      </w:r>
      <w:r w:rsidR="00F320DC" w:rsidRPr="00D36ADD">
        <w:t>оценки</w:t>
      </w:r>
      <w:r w:rsidR="00884635" w:rsidRPr="00D36ADD">
        <w:t xml:space="preserve"> целостности организации</w:t>
      </w:r>
      <w:r w:rsidRPr="00D36ADD">
        <w:t xml:space="preserve">. </w:t>
      </w:r>
      <w:r w:rsidR="00884635" w:rsidRPr="00D36ADD">
        <w:t>Результаты в настоящее время не</w:t>
      </w:r>
      <w:r w:rsidR="00F320DC" w:rsidRPr="00D36ADD">
        <w:t>достаточные</w:t>
      </w:r>
      <w:r w:rsidR="00884635" w:rsidRPr="00D36ADD">
        <w:t>, и ситуация, как представляется, скорее ухудшается, чем улучшается</w:t>
      </w:r>
      <w:r w:rsidRPr="00D36ADD">
        <w:t xml:space="preserve">. </w:t>
      </w:r>
      <w:r w:rsidR="00884635" w:rsidRPr="00D36ADD">
        <w:t xml:space="preserve">Комитет не уверен в наличии у </w:t>
      </w:r>
      <w:proofErr w:type="spellStart"/>
      <w:r w:rsidR="00867B58" w:rsidRPr="00D36ADD">
        <w:t>IAU</w:t>
      </w:r>
      <w:proofErr w:type="spellEnd"/>
      <w:r w:rsidR="00867B58" w:rsidRPr="00D36ADD">
        <w:t xml:space="preserve"> </w:t>
      </w:r>
      <w:r w:rsidR="00884635" w:rsidRPr="00D36ADD">
        <w:t>достаточных ресурсов, необходимых для эффективного мониторинга организации</w:t>
      </w:r>
      <w:r w:rsidRPr="00D36ADD">
        <w:t>.</w:t>
      </w:r>
    </w:p>
    <w:p w14:paraId="75079382" w14:textId="09502C2C" w:rsidR="00E12E53" w:rsidRPr="00D36ADD" w:rsidRDefault="00E12E53" w:rsidP="00E12E53">
      <w:r w:rsidRPr="00D36ADD">
        <w:t>6.4</w:t>
      </w:r>
      <w:r w:rsidRPr="00D36ADD">
        <w:tab/>
      </w:r>
      <w:r w:rsidR="00867B58" w:rsidRPr="00D36ADD">
        <w:t>Независимо от усилий по проведению различных расследований и другой не относящейся к аудиту работы, а также нарушений</w:t>
      </w:r>
      <w:r w:rsidR="002C2654" w:rsidRPr="00D36ADD">
        <w:t>, обусловленных</w:t>
      </w:r>
      <w:r w:rsidR="00867B58" w:rsidRPr="00D36ADD">
        <w:t xml:space="preserve"> </w:t>
      </w:r>
      <w:proofErr w:type="spellStart"/>
      <w:r w:rsidRPr="00D36ADD">
        <w:t>COVID</w:t>
      </w:r>
      <w:proofErr w:type="spellEnd"/>
      <w:r w:rsidRPr="00D36ADD">
        <w:t xml:space="preserve">-19, </w:t>
      </w:r>
      <w:r w:rsidR="00867B58" w:rsidRPr="00D36ADD">
        <w:t>необходимо выполнять мандат по аудиту</w:t>
      </w:r>
      <w:r w:rsidRPr="00D36ADD">
        <w:t xml:space="preserve">. </w:t>
      </w:r>
      <w:r w:rsidR="00867B58" w:rsidRPr="00D36ADD">
        <w:t>Тревогу вызывает тот факт, что в 2020 году работа по аудиту не проводилась</w:t>
      </w:r>
      <w:r w:rsidRPr="00D36ADD">
        <w:t xml:space="preserve">. </w:t>
      </w:r>
      <w:r w:rsidR="002C2654" w:rsidRPr="00D36ADD">
        <w:t>Следует</w:t>
      </w:r>
      <w:r w:rsidR="00867B58" w:rsidRPr="00D36ADD">
        <w:t xml:space="preserve"> продолжать эту работу в виртуальной среде, причем в той же, если даже не в большей, степени</w:t>
      </w:r>
      <w:r w:rsidRPr="00D36ADD">
        <w:t xml:space="preserve">. </w:t>
      </w:r>
    </w:p>
    <w:p w14:paraId="3EB2D731" w14:textId="58AB56E9" w:rsidR="00E12E53" w:rsidRPr="00D36ADD" w:rsidRDefault="00E12E53" w:rsidP="00E12E53">
      <w:r w:rsidRPr="00D36ADD">
        <w:t>6.5</w:t>
      </w:r>
      <w:r w:rsidRPr="00D36ADD">
        <w:tab/>
      </w:r>
      <w:r w:rsidR="002C2654" w:rsidRPr="00D36ADD">
        <w:t xml:space="preserve">Зафиксированные </w:t>
      </w:r>
      <w:r w:rsidR="00423789" w:rsidRPr="00D36ADD">
        <w:t xml:space="preserve">проблемы </w:t>
      </w:r>
      <w:r w:rsidR="002C2654" w:rsidRPr="00D36ADD">
        <w:t>следует решать, так как риски могут быть особенно высокими в будущем</w:t>
      </w:r>
      <w:r w:rsidRPr="00D36ADD">
        <w:t xml:space="preserve">. </w:t>
      </w:r>
      <w:r w:rsidR="002C2654" w:rsidRPr="00D36ADD">
        <w:t>Комитет полагает, что эта деятельность имеет критическое значение</w:t>
      </w:r>
      <w:r w:rsidR="00423789" w:rsidRPr="00D36ADD">
        <w:t>,</w:t>
      </w:r>
      <w:r w:rsidR="002C2654" w:rsidRPr="00D36ADD">
        <w:t xml:space="preserve"> и </w:t>
      </w:r>
      <w:proofErr w:type="spellStart"/>
      <w:r w:rsidRPr="00D36ADD">
        <w:t>IMAC</w:t>
      </w:r>
      <w:proofErr w:type="spellEnd"/>
      <w:r w:rsidRPr="00D36ADD">
        <w:t xml:space="preserve"> </w:t>
      </w:r>
      <w:r w:rsidR="002C2654" w:rsidRPr="00D36ADD">
        <w:t>готов к проведению дальнейшего обсуждения, для того чтобы найти безотлагательное решение этого вопроса</w:t>
      </w:r>
      <w:r w:rsidRPr="00D36ADD">
        <w:t>.</w:t>
      </w:r>
    </w:p>
    <w:p w14:paraId="6DF63B1B" w14:textId="544339C5" w:rsidR="00E12E53" w:rsidRPr="00D36ADD" w:rsidRDefault="00E12E53" w:rsidP="00ED4844">
      <w:pPr>
        <w:spacing w:after="120"/>
      </w:pPr>
      <w:r w:rsidRPr="00D36ADD">
        <w:t>6.6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2C40ED" w:rsidRPr="00D36ADD">
        <w:t xml:space="preserve">отметил увеличение количества расследований, и Комитет особо </w:t>
      </w:r>
      <w:r w:rsidR="00A43167" w:rsidRPr="00D36ADD">
        <w:t>выделил</w:t>
      </w:r>
      <w:r w:rsidR="002C40ED" w:rsidRPr="00D36ADD">
        <w:t xml:space="preserve"> предложение обеспечить в приоритетном порядке специальный ресурс для проведения расследований</w:t>
      </w:r>
      <w:r w:rsidRPr="00D36ADD">
        <w:t xml:space="preserve"> (</w:t>
      </w:r>
      <w:r w:rsidR="002C40ED" w:rsidRPr="00D36ADD">
        <w:t>см. </w:t>
      </w:r>
      <w:hyperlink r:id="rId20" w:history="1">
        <w:r w:rsidR="00532461" w:rsidRPr="00D36ADD">
          <w:rPr>
            <w:rStyle w:val="Hyperlink"/>
          </w:rPr>
          <w:t>Док. </w:t>
        </w:r>
        <w:proofErr w:type="spellStart"/>
        <w:r w:rsidR="00532461" w:rsidRPr="00D36ADD">
          <w:rPr>
            <w:rStyle w:val="Hyperlink"/>
          </w:rPr>
          <w:t>C20</w:t>
        </w:r>
        <w:proofErr w:type="spellEnd"/>
        <w:r w:rsidR="00532461" w:rsidRPr="00D36ADD">
          <w:rPr>
            <w:rStyle w:val="Hyperlink"/>
          </w:rPr>
          <w:t>/60</w:t>
        </w:r>
      </w:hyperlink>
      <w:r w:rsidRPr="00D36ADD">
        <w:t xml:space="preserve"> </w:t>
      </w:r>
      <w:r w:rsidR="002C40ED" w:rsidRPr="00D36ADD">
        <w:t xml:space="preserve">Совета "Создание и финансирование </w:t>
      </w:r>
      <w:r w:rsidR="002C40ED" w:rsidRPr="00D36ADD">
        <w:rPr>
          <w:color w:val="000000"/>
        </w:rPr>
        <w:t>новых функции и процесса расследования"</w:t>
      </w:r>
      <w:r w:rsidRPr="00D36ADD">
        <w:t xml:space="preserve">). </w:t>
      </w:r>
      <w:r w:rsidR="002C40ED" w:rsidRPr="00D36ADD">
        <w:t>Комитет</w:t>
      </w:r>
      <w:r w:rsidRPr="00D36ADD">
        <w:t xml:space="preserve"> </w:t>
      </w:r>
      <w:r w:rsidR="002C40ED" w:rsidRPr="00D36ADD">
        <w:t>по-прежнему подчеркивает необходимость привлечения внешних специалистов для конкретных видов и областей расследований</w:t>
      </w:r>
      <w:r w:rsidRPr="00D36AD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4844" w:rsidRPr="00D36ADD" w14:paraId="104FE558" w14:textId="77777777" w:rsidTr="00ED4844">
        <w:tc>
          <w:tcPr>
            <w:tcW w:w="9629" w:type="dxa"/>
          </w:tcPr>
          <w:p w14:paraId="6EFD8E7B" w14:textId="5F95A476" w:rsidR="00ED4844" w:rsidRPr="00D36ADD" w:rsidRDefault="00ED4844" w:rsidP="00ED4844">
            <w:pPr>
              <w:spacing w:after="120"/>
            </w:pPr>
            <w:r w:rsidRPr="00D36ADD">
              <w:rPr>
                <w:b/>
                <w:bCs/>
              </w:rPr>
              <w:t>Рекомендация 1 (2020 г.)</w:t>
            </w:r>
            <w:r w:rsidRPr="00D36ADD">
              <w:t xml:space="preserve">: </w:t>
            </w:r>
            <w:r w:rsidR="00A43167" w:rsidRPr="00D36ADD">
              <w:t>Внутренний аудит в любой организации составляет третью линию защиты, обеспечивая гарантии в отношении процессов управления рисками и внутреннего контроля организации</w:t>
            </w:r>
            <w:r w:rsidRPr="00D36ADD">
              <w:t xml:space="preserve">; </w:t>
            </w:r>
            <w:proofErr w:type="spellStart"/>
            <w:r w:rsidRPr="00D36ADD">
              <w:t>IMAC</w:t>
            </w:r>
            <w:proofErr w:type="spellEnd"/>
            <w:r w:rsidRPr="00D36ADD">
              <w:t xml:space="preserve"> </w:t>
            </w:r>
            <w:r w:rsidR="00A43167" w:rsidRPr="00D36ADD">
              <w:t xml:space="preserve">рекомендует </w:t>
            </w:r>
            <w:r w:rsidR="00423789" w:rsidRPr="00D36ADD">
              <w:t>существенным образом</w:t>
            </w:r>
            <w:r w:rsidR="00A43167" w:rsidRPr="00D36ADD">
              <w:t xml:space="preserve"> укрепить Подразделение внутреннего аудита в части ресурсов, охвата и адекватности процессов</w:t>
            </w:r>
            <w:r w:rsidRPr="00D36ADD">
              <w:t>.</w:t>
            </w:r>
          </w:p>
        </w:tc>
      </w:tr>
    </w:tbl>
    <w:p w14:paraId="48055001" w14:textId="6982032C" w:rsidR="00ED4844" w:rsidRPr="00D36ADD" w:rsidRDefault="00ED4844" w:rsidP="00ED4844">
      <w:pPr>
        <w:pStyle w:val="Heading1"/>
      </w:pPr>
      <w:r w:rsidRPr="00D36ADD">
        <w:t>7</w:t>
      </w:r>
      <w:r w:rsidRPr="00D36ADD">
        <w:tab/>
      </w:r>
      <w:r w:rsidR="001F18B0" w:rsidRPr="00D36ADD">
        <w:t>Внешний аудит</w:t>
      </w:r>
    </w:p>
    <w:p w14:paraId="0EDB014B" w14:textId="5DCD752F" w:rsidR="00ED4844" w:rsidRPr="00D36ADD" w:rsidRDefault="00ED4844" w:rsidP="00ED4844">
      <w:r w:rsidRPr="00D36ADD">
        <w:t>7.1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2525D4" w:rsidRPr="00D36ADD">
        <w:t>тесно сотрудничает с Внешним аудитором, проводя на каждом собрании Комитета сессии как с Внешним аудитором, так и с руководством МСЭ, а также закрытые сессии только с Внешним аудитором</w:t>
      </w:r>
      <w:r w:rsidRPr="00D36ADD">
        <w:t>.</w:t>
      </w:r>
    </w:p>
    <w:p w14:paraId="02CD664D" w14:textId="0AD334E9" w:rsidR="00ED4844" w:rsidRPr="00D36ADD" w:rsidRDefault="00ED4844" w:rsidP="00ED4844">
      <w:r w:rsidRPr="00D36ADD">
        <w:t>7.2</w:t>
      </w:r>
      <w:r w:rsidRPr="00D36ADD">
        <w:tab/>
      </w:r>
      <w:r w:rsidR="002525D4" w:rsidRPr="00D36ADD">
        <w:t xml:space="preserve">Что касается системы внутреннего контроля, </w:t>
      </w:r>
      <w:r w:rsidR="00532461" w:rsidRPr="00D36ADD">
        <w:t>Внешний аудитор сделал</w:t>
      </w:r>
      <w:r w:rsidR="002525D4" w:rsidRPr="00D36ADD">
        <w:t xml:space="preserve"> </w:t>
      </w:r>
      <w:r w:rsidR="00532461" w:rsidRPr="00D36ADD">
        <w:t>заключение с оговорками по финансовой отчетности МСЭ за 201</w:t>
      </w:r>
      <w:r w:rsidR="002525D4" w:rsidRPr="00D36ADD">
        <w:t>9</w:t>
      </w:r>
      <w:r w:rsidR="00532461" w:rsidRPr="00D36ADD">
        <w:t xml:space="preserve"> год</w:t>
      </w:r>
      <w:r w:rsidR="002525D4" w:rsidRPr="00D36ADD">
        <w:t>, как и по отчетности за 2018 год</w:t>
      </w:r>
      <w:r w:rsidR="00532461" w:rsidRPr="00D36ADD">
        <w:t xml:space="preserve">. </w:t>
      </w:r>
      <w:r w:rsidR="002525D4" w:rsidRPr="00D36ADD">
        <w:t xml:space="preserve">Проверки Внешнего аудитора показали, что </w:t>
      </w:r>
      <w:r w:rsidR="00532461" w:rsidRPr="00D36ADD">
        <w:t>расходы, связанные с международным сотрудничеством и технической помощью,</w:t>
      </w:r>
      <w:r w:rsidR="002525D4" w:rsidRPr="00D36ADD">
        <w:t xml:space="preserve"> были </w:t>
      </w:r>
      <w:r w:rsidR="000D3A7F" w:rsidRPr="00D36ADD">
        <w:t>санкционированы</w:t>
      </w:r>
      <w:r w:rsidR="002525D4" w:rsidRPr="00D36ADD">
        <w:t xml:space="preserve"> и осуществл</w:t>
      </w:r>
      <w:r w:rsidR="000D3A7F" w:rsidRPr="00D36ADD">
        <w:t>ялись</w:t>
      </w:r>
      <w:r w:rsidR="002525D4" w:rsidRPr="00D36ADD">
        <w:t xml:space="preserve"> в рамках системы внутреннего </w:t>
      </w:r>
      <w:r w:rsidR="002525D4" w:rsidRPr="00D36ADD">
        <w:lastRenderedPageBreak/>
        <w:t xml:space="preserve">контроля, на которую Внешний аудитор не может полагаться </w:t>
      </w:r>
      <w:r w:rsidR="00532461" w:rsidRPr="00D36ADD">
        <w:t>для целей аудиторской проверки. Отсутствовали какие-либо иные удовлетворительные процедуры аудита, которые мог бы принять Внешний аудитор, для того чтобы убедиться в отсутствии существенных искажений в зарегистрированных расходах</w:t>
      </w:r>
      <w:r w:rsidRPr="00D36ADD">
        <w:t>.</w:t>
      </w:r>
    </w:p>
    <w:p w14:paraId="1CDA5976" w14:textId="2B8269C0" w:rsidR="00ED4844" w:rsidRPr="00D36ADD" w:rsidRDefault="00ED4844" w:rsidP="00ED4844">
      <w:r w:rsidRPr="00D36ADD">
        <w:t>7.3</w:t>
      </w:r>
      <w:r w:rsidRPr="00D36ADD">
        <w:tab/>
      </w:r>
      <w:r w:rsidR="000D3A7F" w:rsidRPr="00D36ADD">
        <w:t>Внешний аудитор признал тот факт, что МСЭ</w:t>
      </w:r>
      <w:r w:rsidR="00E1597C" w:rsidRPr="00D36ADD">
        <w:t xml:space="preserve"> начал осуществление всеобъемлющего процесса, который направлен на надлежащее выполнение рекомендаций Внешнего аудитора, а</w:t>
      </w:r>
      <w:r w:rsidR="001C0094" w:rsidRPr="00D36ADD">
        <w:t> </w:t>
      </w:r>
      <w:r w:rsidR="00E1597C" w:rsidRPr="00D36ADD">
        <w:t>также рекомендаций, пред</w:t>
      </w:r>
      <w:r w:rsidR="00196F3C" w:rsidRPr="00D36ADD">
        <w:t>о</w:t>
      </w:r>
      <w:r w:rsidR="00E1597C" w:rsidRPr="00D36ADD">
        <w:t xml:space="preserve">ставленных </w:t>
      </w:r>
      <w:r w:rsidR="008949BA" w:rsidRPr="00D36ADD">
        <w:t>Подразделением внутреннего аудита</w:t>
      </w:r>
      <w:r w:rsidRPr="00D36ADD">
        <w:t xml:space="preserve"> </w:t>
      </w:r>
      <w:r w:rsidR="00E1597C" w:rsidRPr="00D36ADD">
        <w:t>и</w:t>
      </w:r>
      <w:r w:rsidRPr="00D36ADD">
        <w:t xml:space="preserve"> </w:t>
      </w:r>
      <w:r w:rsidR="008949BA" w:rsidRPr="00D36ADD">
        <w:t>Объединенной инспекционной группой</w:t>
      </w:r>
      <w:r w:rsidRPr="00D36ADD">
        <w:t xml:space="preserve">. </w:t>
      </w:r>
      <w:r w:rsidR="00E1597C" w:rsidRPr="00D36ADD">
        <w:t>В Отчете Внешнего аудитора признается прогресс, достигнутый Рабочей группой по внутреннему контролю, созданной по инициативе Директора БРЭ</w:t>
      </w:r>
      <w:r w:rsidR="00E26C91" w:rsidRPr="00D36ADD">
        <w:t>, в том числе, для оценки рисков, связанных с системой подотчетности, и рассмотрения процедур управленческого надзора</w:t>
      </w:r>
      <w:r w:rsidRPr="00D36ADD">
        <w:t xml:space="preserve">. </w:t>
      </w:r>
      <w:r w:rsidR="00285753" w:rsidRPr="00D36ADD">
        <w:t xml:space="preserve">Вместе с тем Внешний аудитор </w:t>
      </w:r>
      <w:r w:rsidR="00386029" w:rsidRPr="00D36ADD">
        <w:t>посчитал</w:t>
      </w:r>
      <w:r w:rsidR="00285753" w:rsidRPr="00D36ADD">
        <w:t xml:space="preserve"> целесообразным сохранить заключение с оговорками, так как разработанные инструменты пока не смогли доказать свою эффективность в снижении рисков, отмеченных в контексте</w:t>
      </w:r>
      <w:r w:rsidRPr="00D36ADD">
        <w:t xml:space="preserve"> </w:t>
      </w:r>
      <w:r w:rsidR="00285753" w:rsidRPr="00D36ADD">
        <w:t>финансовой отчетности</w:t>
      </w:r>
      <w:r w:rsidRPr="00D36ADD">
        <w:t>.</w:t>
      </w:r>
    </w:p>
    <w:p w14:paraId="7FA6D444" w14:textId="5EDC8E9C" w:rsidR="00ED4844" w:rsidRPr="00D36ADD" w:rsidRDefault="00ED4844" w:rsidP="00ED4844">
      <w:r w:rsidRPr="00D36ADD">
        <w:t>7.4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F90211" w:rsidRPr="00D36ADD">
        <w:t>особо отметил также вопрос, поднятый Внешним аудитором, о необходимости уделить дополнительное внимание своевременной обработке административных данных</w:t>
      </w:r>
      <w:r w:rsidR="00B1592C" w:rsidRPr="00D36ADD">
        <w:t xml:space="preserve"> и стабилизации системы</w:t>
      </w:r>
      <w:r w:rsidRPr="00D36ADD">
        <w:t xml:space="preserve"> </w:t>
      </w:r>
      <w:r w:rsidR="00864DBD" w:rsidRPr="00D36ADD">
        <w:t>планирования ресурсов предприятий (</w:t>
      </w:r>
      <w:proofErr w:type="spellStart"/>
      <w:r w:rsidRPr="00D36ADD">
        <w:t>ERP</w:t>
      </w:r>
      <w:proofErr w:type="spellEnd"/>
      <w:r w:rsidR="00864DBD" w:rsidRPr="00D36ADD">
        <w:t>)</w:t>
      </w:r>
      <w:r w:rsidRPr="00D36ADD">
        <w:t xml:space="preserve"> </w:t>
      </w:r>
      <w:r w:rsidR="00864DBD" w:rsidRPr="00D36ADD">
        <w:t>Департамента управления людскими ресурсами (</w:t>
      </w:r>
      <w:proofErr w:type="spellStart"/>
      <w:r w:rsidR="00864DBD" w:rsidRPr="00D36ADD">
        <w:t>HRMD</w:t>
      </w:r>
      <w:proofErr w:type="spellEnd"/>
      <w:r w:rsidR="00864DBD" w:rsidRPr="00D36ADD">
        <w:t>)</w:t>
      </w:r>
      <w:r w:rsidRPr="00D36ADD">
        <w:t xml:space="preserve">. </w:t>
      </w:r>
      <w:r w:rsidR="00864DBD" w:rsidRPr="00D36ADD">
        <w:t>П</w:t>
      </w:r>
      <w:r w:rsidR="00B1592C" w:rsidRPr="00D36ADD">
        <w:t>роведенны</w:t>
      </w:r>
      <w:r w:rsidR="00864DBD" w:rsidRPr="00D36ADD">
        <w:t>е</w:t>
      </w:r>
      <w:r w:rsidR="00B1592C" w:rsidRPr="00D36ADD">
        <w:t xml:space="preserve"> проверк</w:t>
      </w:r>
      <w:r w:rsidR="00864DBD" w:rsidRPr="00D36ADD">
        <w:t>и показали</w:t>
      </w:r>
      <w:r w:rsidR="00B1592C" w:rsidRPr="00D36ADD">
        <w:t xml:space="preserve">, </w:t>
      </w:r>
      <w:r w:rsidR="00864DBD" w:rsidRPr="00D36ADD">
        <w:t xml:space="preserve">что </w:t>
      </w:r>
      <w:r w:rsidR="00B1592C" w:rsidRPr="00D36ADD">
        <w:t>выплачиваемые надбавки могут не соответствовать (или более не соответствовать) фактическим условиям получения права</w:t>
      </w:r>
      <w:r w:rsidR="00864DBD" w:rsidRPr="00D36ADD">
        <w:t xml:space="preserve"> на надбавки</w:t>
      </w:r>
      <w:r w:rsidR="00B1592C" w:rsidRPr="00D36ADD">
        <w:t xml:space="preserve"> отдельных работников</w:t>
      </w:r>
      <w:r w:rsidRPr="00D36ADD">
        <w:t xml:space="preserve">, </w:t>
      </w:r>
      <w:r w:rsidR="00B1592C" w:rsidRPr="00D36ADD">
        <w:t xml:space="preserve">в то время как ручной ввод и корректировки данных, вероятно, </w:t>
      </w:r>
      <w:r w:rsidR="0013486D" w:rsidRPr="00D36ADD">
        <w:t>оказывают кумулятивной воздействие на другие выплаты</w:t>
      </w:r>
      <w:r w:rsidRPr="00D36ADD">
        <w:t xml:space="preserve">. </w:t>
      </w:r>
      <w:r w:rsidR="0013486D" w:rsidRPr="00D36ADD">
        <w:t>Ввиду этой ситуации Внешний аудитор не смог сделать заключение о точности цифр, отраженных в отчетности</w:t>
      </w:r>
      <w:r w:rsidRPr="00D36ADD">
        <w:t>.</w:t>
      </w:r>
    </w:p>
    <w:p w14:paraId="3E2A21B9" w14:textId="598BA751" w:rsidR="00ED4844" w:rsidRPr="00D36ADD" w:rsidRDefault="00ED4844" w:rsidP="00864DBD">
      <w:r w:rsidRPr="00D36ADD">
        <w:t>7.5</w:t>
      </w:r>
      <w:r w:rsidRPr="00D36ADD">
        <w:tab/>
      </w:r>
      <w:r w:rsidR="00864DBD" w:rsidRPr="00D36ADD">
        <w:t>В Отчете Внешнего аудитора за</w:t>
      </w:r>
      <w:r w:rsidRPr="00D36ADD">
        <w:t xml:space="preserve"> 2019</w:t>
      </w:r>
      <w:r w:rsidR="00864DBD" w:rsidRPr="00D36ADD">
        <w:t xml:space="preserve"> год </w:t>
      </w:r>
      <w:r w:rsidR="00DE2B96" w:rsidRPr="00D36ADD">
        <w:t>вновь</w:t>
      </w:r>
      <w:r w:rsidR="00864DBD" w:rsidRPr="00D36ADD">
        <w:t xml:space="preserve"> особо отмечено влияние актуарных обязательств, которые связаны с вознаграждени</w:t>
      </w:r>
      <w:r w:rsidR="00A74B01" w:rsidRPr="00D36ADD">
        <w:t>ем</w:t>
      </w:r>
      <w:r w:rsidR="00864DBD" w:rsidRPr="00D36ADD">
        <w:t xml:space="preserve"> сотрудников, работающих на основе долгосрочных контрактов,</w:t>
      </w:r>
      <w:r w:rsidRPr="00D36ADD">
        <w:t xml:space="preserve"> </w:t>
      </w:r>
      <w:r w:rsidR="00864DBD" w:rsidRPr="00D36ADD">
        <w:t>и отражены в финансовом положении</w:t>
      </w:r>
      <w:r w:rsidRPr="00D36ADD">
        <w:t xml:space="preserve">, </w:t>
      </w:r>
      <w:r w:rsidR="00864DBD" w:rsidRPr="00D36ADD">
        <w:t>в частности с планом медицинского страхования после выхода в отставку (</w:t>
      </w:r>
      <w:proofErr w:type="spellStart"/>
      <w:r w:rsidR="00864DBD" w:rsidRPr="00D36ADD">
        <w:t>АСХИ</w:t>
      </w:r>
      <w:proofErr w:type="spellEnd"/>
      <w:r w:rsidR="00864DBD" w:rsidRPr="00D36ADD">
        <w:t>)</w:t>
      </w:r>
      <w:r w:rsidRPr="00D36ADD">
        <w:t>.</w:t>
      </w:r>
    </w:p>
    <w:p w14:paraId="715C9B22" w14:textId="58D843BA" w:rsidR="00ED4844" w:rsidRPr="00D36ADD" w:rsidRDefault="00ED4844" w:rsidP="00ED4844">
      <w:pPr>
        <w:spacing w:after="120"/>
      </w:pPr>
      <w:r w:rsidRPr="00D36ADD">
        <w:t>7.6</w:t>
      </w:r>
      <w:r w:rsidRPr="00D36ADD">
        <w:tab/>
      </w:r>
      <w:proofErr w:type="spellStart"/>
      <w:r w:rsidR="00532461" w:rsidRPr="00D36ADD">
        <w:t>IMAC</w:t>
      </w:r>
      <w:proofErr w:type="spellEnd"/>
      <w:r w:rsidR="00532461" w:rsidRPr="00D36ADD">
        <w:t xml:space="preserve"> </w:t>
      </w:r>
      <w:r w:rsidR="00DE2B96" w:rsidRPr="00D36ADD">
        <w:t>рекомендует</w:t>
      </w:r>
      <w:r w:rsidR="00532461" w:rsidRPr="00D36ADD">
        <w:t xml:space="preserve"> Совету уделить первостепенное внимание отчету Внешнего аудитора и рекомендациям по итогам аудиторской проверки</w:t>
      </w:r>
      <w:r w:rsidRPr="00D36AD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4844" w:rsidRPr="00D36ADD" w14:paraId="438DF683" w14:textId="77777777" w:rsidTr="00827FFA">
        <w:tc>
          <w:tcPr>
            <w:tcW w:w="9629" w:type="dxa"/>
          </w:tcPr>
          <w:p w14:paraId="01EEDC81" w14:textId="2A4F37C4" w:rsidR="00ED4844" w:rsidRPr="00D36ADD" w:rsidRDefault="00ED4844" w:rsidP="00827FFA">
            <w:pPr>
              <w:spacing w:after="120"/>
              <w:rPr>
                <w:rFonts w:cs="Calibri"/>
              </w:rPr>
            </w:pPr>
            <w:r w:rsidRPr="00D36ADD">
              <w:rPr>
                <w:rFonts w:cs="Calibri"/>
                <w:b/>
                <w:bCs/>
              </w:rPr>
              <w:t>Рекомендация 2 (2020 г.)</w:t>
            </w:r>
            <w:r w:rsidRPr="00D36ADD">
              <w:rPr>
                <w:rFonts w:cs="Calibri"/>
              </w:rPr>
              <w:t xml:space="preserve">: </w:t>
            </w:r>
            <w:proofErr w:type="spellStart"/>
            <w:r w:rsidRPr="00D36ADD">
              <w:rPr>
                <w:rFonts w:cs="Calibri"/>
              </w:rPr>
              <w:t>IMAC</w:t>
            </w:r>
            <w:proofErr w:type="spellEnd"/>
            <w:r w:rsidRPr="00D36ADD">
              <w:rPr>
                <w:rFonts w:cs="Calibri"/>
              </w:rPr>
              <w:t xml:space="preserve"> </w:t>
            </w:r>
            <w:r w:rsidR="00DE2B96" w:rsidRPr="00D36ADD">
              <w:rPr>
                <w:rFonts w:cs="Calibri"/>
              </w:rPr>
              <w:t>рекомендует</w:t>
            </w:r>
            <w:r w:rsidR="00F97822" w:rsidRPr="00D36ADD">
              <w:rPr>
                <w:rFonts w:cs="Calibri"/>
              </w:rPr>
              <w:t xml:space="preserve"> руководству проанализировать текущий процесс укрепления системы </w:t>
            </w:r>
            <w:proofErr w:type="spellStart"/>
            <w:r w:rsidR="00F97822" w:rsidRPr="00D36ADD">
              <w:rPr>
                <w:rFonts w:cs="Calibri"/>
              </w:rPr>
              <w:t>ERP</w:t>
            </w:r>
            <w:proofErr w:type="spellEnd"/>
            <w:r w:rsidR="00F97822" w:rsidRPr="00D36ADD">
              <w:rPr>
                <w:rFonts w:cs="Calibri"/>
              </w:rPr>
              <w:t xml:space="preserve"> </w:t>
            </w:r>
            <w:proofErr w:type="spellStart"/>
            <w:r w:rsidRPr="00D36ADD">
              <w:rPr>
                <w:rFonts w:cs="Calibri"/>
              </w:rPr>
              <w:t>HRMD</w:t>
            </w:r>
            <w:proofErr w:type="spellEnd"/>
            <w:r w:rsidRPr="00D36ADD">
              <w:rPr>
                <w:rFonts w:cs="Calibri"/>
              </w:rPr>
              <w:t xml:space="preserve"> </w:t>
            </w:r>
            <w:r w:rsidR="00F97822" w:rsidRPr="00D36ADD">
              <w:rPr>
                <w:rFonts w:cs="Calibri"/>
              </w:rPr>
              <w:t>и в приоритетном порядке рассмотре</w:t>
            </w:r>
            <w:r w:rsidR="00A74B01" w:rsidRPr="00D36ADD">
              <w:rPr>
                <w:rFonts w:cs="Calibri"/>
              </w:rPr>
              <w:t>ть</w:t>
            </w:r>
            <w:r w:rsidR="00F97822" w:rsidRPr="00D36ADD">
              <w:rPr>
                <w:rFonts w:cs="Calibri"/>
              </w:rPr>
              <w:t xml:space="preserve"> этот вопрос, с тем чтобы найти наиболее подходящее решение</w:t>
            </w:r>
            <w:r w:rsidRPr="00D36ADD">
              <w:rPr>
                <w:rFonts w:cs="Calibri"/>
              </w:rPr>
              <w:t>.</w:t>
            </w:r>
          </w:p>
        </w:tc>
      </w:tr>
    </w:tbl>
    <w:p w14:paraId="33505C2B" w14:textId="2B9E999C" w:rsidR="00ED4844" w:rsidRPr="00D36ADD" w:rsidRDefault="000D3A7F" w:rsidP="00ED4844">
      <w:pPr>
        <w:pStyle w:val="Headingb"/>
      </w:pPr>
      <w:r w:rsidRPr="00D36ADD">
        <w:t>Назначение нового Внешнего аудитора</w:t>
      </w:r>
    </w:p>
    <w:p w14:paraId="2CECA328" w14:textId="5891C00C" w:rsidR="00ED4844" w:rsidRPr="00D36ADD" w:rsidRDefault="00ED4844" w:rsidP="00DC5F7A">
      <w:r w:rsidRPr="00D36ADD">
        <w:t>7.7</w:t>
      </w:r>
      <w:r w:rsidRPr="00D36ADD">
        <w:tab/>
      </w:r>
      <w:r w:rsidR="009C7AEB" w:rsidRPr="00D36ADD">
        <w:t>Ввиду того, что процесс отбора нового Внешнего аудитора изначально оказался неудачным, Совет одобрил предложение о повторном назначении действующего Внешнего аудитора на дополнительный двухлетний срок</w:t>
      </w:r>
      <w:r w:rsidRPr="00D36ADD">
        <w:t>.</w:t>
      </w:r>
    </w:p>
    <w:p w14:paraId="0D3BFE97" w14:textId="3D8C6118" w:rsidR="00ED4844" w:rsidRPr="00D36ADD" w:rsidRDefault="00ED4844" w:rsidP="00DC5F7A">
      <w:r w:rsidRPr="00D36ADD">
        <w:t>7.8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9C7AEB" w:rsidRPr="00D36ADD">
        <w:t>ранее подчеркивал важность этого процесса тендера и предлагал провести его таким образом, чтобы обеспечить достаточную и справедливую конкуренцию</w:t>
      </w:r>
      <w:r w:rsidRPr="00D36ADD">
        <w:t xml:space="preserve">. </w:t>
      </w:r>
      <w:r w:rsidR="00532461" w:rsidRPr="00D36ADD">
        <w:t xml:space="preserve">Круг ведения </w:t>
      </w:r>
      <w:proofErr w:type="spellStart"/>
      <w:r w:rsidR="00532461" w:rsidRPr="00D36ADD">
        <w:t>IMAC</w:t>
      </w:r>
      <w:proofErr w:type="spellEnd"/>
      <w:r w:rsidR="00532461" w:rsidRPr="00D36ADD">
        <w:t xml:space="preserve"> включает обязанность пред</w:t>
      </w:r>
      <w:r w:rsidR="00196F3C" w:rsidRPr="00D36ADD">
        <w:t>о</w:t>
      </w:r>
      <w:r w:rsidR="00532461" w:rsidRPr="00D36ADD">
        <w:t xml:space="preserve">ставлять рекомендации о назначении </w:t>
      </w:r>
      <w:r w:rsidR="009C7AEB" w:rsidRPr="00D36ADD">
        <w:t>В</w:t>
      </w:r>
      <w:r w:rsidR="00532461" w:rsidRPr="00D36ADD">
        <w:t>нешнего аудитора</w:t>
      </w:r>
      <w:r w:rsidRPr="00D36ADD">
        <w:t>.</w:t>
      </w:r>
    </w:p>
    <w:p w14:paraId="51A29E27" w14:textId="6E971D0B" w:rsidR="00ED4844" w:rsidRPr="00D36ADD" w:rsidRDefault="00ED4844" w:rsidP="00DC5F7A">
      <w:r w:rsidRPr="00D36ADD">
        <w:t>7.9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9C7AEB" w:rsidRPr="00D36ADD">
        <w:t>принял к сведению работу Комитета по оценке и возобновление процесса назначения нового Внешнего аудитора, а также предложил назначить нового Внешнего аудитора без дальнейших задержек и в приоритетном порядке, в соответствии с практикой надлежащего управления</w:t>
      </w:r>
      <w:r w:rsidRPr="00D36ADD">
        <w:t>.</w:t>
      </w:r>
    </w:p>
    <w:p w14:paraId="669A19F4" w14:textId="724C59A6" w:rsidR="00ED4844" w:rsidRPr="00D36ADD" w:rsidRDefault="00ED4844" w:rsidP="00ED4844">
      <w:pPr>
        <w:pStyle w:val="Heading1"/>
      </w:pPr>
      <w:r w:rsidRPr="00D36ADD">
        <w:t>8</w:t>
      </w:r>
      <w:r w:rsidRPr="00D36ADD">
        <w:tab/>
      </w:r>
      <w:r w:rsidR="00065F04" w:rsidRPr="00D36ADD">
        <w:t xml:space="preserve">Рекомендации по </w:t>
      </w:r>
      <w:r w:rsidR="00176C33" w:rsidRPr="00D36ADD">
        <w:t xml:space="preserve">итогам </w:t>
      </w:r>
      <w:r w:rsidR="00065F04" w:rsidRPr="00D36ADD">
        <w:t>аудит</w:t>
      </w:r>
      <w:r w:rsidR="00176C33" w:rsidRPr="00D36ADD">
        <w:t>а</w:t>
      </w:r>
    </w:p>
    <w:p w14:paraId="40E29309" w14:textId="769EB9F9" w:rsidR="00ED4844" w:rsidRPr="00D36ADD" w:rsidRDefault="00ED4844" w:rsidP="00ED4844">
      <w:pPr>
        <w:spacing w:after="120"/>
      </w:pPr>
      <w:r w:rsidRPr="00D36ADD">
        <w:t>8.1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065F04" w:rsidRPr="00D36ADD">
        <w:t>отметил ряд рекомендаций, сделанных Подразделением внутреннего аудита и Внешним аудитором, которые еще не выполнены</w:t>
      </w:r>
      <w:r w:rsidRPr="00D36ADD">
        <w:t xml:space="preserve">. </w:t>
      </w:r>
      <w:r w:rsidR="00065F04" w:rsidRPr="00D36ADD">
        <w:t xml:space="preserve">Комитет повторно заявляет, что важно уделять </w:t>
      </w:r>
      <w:r w:rsidR="00065F04" w:rsidRPr="00D36ADD">
        <w:lastRenderedPageBreak/>
        <w:t>особое внимание выполнению рекомендаций, которые остаются невыполненными в течение длительного срока</w:t>
      </w:r>
      <w:r w:rsidRPr="00D36AD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4844" w:rsidRPr="00D36ADD" w14:paraId="1C789C24" w14:textId="77777777" w:rsidTr="00827FFA">
        <w:tc>
          <w:tcPr>
            <w:tcW w:w="9629" w:type="dxa"/>
          </w:tcPr>
          <w:p w14:paraId="226F2203" w14:textId="5B446E93" w:rsidR="00ED4844" w:rsidRPr="00D36ADD" w:rsidRDefault="00ED4844" w:rsidP="00827FFA">
            <w:pPr>
              <w:spacing w:after="120"/>
            </w:pPr>
            <w:r w:rsidRPr="00D36ADD">
              <w:rPr>
                <w:b/>
                <w:bCs/>
              </w:rPr>
              <w:t>Рекомендация 3 (2020 г.)</w:t>
            </w:r>
            <w:r w:rsidRPr="00D36ADD">
              <w:t xml:space="preserve">: </w:t>
            </w:r>
            <w:proofErr w:type="spellStart"/>
            <w:r w:rsidRPr="00D36ADD">
              <w:t>IMAC</w:t>
            </w:r>
            <w:proofErr w:type="spellEnd"/>
            <w:r w:rsidRPr="00D36ADD">
              <w:t xml:space="preserve"> </w:t>
            </w:r>
            <w:r w:rsidR="00065F04" w:rsidRPr="00D36ADD">
              <w:t xml:space="preserve">рекомендует создать механизм, который обеспечит выполнение рекомендаций, </w:t>
            </w:r>
            <w:r w:rsidR="008B2CA3" w:rsidRPr="00D36ADD">
              <w:t>остаю</w:t>
            </w:r>
            <w:r w:rsidR="001D7AFA" w:rsidRPr="00D36ADD">
              <w:t>щихс</w:t>
            </w:r>
            <w:r w:rsidR="00445945" w:rsidRPr="00D36ADD">
              <w:t>я</w:t>
            </w:r>
            <w:r w:rsidR="008B2CA3" w:rsidRPr="00D36ADD">
              <w:t xml:space="preserve"> невыполненными в течение длительного срока</w:t>
            </w:r>
            <w:r w:rsidRPr="00D36ADD">
              <w:t>.</w:t>
            </w:r>
          </w:p>
        </w:tc>
      </w:tr>
    </w:tbl>
    <w:p w14:paraId="168BF38B" w14:textId="05108E3C" w:rsidR="00ED4844" w:rsidRPr="00D36ADD" w:rsidRDefault="00ED4844" w:rsidP="00ED4844">
      <w:pPr>
        <w:pStyle w:val="Heading1"/>
      </w:pPr>
      <w:r w:rsidRPr="00D36ADD">
        <w:rPr>
          <w:rStyle w:val="Ohne"/>
        </w:rPr>
        <w:t>9</w:t>
      </w:r>
      <w:r w:rsidRPr="00D36ADD">
        <w:rPr>
          <w:rStyle w:val="Ohne"/>
        </w:rPr>
        <w:tab/>
      </w:r>
      <w:r w:rsidR="00176C33" w:rsidRPr="00D36ADD">
        <w:rPr>
          <w:rStyle w:val="Ohne"/>
        </w:rPr>
        <w:t>Случай мошенничества в одном из региональных отделений</w:t>
      </w:r>
    </w:p>
    <w:p w14:paraId="120ADFFC" w14:textId="63A8AAC9" w:rsidR="00ED4844" w:rsidRPr="00D36ADD" w:rsidRDefault="00ED4844" w:rsidP="00DC5F7A">
      <w:r w:rsidRPr="00D36ADD">
        <w:t>9.1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176C33" w:rsidRPr="00D36ADD">
        <w:t>отслеживает последующие меры, принятые в связи со случаем мошенничества в одном из региональных отделений, а также деятельность руководства МСЭ по снижению рисков осуществления мошеннических действий в организации</w:t>
      </w:r>
      <w:r w:rsidRPr="00D36ADD">
        <w:t xml:space="preserve">. </w:t>
      </w:r>
      <w:proofErr w:type="spellStart"/>
      <w:r w:rsidRPr="00D36ADD">
        <w:t>IMAC</w:t>
      </w:r>
      <w:proofErr w:type="spellEnd"/>
      <w:r w:rsidRPr="00D36ADD">
        <w:t xml:space="preserve"> </w:t>
      </w:r>
      <w:r w:rsidR="00176C33" w:rsidRPr="00D36ADD">
        <w:t>высоко оценивает текущую деятельность Рабочей группы по внутреннему контролю, которая направлена на создание более эффективных схем, а также механизмов контроля в соответствии с рекомендациями Внешнего аудитора, Подразделения внутреннего аудитора и</w:t>
      </w:r>
      <w:r w:rsidRPr="00D36ADD">
        <w:t xml:space="preserve"> </w:t>
      </w:r>
      <w:proofErr w:type="spellStart"/>
      <w:r w:rsidRPr="00D36ADD">
        <w:t>IMAC</w:t>
      </w:r>
      <w:proofErr w:type="spellEnd"/>
      <w:r w:rsidRPr="00D36ADD">
        <w:t>.</w:t>
      </w:r>
    </w:p>
    <w:p w14:paraId="463F7AC6" w14:textId="0CD99CF5" w:rsidR="00ED4844" w:rsidRPr="00D36ADD" w:rsidRDefault="00ED4844" w:rsidP="00DC5F7A">
      <w:r w:rsidRPr="00D36ADD">
        <w:t>9.2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8955E5" w:rsidRPr="00D36ADD">
        <w:t xml:space="preserve">принял также к сведению сделанную в Отчете Внешнего аудитора </w:t>
      </w:r>
      <w:r w:rsidR="008D4C67" w:rsidRPr="00D36ADD">
        <w:t xml:space="preserve">оценку </w:t>
      </w:r>
      <w:r w:rsidR="008955E5" w:rsidRPr="00D36ADD">
        <w:t xml:space="preserve">последующих мер в связи со случаем мошенничества, в частности, в </w:t>
      </w:r>
      <w:r w:rsidR="00F83F2B" w:rsidRPr="00D36ADD">
        <w:t>отношении</w:t>
      </w:r>
      <w:r w:rsidR="008955E5" w:rsidRPr="00D36ADD">
        <w:t xml:space="preserve"> конфиденциальн</w:t>
      </w:r>
      <w:r w:rsidR="00F83F2B" w:rsidRPr="00D36ADD">
        <w:t>ого</w:t>
      </w:r>
      <w:r w:rsidR="008955E5" w:rsidRPr="00D36ADD">
        <w:t xml:space="preserve"> отчет</w:t>
      </w:r>
      <w:r w:rsidR="00F83F2B" w:rsidRPr="00D36ADD">
        <w:t>а</w:t>
      </w:r>
      <w:r w:rsidR="008955E5" w:rsidRPr="00D36ADD">
        <w:t xml:space="preserve">, </w:t>
      </w:r>
      <w:r w:rsidR="008D4C67" w:rsidRPr="00D36ADD">
        <w:t>представленн</w:t>
      </w:r>
      <w:r w:rsidR="00F83F2B" w:rsidRPr="00D36ADD">
        <w:t>ого</w:t>
      </w:r>
      <w:r w:rsidR="008955E5" w:rsidRPr="00D36ADD">
        <w:t xml:space="preserve"> внешним специалистом по расследованиям в начале</w:t>
      </w:r>
      <w:r w:rsidRPr="00D36ADD">
        <w:t xml:space="preserve"> 2020</w:t>
      </w:r>
      <w:r w:rsidR="008955E5" w:rsidRPr="00D36ADD">
        <w:t> года</w:t>
      </w:r>
      <w:r w:rsidRPr="00D36ADD">
        <w:t xml:space="preserve"> (</w:t>
      </w:r>
      <w:r w:rsidR="008955E5" w:rsidRPr="00D36ADD">
        <w:t>называем</w:t>
      </w:r>
      <w:r w:rsidR="002850D7" w:rsidRPr="00D36ADD">
        <w:t>ого</w:t>
      </w:r>
      <w:r w:rsidRPr="00D36ADD">
        <w:t xml:space="preserve"> "</w:t>
      </w:r>
      <w:r w:rsidR="008955E5" w:rsidRPr="00D36ADD">
        <w:t>Дальнейший отчет</w:t>
      </w:r>
      <w:r w:rsidRPr="00D36ADD">
        <w:t xml:space="preserve">"), </w:t>
      </w:r>
      <w:r w:rsidR="008955E5" w:rsidRPr="00D36ADD">
        <w:t>который проводил расследование любых системных или индивидуальных недостатков и/или любого халатного исполнения управленческих обязанностей при осуществлении контроля и надзора</w:t>
      </w:r>
      <w:r w:rsidRPr="00D36ADD">
        <w:t xml:space="preserve">. </w:t>
      </w:r>
      <w:r w:rsidR="008D4C67" w:rsidRPr="00D36ADD">
        <w:t>Комитет рекомендует в срочном порядке выполнить рекомендации Внешнего аудитора по этому вопросу</w:t>
      </w:r>
      <w:r w:rsidRPr="00D36ADD">
        <w:t>.</w:t>
      </w:r>
    </w:p>
    <w:p w14:paraId="0C55C890" w14:textId="75AC8333" w:rsidR="00ED4844" w:rsidRPr="00D36ADD" w:rsidRDefault="00ED4844" w:rsidP="00DC5F7A">
      <w:r w:rsidRPr="00D36ADD">
        <w:t>9.3</w:t>
      </w:r>
      <w:r w:rsidRPr="00D36ADD">
        <w:tab/>
      </w:r>
      <w:r w:rsidR="00F83F2B" w:rsidRPr="00D36ADD">
        <w:t xml:space="preserve">Комитет подчеркнул наряду с этим необходимость и важность не только создания механизмов внутреннего контроля, но также постоянного </w:t>
      </w:r>
      <w:r w:rsidR="002850D7" w:rsidRPr="00D36ADD">
        <w:t>мониторинга</w:t>
      </w:r>
      <w:r w:rsidR="00F83F2B" w:rsidRPr="00D36ADD">
        <w:t xml:space="preserve"> их укреплени</w:t>
      </w:r>
      <w:r w:rsidR="002850D7" w:rsidRPr="00D36ADD">
        <w:t>я</w:t>
      </w:r>
      <w:r w:rsidR="00F83F2B" w:rsidRPr="00D36ADD">
        <w:t xml:space="preserve"> и эффективной реализаци</w:t>
      </w:r>
      <w:r w:rsidR="002850D7" w:rsidRPr="00D36ADD">
        <w:t>и</w:t>
      </w:r>
      <w:r w:rsidRPr="00D36ADD">
        <w:t>.</w:t>
      </w:r>
    </w:p>
    <w:p w14:paraId="51FBEC7E" w14:textId="2C21AD8D" w:rsidR="00ED4844" w:rsidRPr="00D36ADD" w:rsidRDefault="00ED4844" w:rsidP="00DC5F7A">
      <w:r w:rsidRPr="00D36ADD">
        <w:t>9.4</w:t>
      </w:r>
      <w:r w:rsidRPr="00D36ADD">
        <w:tab/>
      </w:r>
      <w:r w:rsidR="00F83F2B" w:rsidRPr="00D36ADD">
        <w:t>Комитет отметил, что крайне важно обеспечить полно</w:t>
      </w:r>
      <w:r w:rsidR="00922DFC" w:rsidRPr="00D36ADD">
        <w:t>масштабное</w:t>
      </w:r>
      <w:r w:rsidR="00F83F2B" w:rsidRPr="00D36ADD">
        <w:t xml:space="preserve"> выполнение этих элементов и обязался внимательно следить за ходом осуществления этого проекта</w:t>
      </w:r>
      <w:r w:rsidRPr="00D36ADD">
        <w:t xml:space="preserve">. </w:t>
      </w:r>
      <w:r w:rsidR="00F83F2B" w:rsidRPr="00D36ADD">
        <w:t>Укрепление механизмов контроля – это непрерывный процесс</w:t>
      </w:r>
      <w:r w:rsidRPr="00D36ADD">
        <w:t>,</w:t>
      </w:r>
      <w:r w:rsidR="00F83F2B" w:rsidRPr="00D36ADD">
        <w:t xml:space="preserve"> и</w:t>
      </w:r>
      <w:r w:rsidRPr="00D36ADD">
        <w:t xml:space="preserve"> </w:t>
      </w:r>
      <w:r w:rsidR="00F83F2B" w:rsidRPr="00D36ADD">
        <w:t xml:space="preserve">вследствие этого </w:t>
      </w:r>
      <w:proofErr w:type="spellStart"/>
      <w:r w:rsidRPr="00D36ADD">
        <w:t>IMAC</w:t>
      </w:r>
      <w:proofErr w:type="spellEnd"/>
      <w:r w:rsidRPr="00D36ADD">
        <w:t xml:space="preserve"> </w:t>
      </w:r>
      <w:r w:rsidR="00F83F2B" w:rsidRPr="00D36ADD">
        <w:t xml:space="preserve">настоятельно рекомендует </w:t>
      </w:r>
      <w:r w:rsidR="00922DFC" w:rsidRPr="00D36ADD">
        <w:t>накапливать опыт в ходе данного</w:t>
      </w:r>
      <w:r w:rsidR="00F83F2B" w:rsidRPr="00D36ADD">
        <w:t xml:space="preserve"> процесса на уровне всей организации и интегрировать </w:t>
      </w:r>
      <w:r w:rsidR="00AF5AEC" w:rsidRPr="00D36ADD">
        <w:t>этот опыт во все</w:t>
      </w:r>
      <w:r w:rsidR="00F83F2B" w:rsidRPr="00D36ADD">
        <w:t xml:space="preserve"> </w:t>
      </w:r>
      <w:r w:rsidR="00AF5AEC" w:rsidRPr="00D36ADD">
        <w:t>бизнес-процессы, обеспечивая ответственность и подотчетность всех подразделений организации</w:t>
      </w:r>
      <w:r w:rsidRPr="00D36ADD">
        <w:t>.</w:t>
      </w:r>
    </w:p>
    <w:p w14:paraId="48AC6FBF" w14:textId="31A1975A" w:rsidR="00ED4844" w:rsidRPr="00D36ADD" w:rsidRDefault="00ED4844" w:rsidP="00ED4844">
      <w:pPr>
        <w:pStyle w:val="Heading1"/>
        <w:rPr>
          <w:rStyle w:val="Ohne"/>
        </w:rPr>
      </w:pPr>
      <w:r w:rsidRPr="00D36ADD">
        <w:rPr>
          <w:rStyle w:val="Ohne"/>
        </w:rPr>
        <w:t>10</w:t>
      </w:r>
      <w:r w:rsidRPr="00D36ADD">
        <w:rPr>
          <w:rStyle w:val="Ohne"/>
        </w:rPr>
        <w:tab/>
      </w:r>
      <w:r w:rsidR="00D129A3" w:rsidRPr="00D36ADD">
        <w:rPr>
          <w:rStyle w:val="Ohne"/>
        </w:rPr>
        <w:t xml:space="preserve">Отчет </w:t>
      </w:r>
      <w:proofErr w:type="spellStart"/>
      <w:r w:rsidRPr="00D36ADD">
        <w:rPr>
          <w:rStyle w:val="Ohne"/>
        </w:rPr>
        <w:t>PWC</w:t>
      </w:r>
      <w:proofErr w:type="spellEnd"/>
      <w:r w:rsidRPr="00D36ADD">
        <w:rPr>
          <w:rStyle w:val="Ohne"/>
        </w:rPr>
        <w:t xml:space="preserve"> </w:t>
      </w:r>
      <w:r w:rsidR="00D129A3" w:rsidRPr="00D36ADD">
        <w:rPr>
          <w:rStyle w:val="Ohne"/>
        </w:rPr>
        <w:t>по итогам обзора регионального присутствия</w:t>
      </w:r>
    </w:p>
    <w:p w14:paraId="1A47C14A" w14:textId="5E8D1B44" w:rsidR="00ED4844" w:rsidRPr="00D36ADD" w:rsidRDefault="00ED4844" w:rsidP="00ED4844">
      <w:r w:rsidRPr="00D36ADD">
        <w:t>10.1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D129A3" w:rsidRPr="00D36ADD">
        <w:t>на своем последнем заседании получил Отчет</w:t>
      </w:r>
      <w:r w:rsidRPr="00D36ADD">
        <w:t xml:space="preserve"> </w:t>
      </w:r>
      <w:proofErr w:type="spellStart"/>
      <w:r w:rsidRPr="00D36ADD">
        <w:t>PWC</w:t>
      </w:r>
      <w:proofErr w:type="spellEnd"/>
      <w:r w:rsidRPr="00D36ADD">
        <w:t xml:space="preserve"> </w:t>
      </w:r>
      <w:r w:rsidR="00D129A3" w:rsidRPr="00D36ADD">
        <w:t>"Обзор регионального присутствия МСЭ"</w:t>
      </w:r>
      <w:r w:rsidRPr="00D36ADD">
        <w:t xml:space="preserve">. </w:t>
      </w:r>
      <w:r w:rsidR="00D129A3" w:rsidRPr="00D36ADD">
        <w:t xml:space="preserve">Учитывая, что региональное присутствие </w:t>
      </w:r>
      <w:r w:rsidR="00B85E0F" w:rsidRPr="00D36ADD">
        <w:t>относится к</w:t>
      </w:r>
      <w:r w:rsidR="00D129A3" w:rsidRPr="00D36ADD">
        <w:t xml:space="preserve"> основны</w:t>
      </w:r>
      <w:r w:rsidR="00B85E0F" w:rsidRPr="00D36ADD">
        <w:t>м</w:t>
      </w:r>
      <w:r w:rsidR="00D129A3" w:rsidRPr="00D36ADD">
        <w:t xml:space="preserve"> элемент</w:t>
      </w:r>
      <w:r w:rsidR="00B85E0F" w:rsidRPr="00D36ADD">
        <w:t>ам, вызывающим</w:t>
      </w:r>
      <w:r w:rsidR="00D129A3" w:rsidRPr="00D36ADD">
        <w:t xml:space="preserve"> обеспокоенност</w:t>
      </w:r>
      <w:r w:rsidR="00B85E0F" w:rsidRPr="00D36ADD">
        <w:t>ь</w:t>
      </w:r>
      <w:r w:rsidR="00D129A3" w:rsidRPr="00D36ADD">
        <w:t xml:space="preserve"> Комитета, </w:t>
      </w:r>
      <w:proofErr w:type="spellStart"/>
      <w:r w:rsidRPr="00D36ADD">
        <w:t>IMAC</w:t>
      </w:r>
      <w:proofErr w:type="spellEnd"/>
      <w:r w:rsidRPr="00D36ADD">
        <w:t xml:space="preserve"> </w:t>
      </w:r>
      <w:r w:rsidR="00D129A3" w:rsidRPr="00D36ADD">
        <w:t>заинтересованно ожидает реакции руководства на отчет и содержащиеся в нем рекомендации</w:t>
      </w:r>
      <w:r w:rsidRPr="00D36ADD">
        <w:t>.</w:t>
      </w:r>
    </w:p>
    <w:p w14:paraId="4DCEF1A0" w14:textId="76322147" w:rsidR="00ED4844" w:rsidRPr="00D36ADD" w:rsidRDefault="00ED4844" w:rsidP="00ED4844">
      <w:r w:rsidRPr="00D36ADD">
        <w:t>10.2</w:t>
      </w:r>
      <w:r w:rsidRPr="00D36ADD">
        <w:tab/>
      </w:r>
      <w:r w:rsidR="00D129A3" w:rsidRPr="00D36ADD">
        <w:t xml:space="preserve">В рамках следующего собрания </w:t>
      </w:r>
      <w:proofErr w:type="spellStart"/>
      <w:r w:rsidR="00D129A3" w:rsidRPr="00D36ADD">
        <w:t>IMAC</w:t>
      </w:r>
      <w:proofErr w:type="spellEnd"/>
      <w:r w:rsidR="00D129A3" w:rsidRPr="00D36ADD">
        <w:t xml:space="preserve"> будет запланировано специальное заседание</w:t>
      </w:r>
      <w:r w:rsidR="00B85E0F" w:rsidRPr="00D36ADD">
        <w:t>, посвященное этой теме, для того чтобы</w:t>
      </w:r>
      <w:r w:rsidRPr="00D36ADD">
        <w:t xml:space="preserve"> </w:t>
      </w:r>
      <w:proofErr w:type="spellStart"/>
      <w:r w:rsidRPr="00D36ADD">
        <w:t>IMAC</w:t>
      </w:r>
      <w:proofErr w:type="spellEnd"/>
      <w:r w:rsidR="00B85E0F" w:rsidRPr="00D36ADD">
        <w:t xml:space="preserve"> сделал собственные заключения и пред</w:t>
      </w:r>
      <w:r w:rsidR="002850D7" w:rsidRPr="00D36ADD">
        <w:t>о</w:t>
      </w:r>
      <w:r w:rsidR="00B85E0F" w:rsidRPr="00D36ADD">
        <w:t>ставил дальнейшие рекомендации Совету и руководству МСЭ</w:t>
      </w:r>
      <w:r w:rsidRPr="00D36ADD">
        <w:t>.</w:t>
      </w:r>
    </w:p>
    <w:p w14:paraId="17185461" w14:textId="39A7302A" w:rsidR="00ED4844" w:rsidRPr="00D36ADD" w:rsidRDefault="00ED4844" w:rsidP="00ED4844">
      <w:pPr>
        <w:pStyle w:val="Heading1"/>
        <w:rPr>
          <w:rStyle w:val="Ohne"/>
        </w:rPr>
      </w:pPr>
      <w:r w:rsidRPr="00D36ADD">
        <w:rPr>
          <w:rStyle w:val="Ohne"/>
        </w:rPr>
        <w:t>11</w:t>
      </w:r>
      <w:r w:rsidRPr="00D36ADD">
        <w:rPr>
          <w:rStyle w:val="Ohne"/>
        </w:rPr>
        <w:tab/>
      </w:r>
      <w:r w:rsidR="00B85E0F" w:rsidRPr="00D36ADD">
        <w:rPr>
          <w:rStyle w:val="Ohne"/>
        </w:rPr>
        <w:t>Управление рисками</w:t>
      </w:r>
    </w:p>
    <w:p w14:paraId="1B69CB22" w14:textId="3735D9ED" w:rsidR="00ED4844" w:rsidRPr="00D36ADD" w:rsidRDefault="00ED4844" w:rsidP="00ED4844">
      <w:r w:rsidRPr="00D36ADD">
        <w:t>11.1</w:t>
      </w:r>
      <w:r w:rsidRPr="00D36ADD">
        <w:tab/>
      </w:r>
      <w:proofErr w:type="spellStart"/>
      <w:r w:rsidRPr="00D36ADD">
        <w:t>IMAC</w:t>
      </w:r>
      <w:proofErr w:type="spellEnd"/>
      <w:r w:rsidR="003F2CD5" w:rsidRPr="00D36ADD">
        <w:t xml:space="preserve"> внимательно следит за </w:t>
      </w:r>
      <w:r w:rsidR="007F74B4" w:rsidRPr="00D36ADD">
        <w:t>реализацией мер по</w:t>
      </w:r>
      <w:r w:rsidR="003F2CD5" w:rsidRPr="00D36ADD">
        <w:t xml:space="preserve"> управлени</w:t>
      </w:r>
      <w:r w:rsidR="007F74B4" w:rsidRPr="00D36ADD">
        <w:t>ю</w:t>
      </w:r>
      <w:r w:rsidR="003F2CD5" w:rsidRPr="00D36ADD">
        <w:t xml:space="preserve"> рисками </w:t>
      </w:r>
      <w:r w:rsidR="007F74B4" w:rsidRPr="00D36ADD">
        <w:t xml:space="preserve">в </w:t>
      </w:r>
      <w:r w:rsidR="003F2CD5" w:rsidRPr="00D36ADD">
        <w:t>МСЭ в</w:t>
      </w:r>
      <w:r w:rsidR="003C1E54" w:rsidRPr="00D36ADD">
        <w:t xml:space="preserve"> сотрудничестве</w:t>
      </w:r>
      <w:r w:rsidR="003F2CD5" w:rsidRPr="00D36ADD">
        <w:t xml:space="preserve"> с руководителем Отдела стратегии и планирования</w:t>
      </w:r>
      <w:r w:rsidRPr="00D36ADD">
        <w:t xml:space="preserve">. </w:t>
      </w:r>
      <w:proofErr w:type="spellStart"/>
      <w:r w:rsidRPr="00D36ADD">
        <w:t>IMAC</w:t>
      </w:r>
      <w:proofErr w:type="spellEnd"/>
      <w:r w:rsidRPr="00D36ADD">
        <w:t xml:space="preserve"> </w:t>
      </w:r>
      <w:r w:rsidR="003C1E54" w:rsidRPr="00D36ADD">
        <w:t>принял к сведению</w:t>
      </w:r>
      <w:r w:rsidR="003F2CD5" w:rsidRPr="00D36ADD">
        <w:t xml:space="preserve"> прогресс</w:t>
      </w:r>
      <w:r w:rsidR="007F74B4" w:rsidRPr="00D36ADD">
        <w:t xml:space="preserve">, достигнутый </w:t>
      </w:r>
      <w:r w:rsidR="003F2CD5" w:rsidRPr="00D36ADD">
        <w:t xml:space="preserve">в </w:t>
      </w:r>
      <w:r w:rsidR="007F74B4" w:rsidRPr="00D36ADD">
        <w:t>выполнении</w:t>
      </w:r>
      <w:r w:rsidR="003F2CD5" w:rsidRPr="00D36ADD">
        <w:t xml:space="preserve"> Плана действий по управлению рисками</w:t>
      </w:r>
      <w:r w:rsidR="007F74B4" w:rsidRPr="00D36ADD">
        <w:t>,</w:t>
      </w:r>
      <w:r w:rsidR="003F2CD5" w:rsidRPr="00D36ADD">
        <w:t xml:space="preserve"> и </w:t>
      </w:r>
      <w:r w:rsidR="00406040" w:rsidRPr="00D36ADD">
        <w:t>с благодарностью отметил работу</w:t>
      </w:r>
      <w:r w:rsidR="003F2CD5" w:rsidRPr="00D36ADD">
        <w:t xml:space="preserve"> секретариат</w:t>
      </w:r>
      <w:r w:rsidR="00406040" w:rsidRPr="00D36ADD">
        <w:t>а</w:t>
      </w:r>
      <w:r w:rsidR="003F2CD5" w:rsidRPr="00D36ADD">
        <w:t xml:space="preserve"> по пересмотру Политики МСЭ в области управления рисками и Заявления МСЭ о готовности к принятию рисков</w:t>
      </w:r>
      <w:r w:rsidRPr="00D36ADD">
        <w:t>,</w:t>
      </w:r>
      <w:r w:rsidR="003F2CD5" w:rsidRPr="00D36ADD">
        <w:t xml:space="preserve"> а также предложения по укреплению структуры управления рисками и созданию </w:t>
      </w:r>
      <w:r w:rsidR="003C1E54" w:rsidRPr="00D36ADD">
        <w:t xml:space="preserve">в секретариате </w:t>
      </w:r>
      <w:r w:rsidR="003F2CD5" w:rsidRPr="00D36ADD">
        <w:t>функции управления рисками и внутреннего контроля</w:t>
      </w:r>
      <w:r w:rsidRPr="00D36ADD">
        <w:t>.</w:t>
      </w:r>
    </w:p>
    <w:p w14:paraId="44A28C2D" w14:textId="10B20A29" w:rsidR="00ED4844" w:rsidRPr="00D36ADD" w:rsidRDefault="00ED4844" w:rsidP="00ED4844">
      <w:r w:rsidRPr="00D36ADD">
        <w:lastRenderedPageBreak/>
        <w:t>11.2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3F2CD5" w:rsidRPr="00D36ADD">
        <w:t>хотел бы узнать о дальнейшем прогрессе в этой области</w:t>
      </w:r>
      <w:r w:rsidRPr="00D36ADD">
        <w:t>.</w:t>
      </w:r>
    </w:p>
    <w:p w14:paraId="2AE8765C" w14:textId="027259DB" w:rsidR="00ED4844" w:rsidRPr="00D36ADD" w:rsidRDefault="00ED4844" w:rsidP="00ED4844">
      <w:pPr>
        <w:pStyle w:val="Heading1"/>
        <w:rPr>
          <w:rStyle w:val="Ohne"/>
        </w:rPr>
      </w:pPr>
      <w:r w:rsidRPr="00D36ADD">
        <w:rPr>
          <w:rStyle w:val="Ohne"/>
        </w:rPr>
        <w:t>12</w:t>
      </w:r>
      <w:r w:rsidRPr="00D36ADD">
        <w:rPr>
          <w:rStyle w:val="Ohne"/>
        </w:rPr>
        <w:tab/>
      </w:r>
      <w:r w:rsidR="00E119BB" w:rsidRPr="00D36ADD">
        <w:rPr>
          <w:rStyle w:val="Ohne"/>
        </w:rPr>
        <w:t xml:space="preserve">Проект </w:t>
      </w:r>
      <w:r w:rsidR="0093742D" w:rsidRPr="00D36ADD">
        <w:rPr>
          <w:rStyle w:val="Ohne"/>
        </w:rPr>
        <w:t xml:space="preserve">по оценке </w:t>
      </w:r>
      <w:r w:rsidR="00E91C2A" w:rsidRPr="00D36ADD">
        <w:rPr>
          <w:rStyle w:val="Ohne"/>
        </w:rPr>
        <w:t>культуры труда и</w:t>
      </w:r>
      <w:r w:rsidRPr="00D36ADD">
        <w:rPr>
          <w:rStyle w:val="Ohne"/>
        </w:rPr>
        <w:t xml:space="preserve"> </w:t>
      </w:r>
      <w:r w:rsidR="00E119BB" w:rsidRPr="00D36ADD">
        <w:rPr>
          <w:rStyle w:val="Ohne"/>
        </w:rPr>
        <w:t xml:space="preserve">разрывов в навыках </w:t>
      </w:r>
    </w:p>
    <w:p w14:paraId="3311835C" w14:textId="63EF70D2" w:rsidR="00ED4844" w:rsidRPr="00D36ADD" w:rsidRDefault="00ED4844" w:rsidP="00ED4844">
      <w:r w:rsidRPr="00D36ADD">
        <w:t>12.1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E119BB" w:rsidRPr="00D36ADD">
        <w:t xml:space="preserve">получил информацию о выполняемом на уровне МСЭ Проекте </w:t>
      </w:r>
      <w:r w:rsidR="00E91C2A" w:rsidRPr="00D36ADD">
        <w:t>по оценке культуры труда и</w:t>
      </w:r>
      <w:r w:rsidR="00E119BB" w:rsidRPr="00D36ADD">
        <w:t xml:space="preserve"> разрывов в навыках</w:t>
      </w:r>
      <w:r w:rsidRPr="00D36ADD">
        <w:t xml:space="preserve">. </w:t>
      </w:r>
    </w:p>
    <w:p w14:paraId="41E93564" w14:textId="73C818FA" w:rsidR="00ED4844" w:rsidRPr="00D36ADD" w:rsidRDefault="00ED4844" w:rsidP="00ED4844">
      <w:r w:rsidRPr="00D36ADD">
        <w:t>12.2</w:t>
      </w:r>
      <w:r w:rsidRPr="00D36ADD">
        <w:tab/>
      </w:r>
      <w:proofErr w:type="spellStart"/>
      <w:r w:rsidRPr="00D36ADD">
        <w:t>IMAC</w:t>
      </w:r>
      <w:proofErr w:type="spellEnd"/>
      <w:r w:rsidR="00E91C2A" w:rsidRPr="00D36ADD">
        <w:t xml:space="preserve"> </w:t>
      </w:r>
      <w:r w:rsidR="00E119BB" w:rsidRPr="00D36ADD">
        <w:t>ранее рекомендовал</w:t>
      </w:r>
      <w:r w:rsidRPr="00D36ADD">
        <w:t xml:space="preserve"> (</w:t>
      </w:r>
      <w:r w:rsidR="00E12EE1" w:rsidRPr="00D36ADD">
        <w:t>Рек</w:t>
      </w:r>
      <w:r w:rsidRPr="00D36ADD">
        <w:t>.</w:t>
      </w:r>
      <w:r w:rsidR="00E12EE1" w:rsidRPr="00D36ADD">
        <w:t> </w:t>
      </w:r>
      <w:r w:rsidRPr="00D36ADD">
        <w:t>2/2018</w:t>
      </w:r>
      <w:r w:rsidR="00E12EE1" w:rsidRPr="00D36ADD">
        <w:t> г.</w:t>
      </w:r>
      <w:r w:rsidRPr="00D36ADD">
        <w:t xml:space="preserve">) </w:t>
      </w:r>
      <w:r w:rsidR="00E12EE1" w:rsidRPr="00D36ADD">
        <w:t xml:space="preserve">МСЭ предпринять шаги по увязке </w:t>
      </w:r>
      <w:r w:rsidR="00E12EE1" w:rsidRPr="00D36ADD">
        <w:rPr>
          <w:color w:val="000000"/>
        </w:rPr>
        <w:t>операционной модели</w:t>
      </w:r>
      <w:r w:rsidR="00E12EE1" w:rsidRPr="00D36ADD">
        <w:t xml:space="preserve">, кадровой стратегии и главных направлений работы со </w:t>
      </w:r>
      <w:r w:rsidR="00E12EE1" w:rsidRPr="00D36ADD">
        <w:rPr>
          <w:color w:val="000000"/>
        </w:rPr>
        <w:t>стратегической концепцией Союза</w:t>
      </w:r>
      <w:r w:rsidR="00E12EE1" w:rsidRPr="00D36ADD">
        <w:t>. Это обеспечит наличие у МСЭ организационной структуры, соответствующей его целевому назначению, учитывая стремительный ход процессов цифровизации и развития информационного общества</w:t>
      </w:r>
      <w:r w:rsidRPr="00D36ADD">
        <w:t>.</w:t>
      </w:r>
    </w:p>
    <w:p w14:paraId="2AB2166B" w14:textId="6286F432" w:rsidR="00ED4844" w:rsidRPr="00D36ADD" w:rsidRDefault="00ED4844" w:rsidP="00ED4844">
      <w:r w:rsidRPr="00D36ADD">
        <w:t>12.3</w:t>
      </w:r>
      <w:r w:rsidRPr="00D36ADD">
        <w:tab/>
      </w:r>
      <w:r w:rsidR="00E119BB" w:rsidRPr="00D36ADD">
        <w:t>Комитет выразил свой интерес к этому проекту и желание продолжить диалог с руководством МСЭ по мере выполнения проекта</w:t>
      </w:r>
      <w:r w:rsidRPr="00D36ADD">
        <w:t>.</w:t>
      </w:r>
    </w:p>
    <w:p w14:paraId="0D12DF97" w14:textId="6E5DD8F1" w:rsidR="00ED4844" w:rsidRPr="00D36ADD" w:rsidRDefault="00ED4844" w:rsidP="00ED4844">
      <w:pPr>
        <w:pStyle w:val="Heading1"/>
        <w:rPr>
          <w:rStyle w:val="Ohne"/>
        </w:rPr>
      </w:pPr>
      <w:r w:rsidRPr="00D36ADD">
        <w:rPr>
          <w:rStyle w:val="Ohne"/>
        </w:rPr>
        <w:t>13</w:t>
      </w:r>
      <w:r w:rsidRPr="00D36ADD">
        <w:rPr>
          <w:rStyle w:val="Ohne"/>
        </w:rPr>
        <w:tab/>
      </w:r>
      <w:r w:rsidR="00E12EE1" w:rsidRPr="00D36ADD">
        <w:rPr>
          <w:rStyle w:val="Ohne"/>
        </w:rPr>
        <w:t>Работать как единый МСЭ</w:t>
      </w:r>
    </w:p>
    <w:p w14:paraId="281859BB" w14:textId="5E8A6ACF" w:rsidR="00ED4844" w:rsidRPr="00D36ADD" w:rsidRDefault="00ED4844" w:rsidP="00ED4844">
      <w:r w:rsidRPr="00D36ADD">
        <w:t>13.1</w:t>
      </w:r>
      <w:r w:rsidRPr="00D36ADD">
        <w:tab/>
      </w:r>
      <w:r w:rsidR="00E91C2A" w:rsidRPr="00D36ADD">
        <w:t>В</w:t>
      </w:r>
      <w:r w:rsidRPr="00D36ADD">
        <w:t xml:space="preserve"> </w:t>
      </w:r>
      <w:r w:rsidR="00E12EE1" w:rsidRPr="00D36ADD">
        <w:t>Стратегическ</w:t>
      </w:r>
      <w:r w:rsidR="00E91C2A" w:rsidRPr="00D36ADD">
        <w:t>ом</w:t>
      </w:r>
      <w:r w:rsidR="00E12EE1" w:rsidRPr="00D36ADD">
        <w:t xml:space="preserve"> план</w:t>
      </w:r>
      <w:r w:rsidR="00E91C2A" w:rsidRPr="00D36ADD">
        <w:t>е</w:t>
      </w:r>
      <w:r w:rsidR="00E12EE1" w:rsidRPr="00D36ADD">
        <w:t xml:space="preserve"> Союза на 2020–2023 годы</w:t>
      </w:r>
      <w:r w:rsidR="00E91C2A" w:rsidRPr="00D36ADD">
        <w:t xml:space="preserve"> указано:</w:t>
      </w:r>
      <w:r w:rsidRPr="00D36ADD">
        <w:t xml:space="preserve"> "</w:t>
      </w:r>
      <w:r w:rsidR="00E12EE1" w:rsidRPr="00D36ADD">
        <w:t>Секторы должны сплоченно работать для выполнения стратегического плана. Секретариат должен поддерживать скоординированное оперативное планирование, избегая излишних повторов и дублирования и максимально увеличивая синергию между Секторами, Бюро и Генеральным секретариатом</w:t>
      </w:r>
      <w:r w:rsidRPr="00D36ADD">
        <w:t>".</w:t>
      </w:r>
    </w:p>
    <w:p w14:paraId="49372569" w14:textId="2B5C1BA1" w:rsidR="00ED4844" w:rsidRPr="00D36ADD" w:rsidRDefault="00ED4844" w:rsidP="00ED4844">
      <w:r w:rsidRPr="00D36ADD">
        <w:t>13.2</w:t>
      </w:r>
      <w:r w:rsidRPr="00D36ADD">
        <w:tab/>
      </w:r>
      <w:r w:rsidR="00E91C2A" w:rsidRPr="00D36ADD">
        <w:t xml:space="preserve">Комитет признает сильные стороны организационной структуры, </w:t>
      </w:r>
      <w:r w:rsidR="00406040" w:rsidRPr="00D36ADD">
        <w:t xml:space="preserve">которая </w:t>
      </w:r>
      <w:r w:rsidR="00E91C2A" w:rsidRPr="00D36ADD">
        <w:t>предусмотрен</w:t>
      </w:r>
      <w:r w:rsidR="00406040" w:rsidRPr="00D36ADD">
        <w:t>а</w:t>
      </w:r>
      <w:r w:rsidR="00E91C2A" w:rsidRPr="00D36ADD">
        <w:t xml:space="preserve"> Уставом и Конвенцией МСЭ, но также хотел бы выделить и подчеркнуть важность работы как един</w:t>
      </w:r>
      <w:r w:rsidR="00406040" w:rsidRPr="00D36ADD">
        <w:t>ого</w:t>
      </w:r>
      <w:r w:rsidR="00E91C2A" w:rsidRPr="00D36ADD">
        <w:t xml:space="preserve"> МСЭ</w:t>
      </w:r>
      <w:r w:rsidRPr="00D36ADD">
        <w:t>.</w:t>
      </w:r>
    </w:p>
    <w:p w14:paraId="63A31C1D" w14:textId="32B21989" w:rsidR="00ED4844" w:rsidRPr="00D36ADD" w:rsidRDefault="00ED4844" w:rsidP="00ED4844">
      <w:r w:rsidRPr="00D36ADD">
        <w:t>13.3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E91C2A" w:rsidRPr="00D36ADD">
        <w:t>будет следить за этой деятельностью, с тем чтобы предоставлять любые рекомендации по укреплению процессов управления в этом направлении</w:t>
      </w:r>
      <w:r w:rsidRPr="00D36ADD">
        <w:t>.</w:t>
      </w:r>
    </w:p>
    <w:p w14:paraId="037A5EC1" w14:textId="16C3EA62" w:rsidR="00ED4844" w:rsidRPr="00D36ADD" w:rsidRDefault="00ED4844" w:rsidP="00ED4844">
      <w:pPr>
        <w:pStyle w:val="Heading1"/>
        <w:rPr>
          <w:rStyle w:val="Ohne"/>
        </w:rPr>
      </w:pPr>
      <w:r w:rsidRPr="00D36ADD">
        <w:rPr>
          <w:rStyle w:val="Ohne"/>
        </w:rPr>
        <w:t>14</w:t>
      </w:r>
      <w:r w:rsidRPr="00D36ADD">
        <w:rPr>
          <w:rStyle w:val="Ohne"/>
        </w:rPr>
        <w:tab/>
      </w:r>
      <w:r w:rsidR="00E91C2A" w:rsidRPr="00D36ADD">
        <w:rPr>
          <w:rStyle w:val="Ohne"/>
        </w:rPr>
        <w:t>Управление по вопросам этики</w:t>
      </w:r>
    </w:p>
    <w:p w14:paraId="0891B9E7" w14:textId="20EDE8F7" w:rsidR="00ED4844" w:rsidRPr="00D36ADD" w:rsidRDefault="00ED4844" w:rsidP="00ED4844">
      <w:r w:rsidRPr="00D36ADD">
        <w:t>14.1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E91C2A" w:rsidRPr="00D36ADD">
        <w:t>продолжил взаимодействие с Управлением по вопросам этики и получал информацию о деятельности Управления</w:t>
      </w:r>
      <w:r w:rsidRPr="00D36ADD">
        <w:t xml:space="preserve">. </w:t>
      </w:r>
      <w:r w:rsidR="00E91C2A" w:rsidRPr="00D36ADD">
        <w:t xml:space="preserve">Комитет </w:t>
      </w:r>
      <w:r w:rsidR="00F43B11" w:rsidRPr="00D36ADD">
        <w:t>приветствовал</w:t>
      </w:r>
      <w:r w:rsidR="00E91C2A" w:rsidRPr="00D36ADD">
        <w:t xml:space="preserve"> работу Управления и </w:t>
      </w:r>
      <w:r w:rsidR="00310DA4" w:rsidRPr="00D36ADD">
        <w:t xml:space="preserve">отметил увеличение количества жалоб в </w:t>
      </w:r>
      <w:r w:rsidRPr="00D36ADD">
        <w:t xml:space="preserve">2019 </w:t>
      </w:r>
      <w:r w:rsidR="00310DA4" w:rsidRPr="00D36ADD">
        <w:t>и</w:t>
      </w:r>
      <w:r w:rsidRPr="00D36ADD">
        <w:t xml:space="preserve"> 2020</w:t>
      </w:r>
      <w:r w:rsidR="00310DA4" w:rsidRPr="00D36ADD">
        <w:t> годах</w:t>
      </w:r>
      <w:r w:rsidRPr="00D36ADD">
        <w:t>,</w:t>
      </w:r>
      <w:r w:rsidR="00F43B11" w:rsidRPr="00D36ADD">
        <w:t xml:space="preserve"> а также количество расследований, по которым Управление по вопросам этики проводит предварительное рассмотрение</w:t>
      </w:r>
      <w:r w:rsidRPr="00D36ADD">
        <w:t>.</w:t>
      </w:r>
    </w:p>
    <w:p w14:paraId="599597B3" w14:textId="5BDE6724" w:rsidR="00ED4844" w:rsidRPr="00D36ADD" w:rsidRDefault="00ED4844" w:rsidP="00ED4844">
      <w:r w:rsidRPr="00D36ADD">
        <w:t>14.2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F43B11" w:rsidRPr="00D36ADD">
        <w:t>надеется на дальнейшее взаимодействие с Управлением по вопросам этики в рамках текущей работы с целью совершенствования и согласования действующих политики и процедур</w:t>
      </w:r>
      <w:r w:rsidRPr="00D36ADD">
        <w:t>.</w:t>
      </w:r>
    </w:p>
    <w:p w14:paraId="5AE9A47D" w14:textId="2ABAB3DF" w:rsidR="00ED4844" w:rsidRPr="00D36ADD" w:rsidRDefault="00ED4844" w:rsidP="00ED4844">
      <w:pPr>
        <w:pStyle w:val="Heading1"/>
        <w:rPr>
          <w:rStyle w:val="Ohne"/>
        </w:rPr>
      </w:pPr>
      <w:r w:rsidRPr="00D36ADD">
        <w:rPr>
          <w:rStyle w:val="Ohne"/>
        </w:rPr>
        <w:t>15</w:t>
      </w:r>
      <w:r w:rsidRPr="00D36ADD">
        <w:rPr>
          <w:rStyle w:val="Ohne"/>
        </w:rPr>
        <w:tab/>
      </w:r>
      <w:r w:rsidR="00D831F9" w:rsidRPr="00D36ADD">
        <w:rPr>
          <w:rStyle w:val="Ohne"/>
        </w:rPr>
        <w:t>Проект строительства здания штаб-квартиры МСЭ</w:t>
      </w:r>
    </w:p>
    <w:p w14:paraId="50582FEB" w14:textId="7066294C" w:rsidR="00ED4844" w:rsidRPr="00D36ADD" w:rsidRDefault="00ED4844" w:rsidP="00ED4844">
      <w:r w:rsidRPr="00D36ADD">
        <w:t>15.1</w:t>
      </w:r>
      <w:r w:rsidRPr="00D36ADD">
        <w:tab/>
      </w:r>
      <w:proofErr w:type="spellStart"/>
      <w:r w:rsidRPr="00D36ADD">
        <w:t>IMAC</w:t>
      </w:r>
      <w:proofErr w:type="spellEnd"/>
      <w:r w:rsidR="008A43EC" w:rsidRPr="00D36ADD">
        <w:t xml:space="preserve"> продолжал получать на регулярной основе информацию от руководителя Отдела административно-хозяйственного управления и проекта строительства о ходе выполнения и развитии проекта строительства помещений штаб-квартиры МСЭ</w:t>
      </w:r>
      <w:r w:rsidRPr="00D36ADD">
        <w:t>.</w:t>
      </w:r>
    </w:p>
    <w:p w14:paraId="62332269" w14:textId="71BA695E" w:rsidR="00ED4844" w:rsidRPr="00D36ADD" w:rsidRDefault="00ED4844" w:rsidP="00ED4844">
      <w:r w:rsidRPr="00D36ADD">
        <w:t>15.2</w:t>
      </w:r>
      <w:r w:rsidRPr="00D36ADD">
        <w:tab/>
      </w:r>
      <w:proofErr w:type="spellStart"/>
      <w:r w:rsidRPr="00D36ADD">
        <w:t>IMAC</w:t>
      </w:r>
      <w:proofErr w:type="spellEnd"/>
      <w:r w:rsidRPr="00D36ADD">
        <w:t xml:space="preserve"> </w:t>
      </w:r>
      <w:r w:rsidR="008A43EC" w:rsidRPr="00D36ADD">
        <w:t>принял к сведению</w:t>
      </w:r>
      <w:r w:rsidR="008A0CF2" w:rsidRPr="00D36ADD">
        <w:t>, что процесс планирования пользуется доверием, и подчеркнул важность бдительного контроля и постоянной оценки воздействия пандемии</w:t>
      </w:r>
      <w:r w:rsidRPr="00D36ADD">
        <w:t xml:space="preserve"> </w:t>
      </w:r>
      <w:proofErr w:type="spellStart"/>
      <w:r w:rsidRPr="00D36ADD">
        <w:t>COVID</w:t>
      </w:r>
      <w:proofErr w:type="spellEnd"/>
      <w:r w:rsidRPr="00D36ADD">
        <w:t xml:space="preserve">-19 </w:t>
      </w:r>
      <w:r w:rsidR="008A0CF2" w:rsidRPr="00D36ADD">
        <w:t>и его последствий для проекта, так как мелкие детали или неопределенности могут оказаться чрезвычайно дорогостоящими для проекта</w:t>
      </w:r>
      <w:r w:rsidRPr="00D36ADD">
        <w:t>.</w:t>
      </w:r>
    </w:p>
    <w:p w14:paraId="5EBC0064" w14:textId="577D950E" w:rsidR="00ED4844" w:rsidRPr="00D36ADD" w:rsidRDefault="00ED4844" w:rsidP="00ED4844">
      <w:r w:rsidRPr="00D36ADD">
        <w:t>15.3</w:t>
      </w:r>
      <w:r w:rsidRPr="00D36ADD">
        <w:tab/>
      </w:r>
      <w:r w:rsidR="00196F3C" w:rsidRPr="00D36ADD">
        <w:t xml:space="preserve">Учитывая значимость проекта и его техническую сложность, </w:t>
      </w:r>
      <w:proofErr w:type="spellStart"/>
      <w:r w:rsidRPr="00D36ADD">
        <w:t>IMAC</w:t>
      </w:r>
      <w:proofErr w:type="spellEnd"/>
      <w:r w:rsidRPr="00D36ADD">
        <w:t xml:space="preserve"> </w:t>
      </w:r>
      <w:r w:rsidR="00196F3C" w:rsidRPr="00D36ADD">
        <w:t>настоятельно рекомендует привлекать внешних технических экспертов в рамках процессов и механизмов структуры управления проектом</w:t>
      </w:r>
      <w:r w:rsidRPr="00D36ADD">
        <w:t>.</w:t>
      </w:r>
    </w:p>
    <w:p w14:paraId="6D67EBE5" w14:textId="20059E97" w:rsidR="00ED4844" w:rsidRPr="00D36ADD" w:rsidRDefault="00ED4844" w:rsidP="00ED4844">
      <w:r w:rsidRPr="00D36ADD">
        <w:lastRenderedPageBreak/>
        <w:t>15.4</w:t>
      </w:r>
      <w:r w:rsidRPr="00D36ADD">
        <w:tab/>
      </w:r>
      <w:proofErr w:type="spellStart"/>
      <w:r w:rsidR="00D831F9" w:rsidRPr="00D36ADD">
        <w:t>IMAC</w:t>
      </w:r>
      <w:proofErr w:type="spellEnd"/>
      <w:r w:rsidR="00D831F9" w:rsidRPr="00D36ADD">
        <w:t xml:space="preserve"> продолжит </w:t>
      </w:r>
      <w:r w:rsidR="00196F3C" w:rsidRPr="00D36ADD">
        <w:t>следить за ходом проекта</w:t>
      </w:r>
      <w:r w:rsidR="00D831F9" w:rsidRPr="00D36ADD">
        <w:t xml:space="preserve"> и предоставлять консультации на постоянной основе</w:t>
      </w:r>
      <w:r w:rsidRPr="00D36ADD">
        <w:t xml:space="preserve">. </w:t>
      </w:r>
      <w:r w:rsidR="00196F3C" w:rsidRPr="00D36ADD">
        <w:t xml:space="preserve">Комитет хотел бы еще раз напомнить о необходимости жесткого контроля и надзора </w:t>
      </w:r>
      <w:r w:rsidR="009B4752" w:rsidRPr="00D36ADD">
        <w:t>за этим проектом, учитывая его важность и связанные с ним высокие риски</w:t>
      </w:r>
      <w:r w:rsidRPr="00D36ADD">
        <w:t>.</w:t>
      </w:r>
    </w:p>
    <w:p w14:paraId="46D19BCA" w14:textId="51C29639" w:rsidR="00ED4844" w:rsidRPr="00D36ADD" w:rsidRDefault="005D119F" w:rsidP="00ED4844">
      <w:pPr>
        <w:pStyle w:val="Heading1"/>
        <w:rPr>
          <w:rStyle w:val="Ohne"/>
        </w:rPr>
      </w:pPr>
      <w:r w:rsidRPr="00D36ADD">
        <w:rPr>
          <w:rStyle w:val="Ohne"/>
        </w:rPr>
        <w:t>16</w:t>
      </w:r>
      <w:r w:rsidRPr="00D36ADD">
        <w:rPr>
          <w:rStyle w:val="Ohne"/>
        </w:rPr>
        <w:tab/>
      </w:r>
      <w:r w:rsidR="007768EC" w:rsidRPr="00D36ADD">
        <w:rPr>
          <w:rStyle w:val="Ohne"/>
        </w:rPr>
        <w:t xml:space="preserve">Ход выполнения рекомендаций </w:t>
      </w:r>
      <w:proofErr w:type="spellStart"/>
      <w:r w:rsidR="007F4337" w:rsidRPr="00D36ADD">
        <w:rPr>
          <w:rStyle w:val="Ohne"/>
        </w:rPr>
        <w:t>IMAC</w:t>
      </w:r>
      <w:proofErr w:type="spellEnd"/>
    </w:p>
    <w:p w14:paraId="725267ED" w14:textId="023757EE" w:rsidR="00ED4844" w:rsidRPr="00D36ADD" w:rsidRDefault="005D119F" w:rsidP="005D119F">
      <w:r w:rsidRPr="00D36ADD">
        <w:t>16.1</w:t>
      </w:r>
      <w:r w:rsidRPr="00D36ADD">
        <w:tab/>
      </w:r>
      <w:r w:rsidR="00D831F9" w:rsidRPr="00D36ADD">
        <w:t xml:space="preserve">Следуя своей обычной практике и стремясь оказать помощь Совету в реализации мер, принимаемых в связи с рекомендациями </w:t>
      </w:r>
      <w:proofErr w:type="spellStart"/>
      <w:r w:rsidR="00D831F9" w:rsidRPr="00D36ADD">
        <w:t>IMAC</w:t>
      </w:r>
      <w:proofErr w:type="spellEnd"/>
      <w:r w:rsidR="00D831F9" w:rsidRPr="00D36ADD">
        <w:t>, Комитет проанализировал состояние выполнения своих предыдущих рекомендаций. Результат этой работы представлен в Приложении </w:t>
      </w:r>
      <w:r w:rsidR="00ED4844" w:rsidRPr="00D36ADD">
        <w:t>1.</w:t>
      </w:r>
    </w:p>
    <w:p w14:paraId="5E69DD3E" w14:textId="09FE3CD9" w:rsidR="00ED4844" w:rsidRPr="00D36ADD" w:rsidRDefault="005D119F" w:rsidP="005D119F">
      <w:r w:rsidRPr="00D36ADD">
        <w:t>16.2</w:t>
      </w:r>
      <w:r w:rsidRPr="00D36ADD">
        <w:tab/>
      </w:r>
      <w:r w:rsidR="003F2CD5" w:rsidRPr="00D36ADD">
        <w:t>В настоящее время</w:t>
      </w:r>
      <w:r w:rsidR="00D831F9" w:rsidRPr="00D36ADD">
        <w:t xml:space="preserve"> 83% рекомендаций </w:t>
      </w:r>
      <w:proofErr w:type="spellStart"/>
      <w:r w:rsidR="00D831F9" w:rsidRPr="00D36ADD">
        <w:t>IMAC</w:t>
      </w:r>
      <w:proofErr w:type="spellEnd"/>
      <w:r w:rsidR="00D831F9" w:rsidRPr="00D36ADD">
        <w:t xml:space="preserve"> выполнены, и десять рекомендаций (17%) находятся в процессе выполнения секретариатом</w:t>
      </w:r>
      <w:r w:rsidR="00ED4844" w:rsidRPr="00D36ADD">
        <w:t>.</w:t>
      </w:r>
    </w:p>
    <w:p w14:paraId="1E596DF7" w14:textId="3D5D8350" w:rsidR="00ED4844" w:rsidRPr="00D36ADD" w:rsidRDefault="007F4337" w:rsidP="00ED4844">
      <w:pPr>
        <w:pStyle w:val="Heading1"/>
        <w:rPr>
          <w:rStyle w:val="Ohne"/>
        </w:rPr>
      </w:pPr>
      <w:r w:rsidRPr="00D36ADD">
        <w:rPr>
          <w:rStyle w:val="Ohne"/>
        </w:rPr>
        <w:t>17</w:t>
      </w:r>
      <w:r w:rsidRPr="00D36ADD">
        <w:rPr>
          <w:rStyle w:val="Ohne"/>
        </w:rPr>
        <w:tab/>
      </w:r>
      <w:r w:rsidR="00355951" w:rsidRPr="00D36ADD">
        <w:t>Прочие вопросы</w:t>
      </w:r>
    </w:p>
    <w:p w14:paraId="4E0167D9" w14:textId="0BB3D625" w:rsidR="004650FA" w:rsidRPr="00D36ADD" w:rsidRDefault="00ED4844" w:rsidP="004650FA">
      <w:r w:rsidRPr="00D36ADD">
        <w:t>17.1</w:t>
      </w:r>
      <w:r w:rsidR="004650FA" w:rsidRPr="00D36ADD">
        <w:tab/>
        <w:t xml:space="preserve">Члены </w:t>
      </w:r>
      <w:proofErr w:type="spellStart"/>
      <w:r w:rsidR="004650FA" w:rsidRPr="00D36ADD">
        <w:t>IMAC</w:t>
      </w:r>
      <w:proofErr w:type="spellEnd"/>
      <w:r w:rsidR="004650FA" w:rsidRPr="00D36ADD">
        <w:t xml:space="preserve"> хотели бы выразить свою неизменную признательность Государствам-Членам, </w:t>
      </w:r>
      <w:proofErr w:type="spellStart"/>
      <w:r w:rsidR="004650FA" w:rsidRPr="00D36ADD">
        <w:t>РГС</w:t>
      </w:r>
      <w:r w:rsidR="004650FA" w:rsidRPr="00D36ADD">
        <w:noBreakHyphen/>
        <w:t>ФЛР</w:t>
      </w:r>
      <w:proofErr w:type="spellEnd"/>
      <w:r w:rsidR="004650FA" w:rsidRPr="00D36ADD">
        <w:t>, Генеральному секретарю, заместителю Генерального секретаря, Директор</w:t>
      </w:r>
      <w:r w:rsidR="00192DB8" w:rsidRPr="00D36ADD">
        <w:t>ам</w:t>
      </w:r>
      <w:r w:rsidR="004650FA" w:rsidRPr="00D36ADD">
        <w:t xml:space="preserve"> Бюро, а также </w:t>
      </w:r>
      <w:r w:rsidR="008A167C" w:rsidRPr="00D36ADD">
        <w:t>должностным лицам</w:t>
      </w:r>
      <w:r w:rsidR="004650FA" w:rsidRPr="00D36ADD">
        <w:t xml:space="preserve"> МСЭ за их поддержку, сотрудничество и положительное отношение, содействующие эффективному функционированию Комитета. </w:t>
      </w:r>
      <w:r w:rsidR="00F30758" w:rsidRPr="00D36ADD">
        <w:t xml:space="preserve">В частности, Комитет выражает признательность за содействие и поддержку </w:t>
      </w:r>
      <w:r w:rsidR="006A0B54" w:rsidRPr="00D36ADD">
        <w:t xml:space="preserve">при </w:t>
      </w:r>
      <w:r w:rsidR="00F30758" w:rsidRPr="00D36ADD">
        <w:t xml:space="preserve">проведении </w:t>
      </w:r>
      <w:r w:rsidR="00406040" w:rsidRPr="00D36ADD">
        <w:t>в режиме видеоконференцсвязи</w:t>
      </w:r>
      <w:r w:rsidR="00F30758" w:rsidRPr="00D36ADD">
        <w:t xml:space="preserve"> его </w:t>
      </w:r>
      <w:r w:rsidR="00012D4B" w:rsidRPr="00D36ADD">
        <w:t xml:space="preserve">26-го и </w:t>
      </w:r>
      <w:r w:rsidR="00F30758" w:rsidRPr="00D36ADD">
        <w:t>2</w:t>
      </w:r>
      <w:r w:rsidR="00012D4B" w:rsidRPr="00D36ADD">
        <w:t>7</w:t>
      </w:r>
      <w:r w:rsidR="00F30758" w:rsidRPr="00D36ADD">
        <w:t>-го собрани</w:t>
      </w:r>
      <w:r w:rsidR="00012D4B" w:rsidRPr="00D36ADD">
        <w:t>й</w:t>
      </w:r>
      <w:r w:rsidR="00F30758" w:rsidRPr="00D36ADD">
        <w:t>, состоявш</w:t>
      </w:r>
      <w:r w:rsidR="00012D4B" w:rsidRPr="00D36ADD">
        <w:t>ихся в</w:t>
      </w:r>
      <w:r w:rsidR="00F30758" w:rsidRPr="00D36ADD">
        <w:t xml:space="preserve"> июн</w:t>
      </w:r>
      <w:r w:rsidR="00012D4B" w:rsidRPr="00D36ADD">
        <w:t>е и октябре</w:t>
      </w:r>
      <w:r w:rsidR="00F30758" w:rsidRPr="00D36ADD">
        <w:t xml:space="preserve"> 2020 года.</w:t>
      </w:r>
    </w:p>
    <w:p w14:paraId="255556E4" w14:textId="21C7377F" w:rsidR="00ED4844" w:rsidRPr="00D36ADD" w:rsidRDefault="00ED4844" w:rsidP="004650FA">
      <w:r w:rsidRPr="00D36ADD">
        <w:t>17.2</w:t>
      </w:r>
      <w:r w:rsidRPr="00D36ADD">
        <w:tab/>
      </w:r>
      <w:r w:rsidR="009A79B8" w:rsidRPr="00D36ADD">
        <w:t xml:space="preserve">Список членского состава </w:t>
      </w:r>
      <w:proofErr w:type="spellStart"/>
      <w:r w:rsidR="009A79B8" w:rsidRPr="00D36ADD">
        <w:t>IMAC</w:t>
      </w:r>
      <w:proofErr w:type="spellEnd"/>
      <w:r w:rsidR="009A79B8" w:rsidRPr="00D36ADD">
        <w:t xml:space="preserve">, обязанности, круг ведения и отчеты Комитета размещены в разделе </w:t>
      </w:r>
      <w:proofErr w:type="spellStart"/>
      <w:r w:rsidR="009A79B8" w:rsidRPr="00D36ADD">
        <w:t>IMAC</w:t>
      </w:r>
      <w:proofErr w:type="spellEnd"/>
      <w:r w:rsidR="009A79B8" w:rsidRPr="00D36ADD">
        <w:t xml:space="preserve"> общедоступного сайта МСЭ по адресу</w:t>
      </w:r>
      <w:r w:rsidRPr="00D36ADD">
        <w:t xml:space="preserve">: </w:t>
      </w:r>
      <w:hyperlink r:id="rId21" w:history="1">
        <w:r w:rsidRPr="00D36ADD">
          <w:rPr>
            <w:rStyle w:val="Hyperlink"/>
          </w:rPr>
          <w:t>http://www.itu.int/imac</w:t>
        </w:r>
      </w:hyperlink>
      <w:r w:rsidRPr="00D36ADD">
        <w:t>.</w:t>
      </w:r>
    </w:p>
    <w:p w14:paraId="1B3642EE" w14:textId="77777777" w:rsidR="00ED4844" w:rsidRPr="00D36ADD" w:rsidRDefault="00ED4844" w:rsidP="004650FA"/>
    <w:p w14:paraId="567729DA" w14:textId="1EFE41FD" w:rsidR="00ED4844" w:rsidRPr="00D36ADD" w:rsidRDefault="00ED4844" w:rsidP="004650FA">
      <w:pPr>
        <w:sectPr w:rsidR="00ED4844" w:rsidRPr="00D36ADD" w:rsidSect="004650FA">
          <w:headerReference w:type="default" r:id="rId22"/>
          <w:footerReference w:type="default" r:id="rId23"/>
          <w:footerReference w:type="first" r:id="rId24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  <w:docGrid w:linePitch="299"/>
        </w:sectPr>
      </w:pPr>
    </w:p>
    <w:p w14:paraId="3A2F7C17" w14:textId="13BF3D53" w:rsidR="00DC5F7A" w:rsidRPr="00D36ADD" w:rsidRDefault="00355951" w:rsidP="00375AB6">
      <w:pPr>
        <w:pStyle w:val="AnnexNo"/>
        <w:spacing w:before="0"/>
      </w:pPr>
      <w:r w:rsidRPr="00D36ADD">
        <w:lastRenderedPageBreak/>
        <w:t>ПРИЛОЖЕНИЕ</w:t>
      </w:r>
      <w:r w:rsidR="00ED4844" w:rsidRPr="00D36ADD">
        <w:t xml:space="preserve"> 1</w:t>
      </w:r>
    </w:p>
    <w:p w14:paraId="2C1DF2EA" w14:textId="5B81FA68" w:rsidR="00ED4844" w:rsidRPr="00D36ADD" w:rsidRDefault="000342EC" w:rsidP="00375AB6">
      <w:pPr>
        <w:pStyle w:val="Annextitle"/>
        <w:spacing w:before="120" w:after="120"/>
        <w:rPr>
          <w:rStyle w:val="Ohne"/>
        </w:rPr>
      </w:pPr>
      <w:r w:rsidRPr="00D36ADD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703C14" wp14:editId="3BDFE354">
                <wp:simplePos x="0" y="0"/>
                <wp:positionH relativeFrom="column">
                  <wp:posOffset>813435</wp:posOffset>
                </wp:positionH>
                <wp:positionV relativeFrom="paragraph">
                  <wp:posOffset>294640</wp:posOffset>
                </wp:positionV>
                <wp:extent cx="7706026" cy="5333025"/>
                <wp:effectExtent l="0" t="0" r="9525" b="12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6026" cy="5333025"/>
                          <a:chOff x="0" y="0"/>
                          <a:chExt cx="7706026" cy="53330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39558" y="0"/>
                            <a:ext cx="7593034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1B792" w14:textId="138AA7A9" w:rsidR="00176C33" w:rsidRPr="00C61957" w:rsidRDefault="00176C33" w:rsidP="00C61957">
                              <w:pPr>
                                <w:spacing w:before="0"/>
                                <w:rPr>
                                  <w:szCs w:val="22"/>
                                </w:rPr>
                              </w:pPr>
                              <w:r w:rsidRPr="00C61957">
                                <w:rPr>
                                  <w:szCs w:val="22"/>
                                </w:rPr>
                                <w:t>Уровень выполнения рекомендаций IMAC – количество рекомендаций в разбивке по годам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9560" y="2352675"/>
                            <a:ext cx="6219825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7038E9" w14:textId="4DADB1AE" w:rsidR="00176C33" w:rsidRPr="00C61957" w:rsidRDefault="00176C33" w:rsidP="00C61957">
                              <w:pPr>
                                <w:spacing w:before="0"/>
                                <w:rPr>
                                  <w:szCs w:val="22"/>
                                </w:rPr>
                              </w:pPr>
                              <w:r w:rsidRPr="00604906">
                                <w:rPr>
                                  <w:szCs w:val="22"/>
                                </w:rPr>
                                <w:t>Прогресс – уровень выполнения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16200000">
                            <a:off x="-504000" y="3780790"/>
                            <a:ext cx="1224000" cy="21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8EBEF8" w14:textId="77777777" w:rsidR="00176C33" w:rsidRPr="00604906" w:rsidRDefault="00176C33" w:rsidP="00604906">
                              <w:pPr>
                                <w:spacing w:before="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0490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Уровень выполнения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247650"/>
                            <a:ext cx="763143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BE915" w14:textId="3175431F" w:rsidR="00176C33" w:rsidRPr="00306A72" w:rsidRDefault="00176C33" w:rsidP="00972F69">
                              <w:pPr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  <w:tab w:val="left" w:pos="308"/>
                                  <w:tab w:val="left" w:pos="1843"/>
                                  <w:tab w:val="left" w:pos="3304"/>
                                  <w:tab w:val="left" w:pos="4816"/>
                                  <w:tab w:val="left" w:pos="6285"/>
                                  <w:tab w:val="left" w:pos="7769"/>
                                  <w:tab w:val="left" w:pos="9295"/>
                                  <w:tab w:val="left" w:pos="10773"/>
                                </w:tabs>
                                <w:spacing w:before="0"/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0490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2013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2014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2015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2016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2017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2018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2019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0" tIns="0" rIns="0" bIns="3600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92810" y="1323975"/>
                            <a:ext cx="713216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37396" w14:textId="65B6E99F" w:rsidR="00176C33" w:rsidRPr="00604906" w:rsidRDefault="00176C33" w:rsidP="00604906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Выполнены</w:t>
                              </w:r>
                            </w:p>
                            <w:p w14:paraId="17E63808" w14:textId="673B249B" w:rsidR="00176C33" w:rsidRPr="00604906" w:rsidRDefault="00176C33" w:rsidP="00972F69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0" w:line="160" w:lineRule="exact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В стадии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выполнения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6449885" y="2333625"/>
                            <a:ext cx="116702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D709BB" w14:textId="777C2949" w:rsidR="00176C33" w:rsidRPr="00604906" w:rsidRDefault="00176C33" w:rsidP="00604906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04906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Рекомендации </w:t>
                              </w:r>
                              <w:r w:rsidRPr="00604906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br/>
                                <w:t>2012−201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04906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 гг.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4435" y="1638300"/>
                            <a:ext cx="615569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6CE8E" w14:textId="269DB9C2" w:rsidR="00176C33" w:rsidRPr="00972F69" w:rsidRDefault="00176C33" w:rsidP="00652176">
                              <w:pPr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  <w:tab w:val="left" w:pos="308"/>
                                  <w:tab w:val="left" w:pos="1134"/>
                                  <w:tab w:val="left" w:pos="2254"/>
                                  <w:tab w:val="left" w:pos="3346"/>
                                  <w:tab w:val="left" w:pos="4438"/>
                                  <w:tab w:val="left" w:pos="5558"/>
                                  <w:tab w:val="left" w:pos="6663"/>
                                  <w:tab w:val="left" w:pos="7727"/>
                                  <w:tab w:val="left" w:pos="8875"/>
                                </w:tabs>
                                <w:spacing w:before="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2012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2013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2014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2015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2016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2017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2018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2019</w:t>
                              </w:r>
                              <w:r w:rsidRPr="00972F69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rot="0" vert="horz" wrap="square" lIns="36000" tIns="0" rIns="0" bIns="3600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35" y="4391025"/>
                            <a:ext cx="110426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265AD" w14:textId="2C36BF40" w:rsidR="00176C33" w:rsidRPr="00652176" w:rsidRDefault="00176C33" w:rsidP="00652176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40"/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Рекомендации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5310" y="4572000"/>
                            <a:ext cx="64770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276A9" w14:textId="66A1D663" w:rsidR="00176C33" w:rsidRPr="00306A72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г.</w:t>
                              </w:r>
                            </w:p>
                            <w:p w14:paraId="2C5EF3EF" w14:textId="361B699B" w:rsidR="00176C33" w:rsidRPr="00306A72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2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2013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51C0D6B0" w14:textId="37B728F0" w:rsidR="00176C33" w:rsidRPr="00306A72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2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2014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5885" y="4572000"/>
                            <a:ext cx="64770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5BC6E" w14:textId="6E3A4009" w:rsidR="00176C33" w:rsidRPr="00306A72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5 г.</w:t>
                              </w:r>
                            </w:p>
                            <w:p w14:paraId="734AAE63" w14:textId="5AF6B64A" w:rsidR="00176C33" w:rsidRPr="00306A72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2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310F16C" w14:textId="5F30CB77" w:rsidR="00176C33" w:rsidRPr="00306A72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2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г</w:t>
                              </w:r>
                              <w:r w:rsidRPr="00306A72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6460" y="4572000"/>
                            <a:ext cx="6477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24768" w14:textId="4180295E" w:rsidR="00176C33" w:rsidRPr="00652176" w:rsidRDefault="00176C33" w:rsidP="000B334E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4962"/>
                                  <w:tab w:val="left" w:pos="6379"/>
                                  <w:tab w:val="left" w:pos="8080"/>
                                  <w:tab w:val="left" w:pos="9639"/>
                                  <w:tab w:val="left" w:pos="11199"/>
                                </w:tabs>
                                <w:spacing w:before="0"/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Рек. </w:t>
                              </w:r>
                              <w:r w:rsidRPr="00652176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lang w:val="fr-CH"/>
                                </w:rPr>
                                <w:t>201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8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660" y="5153025"/>
                            <a:ext cx="6192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7E432" w14:textId="08B8F525" w:rsidR="00176C33" w:rsidRPr="0028431F" w:rsidRDefault="00176C33" w:rsidP="00D36ADD">
                              <w:pPr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  <w:tab w:val="left" w:pos="1134"/>
                                  <w:tab w:val="left" w:pos="2268"/>
                                  <w:tab w:val="left" w:pos="3402"/>
                                  <w:tab w:val="left" w:pos="4536"/>
                                  <w:tab w:val="left" w:pos="5670"/>
                                  <w:tab w:val="left" w:pos="6804"/>
                                  <w:tab w:val="left" w:pos="7938"/>
                                  <w:tab w:val="left" w:pos="9072"/>
                                </w:tabs>
                                <w:spacing w:before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2012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2013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2014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2015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2016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2017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2018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  <w:t>2019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г</w:t>
                              </w:r>
                              <w:r w:rsidRPr="0028431F"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>.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  <w:lang w:val="fr-CH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2020 г.</w:t>
                              </w:r>
                            </w:p>
                          </w:txbxContent>
                        </wps:txbx>
                        <wps:bodyPr rot="0" vert="horz" wrap="square" lIns="36000" tIns="0" rIns="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03C14" id="Group 16" o:spid="_x0000_s1026" style="position:absolute;left:0;text-align:left;margin-left:64.05pt;margin-top:23.2pt;width:606.75pt;height:419.9pt;z-index:251683840" coordsize="77060,5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95;width:7593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" filled="f" stroked="f" strokeweight=".5pt">
                  <v:textbox inset="1mm,1mm,1mm,1mm">
                    <w:txbxContent>
                      <w:p w14:paraId="4121B792" w14:textId="138AA7A9" w:rsidR="00176C33" w:rsidRPr="00C61957" w:rsidRDefault="00176C33" w:rsidP="00C61957">
                        <w:pPr>
                          <w:spacing w:before="0"/>
                          <w:rPr>
                            <w:szCs w:val="22"/>
                          </w:rPr>
                        </w:pPr>
                        <w:r w:rsidRPr="00C61957">
                          <w:rPr>
                            <w:szCs w:val="22"/>
                          </w:rPr>
                          <w:t>Уровень выполнения рекомендаций IMAC – количество рекомендаций в разбивке по годам</w:t>
                        </w:r>
                      </w:p>
                    </w:txbxContent>
                  </v:textbox>
                </v:shape>
                <v:shape id="Text Box 3" o:spid="_x0000_s1028" type="#_x0000_t202" style="position:absolute;left:395;top:23526;width:62198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" filled="f" stroked="f" strokeweight=".5pt">
                  <v:textbox inset="1mm,1mm,1mm,1mm">
                    <w:txbxContent>
                      <w:p w14:paraId="5D7038E9" w14:textId="4DADB1AE" w:rsidR="00176C33" w:rsidRPr="00C61957" w:rsidRDefault="00176C33" w:rsidP="00C61957">
                        <w:pPr>
                          <w:spacing w:before="0"/>
                          <w:rPr>
                            <w:szCs w:val="22"/>
                          </w:rPr>
                        </w:pPr>
                        <w:r w:rsidRPr="00604906">
                          <w:rPr>
                            <w:szCs w:val="22"/>
                          </w:rPr>
                          <w:t>Прогресс – уровень выполнения</w:t>
                        </w:r>
                      </w:p>
                    </w:txbxContent>
                  </v:textbox>
                </v:shape>
                <v:rect id="Rectangle 9" o:spid="_x0000_s1029" style="position:absolute;left:-5040;top:37807;width:12240;height:216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" fillcolor="white [3212]" stroked="f" strokeweight="2pt">
                  <v:textbox inset="0,0,0,0">
                    <w:txbxContent>
                      <w:p w14:paraId="408EBEF8" w14:textId="77777777" w:rsidR="00176C33" w:rsidRPr="00604906" w:rsidRDefault="00176C33" w:rsidP="00604906">
                        <w:pPr>
                          <w:spacing w:before="0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906">
                          <w:rPr>
                            <w:color w:val="000000" w:themeColor="text1"/>
                            <w:sz w:val="18"/>
                            <w:szCs w:val="18"/>
                          </w:rPr>
                          <w:t>Уровень выполнения</w:t>
                        </w:r>
                      </w:p>
                    </w:txbxContent>
                  </v:textbox>
                </v:rect>
                <v:shape id="_x0000_s1030" type="#_x0000_t202" style="position:absolute;left:14;top:2476;width:76314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" filled="f" stroked="f">
                  <v:textbox inset="1mm,0,0,1mm">
                    <w:txbxContent>
                      <w:p w14:paraId="6F6BE915" w14:textId="3175431F" w:rsidR="00176C33" w:rsidRPr="00306A72" w:rsidRDefault="00176C33" w:rsidP="00972F69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  <w:tab w:val="left" w:pos="308"/>
                            <w:tab w:val="left" w:pos="1843"/>
                            <w:tab w:val="left" w:pos="3304"/>
                            <w:tab w:val="left" w:pos="4816"/>
                            <w:tab w:val="left" w:pos="6285"/>
                            <w:tab w:val="left" w:pos="7769"/>
                            <w:tab w:val="left" w:pos="9295"/>
                            <w:tab w:val="left" w:pos="10773"/>
                          </w:tabs>
                          <w:spacing w:before="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0490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fr-CH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2013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2014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2015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2016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2017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2018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2019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_x0000_s1031" type="#_x0000_t202" style="position:absolute;left:69928;top:13239;width:7132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3337396" w14:textId="65B6E99F" w:rsidR="00176C33" w:rsidRPr="00604906" w:rsidRDefault="00176C33" w:rsidP="00604906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Выполнены</w:t>
                        </w:r>
                      </w:p>
                      <w:p w14:paraId="17E63808" w14:textId="673B249B" w:rsidR="00176C33" w:rsidRPr="00604906" w:rsidRDefault="00176C33" w:rsidP="00972F69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0" w:line="160" w:lineRule="exact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В стадии 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br/>
                          <w:t>выполнения</w:t>
                        </w:r>
                      </w:p>
                    </w:txbxContent>
                  </v:textbox>
                </v:shape>
                <v:rect id="Rectangle 4" o:spid="_x0000_s1032" style="position:absolute;left:64498;top:23336;width:1167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" filled="f" stroked="f" strokeweight="2pt">
                  <v:textbox inset="0,0,0,0">
                    <w:txbxContent>
                      <w:p w14:paraId="33D709BB" w14:textId="777C2949" w:rsidR="00176C33" w:rsidRPr="00604906" w:rsidRDefault="00176C33" w:rsidP="00604906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04906"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Рекомендации </w:t>
                        </w:r>
                        <w:r w:rsidRPr="00604906"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br/>
                          <w:t>2012−201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 w:rsidRPr="00604906"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 гг.</w:t>
                        </w:r>
                      </w:p>
                    </w:txbxContent>
                  </v:textbox>
                </v:rect>
                <v:shape id="_x0000_s1033" type="#_x0000_t202" style="position:absolute;left:9444;top:16383;width:61557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" filled="f" stroked="f">
                  <v:textbox inset="1mm,0,0,1mm">
                    <w:txbxContent>
                      <w:p w14:paraId="3A96CE8E" w14:textId="269DB9C2" w:rsidR="00176C33" w:rsidRPr="00972F69" w:rsidRDefault="00176C33" w:rsidP="0065217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  <w:tab w:val="left" w:pos="308"/>
                            <w:tab w:val="left" w:pos="1134"/>
                            <w:tab w:val="left" w:pos="2254"/>
                            <w:tab w:val="left" w:pos="3346"/>
                            <w:tab w:val="left" w:pos="4438"/>
                            <w:tab w:val="left" w:pos="5558"/>
                            <w:tab w:val="left" w:pos="6663"/>
                            <w:tab w:val="left" w:pos="7727"/>
                            <w:tab w:val="left" w:pos="8875"/>
                          </w:tabs>
                          <w:spacing w:before="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2012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2013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2014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2015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2016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2017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2018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2019</w:t>
                        </w:r>
                        <w:r w:rsidRPr="00972F69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ВСЕГО</w:t>
                        </w:r>
                      </w:p>
                    </w:txbxContent>
                  </v:textbox>
                </v:shape>
                <v:shape id="_x0000_s1034" type="#_x0000_t202" style="position:absolute;left:39924;top:43910;width:1104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21265AD" w14:textId="2C36BF40" w:rsidR="00176C33" w:rsidRPr="00652176" w:rsidRDefault="00176C33" w:rsidP="00652176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40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Рекомендации</w:t>
                        </w:r>
                      </w:p>
                    </w:txbxContent>
                  </v:textbox>
                </v:shape>
                <v:shape id="_x0000_s1035" type="#_x0000_t202" style="position:absolute;left:41353;top:45720;width:647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1276A9" w14:textId="66A1D663" w:rsidR="00176C33" w:rsidRPr="00306A72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г.</w:t>
                        </w:r>
                      </w:p>
                      <w:p w14:paraId="2C5EF3EF" w14:textId="361B699B" w:rsidR="00176C33" w:rsidRPr="00306A72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2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2013 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  <w:p w14:paraId="51C0D6B0" w14:textId="37B728F0" w:rsidR="00176C33" w:rsidRPr="00306A72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2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2014 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_x0000_s1036" type="#_x0000_t202" style="position:absolute;left:49258;top:45720;width:647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9F5BC6E" w14:textId="6E3A4009" w:rsidR="00176C33" w:rsidRPr="00306A72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5 г.</w:t>
                        </w:r>
                      </w:p>
                      <w:p w14:paraId="734AAE63" w14:textId="5AF6B64A" w:rsidR="00176C33" w:rsidRPr="00306A72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2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6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  <w:p w14:paraId="1310F16C" w14:textId="5F30CB77" w:rsidR="00176C33" w:rsidRPr="00306A72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2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7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  <w:r w:rsidRPr="00306A72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_x0000_s1037" type="#_x0000_t202" style="position:absolute;left:57164;top:45720;width:647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824768" w14:textId="4180295E" w:rsidR="00176C33" w:rsidRPr="00652176" w:rsidRDefault="00176C33" w:rsidP="000B334E">
                        <w:pPr>
                          <w:tabs>
                            <w:tab w:val="left" w:pos="1701"/>
                            <w:tab w:val="left" w:pos="3261"/>
                            <w:tab w:val="left" w:pos="4962"/>
                            <w:tab w:val="left" w:pos="6379"/>
                            <w:tab w:val="left" w:pos="8080"/>
                            <w:tab w:val="left" w:pos="9639"/>
                            <w:tab w:val="left" w:pos="11199"/>
                          </w:tabs>
                          <w:spacing w:before="0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Рек. </w:t>
                        </w:r>
                        <w:r w:rsidRPr="00652176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201</w:t>
                        </w:r>
                        <w:r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8 г.</w:t>
                        </w:r>
                      </w:p>
                    </w:txbxContent>
                  </v:textbox>
                </v:shape>
                <v:shape id="_x0000_s1038" type="#_x0000_t202" style="position:absolute;left:4586;top:51530;width:61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" filled="f" stroked="f">
                  <v:textbox inset="1mm,0,0,1mm">
                    <w:txbxContent>
                      <w:p w14:paraId="0AD7E432" w14:textId="08B8F525" w:rsidR="00176C33" w:rsidRPr="0028431F" w:rsidRDefault="00176C33" w:rsidP="00D36ADD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  <w:tab w:val="left" w:pos="1134"/>
                            <w:tab w:val="left" w:pos="2268"/>
                            <w:tab w:val="left" w:pos="3402"/>
                            <w:tab w:val="left" w:pos="4536"/>
                            <w:tab w:val="left" w:pos="5670"/>
                            <w:tab w:val="left" w:pos="6804"/>
                            <w:tab w:val="left" w:pos="7938"/>
                            <w:tab w:val="left" w:pos="9072"/>
                          </w:tabs>
                          <w:spacing w:before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2012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2013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2014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2015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2016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2017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2018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  <w:t>2019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г</w:t>
                        </w:r>
                        <w:r w:rsidRPr="0028431F"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>.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  <w:lang w:val="fr-CH"/>
                          </w:rPr>
                          <w:tab/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2020 г.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5951" w:rsidRPr="00D36ADD">
        <w:t xml:space="preserve">Статистика выполнения рекомендаций </w:t>
      </w:r>
      <w:proofErr w:type="spellStart"/>
      <w:r w:rsidR="00355951" w:rsidRPr="00D36ADD">
        <w:t>IMAC</w:t>
      </w:r>
      <w:proofErr w:type="spellEnd"/>
    </w:p>
    <w:p w14:paraId="6B0F10CB" w14:textId="21F60C53" w:rsidR="00ED4844" w:rsidRPr="00D36ADD" w:rsidRDefault="00972F69" w:rsidP="00375AB6">
      <w:pPr>
        <w:spacing w:before="0"/>
        <w:jc w:val="center"/>
      </w:pPr>
      <w:r w:rsidRPr="00D36ADD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9D9DF0" wp14:editId="4251F3C7">
                <wp:simplePos x="0" y="0"/>
                <wp:positionH relativeFrom="column">
                  <wp:posOffset>814070</wp:posOffset>
                </wp:positionH>
                <wp:positionV relativeFrom="page">
                  <wp:posOffset>3108021</wp:posOffset>
                </wp:positionV>
                <wp:extent cx="1065474" cy="381663"/>
                <wp:effectExtent l="0" t="0" r="190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474" cy="381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537A" w14:textId="77777777" w:rsidR="00176C33" w:rsidRPr="00604906" w:rsidRDefault="00176C33" w:rsidP="00972F69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Выполнены</w:t>
                            </w:r>
                          </w:p>
                          <w:p w14:paraId="2ED241F8" w14:textId="1DE29C36" w:rsidR="00176C33" w:rsidRDefault="00176C33" w:rsidP="00972F69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В стадии выполнения</w:t>
                            </w:r>
                          </w:p>
                          <w:p w14:paraId="198F96F1" w14:textId="1EB7E977" w:rsidR="00176C33" w:rsidRPr="00604906" w:rsidRDefault="00176C33" w:rsidP="00972F69">
                            <w:pPr>
                              <w:tabs>
                                <w:tab w:val="left" w:pos="1701"/>
                                <w:tab w:val="left" w:pos="3261"/>
                                <w:tab w:val="left" w:pos="4962"/>
                                <w:tab w:val="left" w:pos="6379"/>
                                <w:tab w:val="left" w:pos="8080"/>
                                <w:tab w:val="left" w:pos="9639"/>
                                <w:tab w:val="left" w:pos="11199"/>
                              </w:tabs>
                              <w:spacing w:before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9DF0" id="Text Box 2" o:spid="_x0000_s1039" type="#_x0000_t202" style="position:absolute;left:0;text-align:left;margin-left:64.1pt;margin-top:244.75pt;width:83.9pt;height:3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" filled="f" stroked="f">
                <v:textbox inset="0,0,0,0">
                  <w:txbxContent>
                    <w:p w14:paraId="4A1F537A" w14:textId="77777777" w:rsidR="00176C33" w:rsidRPr="00604906" w:rsidRDefault="00176C33" w:rsidP="00972F69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Выполнены</w:t>
                      </w:r>
                    </w:p>
                    <w:p w14:paraId="2ED241F8" w14:textId="1DE29C36" w:rsidR="00176C33" w:rsidRDefault="00176C33" w:rsidP="00972F69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В стадии выполнения</w:t>
                      </w:r>
                    </w:p>
                    <w:p w14:paraId="198F96F1" w14:textId="1EB7E977" w:rsidR="00176C33" w:rsidRPr="00604906" w:rsidRDefault="00176C33" w:rsidP="00972F69">
                      <w:pPr>
                        <w:tabs>
                          <w:tab w:val="left" w:pos="1701"/>
                          <w:tab w:val="left" w:pos="3261"/>
                          <w:tab w:val="left" w:pos="4962"/>
                          <w:tab w:val="left" w:pos="6379"/>
                          <w:tab w:val="left" w:pos="8080"/>
                          <w:tab w:val="left" w:pos="9639"/>
                          <w:tab w:val="left" w:pos="11199"/>
                        </w:tabs>
                        <w:spacing w:before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Всего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5AB6" w:rsidRPr="00D36ADD">
        <w:drawing>
          <wp:inline distT="0" distB="0" distL="0" distR="0" wp14:anchorId="398A9F29" wp14:editId="5D01E15F">
            <wp:extent cx="7781925" cy="5313567"/>
            <wp:effectExtent l="0" t="0" r="0" b="190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921" cy="532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1D39" w14:textId="23F82851" w:rsidR="005936EA" w:rsidRPr="00D36ADD" w:rsidRDefault="004650FA" w:rsidP="001C0094">
      <w:pPr>
        <w:jc w:val="center"/>
      </w:pPr>
      <w:r w:rsidRPr="00D36ADD">
        <w:t>______________</w:t>
      </w:r>
    </w:p>
    <w:sectPr w:rsidR="005936EA" w:rsidRPr="00D36ADD" w:rsidSect="00375AB6">
      <w:headerReference w:type="first" r:id="rId26"/>
      <w:footerReference w:type="first" r:id="rId27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43A1" w14:textId="77777777" w:rsidR="00176C33" w:rsidRDefault="00176C33">
      <w:r>
        <w:separator/>
      </w:r>
    </w:p>
  </w:endnote>
  <w:endnote w:type="continuationSeparator" w:id="0">
    <w:p w14:paraId="79D3C6E3" w14:textId="77777777" w:rsidR="00176C33" w:rsidRDefault="001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A123A" w14:textId="5FB0BF69" w:rsidR="00176C33" w:rsidRPr="0040454A" w:rsidRDefault="00176C33" w:rsidP="0040454A">
    <w:pPr>
      <w:pStyle w:val="Footer"/>
      <w:tabs>
        <w:tab w:val="clear" w:pos="9639"/>
        <w:tab w:val="right" w:pos="9498"/>
      </w:tabs>
      <w:rPr>
        <w:lang w:val="fr-CH"/>
      </w:rPr>
    </w:pPr>
    <w:r w:rsidRPr="003507C5">
      <w:fldChar w:fldCharType="begin"/>
    </w:r>
    <w:r w:rsidRPr="003507C5">
      <w:rPr>
        <w:lang w:val="fr-CH"/>
      </w:rPr>
      <w:instrText xml:space="preserve"> FILENAME \p \* MERGEFORMAT </w:instrText>
    </w:r>
    <w:r w:rsidRPr="003507C5">
      <w:fldChar w:fldCharType="separate"/>
    </w:r>
    <w:r>
      <w:rPr>
        <w:lang w:val="fr-CH"/>
      </w:rPr>
      <w:t>P:\RUS\SG\CONSEIL\C20\000\022REV1R.docx</w:t>
    </w:r>
    <w:r w:rsidRPr="003507C5">
      <w:fldChar w:fldCharType="end"/>
    </w:r>
    <w:r w:rsidRPr="00775972">
      <w:rPr>
        <w:lang w:val="fr-CH"/>
      </w:rPr>
      <w:t xml:space="preserve"> </w:t>
    </w:r>
    <w:r w:rsidRPr="003507C5">
      <w:t>(</w:t>
    </w:r>
    <w:r w:rsidRPr="0040454A">
      <w:t>479463</w:t>
    </w:r>
    <w:r w:rsidRPr="003507C5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E6028" w14:textId="77777777" w:rsidR="00176C33" w:rsidRPr="0002288E" w:rsidRDefault="00176C33" w:rsidP="004D631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47418" w14:textId="77777777" w:rsidR="00176C33" w:rsidRPr="004650FA" w:rsidRDefault="00176C33" w:rsidP="004650FA">
    <w:pPr>
      <w:pStyle w:val="Footer"/>
      <w:tabs>
        <w:tab w:val="clear" w:pos="9639"/>
        <w:tab w:val="right" w:pos="9498"/>
      </w:tabs>
      <w:rPr>
        <w:lang w:val="fr-CH"/>
      </w:rPr>
    </w:pPr>
    <w:r w:rsidRPr="003507C5">
      <w:fldChar w:fldCharType="begin"/>
    </w:r>
    <w:r w:rsidRPr="003507C5">
      <w:rPr>
        <w:lang w:val="fr-CH"/>
      </w:rPr>
      <w:instrText xml:space="preserve"> FILENAME \p \* MERGEFORMAT </w:instrText>
    </w:r>
    <w:r w:rsidRPr="003507C5">
      <w:fldChar w:fldCharType="separate"/>
    </w:r>
    <w:r>
      <w:rPr>
        <w:lang w:val="fr-CH"/>
      </w:rPr>
      <w:t>P:\RUS\SG\CONSEIL\C20\000\022REV1R.docx</w:t>
    </w:r>
    <w:r w:rsidRPr="003507C5">
      <w:fldChar w:fldCharType="end"/>
    </w:r>
    <w:r w:rsidRPr="00775972">
      <w:rPr>
        <w:lang w:val="fr-CH"/>
      </w:rPr>
      <w:t xml:space="preserve"> </w:t>
    </w:r>
    <w:r w:rsidRPr="003507C5">
      <w:t>(</w:t>
    </w:r>
    <w:r w:rsidRPr="0040454A">
      <w:t>479463</w:t>
    </w:r>
    <w:r w:rsidRPr="003507C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B2CF2" w14:textId="77777777" w:rsidR="00176C33" w:rsidRDefault="00176C33">
      <w:r>
        <w:t>____________________</w:t>
      </w:r>
    </w:p>
  </w:footnote>
  <w:footnote w:type="continuationSeparator" w:id="0">
    <w:p w14:paraId="6DF5534D" w14:textId="77777777" w:rsidR="00176C33" w:rsidRDefault="001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92A21" w14:textId="5B5ECB37" w:rsidR="00176C33" w:rsidRDefault="00176C33" w:rsidP="004650F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45A22CD9" w14:textId="762E9BB8" w:rsidR="00176C33" w:rsidRPr="004650FA" w:rsidRDefault="00176C33" w:rsidP="004650FA">
    <w:pPr>
      <w:pStyle w:val="Header"/>
      <w:rPr>
        <w:lang w:val="ru-RU"/>
      </w:rPr>
    </w:pPr>
    <w:proofErr w:type="spellStart"/>
    <w:r>
      <w:t>C20</w:t>
    </w:r>
    <w:proofErr w:type="spellEnd"/>
    <w:r>
      <w:t>/22</w:t>
    </w:r>
    <w:r>
      <w:rPr>
        <w:lang w:val="ru-RU"/>
      </w:rPr>
      <w:t>(</w:t>
    </w:r>
    <w:proofErr w:type="spellStart"/>
    <w:r>
      <w:rPr>
        <w:lang w:val="en-GB"/>
      </w:rPr>
      <w:t>Rev.1</w:t>
    </w:r>
    <w:proofErr w:type="spellEnd"/>
    <w:r>
      <w:rPr>
        <w:lang w:val="en-GB"/>
      </w:rPr>
      <w:t>)</w:t>
    </w:r>
    <w:r>
      <w:t>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1EF8F" w14:textId="77777777" w:rsidR="00176C33" w:rsidRDefault="00176C33" w:rsidP="00ED4844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6A35AEC4" w14:textId="55FE7C95" w:rsidR="00176C33" w:rsidRPr="00ED4844" w:rsidRDefault="00176C33">
    <w:pPr>
      <w:pStyle w:val="Header"/>
      <w:rPr>
        <w:lang w:val="ru-RU"/>
      </w:rPr>
    </w:pPr>
    <w:proofErr w:type="spellStart"/>
    <w:r>
      <w:t>C20</w:t>
    </w:r>
    <w:proofErr w:type="spellEnd"/>
    <w:r>
      <w:t>/22</w:t>
    </w:r>
    <w:r>
      <w:rPr>
        <w:lang w:val="ru-RU"/>
      </w:rPr>
      <w:t>(</w:t>
    </w:r>
    <w:proofErr w:type="spellStart"/>
    <w:r>
      <w:rPr>
        <w:lang w:val="en-GB"/>
      </w:rPr>
      <w:t>Rev.1</w:t>
    </w:r>
    <w:proofErr w:type="spellEnd"/>
    <w:r>
      <w:rPr>
        <w:lang w:val="en-GB"/>
      </w:rPr>
      <w:t>)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888"/>
    <w:multiLevelType w:val="hybridMultilevel"/>
    <w:tmpl w:val="F12E02FE"/>
    <w:styleLink w:val="Punkte"/>
    <w:lvl w:ilvl="0" w:tplc="3C5ABC00">
      <w:start w:val="1"/>
      <w:numFmt w:val="bullet"/>
      <w:lvlText w:val="•"/>
      <w:lvlJc w:val="left"/>
      <w:pPr>
        <w:tabs>
          <w:tab w:val="num" w:pos="841"/>
        </w:tabs>
        <w:ind w:left="189" w:firstLine="4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61988">
      <w:start w:val="1"/>
      <w:numFmt w:val="bullet"/>
      <w:lvlText w:val="•"/>
      <w:lvlJc w:val="left"/>
      <w:pPr>
        <w:tabs>
          <w:tab w:val="num" w:pos="1440"/>
        </w:tabs>
        <w:ind w:left="7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6CAB0">
      <w:start w:val="1"/>
      <w:numFmt w:val="bullet"/>
      <w:lvlText w:val="•"/>
      <w:lvlJc w:val="left"/>
      <w:pPr>
        <w:tabs>
          <w:tab w:val="num" w:pos="2040"/>
        </w:tabs>
        <w:ind w:left="13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042A2">
      <w:start w:val="1"/>
      <w:numFmt w:val="bullet"/>
      <w:lvlText w:val="•"/>
      <w:lvlJc w:val="left"/>
      <w:pPr>
        <w:ind w:left="1988" w:hanging="17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686B8">
      <w:start w:val="1"/>
      <w:numFmt w:val="bullet"/>
      <w:lvlText w:val="•"/>
      <w:lvlJc w:val="left"/>
      <w:pPr>
        <w:tabs>
          <w:tab w:val="num" w:pos="3240"/>
        </w:tabs>
        <w:ind w:left="2588" w:firstLine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8A0BE">
      <w:start w:val="1"/>
      <w:numFmt w:val="bullet"/>
      <w:lvlText w:val="•"/>
      <w:lvlJc w:val="left"/>
      <w:pPr>
        <w:tabs>
          <w:tab w:val="num" w:pos="3840"/>
        </w:tabs>
        <w:ind w:left="3188" w:firstLine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8CE58">
      <w:start w:val="1"/>
      <w:numFmt w:val="bullet"/>
      <w:lvlText w:val="•"/>
      <w:lvlJc w:val="left"/>
      <w:pPr>
        <w:tabs>
          <w:tab w:val="num" w:pos="4440"/>
        </w:tabs>
        <w:ind w:left="3788" w:firstLine="1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A0316">
      <w:start w:val="1"/>
      <w:numFmt w:val="bullet"/>
      <w:lvlText w:val="•"/>
      <w:lvlJc w:val="left"/>
      <w:pPr>
        <w:tabs>
          <w:tab w:val="num" w:pos="5040"/>
        </w:tabs>
        <w:ind w:left="43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0B8E2">
      <w:start w:val="1"/>
      <w:numFmt w:val="bullet"/>
      <w:lvlText w:val="•"/>
      <w:lvlJc w:val="left"/>
      <w:pPr>
        <w:tabs>
          <w:tab w:val="num" w:pos="5640"/>
        </w:tabs>
        <w:ind w:left="49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1F49AD"/>
    <w:multiLevelType w:val="multilevel"/>
    <w:tmpl w:val="E3B8961A"/>
    <w:styleLink w:val="ImportierterSti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554A72"/>
    <w:multiLevelType w:val="hybridMultilevel"/>
    <w:tmpl w:val="6F9C170E"/>
    <w:numStyleLink w:val="ImportierterStil2"/>
  </w:abstractNum>
  <w:abstractNum w:abstractNumId="3" w15:restartNumberingAfterBreak="0">
    <w:nsid w:val="44510AD5"/>
    <w:multiLevelType w:val="hybridMultilevel"/>
    <w:tmpl w:val="6F9C170E"/>
    <w:styleLink w:val="ImportierterStil2"/>
    <w:lvl w:ilvl="0" w:tplc="F3300310">
      <w:start w:val="1"/>
      <w:numFmt w:val="bullet"/>
      <w:lvlText w:val="-"/>
      <w:lvlJc w:val="left"/>
      <w:pPr>
        <w:tabs>
          <w:tab w:val="num" w:pos="1440"/>
        </w:tabs>
        <w:ind w:left="7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67752">
      <w:start w:val="1"/>
      <w:numFmt w:val="bullet"/>
      <w:lvlText w:val="o"/>
      <w:lvlJc w:val="left"/>
      <w:pPr>
        <w:tabs>
          <w:tab w:val="num" w:pos="2160"/>
        </w:tabs>
        <w:ind w:left="14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ED5FC">
      <w:start w:val="1"/>
      <w:numFmt w:val="bullet"/>
      <w:lvlText w:val="▪"/>
      <w:lvlJc w:val="left"/>
      <w:pPr>
        <w:tabs>
          <w:tab w:val="num" w:pos="2880"/>
        </w:tabs>
        <w:ind w:left="21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A8F7A">
      <w:start w:val="1"/>
      <w:numFmt w:val="bullet"/>
      <w:lvlText w:val="•"/>
      <w:lvlJc w:val="left"/>
      <w:pPr>
        <w:tabs>
          <w:tab w:val="num" w:pos="3600"/>
        </w:tabs>
        <w:ind w:left="28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6CDF8">
      <w:start w:val="1"/>
      <w:numFmt w:val="bullet"/>
      <w:lvlText w:val="o"/>
      <w:lvlJc w:val="left"/>
      <w:pPr>
        <w:tabs>
          <w:tab w:val="num" w:pos="4320"/>
        </w:tabs>
        <w:ind w:left="360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CF1DA">
      <w:start w:val="1"/>
      <w:numFmt w:val="bullet"/>
      <w:lvlText w:val="▪"/>
      <w:lvlJc w:val="left"/>
      <w:pPr>
        <w:tabs>
          <w:tab w:val="num" w:pos="5040"/>
        </w:tabs>
        <w:ind w:left="43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AABBC">
      <w:start w:val="1"/>
      <w:numFmt w:val="bullet"/>
      <w:lvlText w:val="•"/>
      <w:lvlJc w:val="left"/>
      <w:pPr>
        <w:tabs>
          <w:tab w:val="num" w:pos="5760"/>
        </w:tabs>
        <w:ind w:left="50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823E">
      <w:start w:val="1"/>
      <w:numFmt w:val="bullet"/>
      <w:lvlText w:val="o"/>
      <w:lvlJc w:val="left"/>
      <w:pPr>
        <w:tabs>
          <w:tab w:val="num" w:pos="6480"/>
        </w:tabs>
        <w:ind w:left="57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0DBAA">
      <w:start w:val="1"/>
      <w:numFmt w:val="bullet"/>
      <w:lvlText w:val="▪"/>
      <w:lvlJc w:val="left"/>
      <w:pPr>
        <w:tabs>
          <w:tab w:val="num" w:pos="7200"/>
        </w:tabs>
        <w:ind w:left="64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030924"/>
    <w:multiLevelType w:val="multilevel"/>
    <w:tmpl w:val="E3B8961A"/>
    <w:numStyleLink w:val="ImportierterStil1"/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3"/>
    <w:rsid w:val="00003849"/>
    <w:rsid w:val="00007801"/>
    <w:rsid w:val="00007BD8"/>
    <w:rsid w:val="000127C1"/>
    <w:rsid w:val="00012D4B"/>
    <w:rsid w:val="00017507"/>
    <w:rsid w:val="0002183E"/>
    <w:rsid w:val="00025ADD"/>
    <w:rsid w:val="000342EC"/>
    <w:rsid w:val="00036091"/>
    <w:rsid w:val="00052506"/>
    <w:rsid w:val="000569B4"/>
    <w:rsid w:val="00063D14"/>
    <w:rsid w:val="00065DE7"/>
    <w:rsid w:val="00065F04"/>
    <w:rsid w:val="00077520"/>
    <w:rsid w:val="00080E82"/>
    <w:rsid w:val="00084A24"/>
    <w:rsid w:val="00087675"/>
    <w:rsid w:val="00091AC1"/>
    <w:rsid w:val="000A574C"/>
    <w:rsid w:val="000A5F34"/>
    <w:rsid w:val="000B334E"/>
    <w:rsid w:val="000B6183"/>
    <w:rsid w:val="000C047A"/>
    <w:rsid w:val="000C4265"/>
    <w:rsid w:val="000C5128"/>
    <w:rsid w:val="000D3A7F"/>
    <w:rsid w:val="000D3E13"/>
    <w:rsid w:val="000E069C"/>
    <w:rsid w:val="000E147B"/>
    <w:rsid w:val="000E17CD"/>
    <w:rsid w:val="000E3C21"/>
    <w:rsid w:val="000E44E7"/>
    <w:rsid w:val="000E568E"/>
    <w:rsid w:val="000F5715"/>
    <w:rsid w:val="000F6154"/>
    <w:rsid w:val="001117F1"/>
    <w:rsid w:val="00126462"/>
    <w:rsid w:val="00130CE4"/>
    <w:rsid w:val="0013486D"/>
    <w:rsid w:val="00136B62"/>
    <w:rsid w:val="00140DBA"/>
    <w:rsid w:val="00141998"/>
    <w:rsid w:val="001425B0"/>
    <w:rsid w:val="00144ABF"/>
    <w:rsid w:val="0014734F"/>
    <w:rsid w:val="0015331C"/>
    <w:rsid w:val="0015710D"/>
    <w:rsid w:val="001576C5"/>
    <w:rsid w:val="00160C39"/>
    <w:rsid w:val="00161447"/>
    <w:rsid w:val="001628EE"/>
    <w:rsid w:val="00163A32"/>
    <w:rsid w:val="001665BF"/>
    <w:rsid w:val="0017470F"/>
    <w:rsid w:val="00176C33"/>
    <w:rsid w:val="00184FFB"/>
    <w:rsid w:val="00192B41"/>
    <w:rsid w:val="00192B98"/>
    <w:rsid w:val="00192DB8"/>
    <w:rsid w:val="00196F3C"/>
    <w:rsid w:val="001975E0"/>
    <w:rsid w:val="001B0330"/>
    <w:rsid w:val="001B0503"/>
    <w:rsid w:val="001B7B09"/>
    <w:rsid w:val="001C0094"/>
    <w:rsid w:val="001C1DAA"/>
    <w:rsid w:val="001C69C6"/>
    <w:rsid w:val="001D2816"/>
    <w:rsid w:val="001D676E"/>
    <w:rsid w:val="001D7AFA"/>
    <w:rsid w:val="001E6719"/>
    <w:rsid w:val="001F0BB0"/>
    <w:rsid w:val="001F18B0"/>
    <w:rsid w:val="00216F64"/>
    <w:rsid w:val="00223DCF"/>
    <w:rsid w:val="0022450F"/>
    <w:rsid w:val="00225368"/>
    <w:rsid w:val="00225C01"/>
    <w:rsid w:val="00227FF0"/>
    <w:rsid w:val="002309BB"/>
    <w:rsid w:val="00234805"/>
    <w:rsid w:val="002438AA"/>
    <w:rsid w:val="00244F15"/>
    <w:rsid w:val="002525D4"/>
    <w:rsid w:val="00264811"/>
    <w:rsid w:val="002654AE"/>
    <w:rsid w:val="0027051B"/>
    <w:rsid w:val="0028431F"/>
    <w:rsid w:val="002850D7"/>
    <w:rsid w:val="00285753"/>
    <w:rsid w:val="00291EB6"/>
    <w:rsid w:val="002A574A"/>
    <w:rsid w:val="002A5E10"/>
    <w:rsid w:val="002B4613"/>
    <w:rsid w:val="002C2654"/>
    <w:rsid w:val="002C40ED"/>
    <w:rsid w:val="002D1F7B"/>
    <w:rsid w:val="002D2F57"/>
    <w:rsid w:val="002D48C5"/>
    <w:rsid w:val="002E15CA"/>
    <w:rsid w:val="002F50E7"/>
    <w:rsid w:val="00306A72"/>
    <w:rsid w:val="003076ED"/>
    <w:rsid w:val="00310DA4"/>
    <w:rsid w:val="00310FD1"/>
    <w:rsid w:val="003237BD"/>
    <w:rsid w:val="003273C3"/>
    <w:rsid w:val="00344337"/>
    <w:rsid w:val="00345097"/>
    <w:rsid w:val="00355951"/>
    <w:rsid w:val="00364B00"/>
    <w:rsid w:val="00365CAA"/>
    <w:rsid w:val="00375AB6"/>
    <w:rsid w:val="00386029"/>
    <w:rsid w:val="003956D3"/>
    <w:rsid w:val="003A11B5"/>
    <w:rsid w:val="003C1E54"/>
    <w:rsid w:val="003C5C22"/>
    <w:rsid w:val="003C6CA3"/>
    <w:rsid w:val="003F099E"/>
    <w:rsid w:val="003F235E"/>
    <w:rsid w:val="003F2CD5"/>
    <w:rsid w:val="003F44FA"/>
    <w:rsid w:val="003F4DC8"/>
    <w:rsid w:val="004023E0"/>
    <w:rsid w:val="00403DD8"/>
    <w:rsid w:val="0040454A"/>
    <w:rsid w:val="00406040"/>
    <w:rsid w:val="004079B1"/>
    <w:rsid w:val="00416664"/>
    <w:rsid w:val="00423789"/>
    <w:rsid w:val="00430DFB"/>
    <w:rsid w:val="00434F21"/>
    <w:rsid w:val="00445945"/>
    <w:rsid w:val="0045686C"/>
    <w:rsid w:val="00457308"/>
    <w:rsid w:val="0046050F"/>
    <w:rsid w:val="004650FA"/>
    <w:rsid w:val="00470798"/>
    <w:rsid w:val="00472471"/>
    <w:rsid w:val="00472D3A"/>
    <w:rsid w:val="004769FD"/>
    <w:rsid w:val="0047705D"/>
    <w:rsid w:val="00486654"/>
    <w:rsid w:val="004918C4"/>
    <w:rsid w:val="004959DD"/>
    <w:rsid w:val="004A0374"/>
    <w:rsid w:val="004A45B5"/>
    <w:rsid w:val="004B231D"/>
    <w:rsid w:val="004B5107"/>
    <w:rsid w:val="004C3A62"/>
    <w:rsid w:val="004C5AE0"/>
    <w:rsid w:val="004C61BC"/>
    <w:rsid w:val="004C6FD9"/>
    <w:rsid w:val="004D0129"/>
    <w:rsid w:val="004D631B"/>
    <w:rsid w:val="004F035C"/>
    <w:rsid w:val="00502165"/>
    <w:rsid w:val="00506414"/>
    <w:rsid w:val="005072AF"/>
    <w:rsid w:val="00507F2D"/>
    <w:rsid w:val="00514A5A"/>
    <w:rsid w:val="0052695D"/>
    <w:rsid w:val="00532461"/>
    <w:rsid w:val="0053296B"/>
    <w:rsid w:val="0053582B"/>
    <w:rsid w:val="0053652D"/>
    <w:rsid w:val="00537407"/>
    <w:rsid w:val="00585A42"/>
    <w:rsid w:val="005927D0"/>
    <w:rsid w:val="005936EA"/>
    <w:rsid w:val="00593B68"/>
    <w:rsid w:val="005A64D5"/>
    <w:rsid w:val="005C12BC"/>
    <w:rsid w:val="005C3CB7"/>
    <w:rsid w:val="005C40E6"/>
    <w:rsid w:val="005C7C6C"/>
    <w:rsid w:val="005D0E14"/>
    <w:rsid w:val="005D119F"/>
    <w:rsid w:val="005E2AF6"/>
    <w:rsid w:val="005E55C1"/>
    <w:rsid w:val="00601994"/>
    <w:rsid w:val="00602A58"/>
    <w:rsid w:val="00604906"/>
    <w:rsid w:val="00613892"/>
    <w:rsid w:val="006146BE"/>
    <w:rsid w:val="0062224A"/>
    <w:rsid w:val="006409AC"/>
    <w:rsid w:val="00652176"/>
    <w:rsid w:val="00663535"/>
    <w:rsid w:val="00672067"/>
    <w:rsid w:val="006721BF"/>
    <w:rsid w:val="00683BF3"/>
    <w:rsid w:val="006873B9"/>
    <w:rsid w:val="006A0B54"/>
    <w:rsid w:val="006A336C"/>
    <w:rsid w:val="006C165E"/>
    <w:rsid w:val="006C49F3"/>
    <w:rsid w:val="006C74C9"/>
    <w:rsid w:val="006D0D67"/>
    <w:rsid w:val="006D2246"/>
    <w:rsid w:val="006D5710"/>
    <w:rsid w:val="006E2D42"/>
    <w:rsid w:val="006F6E7B"/>
    <w:rsid w:val="007000F8"/>
    <w:rsid w:val="007019A2"/>
    <w:rsid w:val="00703676"/>
    <w:rsid w:val="00707304"/>
    <w:rsid w:val="00731676"/>
    <w:rsid w:val="00732269"/>
    <w:rsid w:val="0073572E"/>
    <w:rsid w:val="00751640"/>
    <w:rsid w:val="007575CA"/>
    <w:rsid w:val="00760B1E"/>
    <w:rsid w:val="00764F14"/>
    <w:rsid w:val="00774305"/>
    <w:rsid w:val="00775972"/>
    <w:rsid w:val="007768EC"/>
    <w:rsid w:val="0078588B"/>
    <w:rsid w:val="00785ABD"/>
    <w:rsid w:val="00794CAE"/>
    <w:rsid w:val="00794DBD"/>
    <w:rsid w:val="00797FCA"/>
    <w:rsid w:val="007A2DD4"/>
    <w:rsid w:val="007A69F3"/>
    <w:rsid w:val="007B019A"/>
    <w:rsid w:val="007C2E19"/>
    <w:rsid w:val="007D0557"/>
    <w:rsid w:val="007D38B5"/>
    <w:rsid w:val="007D6573"/>
    <w:rsid w:val="007E7EA0"/>
    <w:rsid w:val="007F4337"/>
    <w:rsid w:val="007F5C54"/>
    <w:rsid w:val="007F74B4"/>
    <w:rsid w:val="007F75DA"/>
    <w:rsid w:val="007F76AE"/>
    <w:rsid w:val="00801EF3"/>
    <w:rsid w:val="008036FD"/>
    <w:rsid w:val="00806F8E"/>
    <w:rsid w:val="00807255"/>
    <w:rsid w:val="0081023E"/>
    <w:rsid w:val="00814A34"/>
    <w:rsid w:val="00816A42"/>
    <w:rsid w:val="008173AA"/>
    <w:rsid w:val="008222E3"/>
    <w:rsid w:val="008223C8"/>
    <w:rsid w:val="00827FFA"/>
    <w:rsid w:val="00836F49"/>
    <w:rsid w:val="00837173"/>
    <w:rsid w:val="00840A14"/>
    <w:rsid w:val="00854238"/>
    <w:rsid w:val="00864DBD"/>
    <w:rsid w:val="00867B58"/>
    <w:rsid w:val="008734CD"/>
    <w:rsid w:val="00877969"/>
    <w:rsid w:val="00884635"/>
    <w:rsid w:val="008949BA"/>
    <w:rsid w:val="008955E5"/>
    <w:rsid w:val="00896240"/>
    <w:rsid w:val="008A0CF2"/>
    <w:rsid w:val="008A167C"/>
    <w:rsid w:val="008A429D"/>
    <w:rsid w:val="008A43EC"/>
    <w:rsid w:val="008A4BF2"/>
    <w:rsid w:val="008A755F"/>
    <w:rsid w:val="008B2CA3"/>
    <w:rsid w:val="008B62B4"/>
    <w:rsid w:val="008C2207"/>
    <w:rsid w:val="008C6BFD"/>
    <w:rsid w:val="008D2D7B"/>
    <w:rsid w:val="008D4C67"/>
    <w:rsid w:val="008D57A0"/>
    <w:rsid w:val="008E0737"/>
    <w:rsid w:val="008F132E"/>
    <w:rsid w:val="008F7C2C"/>
    <w:rsid w:val="00900712"/>
    <w:rsid w:val="00900E8D"/>
    <w:rsid w:val="00900F70"/>
    <w:rsid w:val="00922DFC"/>
    <w:rsid w:val="0093497F"/>
    <w:rsid w:val="0093742D"/>
    <w:rsid w:val="00940E96"/>
    <w:rsid w:val="00971428"/>
    <w:rsid w:val="00972F69"/>
    <w:rsid w:val="00973BF2"/>
    <w:rsid w:val="00984883"/>
    <w:rsid w:val="00986193"/>
    <w:rsid w:val="009977B5"/>
    <w:rsid w:val="009A40EB"/>
    <w:rsid w:val="009A79B8"/>
    <w:rsid w:val="009B0BAE"/>
    <w:rsid w:val="009B4752"/>
    <w:rsid w:val="009C1C89"/>
    <w:rsid w:val="009C6A7E"/>
    <w:rsid w:val="009C73D3"/>
    <w:rsid w:val="009C7AEB"/>
    <w:rsid w:val="009D05C0"/>
    <w:rsid w:val="009D1C26"/>
    <w:rsid w:val="009D4656"/>
    <w:rsid w:val="009D4D5F"/>
    <w:rsid w:val="009D7E8D"/>
    <w:rsid w:val="009D7EC7"/>
    <w:rsid w:val="009E4177"/>
    <w:rsid w:val="009F3448"/>
    <w:rsid w:val="009F5A54"/>
    <w:rsid w:val="00A1175B"/>
    <w:rsid w:val="00A11CC0"/>
    <w:rsid w:val="00A15317"/>
    <w:rsid w:val="00A24446"/>
    <w:rsid w:val="00A322AD"/>
    <w:rsid w:val="00A36869"/>
    <w:rsid w:val="00A41899"/>
    <w:rsid w:val="00A43167"/>
    <w:rsid w:val="00A55411"/>
    <w:rsid w:val="00A62171"/>
    <w:rsid w:val="00A63A51"/>
    <w:rsid w:val="00A70A45"/>
    <w:rsid w:val="00A71773"/>
    <w:rsid w:val="00A74B01"/>
    <w:rsid w:val="00A85079"/>
    <w:rsid w:val="00AA28A2"/>
    <w:rsid w:val="00AA56F0"/>
    <w:rsid w:val="00AB03B2"/>
    <w:rsid w:val="00AC3412"/>
    <w:rsid w:val="00AC5300"/>
    <w:rsid w:val="00AC7A50"/>
    <w:rsid w:val="00AE2C85"/>
    <w:rsid w:val="00AF5AEC"/>
    <w:rsid w:val="00B074A8"/>
    <w:rsid w:val="00B12A37"/>
    <w:rsid w:val="00B1592C"/>
    <w:rsid w:val="00B15EB8"/>
    <w:rsid w:val="00B27F4A"/>
    <w:rsid w:val="00B31937"/>
    <w:rsid w:val="00B337A0"/>
    <w:rsid w:val="00B57C7D"/>
    <w:rsid w:val="00B61966"/>
    <w:rsid w:val="00B63EF2"/>
    <w:rsid w:val="00B65629"/>
    <w:rsid w:val="00B7782B"/>
    <w:rsid w:val="00B85B77"/>
    <w:rsid w:val="00B85E0F"/>
    <w:rsid w:val="00B91CBC"/>
    <w:rsid w:val="00B927F3"/>
    <w:rsid w:val="00B9600D"/>
    <w:rsid w:val="00B96E17"/>
    <w:rsid w:val="00B974A5"/>
    <w:rsid w:val="00BA43EE"/>
    <w:rsid w:val="00BB2A66"/>
    <w:rsid w:val="00BC0D39"/>
    <w:rsid w:val="00BC4173"/>
    <w:rsid w:val="00BC7BC0"/>
    <w:rsid w:val="00BD0675"/>
    <w:rsid w:val="00BD2949"/>
    <w:rsid w:val="00BD57B7"/>
    <w:rsid w:val="00BE2024"/>
    <w:rsid w:val="00BE5C51"/>
    <w:rsid w:val="00BE63E2"/>
    <w:rsid w:val="00BE74BF"/>
    <w:rsid w:val="00BF022C"/>
    <w:rsid w:val="00BF0568"/>
    <w:rsid w:val="00C0429B"/>
    <w:rsid w:val="00C06639"/>
    <w:rsid w:val="00C13C32"/>
    <w:rsid w:val="00C22A4B"/>
    <w:rsid w:val="00C22D4A"/>
    <w:rsid w:val="00C6084D"/>
    <w:rsid w:val="00C61957"/>
    <w:rsid w:val="00C64E05"/>
    <w:rsid w:val="00C679B5"/>
    <w:rsid w:val="00C714C3"/>
    <w:rsid w:val="00C803E4"/>
    <w:rsid w:val="00C973D7"/>
    <w:rsid w:val="00C97C88"/>
    <w:rsid w:val="00CB21CC"/>
    <w:rsid w:val="00CB4A08"/>
    <w:rsid w:val="00CC1C01"/>
    <w:rsid w:val="00CC5408"/>
    <w:rsid w:val="00CD2009"/>
    <w:rsid w:val="00CD5E77"/>
    <w:rsid w:val="00CE6CA2"/>
    <w:rsid w:val="00CF629C"/>
    <w:rsid w:val="00D03B21"/>
    <w:rsid w:val="00D05C16"/>
    <w:rsid w:val="00D1004B"/>
    <w:rsid w:val="00D11DDE"/>
    <w:rsid w:val="00D129A3"/>
    <w:rsid w:val="00D222D4"/>
    <w:rsid w:val="00D23D07"/>
    <w:rsid w:val="00D279DD"/>
    <w:rsid w:val="00D36ADD"/>
    <w:rsid w:val="00D569F4"/>
    <w:rsid w:val="00D615F5"/>
    <w:rsid w:val="00D70B3B"/>
    <w:rsid w:val="00D75475"/>
    <w:rsid w:val="00D77399"/>
    <w:rsid w:val="00D77EBA"/>
    <w:rsid w:val="00D831F9"/>
    <w:rsid w:val="00D92EEA"/>
    <w:rsid w:val="00DA506F"/>
    <w:rsid w:val="00DA5D4E"/>
    <w:rsid w:val="00DB5C71"/>
    <w:rsid w:val="00DC2486"/>
    <w:rsid w:val="00DC53A0"/>
    <w:rsid w:val="00DC5F7A"/>
    <w:rsid w:val="00DD2F66"/>
    <w:rsid w:val="00DE2B96"/>
    <w:rsid w:val="00DF0AF7"/>
    <w:rsid w:val="00E0746E"/>
    <w:rsid w:val="00E119BB"/>
    <w:rsid w:val="00E12E53"/>
    <w:rsid w:val="00E12EE1"/>
    <w:rsid w:val="00E1597C"/>
    <w:rsid w:val="00E176BA"/>
    <w:rsid w:val="00E26C91"/>
    <w:rsid w:val="00E301AB"/>
    <w:rsid w:val="00E30AA6"/>
    <w:rsid w:val="00E35ED0"/>
    <w:rsid w:val="00E41011"/>
    <w:rsid w:val="00E41E1A"/>
    <w:rsid w:val="00E423EC"/>
    <w:rsid w:val="00E55121"/>
    <w:rsid w:val="00E60D60"/>
    <w:rsid w:val="00E60E00"/>
    <w:rsid w:val="00E61C8D"/>
    <w:rsid w:val="00E61E24"/>
    <w:rsid w:val="00E713E9"/>
    <w:rsid w:val="00E74E83"/>
    <w:rsid w:val="00E80E29"/>
    <w:rsid w:val="00E875F2"/>
    <w:rsid w:val="00E91C2A"/>
    <w:rsid w:val="00E9633B"/>
    <w:rsid w:val="00EA34CE"/>
    <w:rsid w:val="00EA5C62"/>
    <w:rsid w:val="00EB0F06"/>
    <w:rsid w:val="00EB4FCB"/>
    <w:rsid w:val="00EC0D28"/>
    <w:rsid w:val="00EC26C4"/>
    <w:rsid w:val="00EC3203"/>
    <w:rsid w:val="00EC6BC5"/>
    <w:rsid w:val="00ED1FD8"/>
    <w:rsid w:val="00ED4103"/>
    <w:rsid w:val="00ED4844"/>
    <w:rsid w:val="00F014AA"/>
    <w:rsid w:val="00F06101"/>
    <w:rsid w:val="00F152A6"/>
    <w:rsid w:val="00F15B7B"/>
    <w:rsid w:val="00F223F6"/>
    <w:rsid w:val="00F30758"/>
    <w:rsid w:val="00F320DC"/>
    <w:rsid w:val="00F33E18"/>
    <w:rsid w:val="00F35898"/>
    <w:rsid w:val="00F43B11"/>
    <w:rsid w:val="00F46FF2"/>
    <w:rsid w:val="00F5225B"/>
    <w:rsid w:val="00F53CFE"/>
    <w:rsid w:val="00F56CFA"/>
    <w:rsid w:val="00F605BC"/>
    <w:rsid w:val="00F703CC"/>
    <w:rsid w:val="00F70D1D"/>
    <w:rsid w:val="00F762E4"/>
    <w:rsid w:val="00F83F2B"/>
    <w:rsid w:val="00F90211"/>
    <w:rsid w:val="00F90C3E"/>
    <w:rsid w:val="00F97822"/>
    <w:rsid w:val="00FA2ABF"/>
    <w:rsid w:val="00FA3D3B"/>
    <w:rsid w:val="00FB3B43"/>
    <w:rsid w:val="00FE2410"/>
    <w:rsid w:val="00FE5701"/>
    <w:rsid w:val="00FE7B4F"/>
    <w:rsid w:val="00FF14F4"/>
    <w:rsid w:val="00FF44A2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8F3B868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2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44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7142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428"/>
    <w:rPr>
      <w:rFonts w:ascii="Calibri" w:hAnsi="Calibri"/>
      <w:b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5331C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23C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1428"/>
    <w:rPr>
      <w:rFonts w:ascii="Calibri" w:hAnsi="Calibri"/>
      <w:lang w:val="en-GB" w:eastAsia="en-US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971428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Normalnumbered">
    <w:name w:val="Normal (numbered)"/>
    <w:basedOn w:val="ListParagraph"/>
    <w:link w:val="NormalnumberedChar"/>
    <w:qFormat/>
    <w:rsid w:val="00F703CC"/>
    <w:p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/>
      <w:contextualSpacing w:val="0"/>
      <w:jc w:val="both"/>
    </w:pPr>
    <w:rPr>
      <w:rFonts w:asciiTheme="minorHAnsi" w:hAnsiTheme="minorHAns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03CC"/>
    <w:pPr>
      <w:ind w:left="720"/>
      <w:contextualSpacing/>
    </w:pPr>
  </w:style>
  <w:style w:type="character" w:customStyle="1" w:styleId="NormalnumberedChar">
    <w:name w:val="Normal (numbered) Char"/>
    <w:basedOn w:val="DefaultParagraphFont"/>
    <w:link w:val="Normalnumbered"/>
    <w:rsid w:val="00F703CC"/>
    <w:rPr>
      <w:rFonts w:asciiTheme="minorHAnsi" w:hAnsiTheme="minorHAnsi"/>
      <w:sz w:val="24"/>
      <w:szCs w:val="24"/>
      <w:lang w:val="en-GB" w:eastAsia="en-US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714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character" w:customStyle="1" w:styleId="AnnexNoChar">
    <w:name w:val="Annex_No Char"/>
    <w:basedOn w:val="DefaultParagraphFont"/>
    <w:link w:val="AnnexNo"/>
    <w:rsid w:val="00971428"/>
    <w:rPr>
      <w:rFonts w:ascii="Calibri" w:hAnsi="Calibri"/>
      <w:caps/>
      <w:sz w:val="26"/>
      <w:lang w:val="en-GB" w:eastAsia="en-US"/>
    </w:r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Headingi">
    <w:name w:val="Heading_i"/>
    <w:basedOn w:val="Heading3"/>
    <w:next w:val="Normal"/>
    <w:rsid w:val="0097142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7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28"/>
    <w:rPr>
      <w:rFonts w:ascii="Arial" w:eastAsiaTheme="minorHAnsi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2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28"/>
    <w:rPr>
      <w:rFonts w:ascii="Calibri" w:eastAsiaTheme="minorHAnsi" w:hAnsi="Calibri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714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428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97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uiPriority w:val="47"/>
    <w:rsid w:val="009714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7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71428"/>
    <w:rPr>
      <w:rFonts w:ascii="Calibri" w:hAnsi="Calibri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Char1">
    <w:name w:val="Body Tex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ind w:left="397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IndentChar1">
    <w:name w:val="Body Text Inden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</w:pPr>
    <w:rPr>
      <w:rFonts w:asciiTheme="minorHAnsi" w:hAnsiTheme="minorHAnsi"/>
      <w:b/>
      <w:bCs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971428"/>
    <w:rPr>
      <w:rFonts w:asciiTheme="minorHAnsi" w:hAnsiTheme="minorHAnsi"/>
      <w:b/>
      <w:bCs/>
      <w:kern w:val="28"/>
      <w:sz w:val="52"/>
      <w:szCs w:val="52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971428"/>
    <w:rPr>
      <w:rFonts w:asciiTheme="minorHAnsi" w:hAnsiTheme="minorHAnsi"/>
      <w:b/>
      <w:bCs/>
      <w:color w:val="008080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bCs/>
      <w:color w:val="008080"/>
      <w:szCs w:val="24"/>
      <w:lang w:eastAsia="en-GB"/>
    </w:rPr>
  </w:style>
  <w:style w:type="character" w:customStyle="1" w:styleId="SignatureChar1">
    <w:name w:val="Signature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1428"/>
    <w:rPr>
      <w:rFonts w:ascii="Arial" w:hAnsi="Arial" w:cs="Arial"/>
      <w:b/>
      <w:bCs/>
      <w:lang w:val="en-GB" w:eastAsia="en-GB"/>
    </w:rPr>
  </w:style>
  <w:style w:type="paragraph" w:styleId="BodyText2">
    <w:name w:val="Body Text 2"/>
    <w:basedOn w:val="Normal"/>
    <w:link w:val="BodyText2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bCs/>
      <w:sz w:val="20"/>
      <w:lang w:eastAsia="en-GB"/>
    </w:rPr>
  </w:style>
  <w:style w:type="character" w:customStyle="1" w:styleId="BodyText2Char1">
    <w:name w:val="Body Text 2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szCs w:val="24"/>
      <w:lang w:eastAsia="en-GB"/>
    </w:rPr>
  </w:style>
  <w:style w:type="character" w:customStyle="1" w:styleId="DateChar">
    <w:name w:val="Date Char"/>
    <w:basedOn w:val="DefaultParagraphFont"/>
    <w:link w:val="Date"/>
    <w:uiPriority w:val="99"/>
    <w:rsid w:val="00971428"/>
    <w:rPr>
      <w:rFonts w:asciiTheme="minorHAnsi" w:hAnsiTheme="minorHAnsi"/>
      <w:sz w:val="22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076ED"/>
    <w:rPr>
      <w:rFonts w:ascii="Calibri" w:hAnsi="Calibr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3076ED"/>
    <w:rPr>
      <w:rFonts w:ascii="Calibri" w:hAnsi="Calibr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D4844"/>
    <w:rPr>
      <w:rFonts w:ascii="Calibri" w:hAnsi="Calibri"/>
      <w:b/>
      <w:sz w:val="26"/>
      <w:lang w:val="ru-RU" w:eastAsia="en-US"/>
    </w:rPr>
  </w:style>
  <w:style w:type="paragraph" w:customStyle="1" w:styleId="TextA">
    <w:name w:val="Text A"/>
    <w:rsid w:val="00B974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Ohne">
    <w:name w:val="Ohne"/>
    <w:rsid w:val="00B974A5"/>
  </w:style>
  <w:style w:type="character" w:customStyle="1" w:styleId="Hyperlink1">
    <w:name w:val="Hyperlink.1"/>
    <w:basedOn w:val="Ohne"/>
    <w:rsid w:val="00141998"/>
    <w:rPr>
      <w:rFonts w:ascii="Calibri" w:eastAsia="Calibri" w:hAnsi="Calibri" w:cs="Calibri"/>
      <w:i/>
      <w:iCs/>
      <w:color w:val="0000FF"/>
      <w:u w:val="single" w:color="0000FF"/>
      <w:lang w:val="en-US"/>
    </w:rPr>
  </w:style>
  <w:style w:type="character" w:customStyle="1" w:styleId="Hyperlink0">
    <w:name w:val="Hyperlink.0"/>
    <w:basedOn w:val="Ohne"/>
    <w:rsid w:val="001F0BB0"/>
    <w:rPr>
      <w:color w:val="0000FF"/>
      <w:u w:val="single" w:color="0000FF"/>
    </w:rPr>
  </w:style>
  <w:style w:type="paragraph" w:customStyle="1" w:styleId="NumberedHeading">
    <w:name w:val="Numbered Heading"/>
    <w:link w:val="NumberedHeadingChar"/>
    <w:qFormat/>
    <w:rsid w:val="001F0BB0"/>
    <w:pPr>
      <w:keepNext/>
      <w:pBdr>
        <w:top w:val="nil"/>
        <w:left w:val="nil"/>
        <w:bottom w:val="nil"/>
        <w:right w:val="nil"/>
        <w:between w:val="nil"/>
        <w:bar w:val="nil"/>
      </w:pBdr>
      <w:spacing w:before="480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</w:rPr>
  </w:style>
  <w:style w:type="numbering" w:customStyle="1" w:styleId="ImportierterStil1">
    <w:name w:val="Importierter Stil: 1"/>
    <w:rsid w:val="001F0BB0"/>
    <w:pPr>
      <w:numPr>
        <w:numId w:val="1"/>
      </w:numPr>
    </w:pPr>
  </w:style>
  <w:style w:type="numbering" w:customStyle="1" w:styleId="Punkte">
    <w:name w:val="Punkte"/>
    <w:rsid w:val="001F0BB0"/>
    <w:pPr>
      <w:numPr>
        <w:numId w:val="2"/>
      </w:numPr>
    </w:pPr>
  </w:style>
  <w:style w:type="numbering" w:customStyle="1" w:styleId="ImportierterStil2">
    <w:name w:val="Importierter Stil: 2"/>
    <w:rsid w:val="005936EA"/>
    <w:pPr>
      <w:numPr>
        <w:numId w:val="3"/>
      </w:numPr>
    </w:pPr>
  </w:style>
  <w:style w:type="character" w:customStyle="1" w:styleId="NumberedHeadingChar">
    <w:name w:val="Numbered Heading Char"/>
    <w:basedOn w:val="NormalnumberedChar"/>
    <w:link w:val="NumberedHeading"/>
    <w:rsid w:val="005936EA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4-CL-C-0022/en" TargetMode="External"/><Relationship Id="rId18" Type="http://schemas.openxmlformats.org/officeDocument/2006/relationships/hyperlink" Target="https://www.itu.int/md/S19-CL-C-0022/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ima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yperlink" Target="https://www.itu.int/md/S18-CL-C-0022/en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22/en" TargetMode="External"/><Relationship Id="rId20" Type="http://schemas.openxmlformats.org/officeDocument/2006/relationships/hyperlink" Target="https://www.itu.int/md/S20-CL-C-0060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22/fr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9-CL-C-0132/en" TargetMode="External"/><Relationship Id="rId19" Type="http://schemas.openxmlformats.org/officeDocument/2006/relationships/hyperlink" Target="https://www.itu.int/en/council/Pages/ima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2-E.pdf" TargetMode="External"/><Relationship Id="rId14" Type="http://schemas.openxmlformats.org/officeDocument/2006/relationships/hyperlink" Target="http://www.itu.int/md/S15-CL-C-0022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C29-68A7-4407-89C3-FF0E80B9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23</TotalTime>
  <Pages>10</Pages>
  <Words>2980</Words>
  <Characters>20800</Characters>
  <Application>Microsoft Office Word</Application>
  <DocSecurity>0</DocSecurity>
  <Lines>173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23733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Antipina, Nadezda</cp:lastModifiedBy>
  <cp:revision>8</cp:revision>
  <cp:lastPrinted>2018-04-19T21:08:00Z</cp:lastPrinted>
  <dcterms:created xsi:type="dcterms:W3CDTF">2020-11-12T15:25:00Z</dcterms:created>
  <dcterms:modified xsi:type="dcterms:W3CDTF">2020-11-13T09:42:00Z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