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93329" w14:paraId="2A4E553B" w14:textId="77777777">
        <w:trPr>
          <w:cantSplit/>
        </w:trPr>
        <w:tc>
          <w:tcPr>
            <w:tcW w:w="6912" w:type="dxa"/>
          </w:tcPr>
          <w:p w14:paraId="0FD799B6" w14:textId="77777777" w:rsidR="00093EEB" w:rsidRPr="00293329" w:rsidRDefault="00093EEB" w:rsidP="00C2727F">
            <w:pPr>
              <w:spacing w:before="360"/>
              <w:rPr>
                <w:szCs w:val="24"/>
                <w:lang w:val="es-ES"/>
              </w:rPr>
            </w:pPr>
            <w:bookmarkStart w:id="0" w:name="dc06"/>
            <w:bookmarkStart w:id="1" w:name="dbluepink" w:colFirst="0" w:colLast="0"/>
            <w:bookmarkStart w:id="2" w:name="_GoBack"/>
            <w:bookmarkEnd w:id="0"/>
            <w:bookmarkEnd w:id="2"/>
            <w:r w:rsidRPr="00293329">
              <w:rPr>
                <w:b/>
                <w:bCs/>
                <w:sz w:val="30"/>
                <w:szCs w:val="30"/>
                <w:lang w:val="es-ES"/>
              </w:rPr>
              <w:t>Consejo 20</w:t>
            </w:r>
            <w:r w:rsidR="007955DA" w:rsidRPr="00293329">
              <w:rPr>
                <w:b/>
                <w:bCs/>
                <w:sz w:val="30"/>
                <w:szCs w:val="30"/>
                <w:lang w:val="es-ES"/>
              </w:rPr>
              <w:t>20</w:t>
            </w:r>
            <w:r w:rsidRPr="00293329">
              <w:rPr>
                <w:b/>
                <w:bCs/>
                <w:sz w:val="26"/>
                <w:szCs w:val="26"/>
                <w:lang w:val="es-ES"/>
              </w:rPr>
              <w:br/>
            </w:r>
            <w:r w:rsidRPr="00293329">
              <w:rPr>
                <w:b/>
                <w:bCs/>
                <w:szCs w:val="24"/>
                <w:lang w:val="es-ES"/>
              </w:rPr>
              <w:t xml:space="preserve">Ginebra, </w:t>
            </w:r>
            <w:r w:rsidR="007955DA" w:rsidRPr="00293329">
              <w:rPr>
                <w:b/>
                <w:bCs/>
                <w:szCs w:val="24"/>
                <w:lang w:val="es-ES"/>
              </w:rPr>
              <w:t>9</w:t>
            </w:r>
            <w:r w:rsidRPr="00293329">
              <w:rPr>
                <w:b/>
                <w:bCs/>
                <w:szCs w:val="24"/>
                <w:lang w:val="es-ES"/>
              </w:rPr>
              <w:t>-</w:t>
            </w:r>
            <w:r w:rsidR="007955DA" w:rsidRPr="00293329">
              <w:rPr>
                <w:b/>
                <w:bCs/>
                <w:szCs w:val="24"/>
                <w:lang w:val="es-ES"/>
              </w:rPr>
              <w:t>19</w:t>
            </w:r>
            <w:r w:rsidRPr="00293329">
              <w:rPr>
                <w:b/>
                <w:bCs/>
                <w:szCs w:val="24"/>
                <w:lang w:val="es-ES"/>
              </w:rPr>
              <w:t xml:space="preserve"> de </w:t>
            </w:r>
            <w:r w:rsidR="00C2727F" w:rsidRPr="00293329">
              <w:rPr>
                <w:b/>
                <w:bCs/>
                <w:szCs w:val="24"/>
                <w:lang w:val="es-ES"/>
              </w:rPr>
              <w:t>junio</w:t>
            </w:r>
            <w:r w:rsidRPr="00293329">
              <w:rPr>
                <w:b/>
                <w:bCs/>
                <w:szCs w:val="24"/>
                <w:lang w:val="es-ES"/>
              </w:rPr>
              <w:t xml:space="preserve"> de 20</w:t>
            </w:r>
            <w:r w:rsidR="007955DA" w:rsidRPr="00293329">
              <w:rPr>
                <w:b/>
                <w:bCs/>
                <w:szCs w:val="24"/>
                <w:lang w:val="es-ES"/>
              </w:rPr>
              <w:t>20</w:t>
            </w:r>
          </w:p>
        </w:tc>
        <w:tc>
          <w:tcPr>
            <w:tcW w:w="3261" w:type="dxa"/>
          </w:tcPr>
          <w:p w14:paraId="5D308AEC" w14:textId="77777777" w:rsidR="00093EEB" w:rsidRPr="00293329" w:rsidRDefault="007955DA" w:rsidP="007955DA">
            <w:pPr>
              <w:spacing w:before="0"/>
              <w:rPr>
                <w:szCs w:val="24"/>
                <w:lang w:val="es-ES"/>
              </w:rPr>
            </w:pPr>
            <w:bookmarkStart w:id="3" w:name="ditulogo"/>
            <w:bookmarkEnd w:id="3"/>
            <w:r w:rsidRPr="00293329">
              <w:rPr>
                <w:noProof/>
                <w:lang w:val="es-ES"/>
              </w:rPr>
              <w:drawing>
                <wp:inline distT="0" distB="0" distL="0" distR="0" wp14:anchorId="6CAAD374" wp14:editId="707F00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293329" w14:paraId="1D336AA3" w14:textId="77777777">
        <w:trPr>
          <w:cantSplit/>
          <w:trHeight w:val="20"/>
        </w:trPr>
        <w:tc>
          <w:tcPr>
            <w:tcW w:w="10173" w:type="dxa"/>
            <w:gridSpan w:val="2"/>
            <w:tcBorders>
              <w:bottom w:val="single" w:sz="12" w:space="0" w:color="auto"/>
            </w:tcBorders>
          </w:tcPr>
          <w:p w14:paraId="1A287594" w14:textId="77777777" w:rsidR="00093EEB" w:rsidRPr="00293329" w:rsidRDefault="00093EEB">
            <w:pPr>
              <w:spacing w:before="0"/>
              <w:rPr>
                <w:b/>
                <w:bCs/>
                <w:szCs w:val="24"/>
                <w:lang w:val="es-ES"/>
              </w:rPr>
            </w:pPr>
          </w:p>
        </w:tc>
      </w:tr>
      <w:tr w:rsidR="00093EEB" w:rsidRPr="00293329" w14:paraId="5F6BAD85" w14:textId="77777777">
        <w:trPr>
          <w:cantSplit/>
          <w:trHeight w:val="20"/>
        </w:trPr>
        <w:tc>
          <w:tcPr>
            <w:tcW w:w="6912" w:type="dxa"/>
            <w:tcBorders>
              <w:top w:val="single" w:sz="12" w:space="0" w:color="auto"/>
            </w:tcBorders>
          </w:tcPr>
          <w:p w14:paraId="588EA7B6" w14:textId="77777777" w:rsidR="00093EEB" w:rsidRPr="00293329"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73C4C94E" w14:textId="77777777" w:rsidR="00093EEB" w:rsidRPr="00293329" w:rsidRDefault="00093EEB">
            <w:pPr>
              <w:spacing w:before="0"/>
              <w:rPr>
                <w:b/>
                <w:bCs/>
                <w:szCs w:val="24"/>
                <w:lang w:val="es-ES"/>
              </w:rPr>
            </w:pPr>
          </w:p>
        </w:tc>
      </w:tr>
      <w:tr w:rsidR="004D1965" w:rsidRPr="00293329" w14:paraId="10F4119A" w14:textId="77777777">
        <w:trPr>
          <w:cantSplit/>
          <w:trHeight w:val="20"/>
        </w:trPr>
        <w:tc>
          <w:tcPr>
            <w:tcW w:w="6912" w:type="dxa"/>
            <w:shd w:val="clear" w:color="auto" w:fill="auto"/>
          </w:tcPr>
          <w:p w14:paraId="40ECAEA5" w14:textId="60E1A531" w:rsidR="004D1965" w:rsidRPr="00293329" w:rsidRDefault="004D1965" w:rsidP="004D1965">
            <w:pPr>
              <w:tabs>
                <w:tab w:val="clear" w:pos="2268"/>
                <w:tab w:val="left" w:pos="1560"/>
                <w:tab w:val="left" w:pos="2269"/>
                <w:tab w:val="left" w:pos="3544"/>
                <w:tab w:val="left" w:pos="3969"/>
              </w:tabs>
              <w:spacing w:before="0" w:line="240" w:lineRule="atLeast"/>
              <w:rPr>
                <w:rFonts w:cs="Times"/>
                <w:b/>
                <w:szCs w:val="24"/>
                <w:lang w:val="es-ES"/>
              </w:rPr>
            </w:pPr>
            <w:bookmarkStart w:id="4" w:name="dnum" w:colFirst="1" w:colLast="1"/>
            <w:bookmarkStart w:id="5" w:name="dmeeting" w:colFirst="0" w:colLast="0"/>
            <w:r w:rsidRPr="00293329">
              <w:rPr>
                <w:rFonts w:cs="Times"/>
                <w:b/>
                <w:szCs w:val="24"/>
                <w:lang w:val="es-ES"/>
              </w:rPr>
              <w:t xml:space="preserve">Punto del orden del día: PL </w:t>
            </w:r>
            <w:r w:rsidR="00093BA4" w:rsidRPr="00293329">
              <w:rPr>
                <w:rFonts w:cs="Times"/>
                <w:b/>
                <w:szCs w:val="24"/>
                <w:lang w:val="es-ES"/>
              </w:rPr>
              <w:t>1</w:t>
            </w:r>
            <w:r w:rsidRPr="00293329">
              <w:rPr>
                <w:rFonts w:cs="Times"/>
                <w:b/>
                <w:szCs w:val="24"/>
                <w:lang w:val="es-ES"/>
              </w:rPr>
              <w:t>.</w:t>
            </w:r>
            <w:r w:rsidR="00093BA4" w:rsidRPr="00293329">
              <w:rPr>
                <w:rFonts w:cs="Times"/>
                <w:b/>
                <w:szCs w:val="24"/>
                <w:lang w:val="es-ES"/>
              </w:rPr>
              <w:t>4</w:t>
            </w:r>
          </w:p>
        </w:tc>
        <w:tc>
          <w:tcPr>
            <w:tcW w:w="3261" w:type="dxa"/>
          </w:tcPr>
          <w:p w14:paraId="52F4B5EC" w14:textId="384199FA" w:rsidR="004D1965" w:rsidRPr="00293329" w:rsidRDefault="004D1965" w:rsidP="004D1965">
            <w:pPr>
              <w:spacing w:before="0"/>
              <w:rPr>
                <w:b/>
                <w:bCs/>
                <w:szCs w:val="24"/>
                <w:lang w:val="es-ES"/>
              </w:rPr>
            </w:pPr>
            <w:r w:rsidRPr="00293329">
              <w:rPr>
                <w:b/>
                <w:bCs/>
                <w:szCs w:val="24"/>
                <w:lang w:val="es-ES"/>
              </w:rPr>
              <w:t>Documento C20/1</w:t>
            </w:r>
            <w:r w:rsidR="00093BA4" w:rsidRPr="00293329">
              <w:rPr>
                <w:b/>
                <w:bCs/>
                <w:szCs w:val="24"/>
                <w:lang w:val="es-ES"/>
              </w:rPr>
              <w:t>8</w:t>
            </w:r>
            <w:r w:rsidRPr="00293329">
              <w:rPr>
                <w:b/>
                <w:bCs/>
                <w:szCs w:val="24"/>
                <w:lang w:val="es-ES"/>
              </w:rPr>
              <w:t>-S</w:t>
            </w:r>
          </w:p>
        </w:tc>
      </w:tr>
      <w:tr w:rsidR="004D1965" w:rsidRPr="00293329" w14:paraId="57DD9245" w14:textId="77777777">
        <w:trPr>
          <w:cantSplit/>
          <w:trHeight w:val="20"/>
        </w:trPr>
        <w:tc>
          <w:tcPr>
            <w:tcW w:w="6912" w:type="dxa"/>
            <w:shd w:val="clear" w:color="auto" w:fill="auto"/>
          </w:tcPr>
          <w:p w14:paraId="7E5405E0" w14:textId="77777777" w:rsidR="004D1965" w:rsidRPr="00293329" w:rsidRDefault="004D1965" w:rsidP="004D1965">
            <w:pPr>
              <w:shd w:val="solid" w:color="FFFFFF" w:fill="FFFFFF"/>
              <w:spacing w:before="0"/>
              <w:rPr>
                <w:smallCaps/>
                <w:szCs w:val="24"/>
                <w:lang w:val="es-ES"/>
              </w:rPr>
            </w:pPr>
            <w:bookmarkStart w:id="6" w:name="ddate" w:colFirst="1" w:colLast="1"/>
            <w:bookmarkEnd w:id="4"/>
            <w:bookmarkEnd w:id="5"/>
          </w:p>
        </w:tc>
        <w:tc>
          <w:tcPr>
            <w:tcW w:w="3261" w:type="dxa"/>
          </w:tcPr>
          <w:p w14:paraId="787266C5" w14:textId="589760B4" w:rsidR="004D1965" w:rsidRPr="00293329" w:rsidRDefault="004D1965" w:rsidP="004D1965">
            <w:pPr>
              <w:spacing w:before="0"/>
              <w:rPr>
                <w:b/>
                <w:bCs/>
                <w:szCs w:val="24"/>
                <w:lang w:val="es-ES"/>
              </w:rPr>
            </w:pPr>
            <w:r w:rsidRPr="00293329">
              <w:rPr>
                <w:b/>
                <w:bCs/>
                <w:szCs w:val="24"/>
                <w:lang w:val="es-ES"/>
              </w:rPr>
              <w:t>30 de marzo de 2020</w:t>
            </w:r>
          </w:p>
        </w:tc>
      </w:tr>
      <w:tr w:rsidR="004D1965" w:rsidRPr="00293329" w14:paraId="5CA22C48" w14:textId="77777777">
        <w:trPr>
          <w:cantSplit/>
          <w:trHeight w:val="20"/>
        </w:trPr>
        <w:tc>
          <w:tcPr>
            <w:tcW w:w="6912" w:type="dxa"/>
            <w:shd w:val="clear" w:color="auto" w:fill="auto"/>
          </w:tcPr>
          <w:p w14:paraId="6A4140E6" w14:textId="77777777" w:rsidR="004D1965" w:rsidRPr="00293329" w:rsidRDefault="004D1965" w:rsidP="004D1965">
            <w:pPr>
              <w:shd w:val="solid" w:color="FFFFFF" w:fill="FFFFFF"/>
              <w:spacing w:before="0"/>
              <w:rPr>
                <w:smallCaps/>
                <w:szCs w:val="24"/>
                <w:lang w:val="es-ES"/>
              </w:rPr>
            </w:pPr>
            <w:bookmarkStart w:id="7" w:name="dorlang" w:colFirst="1" w:colLast="1"/>
            <w:bookmarkEnd w:id="6"/>
          </w:p>
        </w:tc>
        <w:tc>
          <w:tcPr>
            <w:tcW w:w="3261" w:type="dxa"/>
          </w:tcPr>
          <w:p w14:paraId="64639D9B" w14:textId="52D8ED42" w:rsidR="004D1965" w:rsidRPr="00293329" w:rsidRDefault="004D1965" w:rsidP="004D1965">
            <w:pPr>
              <w:spacing w:before="0"/>
              <w:rPr>
                <w:b/>
                <w:bCs/>
                <w:szCs w:val="24"/>
                <w:lang w:val="es-ES"/>
              </w:rPr>
            </w:pPr>
            <w:r w:rsidRPr="00293329">
              <w:rPr>
                <w:b/>
                <w:bCs/>
                <w:szCs w:val="24"/>
                <w:lang w:val="es-ES"/>
              </w:rPr>
              <w:t>Original: inglés</w:t>
            </w:r>
          </w:p>
        </w:tc>
      </w:tr>
      <w:tr w:rsidR="00093BA4" w:rsidRPr="00293329" w14:paraId="418C0BA0" w14:textId="77777777">
        <w:trPr>
          <w:cantSplit/>
        </w:trPr>
        <w:tc>
          <w:tcPr>
            <w:tcW w:w="10173" w:type="dxa"/>
            <w:gridSpan w:val="2"/>
          </w:tcPr>
          <w:p w14:paraId="5489B25A" w14:textId="77C0C12B" w:rsidR="00093BA4" w:rsidRPr="00293329" w:rsidRDefault="00093BA4" w:rsidP="00093BA4">
            <w:pPr>
              <w:pStyle w:val="Source"/>
              <w:spacing w:before="600"/>
              <w:rPr>
                <w:lang w:val="es-ES"/>
              </w:rPr>
            </w:pPr>
            <w:bookmarkStart w:id="8" w:name="dsource" w:colFirst="0" w:colLast="0"/>
            <w:bookmarkEnd w:id="1"/>
            <w:bookmarkEnd w:id="7"/>
            <w:r w:rsidRPr="00293329">
              <w:rPr>
                <w:lang w:val="es-ES"/>
              </w:rPr>
              <w:t>Informe del Secretario General</w:t>
            </w:r>
          </w:p>
        </w:tc>
      </w:tr>
      <w:tr w:rsidR="00093BA4" w:rsidRPr="00293329" w14:paraId="7D125541" w14:textId="77777777">
        <w:trPr>
          <w:cantSplit/>
        </w:trPr>
        <w:tc>
          <w:tcPr>
            <w:tcW w:w="10173" w:type="dxa"/>
            <w:gridSpan w:val="2"/>
          </w:tcPr>
          <w:p w14:paraId="34A6C64D" w14:textId="4850281C" w:rsidR="00093BA4" w:rsidRPr="00293329" w:rsidRDefault="00093BA4" w:rsidP="00093BA4">
            <w:pPr>
              <w:pStyle w:val="Title1"/>
              <w:rPr>
                <w:lang w:val="es-ES"/>
              </w:rPr>
            </w:pPr>
            <w:bookmarkStart w:id="9" w:name="dtitle1" w:colFirst="0" w:colLast="0"/>
            <w:bookmarkEnd w:id="8"/>
            <w:r w:rsidRPr="00293329">
              <w:rPr>
                <w:lang w:val="es-ES"/>
              </w:rPr>
              <w:t>ACTIVIDADES DE LA UIT SOBRE EL FORTALECIMIENTO DE SU PAPEL</w:t>
            </w:r>
            <w:r w:rsidR="00A83611" w:rsidRPr="00293329">
              <w:rPr>
                <w:lang w:val="es-ES"/>
              </w:rPr>
              <w:br/>
            </w:r>
            <w:r w:rsidRPr="00293329">
              <w:rPr>
                <w:lang w:val="es-ES"/>
              </w:rPr>
              <w:t>EN</w:t>
            </w:r>
            <w:r w:rsidR="00A83611" w:rsidRPr="00293329">
              <w:rPr>
                <w:lang w:val="es-ES"/>
              </w:rPr>
              <w:t xml:space="preserve"> </w:t>
            </w:r>
            <w:r w:rsidRPr="00293329">
              <w:rPr>
                <w:lang w:val="es-ES"/>
              </w:rPr>
              <w:t>LA CREACIÓN DE CONFIANZA Y SEGURIDAD EN LA UTILIZACIÓN</w:t>
            </w:r>
            <w:r w:rsidR="00A83611" w:rsidRPr="00293329">
              <w:rPr>
                <w:lang w:val="es-ES"/>
              </w:rPr>
              <w:br/>
            </w:r>
            <w:r w:rsidRPr="00293329">
              <w:rPr>
                <w:lang w:val="es-ES"/>
              </w:rPr>
              <w:t>DE</w:t>
            </w:r>
            <w:r w:rsidR="00A83611" w:rsidRPr="00293329">
              <w:rPr>
                <w:lang w:val="es-ES"/>
              </w:rPr>
              <w:t xml:space="preserve"> </w:t>
            </w:r>
            <w:r w:rsidRPr="00293329">
              <w:rPr>
                <w:lang w:val="es-ES"/>
              </w:rPr>
              <w:t>LAS TECNOLOGÍAS DE LA INFORMACIÓN Y LA COMUNICACIÓN</w:t>
            </w:r>
          </w:p>
        </w:tc>
      </w:tr>
      <w:bookmarkEnd w:id="9"/>
    </w:tbl>
    <w:p w14:paraId="435DA449" w14:textId="028100C7" w:rsidR="00093EEB" w:rsidRPr="00293329"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BA4" w:rsidRPr="00293329" w14:paraId="7CE4E1D7" w14:textId="77777777" w:rsidTr="008A33B6">
        <w:trPr>
          <w:trHeight w:val="3372"/>
        </w:trPr>
        <w:tc>
          <w:tcPr>
            <w:tcW w:w="8080" w:type="dxa"/>
            <w:tcBorders>
              <w:top w:val="single" w:sz="12" w:space="0" w:color="auto"/>
              <w:left w:val="single" w:sz="12" w:space="0" w:color="auto"/>
              <w:bottom w:val="single" w:sz="12" w:space="0" w:color="auto"/>
              <w:right w:val="single" w:sz="12" w:space="0" w:color="auto"/>
            </w:tcBorders>
          </w:tcPr>
          <w:p w14:paraId="712902D5" w14:textId="77777777" w:rsidR="00093BA4" w:rsidRPr="00293329" w:rsidRDefault="00093BA4" w:rsidP="008A33B6">
            <w:pPr>
              <w:pStyle w:val="Headingb"/>
              <w:rPr>
                <w:lang w:val="es-ES"/>
              </w:rPr>
            </w:pPr>
            <w:r w:rsidRPr="00293329">
              <w:rPr>
                <w:lang w:val="es-ES"/>
              </w:rPr>
              <w:t>Resumen</w:t>
            </w:r>
          </w:p>
          <w:p w14:paraId="4D5EA394" w14:textId="77777777" w:rsidR="00093BA4" w:rsidRPr="00293329" w:rsidRDefault="00093BA4" w:rsidP="008A33B6">
            <w:pPr>
              <w:rPr>
                <w:lang w:val="es-ES"/>
              </w:rPr>
            </w:pPr>
            <w:r w:rsidRPr="00293329">
              <w:rPr>
                <w:lang w:val="es-ES"/>
              </w:rPr>
              <w:t>En el presente Informe se resumen las actividades de la UIT desde la reunión de 2019 del Consejo en relación con la Resolución 130 (Rev. Dubái, 2018), la función de la UIT como único organismo facilitador de la Línea de Acción C5 de la CMSI, y otras decisiones adoptadas por los miembros sobre el fortalecimiento del papel de la UIT en la creación de confianza y seguridad en la utilización de las tecnologías de la información y la comunicación (TIC).</w:t>
            </w:r>
          </w:p>
          <w:p w14:paraId="42B63251" w14:textId="77777777" w:rsidR="00093BA4" w:rsidRPr="00293329" w:rsidRDefault="00093BA4" w:rsidP="008A33B6">
            <w:pPr>
              <w:pStyle w:val="Headingb"/>
              <w:rPr>
                <w:lang w:val="es-ES"/>
              </w:rPr>
            </w:pPr>
            <w:r w:rsidRPr="00293329">
              <w:rPr>
                <w:lang w:val="es-ES"/>
              </w:rPr>
              <w:t>Acción solicitada</w:t>
            </w:r>
          </w:p>
          <w:p w14:paraId="62B52730" w14:textId="77777777" w:rsidR="00093BA4" w:rsidRPr="00293329" w:rsidRDefault="00093BA4" w:rsidP="008A33B6">
            <w:pPr>
              <w:rPr>
                <w:lang w:val="es-ES"/>
              </w:rPr>
            </w:pPr>
            <w:r w:rsidRPr="00293329">
              <w:rPr>
                <w:lang w:val="es-ES"/>
              </w:rPr>
              <w:t xml:space="preserve">Se invita al Consejo a </w:t>
            </w:r>
            <w:r w:rsidRPr="00293329">
              <w:rPr>
                <w:b/>
                <w:bCs/>
                <w:lang w:val="es-ES"/>
              </w:rPr>
              <w:t>tomar nota</w:t>
            </w:r>
            <w:r w:rsidRPr="00293329">
              <w:rPr>
                <w:lang w:val="es-ES"/>
              </w:rPr>
              <w:t xml:space="preserve"> del Informe.</w:t>
            </w:r>
          </w:p>
          <w:p w14:paraId="5AAD4D81" w14:textId="77777777" w:rsidR="00093BA4" w:rsidRPr="00293329" w:rsidRDefault="00093BA4" w:rsidP="008A33B6">
            <w:pPr>
              <w:pStyle w:val="Table"/>
              <w:keepNext w:val="0"/>
              <w:spacing w:before="0" w:after="0"/>
              <w:rPr>
                <w:caps w:val="0"/>
                <w:sz w:val="22"/>
                <w:lang w:val="es-ES"/>
              </w:rPr>
            </w:pPr>
            <w:r w:rsidRPr="00293329">
              <w:rPr>
                <w:caps w:val="0"/>
                <w:sz w:val="22"/>
                <w:lang w:val="es-ES"/>
              </w:rPr>
              <w:t>____________</w:t>
            </w:r>
          </w:p>
          <w:p w14:paraId="45832B60" w14:textId="61CEB6A0" w:rsidR="00093BA4" w:rsidRPr="00293329" w:rsidRDefault="00093BA4" w:rsidP="008A33B6">
            <w:pPr>
              <w:pStyle w:val="Headingb"/>
              <w:rPr>
                <w:lang w:val="es-ES"/>
              </w:rPr>
            </w:pPr>
            <w:r w:rsidRPr="00293329">
              <w:rPr>
                <w:lang w:val="es-ES"/>
              </w:rPr>
              <w:t>Referencia</w:t>
            </w:r>
            <w:r w:rsidR="00121C2F" w:rsidRPr="00293329">
              <w:rPr>
                <w:lang w:val="es-ES"/>
              </w:rPr>
              <w:t>s</w:t>
            </w:r>
          </w:p>
          <w:p w14:paraId="5423CFB9" w14:textId="65D085AD" w:rsidR="00093BA4" w:rsidRPr="00293329" w:rsidRDefault="00093BA4" w:rsidP="00121C2F">
            <w:pPr>
              <w:spacing w:after="120"/>
              <w:rPr>
                <w:i/>
                <w:iCs/>
                <w:lang w:val="es-ES"/>
              </w:rPr>
            </w:pPr>
            <w:bookmarkStart w:id="10" w:name="lt_pId020"/>
            <w:r w:rsidRPr="00293329">
              <w:rPr>
                <w:i/>
                <w:iCs/>
                <w:lang w:val="es-ES"/>
              </w:rPr>
              <w:t xml:space="preserve">Resoluciones </w:t>
            </w:r>
            <w:hyperlink r:id="rId9" w:history="1">
              <w:r w:rsidRPr="00293329">
                <w:rPr>
                  <w:rStyle w:val="Hyperlink"/>
                  <w:rFonts w:asciiTheme="minorHAnsi" w:hAnsiTheme="minorHAnsi"/>
                  <w:i/>
                  <w:iCs/>
                  <w:spacing w:val="-2"/>
                  <w:szCs w:val="24"/>
                  <w:lang w:val="es-ES"/>
                </w:rPr>
                <w:t>71</w:t>
              </w:r>
            </w:hyperlink>
            <w:r w:rsidRPr="00293329">
              <w:rPr>
                <w:rFonts w:asciiTheme="minorHAnsi" w:hAnsiTheme="minorHAnsi"/>
                <w:i/>
                <w:iCs/>
                <w:color w:val="000000"/>
                <w:spacing w:val="-2"/>
                <w:szCs w:val="24"/>
                <w:lang w:val="es-ES"/>
              </w:rPr>
              <w:t xml:space="preserve">, </w:t>
            </w:r>
            <w:hyperlink r:id="rId10" w:history="1">
              <w:r w:rsidRPr="00293329">
                <w:rPr>
                  <w:rStyle w:val="Hyperlink"/>
                  <w:rFonts w:asciiTheme="minorHAnsi" w:hAnsiTheme="minorHAnsi"/>
                  <w:i/>
                  <w:iCs/>
                  <w:spacing w:val="-2"/>
                  <w:szCs w:val="24"/>
                  <w:lang w:val="es-ES"/>
                </w:rPr>
                <w:t>130</w:t>
              </w:r>
            </w:hyperlink>
            <w:r w:rsidRPr="00293329">
              <w:rPr>
                <w:rFonts w:asciiTheme="minorHAnsi" w:hAnsiTheme="minorHAnsi"/>
                <w:i/>
                <w:iCs/>
                <w:color w:val="000000"/>
                <w:spacing w:val="-2"/>
                <w:szCs w:val="24"/>
                <w:lang w:val="es-ES"/>
              </w:rPr>
              <w:t xml:space="preserve">, </w:t>
            </w:r>
            <w:hyperlink r:id="rId11" w:history="1">
              <w:r w:rsidRPr="00293329">
                <w:rPr>
                  <w:rStyle w:val="Hyperlink"/>
                  <w:rFonts w:asciiTheme="minorHAnsi" w:hAnsiTheme="minorHAnsi"/>
                  <w:i/>
                  <w:iCs/>
                  <w:spacing w:val="-2"/>
                  <w:szCs w:val="24"/>
                  <w:lang w:val="es-ES"/>
                </w:rPr>
                <w:t>140</w:t>
              </w:r>
            </w:hyperlink>
            <w:r w:rsidRPr="00293329">
              <w:rPr>
                <w:rFonts w:asciiTheme="minorHAnsi" w:hAnsiTheme="minorHAnsi"/>
                <w:i/>
                <w:iCs/>
                <w:color w:val="000000"/>
                <w:spacing w:val="-2"/>
                <w:szCs w:val="24"/>
                <w:lang w:val="es-ES"/>
              </w:rPr>
              <w:t xml:space="preserve">, </w:t>
            </w:r>
            <w:hyperlink r:id="rId12" w:history="1">
              <w:r w:rsidRPr="00293329">
                <w:rPr>
                  <w:rStyle w:val="Hyperlink"/>
                  <w:rFonts w:asciiTheme="minorHAnsi" w:hAnsiTheme="minorHAnsi"/>
                  <w:i/>
                  <w:iCs/>
                  <w:szCs w:val="24"/>
                  <w:lang w:val="es-ES"/>
                </w:rPr>
                <w:t>174</w:t>
              </w:r>
            </w:hyperlink>
            <w:r w:rsidRPr="00293329">
              <w:rPr>
                <w:rFonts w:asciiTheme="minorHAnsi" w:hAnsiTheme="minorHAnsi"/>
                <w:i/>
                <w:szCs w:val="24"/>
                <w:lang w:val="es-ES"/>
              </w:rPr>
              <w:t>,</w:t>
            </w:r>
            <w:r w:rsidRPr="00293329">
              <w:rPr>
                <w:rFonts w:asciiTheme="minorHAnsi" w:hAnsiTheme="minorHAnsi"/>
                <w:i/>
                <w:color w:val="0000FF"/>
                <w:szCs w:val="24"/>
                <w:lang w:val="es-ES"/>
              </w:rPr>
              <w:t xml:space="preserve"> </w:t>
            </w:r>
            <w:hyperlink r:id="rId13" w:history="1">
              <w:r w:rsidRPr="00293329">
                <w:rPr>
                  <w:rStyle w:val="Hyperlink"/>
                  <w:rFonts w:asciiTheme="minorHAnsi" w:hAnsiTheme="minorHAnsi"/>
                  <w:i/>
                  <w:iCs/>
                  <w:szCs w:val="24"/>
                  <w:lang w:val="es-ES"/>
                </w:rPr>
                <w:t>179</w:t>
              </w:r>
            </w:hyperlink>
            <w:r w:rsidRPr="00293329">
              <w:rPr>
                <w:rFonts w:asciiTheme="minorHAnsi" w:hAnsiTheme="minorHAnsi"/>
                <w:i/>
                <w:iCs/>
                <w:color w:val="0000FF"/>
                <w:szCs w:val="24"/>
                <w:lang w:val="es-ES"/>
              </w:rPr>
              <w:t xml:space="preserve"> </w:t>
            </w:r>
            <w:r w:rsidRPr="00293329">
              <w:rPr>
                <w:i/>
                <w:iCs/>
                <w:lang w:val="es-ES"/>
              </w:rPr>
              <w:t xml:space="preserve">de la Conferencia de Plenipotenciarios </w:t>
            </w:r>
            <w:r w:rsidRPr="00293329">
              <w:rPr>
                <w:rFonts w:asciiTheme="minorHAnsi" w:hAnsiTheme="minorHAnsi"/>
                <w:i/>
                <w:iCs/>
                <w:color w:val="000000"/>
                <w:szCs w:val="24"/>
                <w:lang w:val="es-ES"/>
              </w:rPr>
              <w:t>(Rev. Dubái, 2018)</w:t>
            </w:r>
            <w:r w:rsidR="00121C2F" w:rsidRPr="00293329">
              <w:rPr>
                <w:rFonts w:asciiTheme="minorHAnsi" w:hAnsiTheme="minorHAnsi"/>
                <w:i/>
                <w:iCs/>
                <w:color w:val="000000"/>
                <w:szCs w:val="24"/>
                <w:lang w:val="es-ES"/>
              </w:rPr>
              <w:t xml:space="preserve"> y</w:t>
            </w:r>
            <w:r w:rsidRPr="00293329">
              <w:rPr>
                <w:rFonts w:asciiTheme="minorHAnsi" w:hAnsiTheme="minorHAnsi"/>
                <w:i/>
                <w:iCs/>
                <w:color w:val="000000"/>
                <w:szCs w:val="24"/>
                <w:lang w:val="es-ES"/>
              </w:rPr>
              <w:t xml:space="preserve"> </w:t>
            </w:r>
            <w:hyperlink r:id="rId14" w:history="1">
              <w:r w:rsidRPr="00293329">
                <w:rPr>
                  <w:rStyle w:val="Hyperlink"/>
                  <w:rFonts w:asciiTheme="minorHAnsi" w:hAnsiTheme="minorHAnsi"/>
                  <w:i/>
                  <w:iCs/>
                  <w:szCs w:val="24"/>
                  <w:lang w:val="es-ES"/>
                </w:rPr>
                <w:t>181</w:t>
              </w:r>
            </w:hyperlink>
            <w:r w:rsidRPr="00293329">
              <w:rPr>
                <w:rFonts w:asciiTheme="minorHAnsi" w:hAnsiTheme="minorHAnsi"/>
                <w:i/>
                <w:iCs/>
                <w:szCs w:val="24"/>
                <w:lang w:val="es-ES"/>
              </w:rPr>
              <w:t xml:space="preserve"> (Guadalajara, 2010)</w:t>
            </w:r>
            <w:r w:rsidRPr="00293329">
              <w:rPr>
                <w:rFonts w:asciiTheme="minorHAnsi" w:hAnsiTheme="minorHAnsi"/>
                <w:i/>
                <w:iCs/>
                <w:color w:val="000000"/>
                <w:szCs w:val="24"/>
                <w:lang w:val="es-ES"/>
              </w:rPr>
              <w:t xml:space="preserve">, </w:t>
            </w:r>
            <w:hyperlink r:id="rId15" w:history="1">
              <w:r w:rsidRPr="00293329">
                <w:rPr>
                  <w:rFonts w:asciiTheme="minorHAnsi" w:hAnsiTheme="minorHAnsi"/>
                  <w:i/>
                  <w:iCs/>
                  <w:color w:val="0000FF"/>
                  <w:szCs w:val="24"/>
                  <w:u w:val="single"/>
                  <w:lang w:val="es-ES"/>
                </w:rPr>
                <w:t>RTI</w:t>
              </w:r>
            </w:hyperlink>
            <w:r w:rsidRPr="00293329">
              <w:rPr>
                <w:rFonts w:asciiTheme="minorHAnsi" w:hAnsiTheme="minorHAnsi"/>
                <w:i/>
                <w:iCs/>
                <w:color w:val="000000"/>
                <w:szCs w:val="24"/>
                <w:lang w:val="es-ES"/>
              </w:rPr>
              <w:t xml:space="preserve"> (Rev. Dubái, 2012), </w:t>
            </w:r>
            <w:hyperlink r:id="rId16" w:history="1">
              <w:r w:rsidRPr="00293329">
                <w:rPr>
                  <w:rStyle w:val="Hyperlink"/>
                  <w:rFonts w:asciiTheme="minorHAnsi" w:hAnsiTheme="minorHAnsi"/>
                  <w:i/>
                  <w:iCs/>
                  <w:szCs w:val="24"/>
                  <w:lang w:val="es-ES"/>
                </w:rPr>
                <w:t>Resolución</w:t>
              </w:r>
              <w:r w:rsidR="004E6028" w:rsidRPr="00293329">
                <w:rPr>
                  <w:rStyle w:val="Hyperlink"/>
                  <w:rFonts w:asciiTheme="minorHAnsi" w:hAnsiTheme="minorHAnsi"/>
                  <w:i/>
                  <w:iCs/>
                  <w:szCs w:val="24"/>
                  <w:lang w:val="es-ES"/>
                </w:rPr>
                <w:t> </w:t>
              </w:r>
              <w:r w:rsidRPr="00293329">
                <w:rPr>
                  <w:rStyle w:val="Hyperlink"/>
                  <w:rFonts w:asciiTheme="minorHAnsi" w:hAnsiTheme="minorHAnsi"/>
                  <w:i/>
                  <w:iCs/>
                  <w:szCs w:val="24"/>
                  <w:lang w:val="es-ES"/>
                </w:rPr>
                <w:t>1306 del Consejo</w:t>
              </w:r>
            </w:hyperlink>
            <w:r w:rsidRPr="00293329">
              <w:rPr>
                <w:rFonts w:asciiTheme="minorHAnsi" w:hAnsiTheme="minorHAnsi"/>
                <w:i/>
                <w:iCs/>
                <w:color w:val="000000"/>
                <w:szCs w:val="24"/>
                <w:lang w:val="es-ES"/>
              </w:rPr>
              <w:t xml:space="preserve">, Resoluciones </w:t>
            </w:r>
            <w:hyperlink r:id="rId17" w:history="1">
              <w:r w:rsidRPr="00293329">
                <w:rPr>
                  <w:rFonts w:asciiTheme="minorHAnsi" w:hAnsiTheme="minorHAnsi"/>
                  <w:i/>
                  <w:iCs/>
                  <w:color w:val="0000FF"/>
                  <w:szCs w:val="24"/>
                  <w:u w:val="single"/>
                  <w:lang w:val="es-ES"/>
                </w:rPr>
                <w:t>45</w:t>
              </w:r>
            </w:hyperlink>
            <w:r w:rsidRPr="00293329">
              <w:rPr>
                <w:rFonts w:asciiTheme="minorHAnsi" w:hAnsiTheme="minorHAnsi"/>
                <w:i/>
                <w:iCs/>
                <w:color w:val="000000"/>
                <w:szCs w:val="24"/>
                <w:lang w:val="es-ES"/>
              </w:rPr>
              <w:t xml:space="preserve"> (Rev. Dubái, 2014</w:t>
            </w:r>
            <w:r w:rsidRPr="00293329">
              <w:rPr>
                <w:rFonts w:asciiTheme="minorHAnsi" w:hAnsiTheme="minorHAnsi"/>
                <w:i/>
                <w:iCs/>
                <w:color w:val="000000"/>
                <w:szCs w:val="24"/>
                <w:u w:val="single"/>
                <w:lang w:val="es-ES"/>
              </w:rPr>
              <w:t>)</w:t>
            </w:r>
            <w:r w:rsidRPr="00293329">
              <w:rPr>
                <w:rFonts w:asciiTheme="minorHAnsi" w:hAnsiTheme="minorHAnsi"/>
                <w:i/>
                <w:iCs/>
                <w:color w:val="000000"/>
                <w:szCs w:val="24"/>
                <w:lang w:val="es-ES"/>
              </w:rPr>
              <w:t xml:space="preserve">, </w:t>
            </w:r>
            <w:hyperlink r:id="rId18" w:history="1">
              <w:r w:rsidRPr="00293329">
                <w:rPr>
                  <w:rStyle w:val="Hyperlink"/>
                  <w:rFonts w:asciiTheme="minorHAnsi" w:hAnsiTheme="minorHAnsi"/>
                  <w:i/>
                  <w:iCs/>
                  <w:szCs w:val="24"/>
                  <w:lang w:val="es-ES"/>
                </w:rPr>
                <w:t>2</w:t>
              </w:r>
              <w:r w:rsidRPr="00293329">
                <w:rPr>
                  <w:rStyle w:val="Hyperlink"/>
                  <w:rFonts w:asciiTheme="minorHAnsi" w:hAnsiTheme="minorHAnsi"/>
                  <w:i/>
                  <w:iCs/>
                  <w:color w:val="auto"/>
                  <w:szCs w:val="24"/>
                  <w:u w:val="none"/>
                  <w:lang w:val="es-ES"/>
                </w:rPr>
                <w:t>,</w:t>
              </w:r>
              <w:r w:rsidRPr="00293329">
                <w:rPr>
                  <w:rStyle w:val="Hyperlink"/>
                  <w:rFonts w:asciiTheme="minorHAnsi" w:hAnsiTheme="minorHAnsi"/>
                  <w:i/>
                  <w:iCs/>
                  <w:szCs w:val="24"/>
                  <w:u w:val="none"/>
                  <w:lang w:val="es-ES"/>
                </w:rPr>
                <w:t xml:space="preserve"> </w:t>
              </w:r>
              <w:r w:rsidRPr="00293329">
                <w:rPr>
                  <w:rStyle w:val="Hyperlink"/>
                  <w:rFonts w:asciiTheme="minorHAnsi" w:hAnsiTheme="minorHAnsi"/>
                  <w:i/>
                  <w:iCs/>
                  <w:szCs w:val="24"/>
                  <w:lang w:val="es-ES"/>
                </w:rPr>
                <w:t>67</w:t>
              </w:r>
              <w:r w:rsidR="00121C2F" w:rsidRPr="00293329">
                <w:rPr>
                  <w:rStyle w:val="Hyperlink"/>
                  <w:rFonts w:asciiTheme="minorHAnsi" w:hAnsiTheme="minorHAnsi"/>
                  <w:i/>
                  <w:iCs/>
                  <w:szCs w:val="24"/>
                  <w:u w:val="none"/>
                  <w:lang w:val="es-ES"/>
                </w:rPr>
                <w:t xml:space="preserve"> </w:t>
              </w:r>
              <w:r w:rsidR="00121C2F" w:rsidRPr="00293329">
                <w:rPr>
                  <w:rStyle w:val="Hyperlink"/>
                  <w:rFonts w:asciiTheme="minorHAnsi" w:hAnsiTheme="minorHAnsi"/>
                  <w:i/>
                  <w:iCs/>
                  <w:color w:val="auto"/>
                  <w:szCs w:val="24"/>
                  <w:u w:val="none"/>
                  <w:lang w:val="es-ES"/>
                </w:rPr>
                <w:t>y</w:t>
              </w:r>
              <w:r w:rsidRPr="00293329">
                <w:rPr>
                  <w:rStyle w:val="Hyperlink"/>
                  <w:rFonts w:asciiTheme="minorHAnsi" w:hAnsiTheme="minorHAnsi"/>
                  <w:i/>
                  <w:iCs/>
                  <w:szCs w:val="24"/>
                  <w:u w:val="none"/>
                  <w:lang w:val="es-ES"/>
                </w:rPr>
                <w:t xml:space="preserve"> </w:t>
              </w:r>
              <w:r w:rsidRPr="00293329">
                <w:rPr>
                  <w:rStyle w:val="Hyperlink"/>
                  <w:rFonts w:asciiTheme="minorHAnsi" w:hAnsiTheme="minorHAnsi"/>
                  <w:i/>
                  <w:iCs/>
                  <w:szCs w:val="24"/>
                  <w:lang w:val="es-ES"/>
                </w:rPr>
                <w:t>69</w:t>
              </w:r>
              <w:r w:rsidRPr="00293329">
                <w:rPr>
                  <w:rStyle w:val="Hyperlink"/>
                  <w:rFonts w:asciiTheme="minorHAnsi" w:hAnsiTheme="minorHAnsi"/>
                  <w:i/>
                  <w:iCs/>
                  <w:szCs w:val="24"/>
                  <w:u w:val="none"/>
                  <w:lang w:val="es-ES"/>
                </w:rPr>
                <w:t xml:space="preserve"> </w:t>
              </w:r>
            </w:hyperlink>
            <w:r w:rsidRPr="00293329">
              <w:rPr>
                <w:rFonts w:asciiTheme="minorHAnsi" w:hAnsiTheme="minorHAnsi"/>
                <w:i/>
                <w:iCs/>
                <w:color w:val="000000"/>
                <w:szCs w:val="24"/>
                <w:lang w:val="es-ES"/>
              </w:rPr>
              <w:t>(Rev.</w:t>
            </w:r>
            <w:r w:rsidR="004E6028" w:rsidRPr="00293329">
              <w:rPr>
                <w:rFonts w:asciiTheme="minorHAnsi" w:hAnsiTheme="minorHAnsi"/>
                <w:i/>
                <w:iCs/>
                <w:color w:val="000000"/>
                <w:szCs w:val="24"/>
                <w:lang w:val="es-ES"/>
              </w:rPr>
              <w:t> </w:t>
            </w:r>
            <w:r w:rsidRPr="00293329">
              <w:rPr>
                <w:rFonts w:asciiTheme="minorHAnsi" w:hAnsiTheme="minorHAnsi"/>
                <w:i/>
                <w:iCs/>
                <w:color w:val="000000"/>
                <w:szCs w:val="24"/>
                <w:lang w:val="es-ES"/>
              </w:rPr>
              <w:t>Buenos Aires, 2017) de la CDMT, Objetivo 2/Resultado 2.2 del UIT-D (</w:t>
            </w:r>
            <w:hyperlink r:id="rId19" w:history="1">
              <w:r w:rsidRPr="00293329">
                <w:rPr>
                  <w:rStyle w:val="Hyperlink"/>
                  <w:i/>
                  <w:lang w:val="es-ES"/>
                </w:rPr>
                <w:t>Plan</w:t>
              </w:r>
              <w:r w:rsidR="004E6028" w:rsidRPr="00293329">
                <w:rPr>
                  <w:rStyle w:val="Hyperlink"/>
                  <w:i/>
                  <w:lang w:val="es-ES"/>
                </w:rPr>
                <w:t> </w:t>
              </w:r>
              <w:r w:rsidRPr="00293329">
                <w:rPr>
                  <w:rStyle w:val="Hyperlink"/>
                  <w:i/>
                  <w:lang w:val="es-ES"/>
                </w:rPr>
                <w:t>de acción de Buenos Aires</w:t>
              </w:r>
            </w:hyperlink>
            <w:r w:rsidRPr="00293329">
              <w:rPr>
                <w:rFonts w:asciiTheme="minorHAnsi" w:hAnsiTheme="minorHAnsi"/>
                <w:i/>
                <w:iCs/>
                <w:color w:val="000000"/>
                <w:szCs w:val="24"/>
                <w:lang w:val="es-ES"/>
              </w:rPr>
              <w:t>)</w:t>
            </w:r>
            <w:hyperlink r:id="rId20" w:history="1"/>
            <w:r w:rsidRPr="00293329">
              <w:rPr>
                <w:rFonts w:asciiTheme="minorHAnsi" w:hAnsiTheme="minorHAnsi"/>
                <w:i/>
                <w:iCs/>
                <w:color w:val="000000"/>
                <w:szCs w:val="24"/>
                <w:lang w:val="es-ES"/>
              </w:rPr>
              <w:t xml:space="preserve">, </w:t>
            </w:r>
            <w:r w:rsidRPr="00293329">
              <w:rPr>
                <w:rFonts w:asciiTheme="minorHAnsi" w:hAnsiTheme="minorHAnsi"/>
                <w:i/>
                <w:iCs/>
                <w:color w:val="000000"/>
                <w:spacing w:val="2"/>
                <w:szCs w:val="24"/>
                <w:lang w:val="es-ES"/>
              </w:rPr>
              <w:t xml:space="preserve">Resoluciones </w:t>
            </w:r>
            <w:hyperlink r:id="rId21" w:history="1">
              <w:r w:rsidRPr="00293329">
                <w:rPr>
                  <w:rStyle w:val="Hyperlink"/>
                  <w:rFonts w:asciiTheme="minorHAnsi" w:hAnsiTheme="minorHAnsi"/>
                  <w:i/>
                  <w:iCs/>
                  <w:spacing w:val="2"/>
                  <w:szCs w:val="24"/>
                  <w:lang w:val="es-ES"/>
                </w:rPr>
                <w:t>50</w:t>
              </w:r>
            </w:hyperlink>
            <w:r w:rsidRPr="00293329">
              <w:rPr>
                <w:rFonts w:asciiTheme="minorHAnsi" w:hAnsiTheme="minorHAnsi"/>
                <w:i/>
                <w:iCs/>
                <w:color w:val="000000"/>
                <w:spacing w:val="2"/>
                <w:szCs w:val="24"/>
                <w:lang w:val="es-ES"/>
              </w:rPr>
              <w:t xml:space="preserve">, </w:t>
            </w:r>
            <w:hyperlink r:id="rId22" w:history="1">
              <w:r w:rsidRPr="00293329">
                <w:rPr>
                  <w:rStyle w:val="Hyperlink"/>
                  <w:rFonts w:asciiTheme="minorHAnsi" w:hAnsiTheme="minorHAnsi"/>
                  <w:i/>
                  <w:iCs/>
                  <w:spacing w:val="2"/>
                  <w:szCs w:val="24"/>
                  <w:lang w:val="es-ES"/>
                </w:rPr>
                <w:t>52</w:t>
              </w:r>
            </w:hyperlink>
            <w:r w:rsidRPr="00293329">
              <w:rPr>
                <w:rFonts w:asciiTheme="minorHAnsi" w:hAnsiTheme="minorHAnsi"/>
                <w:i/>
                <w:iCs/>
                <w:color w:val="000000"/>
                <w:spacing w:val="2"/>
                <w:szCs w:val="24"/>
                <w:lang w:val="es-ES"/>
              </w:rPr>
              <w:t xml:space="preserve">, </w:t>
            </w:r>
            <w:hyperlink r:id="rId23" w:history="1">
              <w:r w:rsidRPr="00293329">
                <w:rPr>
                  <w:rStyle w:val="Hyperlink"/>
                  <w:rFonts w:asciiTheme="minorHAnsi" w:hAnsiTheme="minorHAnsi"/>
                  <w:i/>
                  <w:iCs/>
                  <w:spacing w:val="2"/>
                  <w:szCs w:val="24"/>
                  <w:lang w:val="es-ES"/>
                </w:rPr>
                <w:t>75</w:t>
              </w:r>
            </w:hyperlink>
            <w:r w:rsidRPr="00293329">
              <w:rPr>
                <w:rFonts w:asciiTheme="minorHAnsi" w:hAnsiTheme="minorHAnsi"/>
                <w:i/>
                <w:iCs/>
                <w:color w:val="000000"/>
                <w:spacing w:val="2"/>
                <w:szCs w:val="24"/>
                <w:lang w:val="es-ES"/>
              </w:rPr>
              <w:t xml:space="preserve"> (Rev.</w:t>
            </w:r>
            <w:r w:rsidR="00121C2F" w:rsidRPr="00293329">
              <w:rPr>
                <w:rFonts w:asciiTheme="minorHAnsi" w:hAnsiTheme="minorHAnsi"/>
                <w:i/>
                <w:iCs/>
                <w:color w:val="000000"/>
                <w:spacing w:val="2"/>
                <w:szCs w:val="24"/>
                <w:lang w:val="es-ES"/>
              </w:rPr>
              <w:t> </w:t>
            </w:r>
            <w:r w:rsidRPr="00293329">
              <w:rPr>
                <w:rFonts w:asciiTheme="minorHAnsi" w:hAnsiTheme="minorHAnsi"/>
                <w:i/>
                <w:iCs/>
                <w:color w:val="000000"/>
                <w:spacing w:val="2"/>
                <w:szCs w:val="24"/>
                <w:lang w:val="es-ES"/>
              </w:rPr>
              <w:t>Hammamet,</w:t>
            </w:r>
            <w:r w:rsidR="00121C2F" w:rsidRPr="00293329">
              <w:rPr>
                <w:rFonts w:asciiTheme="minorHAnsi" w:hAnsiTheme="minorHAnsi"/>
                <w:i/>
                <w:iCs/>
                <w:color w:val="000000"/>
                <w:spacing w:val="2"/>
                <w:szCs w:val="24"/>
                <w:lang w:val="es-ES"/>
              </w:rPr>
              <w:t> </w:t>
            </w:r>
            <w:r w:rsidRPr="00293329">
              <w:rPr>
                <w:rFonts w:asciiTheme="minorHAnsi" w:hAnsiTheme="minorHAnsi"/>
                <w:i/>
                <w:iCs/>
                <w:color w:val="000000"/>
                <w:spacing w:val="2"/>
                <w:szCs w:val="24"/>
                <w:lang w:val="es-ES"/>
              </w:rPr>
              <w:t>2016)</w:t>
            </w:r>
            <w:r w:rsidR="00121C2F" w:rsidRPr="00293329">
              <w:rPr>
                <w:rFonts w:asciiTheme="minorHAnsi" w:hAnsiTheme="minorHAnsi"/>
                <w:i/>
                <w:iCs/>
                <w:color w:val="000000"/>
                <w:spacing w:val="2"/>
                <w:szCs w:val="24"/>
                <w:lang w:val="es-ES"/>
              </w:rPr>
              <w:t xml:space="preserve"> y</w:t>
            </w:r>
            <w:r w:rsidRPr="00293329">
              <w:rPr>
                <w:rFonts w:asciiTheme="minorHAnsi" w:hAnsiTheme="minorHAnsi"/>
                <w:i/>
                <w:iCs/>
                <w:color w:val="000000"/>
                <w:spacing w:val="2"/>
                <w:szCs w:val="24"/>
                <w:lang w:val="es-ES"/>
              </w:rPr>
              <w:t xml:space="preserve"> </w:t>
            </w:r>
            <w:hyperlink r:id="rId24" w:history="1">
              <w:r w:rsidRPr="00293329">
                <w:rPr>
                  <w:rStyle w:val="Hyperlink"/>
                  <w:rFonts w:asciiTheme="minorHAnsi" w:hAnsiTheme="minorHAnsi"/>
                  <w:i/>
                  <w:iCs/>
                  <w:spacing w:val="2"/>
                  <w:szCs w:val="24"/>
                  <w:lang w:val="es-ES"/>
                </w:rPr>
                <w:t>58</w:t>
              </w:r>
            </w:hyperlink>
            <w:r w:rsidRPr="00293329">
              <w:rPr>
                <w:rFonts w:asciiTheme="minorHAnsi" w:hAnsiTheme="minorHAnsi"/>
                <w:i/>
                <w:iCs/>
                <w:color w:val="000000"/>
                <w:spacing w:val="2"/>
                <w:szCs w:val="24"/>
                <w:lang w:val="es-ES"/>
              </w:rPr>
              <w:t xml:space="preserve"> (Rev. Dubái, 2012) de la AMNT, </w:t>
            </w:r>
            <w:r w:rsidRPr="00293329">
              <w:rPr>
                <w:rFonts w:asciiTheme="minorHAnsi" w:hAnsiTheme="minorHAnsi"/>
                <w:i/>
                <w:iCs/>
                <w:color w:val="000000"/>
                <w:szCs w:val="24"/>
                <w:lang w:val="es-ES"/>
              </w:rPr>
              <w:t>Documentos</w:t>
            </w:r>
            <w:r w:rsidR="00121C2F" w:rsidRPr="00293329">
              <w:rPr>
                <w:rFonts w:asciiTheme="minorHAnsi" w:hAnsiTheme="minorHAnsi"/>
                <w:i/>
                <w:iCs/>
                <w:color w:val="000000"/>
                <w:szCs w:val="24"/>
                <w:lang w:val="es-ES"/>
              </w:rPr>
              <w:t> </w:t>
            </w:r>
            <w:r w:rsidRPr="00293329">
              <w:rPr>
                <w:rFonts w:asciiTheme="minorHAnsi" w:hAnsiTheme="minorHAnsi"/>
                <w:i/>
                <w:iCs/>
                <w:color w:val="000000"/>
                <w:szCs w:val="24"/>
                <w:lang w:val="es-ES"/>
              </w:rPr>
              <w:t xml:space="preserve">recientes del Consejo </w:t>
            </w:r>
            <w:hyperlink r:id="rId25" w:history="1">
              <w:r w:rsidRPr="00293329">
                <w:rPr>
                  <w:rStyle w:val="Hyperlink"/>
                  <w:rFonts w:asciiTheme="minorHAnsi" w:hAnsiTheme="minorHAnsi"/>
                  <w:i/>
                  <w:iCs/>
                  <w:szCs w:val="24"/>
                  <w:lang w:val="es-ES"/>
                </w:rPr>
                <w:t>C15/18</w:t>
              </w:r>
            </w:hyperlink>
            <w:r w:rsidRPr="00293329">
              <w:rPr>
                <w:rStyle w:val="Hyperlink"/>
                <w:rFonts w:asciiTheme="minorHAnsi" w:hAnsiTheme="minorHAnsi"/>
                <w:i/>
                <w:iCs/>
                <w:szCs w:val="24"/>
                <w:lang w:val="es-ES"/>
              </w:rPr>
              <w:t xml:space="preserve">, </w:t>
            </w:r>
            <w:hyperlink r:id="rId26" w:history="1">
              <w:r w:rsidRPr="00293329">
                <w:rPr>
                  <w:rStyle w:val="Hyperlink"/>
                  <w:rFonts w:asciiTheme="minorHAnsi" w:hAnsiTheme="minorHAnsi"/>
                  <w:i/>
                  <w:iCs/>
                  <w:szCs w:val="24"/>
                  <w:lang w:val="es-ES"/>
                </w:rPr>
                <w:t>C16/18</w:t>
              </w:r>
            </w:hyperlink>
            <w:r w:rsidRPr="00293329">
              <w:rPr>
                <w:i/>
                <w:iCs/>
                <w:lang w:val="es-ES"/>
              </w:rPr>
              <w:t xml:space="preserve">, </w:t>
            </w:r>
            <w:hyperlink r:id="rId27" w:history="1">
              <w:r w:rsidRPr="00293329">
                <w:rPr>
                  <w:rStyle w:val="Hyperlink"/>
                  <w:rFonts w:asciiTheme="minorHAnsi" w:hAnsiTheme="minorHAnsi"/>
                  <w:i/>
                  <w:iCs/>
                  <w:szCs w:val="24"/>
                  <w:lang w:val="es-ES"/>
                </w:rPr>
                <w:t>C17/18</w:t>
              </w:r>
            </w:hyperlink>
            <w:bookmarkEnd w:id="10"/>
            <w:r w:rsidRPr="00293329">
              <w:rPr>
                <w:i/>
                <w:lang w:val="es-ES"/>
              </w:rPr>
              <w:t xml:space="preserve">, </w:t>
            </w:r>
            <w:hyperlink r:id="rId28" w:history="1">
              <w:r w:rsidRPr="00293329">
                <w:rPr>
                  <w:rStyle w:val="Hyperlink"/>
                  <w:rFonts w:cstheme="minorHAnsi"/>
                  <w:i/>
                  <w:iCs/>
                  <w:lang w:val="es-ES"/>
                </w:rPr>
                <w:t>C18/18</w:t>
              </w:r>
            </w:hyperlink>
            <w:r w:rsidRPr="00293329">
              <w:rPr>
                <w:i/>
                <w:lang w:val="es-ES"/>
              </w:rPr>
              <w:t xml:space="preserve"> y </w:t>
            </w:r>
            <w:hyperlink r:id="rId29" w:history="1">
              <w:r w:rsidRPr="00293329">
                <w:rPr>
                  <w:rStyle w:val="Hyperlink"/>
                  <w:i/>
                  <w:iCs/>
                  <w:lang w:val="es-ES"/>
                </w:rPr>
                <w:t>C19/18</w:t>
              </w:r>
            </w:hyperlink>
          </w:p>
        </w:tc>
      </w:tr>
    </w:tbl>
    <w:p w14:paraId="2A077463" w14:textId="0485CE80" w:rsidR="00093BA4" w:rsidRPr="00293329" w:rsidRDefault="00093BA4">
      <w:pPr>
        <w:rPr>
          <w:lang w:val="es-ES"/>
        </w:rPr>
      </w:pPr>
    </w:p>
    <w:p w14:paraId="48826B5D" w14:textId="77777777" w:rsidR="00093BA4" w:rsidRPr="00293329" w:rsidRDefault="00093BA4" w:rsidP="00093BA4">
      <w:pPr>
        <w:pStyle w:val="Heading1"/>
        <w:rPr>
          <w:lang w:val="es-ES"/>
        </w:rPr>
      </w:pPr>
      <w:r w:rsidRPr="00293329">
        <w:rPr>
          <w:lang w:val="es-ES"/>
        </w:rPr>
        <w:br w:type="page"/>
      </w:r>
      <w:r w:rsidRPr="00293329">
        <w:rPr>
          <w:lang w:val="es-ES"/>
        </w:rPr>
        <w:lastRenderedPageBreak/>
        <w:t>1</w:t>
      </w:r>
      <w:r w:rsidRPr="00293329">
        <w:rPr>
          <w:lang w:val="es-ES"/>
        </w:rPr>
        <w:tab/>
      </w:r>
      <w:proofErr w:type="gramStart"/>
      <w:r w:rsidRPr="00293329">
        <w:rPr>
          <w:lang w:val="es-ES"/>
        </w:rPr>
        <w:t>Actividades</w:t>
      </w:r>
      <w:proofErr w:type="gramEnd"/>
      <w:r w:rsidRPr="00293329">
        <w:rPr>
          <w:lang w:val="es-ES"/>
        </w:rPr>
        <w:t xml:space="preserve"> en materia de ciberseguridad y lucha contra el spam</w:t>
      </w:r>
    </w:p>
    <w:p w14:paraId="4E5DBBBB" w14:textId="0CB5A9ED" w:rsidR="00093BA4" w:rsidRPr="00293329" w:rsidRDefault="00093BA4" w:rsidP="002765BE">
      <w:pPr>
        <w:rPr>
          <w:lang w:val="es-ES"/>
        </w:rPr>
      </w:pPr>
      <w:r w:rsidRPr="00293329">
        <w:rPr>
          <w:lang w:val="es-ES"/>
        </w:rPr>
        <w:t>1.1</w:t>
      </w:r>
      <w:r w:rsidRPr="00293329">
        <w:rPr>
          <w:lang w:val="es-ES"/>
        </w:rPr>
        <w:tab/>
        <w:t>El desarrollo de las TIC, sobre una base de seguridad y confianza, ha sido reconocido como un factor esencial para el desarrollo sostenible. El presente Informe, organizado en torno a los cinco pilares de la Agenda sobre Ciberseguridad Global (ACG), muestra el carácter complementario de los actuales programas de trabajo de la UIT y facilita la realización de las actividades de la BDT, la TSB y la BR al respecto.</w:t>
      </w:r>
    </w:p>
    <w:p w14:paraId="7CF7D2D1" w14:textId="77777777" w:rsidR="00093BA4" w:rsidRPr="00293329" w:rsidRDefault="00093BA4" w:rsidP="00093BA4">
      <w:pPr>
        <w:pStyle w:val="Heading1"/>
        <w:rPr>
          <w:lang w:val="es-ES"/>
        </w:rPr>
      </w:pPr>
      <w:r w:rsidRPr="00293329">
        <w:rPr>
          <w:lang w:val="es-ES"/>
        </w:rPr>
        <w:t>2</w:t>
      </w:r>
      <w:r w:rsidRPr="00293329">
        <w:rPr>
          <w:lang w:val="es-ES"/>
        </w:rPr>
        <w:tab/>
      </w:r>
      <w:proofErr w:type="gramStart"/>
      <w:r w:rsidRPr="00293329">
        <w:rPr>
          <w:lang w:val="es-ES"/>
        </w:rPr>
        <w:t>Medidas</w:t>
      </w:r>
      <w:proofErr w:type="gramEnd"/>
      <w:r w:rsidRPr="00293329">
        <w:rPr>
          <w:lang w:val="es-ES"/>
        </w:rPr>
        <w:t xml:space="preserve"> jurídicas</w:t>
      </w:r>
    </w:p>
    <w:p w14:paraId="4A5F8C9E" w14:textId="7E13EE56" w:rsidR="00093BA4" w:rsidRPr="00293329" w:rsidRDefault="00093BA4" w:rsidP="002765BE">
      <w:pPr>
        <w:rPr>
          <w:rFonts w:asciiTheme="minorHAnsi" w:hAnsiTheme="minorHAnsi"/>
          <w:szCs w:val="24"/>
          <w:lang w:val="es-ES"/>
        </w:rPr>
      </w:pPr>
      <w:r w:rsidRPr="00293329">
        <w:rPr>
          <w:lang w:val="es-ES"/>
        </w:rPr>
        <w:t>2.1</w:t>
      </w:r>
      <w:r w:rsidRPr="00293329">
        <w:rPr>
          <w:lang w:val="es-ES"/>
        </w:rPr>
        <w:tab/>
        <w:t>En el marco del Objetivo 2/Resultado 2.2 del Plan de Acción de Buenos Aires, y teniendo en cuenta la Cuestión 3/2 (antigua Cuestión 22/1) de la CE</w:t>
      </w:r>
      <w:r w:rsidR="00944615" w:rsidRPr="00293329">
        <w:rPr>
          <w:lang w:val="es-ES"/>
        </w:rPr>
        <w:t> </w:t>
      </w:r>
      <w:r w:rsidRPr="00293329">
        <w:rPr>
          <w:lang w:val="es-ES"/>
        </w:rPr>
        <w:t xml:space="preserve">2 del UIT-D, la UIT está ayudando a los Estados Miembros a comprender los aspectos jurídicos de la ciberseguridad poniendo a disposición de los mismos los </w:t>
      </w:r>
      <w:hyperlink r:id="rId30" w:history="1">
        <w:r w:rsidRPr="00293329">
          <w:rPr>
            <w:rStyle w:val="Hyperlink"/>
            <w:lang w:val="es-ES"/>
          </w:rPr>
          <w:t>Recursos de la UIT sobre la legislación del ciberdelito</w:t>
        </w:r>
      </w:hyperlink>
      <w:r w:rsidRPr="00293329">
        <w:rPr>
          <w:lang w:val="es-ES"/>
        </w:rPr>
        <w:t>, con el fin de contribuir a la armonización de sus marcos jurídicos. En lo que atañe a las medidas jurídicas, la</w:t>
      </w:r>
      <w:r w:rsidR="00B74E56" w:rsidRPr="00293329">
        <w:rPr>
          <w:lang w:val="es-ES"/>
        </w:rPr>
        <w:t> </w:t>
      </w:r>
      <w:r w:rsidRPr="00293329">
        <w:rPr>
          <w:lang w:val="es-ES"/>
        </w:rPr>
        <w:t>UIT</w:t>
      </w:r>
      <w:r w:rsidR="00B74E56" w:rsidRPr="00293329">
        <w:rPr>
          <w:lang w:val="es-ES"/>
        </w:rPr>
        <w:t> </w:t>
      </w:r>
      <w:r w:rsidRPr="00293329">
        <w:rPr>
          <w:lang w:val="es-ES"/>
        </w:rPr>
        <w:t>colabora estrechamente con la ONUDD y otros expertos en la materia.</w:t>
      </w:r>
    </w:p>
    <w:p w14:paraId="4EA26A6E" w14:textId="77777777" w:rsidR="00093BA4" w:rsidRPr="00293329" w:rsidRDefault="00093BA4" w:rsidP="00093BA4">
      <w:pPr>
        <w:pStyle w:val="Heading1"/>
        <w:rPr>
          <w:lang w:val="es-ES"/>
        </w:rPr>
      </w:pPr>
      <w:r w:rsidRPr="00293329">
        <w:rPr>
          <w:lang w:val="es-ES"/>
        </w:rPr>
        <w:t>3</w:t>
      </w:r>
      <w:r w:rsidRPr="00293329">
        <w:rPr>
          <w:lang w:val="es-ES"/>
        </w:rPr>
        <w:tab/>
      </w:r>
      <w:proofErr w:type="gramStart"/>
      <w:r w:rsidRPr="00293329">
        <w:rPr>
          <w:lang w:val="es-ES"/>
        </w:rPr>
        <w:t>Medidas</w:t>
      </w:r>
      <w:proofErr w:type="gramEnd"/>
      <w:r w:rsidRPr="00293329">
        <w:rPr>
          <w:lang w:val="es-ES"/>
        </w:rPr>
        <w:t xml:space="preserve"> técnicas y de procedimiento</w:t>
      </w:r>
    </w:p>
    <w:p w14:paraId="47D9E06B" w14:textId="77777777" w:rsidR="00093BA4" w:rsidRPr="00293329" w:rsidRDefault="00093BA4" w:rsidP="00093BA4">
      <w:pPr>
        <w:rPr>
          <w:bCs/>
          <w:lang w:val="es-ES"/>
        </w:rPr>
      </w:pPr>
      <w:r w:rsidRPr="00293329">
        <w:rPr>
          <w:lang w:val="es-ES"/>
        </w:rPr>
        <w:t>3.1</w:t>
      </w:r>
      <w:r w:rsidRPr="00293329">
        <w:rPr>
          <w:lang w:val="es-ES"/>
        </w:rPr>
        <w:tab/>
        <w:t xml:space="preserve">La </w:t>
      </w:r>
      <w:hyperlink r:id="rId31" w:history="1">
        <w:r w:rsidRPr="00293329">
          <w:rPr>
            <w:rStyle w:val="Hyperlink"/>
            <w:lang w:val="es-ES"/>
          </w:rPr>
          <w:t>CE 17 del UIT-T</w:t>
        </w:r>
      </w:hyperlink>
      <w:r w:rsidRPr="00293329">
        <w:rPr>
          <w:lang w:val="es-ES"/>
        </w:rPr>
        <w:t>, Comisión de Estudio Rectora sobre seguridad y gestión de identidad (IdM), sigue contribuyendo al estudio y la normalización de la ciberseguridad, la lucha contra el correo basura, la IdM, los certificados X.509 del UIT-T, la gestión de la seguridad de la información, las redes de sensores ubicuos, la telebiometría, la seguridad móvil, la seguridad de la virtualización con miras a la seguridad de la computación en la nube, y la arquitectura para la protección y seguridad de información de identificación personal, en cooperación con otros organismos de normalización externos.</w:t>
      </w:r>
    </w:p>
    <w:p w14:paraId="0C833647" w14:textId="2742CBDE" w:rsidR="00093BA4" w:rsidRPr="00293329" w:rsidRDefault="00093BA4" w:rsidP="009232C1">
      <w:pPr>
        <w:rPr>
          <w:rFonts w:eastAsia="SimSun"/>
          <w:lang w:val="es-ES" w:eastAsia="zh-CN"/>
        </w:rPr>
      </w:pPr>
      <w:r w:rsidRPr="00293329">
        <w:rPr>
          <w:rFonts w:eastAsia="SimSun"/>
          <w:lang w:val="es-ES" w:eastAsia="zh-CN"/>
        </w:rPr>
        <w:t>3.2</w:t>
      </w:r>
      <w:r w:rsidRPr="00293329">
        <w:rPr>
          <w:rFonts w:eastAsia="SimSun"/>
          <w:lang w:val="es-ES" w:eastAsia="zh-CN"/>
        </w:rPr>
        <w:tab/>
      </w:r>
      <w:bookmarkStart w:id="11" w:name="lt_pId036"/>
      <w:r w:rsidRPr="00293329">
        <w:rPr>
          <w:rFonts w:eastAsia="SimSun"/>
          <w:lang w:val="es-ES" w:eastAsia="zh-CN"/>
        </w:rPr>
        <w:t xml:space="preserve">Desde su último </w:t>
      </w:r>
      <w:r w:rsidR="000E1708" w:rsidRPr="00293329">
        <w:rPr>
          <w:rFonts w:eastAsia="SimSun"/>
          <w:lang w:val="es-ES" w:eastAsia="zh-CN"/>
        </w:rPr>
        <w:t xml:space="preserve">informe </w:t>
      </w:r>
      <w:r w:rsidRPr="00293329">
        <w:rPr>
          <w:rFonts w:eastAsia="SimSun"/>
          <w:lang w:val="es-ES" w:eastAsia="zh-CN"/>
        </w:rPr>
        <w:t>presentado al Consejo, la CE 17 ha celebrado una reunión en septiembre de 2019, en la que la CE</w:t>
      </w:r>
      <w:r w:rsidR="00944615" w:rsidRPr="00293329">
        <w:rPr>
          <w:rFonts w:eastAsia="SimSun"/>
          <w:lang w:val="es-ES" w:eastAsia="zh-CN"/>
        </w:rPr>
        <w:t> </w:t>
      </w:r>
      <w:r w:rsidRPr="00293329">
        <w:rPr>
          <w:rFonts w:eastAsia="SimSun"/>
          <w:lang w:val="es-ES" w:eastAsia="zh-CN"/>
        </w:rPr>
        <w:t xml:space="preserve">17 estableció </w:t>
      </w:r>
      <w:hyperlink r:id="rId32" w:history="1">
        <w:r w:rsidRPr="00293329">
          <w:rPr>
            <w:rStyle w:val="Hyperlink"/>
            <w:rFonts w:eastAsia="SimSun"/>
            <w:lang w:val="es-ES" w:eastAsia="zh-CN"/>
          </w:rPr>
          <w:t>25 nuevos temas de trabajo de normalización</w:t>
        </w:r>
      </w:hyperlink>
      <w:r w:rsidRPr="00293329">
        <w:rPr>
          <w:rFonts w:eastAsia="SimSun"/>
          <w:lang w:val="es-ES" w:eastAsia="zh-CN"/>
        </w:rPr>
        <w:t>. La</w:t>
      </w:r>
      <w:r w:rsidR="00B74E56" w:rsidRPr="00293329">
        <w:rPr>
          <w:rFonts w:eastAsia="SimSun"/>
          <w:lang w:val="es-ES" w:eastAsia="zh-CN"/>
        </w:rPr>
        <w:t> </w:t>
      </w:r>
      <w:r w:rsidRPr="00293329">
        <w:rPr>
          <w:rFonts w:eastAsia="SimSun"/>
          <w:lang w:val="es-ES" w:eastAsia="zh-CN"/>
        </w:rPr>
        <w:t>CE</w:t>
      </w:r>
      <w:r w:rsidR="00944615" w:rsidRPr="00293329">
        <w:rPr>
          <w:rFonts w:eastAsia="SimSun"/>
          <w:lang w:val="es-ES" w:eastAsia="zh-CN"/>
        </w:rPr>
        <w:t> </w:t>
      </w:r>
      <w:r w:rsidRPr="00293329">
        <w:rPr>
          <w:rFonts w:eastAsia="SimSun"/>
          <w:lang w:val="es-ES" w:eastAsia="zh-CN"/>
        </w:rPr>
        <w:t>17 aprobó más de 30 Recomendaciones UIT-T nuevas o revisadas en materia de seguridad de las</w:t>
      </w:r>
      <w:r w:rsidR="00944615" w:rsidRPr="00293329">
        <w:rPr>
          <w:rFonts w:eastAsia="SimSun"/>
          <w:lang w:val="es-ES" w:eastAsia="zh-CN"/>
        </w:rPr>
        <w:t> </w:t>
      </w:r>
      <w:r w:rsidRPr="00293329">
        <w:rPr>
          <w:rFonts w:eastAsia="SimSun"/>
          <w:lang w:val="es-ES" w:eastAsia="zh-CN"/>
        </w:rPr>
        <w:t xml:space="preserve">TIC, a saber: 9ª edición de las normas básicas para la ciberseguridad de las Recomendaciones de la serie X.500 sobre infraestructura pública, X.1044 </w:t>
      </w:r>
      <w:r w:rsidR="007235BF" w:rsidRPr="00293329">
        <w:rPr>
          <w:rFonts w:eastAsia="SimSun"/>
          <w:lang w:val="es-ES" w:eastAsia="zh-CN"/>
        </w:rPr>
        <w:t>"</w:t>
      </w:r>
      <w:r w:rsidRPr="00293329">
        <w:rPr>
          <w:rFonts w:eastAsia="SimSun"/>
          <w:iCs/>
          <w:lang w:val="es-ES" w:eastAsia="zh-CN"/>
        </w:rPr>
        <w:t>Requisitos de seguridad de la virtualización de la red</w:t>
      </w:r>
      <w:r w:rsidR="007235BF" w:rsidRPr="00293329">
        <w:rPr>
          <w:rFonts w:eastAsia="SimSun"/>
          <w:lang w:val="es-ES" w:eastAsia="zh-CN"/>
        </w:rPr>
        <w:t>"</w:t>
      </w:r>
      <w:r w:rsidRPr="00293329">
        <w:rPr>
          <w:rFonts w:eastAsia="SimSun"/>
          <w:lang w:val="es-ES" w:eastAsia="zh-CN"/>
        </w:rPr>
        <w:t xml:space="preserve">, X.1045 </w:t>
      </w:r>
      <w:r w:rsidR="007235BF" w:rsidRPr="00293329">
        <w:rPr>
          <w:rFonts w:eastAsia="SimSun"/>
          <w:lang w:val="es-ES" w:eastAsia="zh-CN"/>
        </w:rPr>
        <w:t>"</w:t>
      </w:r>
      <w:r w:rsidRPr="00293329">
        <w:rPr>
          <w:lang w:val="es-ES"/>
        </w:rPr>
        <w:t xml:space="preserve"> </w:t>
      </w:r>
      <w:r w:rsidRPr="00293329">
        <w:rPr>
          <w:rFonts w:eastAsia="SimSun"/>
          <w:iCs/>
          <w:lang w:val="es-ES" w:eastAsia="zh-CN"/>
        </w:rPr>
        <w:t>Arquitectura de la cadena de servicios de seguridad para redes y aplicaciones</w:t>
      </w:r>
      <w:r w:rsidR="007235BF" w:rsidRPr="00293329">
        <w:rPr>
          <w:rFonts w:eastAsia="SimSun"/>
          <w:lang w:val="es-ES" w:eastAsia="zh-CN"/>
        </w:rPr>
        <w:t>"</w:t>
      </w:r>
      <w:r w:rsidRPr="00293329">
        <w:rPr>
          <w:rFonts w:eastAsia="SimSun"/>
          <w:lang w:val="es-ES" w:eastAsia="zh-CN"/>
        </w:rPr>
        <w:t xml:space="preserve">, X.1059 </w:t>
      </w:r>
      <w:r w:rsidR="007235BF" w:rsidRPr="00293329">
        <w:rPr>
          <w:rFonts w:eastAsia="SimSun"/>
          <w:lang w:val="es-ES" w:eastAsia="zh-CN"/>
        </w:rPr>
        <w:t>"</w:t>
      </w:r>
      <w:r w:rsidRPr="00293329">
        <w:rPr>
          <w:rFonts w:eastAsia="SimSun"/>
          <w:iCs/>
          <w:lang w:val="es-ES" w:eastAsia="zh-CN"/>
        </w:rPr>
        <w:t>Guía de aplicación para las organizaciones de telecomunicaciones sobre la gestión de riesgos de sus activos accesibles a nivel mundial en redes basadas en el IP</w:t>
      </w:r>
      <w:r w:rsidR="007235BF" w:rsidRPr="00293329">
        <w:rPr>
          <w:rFonts w:eastAsia="SimSun"/>
          <w:lang w:val="es-ES" w:eastAsia="zh-CN"/>
        </w:rPr>
        <w:t>"</w:t>
      </w:r>
      <w:r w:rsidRPr="00293329">
        <w:rPr>
          <w:rFonts w:eastAsia="SimSun"/>
          <w:lang w:val="es-ES" w:eastAsia="zh-CN"/>
        </w:rPr>
        <w:t xml:space="preserve">, X.1702 </w:t>
      </w:r>
      <w:r w:rsidR="007235BF" w:rsidRPr="00293329">
        <w:rPr>
          <w:rFonts w:eastAsia="SimSun"/>
          <w:lang w:val="es-ES" w:eastAsia="zh-CN"/>
        </w:rPr>
        <w:t>"</w:t>
      </w:r>
      <w:r w:rsidRPr="00293329">
        <w:rPr>
          <w:rFonts w:eastAsia="SimSun"/>
          <w:iCs/>
          <w:lang w:val="es-ES" w:eastAsia="zh-CN"/>
        </w:rPr>
        <w:t>Arquitectura de un generador de números aleatorio de ruido cuántico</w:t>
      </w:r>
      <w:r w:rsidR="007235BF" w:rsidRPr="00293329">
        <w:rPr>
          <w:rFonts w:eastAsia="SimSun"/>
          <w:lang w:val="es-ES" w:eastAsia="zh-CN"/>
        </w:rPr>
        <w:t>"</w:t>
      </w:r>
      <w:r w:rsidRPr="00293329">
        <w:rPr>
          <w:rFonts w:eastAsia="SimSun"/>
          <w:lang w:val="es-ES" w:eastAsia="zh-CN"/>
        </w:rPr>
        <w:t xml:space="preserve">, X.1232 </w:t>
      </w:r>
      <w:r w:rsidR="007235BF" w:rsidRPr="00293329">
        <w:rPr>
          <w:rFonts w:eastAsia="SimSun"/>
          <w:lang w:val="es-ES" w:eastAsia="zh-CN"/>
        </w:rPr>
        <w:t>"</w:t>
      </w:r>
      <w:r w:rsidRPr="00293329">
        <w:rPr>
          <w:rFonts w:eastAsia="SimSun"/>
          <w:iCs/>
          <w:lang w:val="es-ES" w:eastAsia="zh-CN"/>
        </w:rPr>
        <w:t>Marco técnico para contrarrestar el spam publicitario en la información generada por el usuario</w:t>
      </w:r>
      <w:r w:rsidR="007235BF" w:rsidRPr="00293329">
        <w:rPr>
          <w:rFonts w:eastAsia="SimSun"/>
          <w:lang w:val="es-ES" w:eastAsia="zh-CN"/>
        </w:rPr>
        <w:t>"</w:t>
      </w:r>
      <w:r w:rsidRPr="00293329">
        <w:rPr>
          <w:rFonts w:eastAsia="SimSun"/>
          <w:lang w:val="es-ES" w:eastAsia="zh-CN"/>
        </w:rPr>
        <w:t xml:space="preserve">, X.677 </w:t>
      </w:r>
      <w:r w:rsidR="007235BF" w:rsidRPr="00293329">
        <w:rPr>
          <w:rFonts w:eastAsia="SimSun"/>
          <w:lang w:val="es-ES" w:eastAsia="zh-CN"/>
        </w:rPr>
        <w:t>"</w:t>
      </w:r>
      <w:r w:rsidRPr="00293329">
        <w:rPr>
          <w:rFonts w:eastAsia="SimSun"/>
          <w:iCs/>
          <w:lang w:val="es-ES" w:eastAsia="zh-CN"/>
        </w:rPr>
        <w:t>Mecanismo de identificación de vehículos aéreos no tripulados mediante identificadores de objetos</w:t>
      </w:r>
      <w:r w:rsidR="007235BF" w:rsidRPr="00293329">
        <w:rPr>
          <w:rFonts w:eastAsia="SimSun"/>
          <w:lang w:val="es-ES" w:eastAsia="zh-CN"/>
        </w:rPr>
        <w:t>"</w:t>
      </w:r>
      <w:r w:rsidRPr="00293329">
        <w:rPr>
          <w:rFonts w:eastAsia="SimSun"/>
          <w:lang w:val="es-ES" w:eastAsia="zh-CN"/>
        </w:rPr>
        <w:t xml:space="preserve">, X.1402 </w:t>
      </w:r>
      <w:r w:rsidR="007235BF" w:rsidRPr="00293329">
        <w:rPr>
          <w:rFonts w:eastAsia="SimSun"/>
          <w:lang w:val="es-ES" w:eastAsia="zh-CN"/>
        </w:rPr>
        <w:t>"</w:t>
      </w:r>
      <w:r w:rsidRPr="00293329">
        <w:rPr>
          <w:rFonts w:eastAsia="SimSun"/>
          <w:lang w:val="es-ES" w:eastAsia="zh-CN"/>
        </w:rPr>
        <w:t>Seguridad de tecnología de libro mayor distribuido</w:t>
      </w:r>
      <w:r w:rsidR="007235BF" w:rsidRPr="00293329">
        <w:rPr>
          <w:rFonts w:eastAsia="SimSun"/>
          <w:lang w:val="es-ES" w:eastAsia="zh-CN"/>
        </w:rPr>
        <w:t>"</w:t>
      </w:r>
      <w:r w:rsidRPr="00293329">
        <w:rPr>
          <w:rFonts w:eastAsia="SimSun"/>
          <w:lang w:val="es-ES" w:eastAsia="zh-CN"/>
        </w:rPr>
        <w:t xml:space="preserve">, X.1197 Enmienda 1 </w:t>
      </w:r>
      <w:r w:rsidR="007235BF" w:rsidRPr="00293329">
        <w:rPr>
          <w:rFonts w:eastAsia="SimSun"/>
          <w:lang w:val="es-ES" w:eastAsia="zh-CN"/>
        </w:rPr>
        <w:t>"</w:t>
      </w:r>
      <w:r w:rsidRPr="00293329">
        <w:rPr>
          <w:rFonts w:eastAsia="SimSun"/>
          <w:iCs/>
          <w:lang w:val="es-ES" w:eastAsia="zh-CN"/>
        </w:rPr>
        <w:t>Revised guidelines on criteria for selecting cryptographic algorithms for IPTV service and content protection</w:t>
      </w:r>
      <w:r w:rsidR="007235BF" w:rsidRPr="00293329">
        <w:rPr>
          <w:rFonts w:eastAsia="SimSun"/>
          <w:lang w:val="es-ES" w:eastAsia="zh-CN"/>
        </w:rPr>
        <w:t>"</w:t>
      </w:r>
      <w:r w:rsidRPr="00293329">
        <w:rPr>
          <w:rFonts w:eastAsia="SimSun"/>
          <w:lang w:val="es-ES" w:eastAsia="zh-CN"/>
        </w:rPr>
        <w:t>, X.694 Cor.1 y X.893</w:t>
      </w:r>
      <w:r w:rsidR="00B74E56" w:rsidRPr="00293329">
        <w:rPr>
          <w:rFonts w:eastAsia="SimSun"/>
          <w:lang w:val="es-ES" w:eastAsia="zh-CN"/>
        </w:rPr>
        <w:t> </w:t>
      </w:r>
      <w:r w:rsidRPr="00293329">
        <w:rPr>
          <w:rFonts w:eastAsia="SimSun"/>
          <w:lang w:val="es-ES" w:eastAsia="zh-CN"/>
        </w:rPr>
        <w:t>Cor.1 sobre ASN.1, serie Z.100 revisada sobre SDL y serie Z.160 revisadas sobre la versión 3 de la Notación de pruebas y de control de pruebas (TTCN-3). La CE</w:t>
      </w:r>
      <w:r w:rsidR="00944615" w:rsidRPr="00293329">
        <w:rPr>
          <w:rFonts w:eastAsia="SimSun"/>
          <w:lang w:val="es-ES" w:eastAsia="zh-CN"/>
        </w:rPr>
        <w:t> </w:t>
      </w:r>
      <w:r w:rsidRPr="00293329">
        <w:rPr>
          <w:rFonts w:eastAsia="SimSun"/>
          <w:lang w:val="es-ES" w:eastAsia="zh-CN"/>
        </w:rPr>
        <w:t xml:space="preserve">17 también aprobó un nuevo Suplemento sobre casos de utilización del Marco de garantía de autentificación de entidad (EAA) y revisó la guía del implementador de la serie Z. </w:t>
      </w:r>
    </w:p>
    <w:p w14:paraId="20C5E742" w14:textId="19628C23" w:rsidR="00093BA4" w:rsidRPr="00293329" w:rsidRDefault="00093BA4" w:rsidP="009232C1">
      <w:pPr>
        <w:rPr>
          <w:lang w:val="es-ES"/>
        </w:rPr>
      </w:pPr>
      <w:r w:rsidRPr="00293329">
        <w:rPr>
          <w:lang w:val="es-ES"/>
        </w:rPr>
        <w:t>3.3</w:t>
      </w:r>
      <w:r w:rsidRPr="00293329">
        <w:rPr>
          <w:lang w:val="es-ES"/>
        </w:rPr>
        <w:tab/>
        <w:t>La CE</w:t>
      </w:r>
      <w:r w:rsidR="00944615" w:rsidRPr="00293329">
        <w:rPr>
          <w:lang w:val="es-ES"/>
        </w:rPr>
        <w:t> </w:t>
      </w:r>
      <w:r w:rsidRPr="00293329">
        <w:rPr>
          <w:lang w:val="es-ES"/>
        </w:rPr>
        <w:t xml:space="preserve">17 organizó un </w:t>
      </w:r>
      <w:hyperlink r:id="rId33" w:history="1">
        <w:r w:rsidR="007235BF" w:rsidRPr="00293329">
          <w:rPr>
            <w:rStyle w:val="Hyperlink"/>
            <w:lang w:val="es-ES"/>
          </w:rPr>
          <w:t>T</w:t>
        </w:r>
        <w:r w:rsidRPr="00293329">
          <w:rPr>
            <w:rStyle w:val="Hyperlink"/>
            <w:lang w:val="es-ES"/>
          </w:rPr>
          <w:t>aller de la UIT sobre seguridad de la tecnología financiera</w:t>
        </w:r>
      </w:hyperlink>
      <w:r w:rsidRPr="00293329">
        <w:rPr>
          <w:lang w:val="es-ES"/>
        </w:rPr>
        <w:t xml:space="preserve"> </w:t>
      </w:r>
      <w:r w:rsidRPr="00293329">
        <w:rPr>
          <w:rFonts w:eastAsia="SimSun"/>
          <w:lang w:val="es-ES"/>
        </w:rPr>
        <w:t>de un día de duración el 26 de agosto de 2019, que finalizó con sugerencias para las actividades de seguimiento de la CE</w:t>
      </w:r>
      <w:r w:rsidR="00944615" w:rsidRPr="00293329">
        <w:rPr>
          <w:rFonts w:eastAsia="SimSun"/>
          <w:lang w:val="es-ES"/>
        </w:rPr>
        <w:t> </w:t>
      </w:r>
      <w:r w:rsidRPr="00293329">
        <w:rPr>
          <w:rFonts w:eastAsia="SimSun"/>
          <w:lang w:val="es-ES"/>
        </w:rPr>
        <w:t xml:space="preserve">17 en colaboración con otras organizaciones de normalización de la seguridad de las tecnologías financieras identificadas, por ejemplo </w:t>
      </w:r>
      <w:r w:rsidRPr="00293329">
        <w:rPr>
          <w:lang w:val="es-ES"/>
        </w:rPr>
        <w:t>FG-DLT, FG-DFC, ISO TC 307, W3C sobre DLT.</w:t>
      </w:r>
      <w:r w:rsidRPr="00293329">
        <w:rPr>
          <w:rFonts w:asciiTheme="minorHAnsi" w:hAnsiTheme="minorHAnsi" w:cstheme="minorHAnsi"/>
          <w:szCs w:val="24"/>
          <w:lang w:val="es-ES"/>
        </w:rPr>
        <w:t xml:space="preserve"> </w:t>
      </w:r>
      <w:r w:rsidRPr="00293329">
        <w:rPr>
          <w:lang w:val="es-ES"/>
        </w:rPr>
        <w:lastRenderedPageBreak/>
        <w:t>La</w:t>
      </w:r>
      <w:r w:rsidR="00B74E56" w:rsidRPr="00293329">
        <w:rPr>
          <w:lang w:val="es-ES"/>
        </w:rPr>
        <w:t> </w:t>
      </w:r>
      <w:r w:rsidRPr="00293329">
        <w:rPr>
          <w:lang w:val="es-ES"/>
        </w:rPr>
        <w:t>CE</w:t>
      </w:r>
      <w:r w:rsidR="00944615" w:rsidRPr="00293329">
        <w:rPr>
          <w:lang w:val="es-ES"/>
        </w:rPr>
        <w:t> </w:t>
      </w:r>
      <w:r w:rsidRPr="00293329">
        <w:rPr>
          <w:lang w:val="es-ES"/>
        </w:rPr>
        <w:t xml:space="preserve">17 también organizó un </w:t>
      </w:r>
      <w:hyperlink r:id="rId34" w:history="1">
        <w:r w:rsidRPr="00293329">
          <w:rPr>
            <w:rStyle w:val="Hyperlink"/>
            <w:lang w:val="es-ES"/>
          </w:rPr>
          <w:t>minitaller sobre retos de ciberseguridad en la conducción automática</w:t>
        </w:r>
      </w:hyperlink>
      <w:r w:rsidRPr="00293329">
        <w:rPr>
          <w:lang w:val="es-ES"/>
        </w:rPr>
        <w:t xml:space="preserve"> el día 26 de agosto de 2019, en cooperación con la Colaboración sobre los STI de la UIT (CITS) y el</w:t>
      </w:r>
      <w:r w:rsidR="00B74E56" w:rsidRPr="00293329">
        <w:rPr>
          <w:lang w:val="es-ES"/>
        </w:rPr>
        <w:t> </w:t>
      </w:r>
      <w:r w:rsidRPr="00293329">
        <w:rPr>
          <w:lang w:val="es-ES"/>
        </w:rPr>
        <w:t xml:space="preserve">WP29 de la CEPE de las Naciones Unidas. </w:t>
      </w:r>
    </w:p>
    <w:p w14:paraId="6345A1EC" w14:textId="63A5CA8B" w:rsidR="00093BA4" w:rsidRPr="00293329" w:rsidRDefault="00093BA4" w:rsidP="007235BF">
      <w:pPr>
        <w:rPr>
          <w:lang w:val="es-ES"/>
        </w:rPr>
      </w:pPr>
      <w:r w:rsidRPr="00293329">
        <w:rPr>
          <w:lang w:val="es-ES"/>
        </w:rPr>
        <w:t>3.4</w:t>
      </w:r>
      <w:r w:rsidRPr="00293329">
        <w:rPr>
          <w:lang w:val="es-ES"/>
        </w:rPr>
        <w:tab/>
        <w:t>Debido al brote mundial del Coronavirus, la reunión de la CE</w:t>
      </w:r>
      <w:r w:rsidR="00944615" w:rsidRPr="00293329">
        <w:rPr>
          <w:lang w:val="es-ES"/>
        </w:rPr>
        <w:t> </w:t>
      </w:r>
      <w:r w:rsidRPr="00293329">
        <w:rPr>
          <w:lang w:val="es-ES"/>
        </w:rPr>
        <w:t>17 del 17 al 26 de marzo de</w:t>
      </w:r>
      <w:r w:rsidR="00B74E56" w:rsidRPr="00293329">
        <w:rPr>
          <w:lang w:val="es-ES"/>
        </w:rPr>
        <w:t> </w:t>
      </w:r>
      <w:r w:rsidRPr="00293329">
        <w:rPr>
          <w:lang w:val="es-ES"/>
        </w:rPr>
        <w:t>2020 se convirtió en la primera reunión totalmente virtual de una Comisión de Estudio del UIT</w:t>
      </w:r>
      <w:r w:rsidR="00B74E56" w:rsidRPr="00293329">
        <w:rPr>
          <w:lang w:val="es-ES"/>
        </w:rPr>
        <w:noBreakHyphen/>
      </w:r>
      <w:r w:rsidRPr="00293329">
        <w:rPr>
          <w:lang w:val="es-ES"/>
        </w:rPr>
        <w:t>T. Además, la CE</w:t>
      </w:r>
      <w:r w:rsidR="00944615" w:rsidRPr="00293329">
        <w:rPr>
          <w:lang w:val="es-ES"/>
        </w:rPr>
        <w:t> </w:t>
      </w:r>
      <w:r w:rsidRPr="00293329">
        <w:rPr>
          <w:lang w:val="es-ES"/>
        </w:rPr>
        <w:t xml:space="preserve">17 tuvo que aplazar su </w:t>
      </w:r>
      <w:hyperlink r:id="rId35" w:history="1">
        <w:r w:rsidRPr="00293329">
          <w:rPr>
            <w:rStyle w:val="Hyperlink"/>
            <w:lang w:val="es-ES"/>
          </w:rPr>
          <w:t xml:space="preserve">Taller </w:t>
        </w:r>
        <w:r w:rsidR="007235BF" w:rsidRPr="00293329">
          <w:rPr>
            <w:rStyle w:val="Hyperlink"/>
            <w:lang w:val="es-ES"/>
          </w:rPr>
          <w:t xml:space="preserve">conjunto </w:t>
        </w:r>
        <w:r w:rsidRPr="00293329">
          <w:rPr>
            <w:rStyle w:val="Hyperlink"/>
            <w:lang w:val="es-ES"/>
          </w:rPr>
          <w:t>de la CE</w:t>
        </w:r>
        <w:r w:rsidR="00944615" w:rsidRPr="00293329">
          <w:rPr>
            <w:rStyle w:val="Hyperlink"/>
            <w:lang w:val="es-ES"/>
          </w:rPr>
          <w:t> </w:t>
        </w:r>
        <w:r w:rsidRPr="00293329">
          <w:rPr>
            <w:rStyle w:val="Hyperlink"/>
            <w:lang w:val="es-ES"/>
          </w:rPr>
          <w:t>17 del UIT-T y el TC 307 de la</w:t>
        </w:r>
        <w:r w:rsidR="00B74E56" w:rsidRPr="00293329">
          <w:rPr>
            <w:rStyle w:val="Hyperlink"/>
            <w:lang w:val="es-ES"/>
          </w:rPr>
          <w:t> </w:t>
        </w:r>
        <w:r w:rsidRPr="00293329">
          <w:rPr>
            <w:rStyle w:val="Hyperlink"/>
            <w:lang w:val="es-ES"/>
          </w:rPr>
          <w:t>ISO</w:t>
        </w:r>
        <w:r w:rsidR="00B74E56" w:rsidRPr="00293329">
          <w:rPr>
            <w:rStyle w:val="Hyperlink"/>
            <w:lang w:val="es-ES"/>
          </w:rPr>
          <w:t> </w:t>
        </w:r>
        <w:r w:rsidRPr="00293329">
          <w:rPr>
            <w:rStyle w:val="Hyperlink"/>
            <w:lang w:val="es-ES"/>
          </w:rPr>
          <w:t xml:space="preserve">sobre </w:t>
        </w:r>
        <w:r w:rsidR="007235BF" w:rsidRPr="00293329">
          <w:rPr>
            <w:rStyle w:val="Hyperlink"/>
            <w:rFonts w:asciiTheme="minorHAnsi" w:hAnsiTheme="minorHAnsi" w:cstheme="minorHAnsi"/>
            <w:szCs w:val="24"/>
            <w:lang w:val="es-ES"/>
          </w:rPr>
          <w:t>"</w:t>
        </w:r>
        <w:r w:rsidRPr="00293329">
          <w:rPr>
            <w:rStyle w:val="Hyperlink"/>
            <w:rFonts w:asciiTheme="minorHAnsi" w:hAnsiTheme="minorHAnsi" w:cstheme="minorHAnsi"/>
            <w:szCs w:val="24"/>
            <w:lang w:val="es-ES"/>
          </w:rPr>
          <w:t>Seguridad de la DLT, gestión de la identidad y privacidad</w:t>
        </w:r>
        <w:r w:rsidR="007235BF" w:rsidRPr="00293329">
          <w:rPr>
            <w:rStyle w:val="Hyperlink"/>
            <w:lang w:val="es-ES"/>
          </w:rPr>
          <w:t>"</w:t>
        </w:r>
      </w:hyperlink>
      <w:r w:rsidRPr="00293329">
        <w:rPr>
          <w:lang w:val="es-ES"/>
        </w:rPr>
        <w:t xml:space="preserve"> prevista inicialmente para el 16 de marzo de 2020. </w:t>
      </w:r>
    </w:p>
    <w:bookmarkEnd w:id="11"/>
    <w:p w14:paraId="0161B780" w14:textId="4166870A" w:rsidR="00093BA4" w:rsidRPr="00293329" w:rsidRDefault="00093BA4" w:rsidP="009232C1">
      <w:pPr>
        <w:rPr>
          <w:lang w:val="es-ES"/>
        </w:rPr>
      </w:pPr>
      <w:r w:rsidRPr="00293329">
        <w:rPr>
          <w:rFonts w:eastAsia="SimSun"/>
          <w:lang w:val="es-ES" w:eastAsia="zh-CN"/>
        </w:rPr>
        <w:t>3.5</w:t>
      </w:r>
      <w:r w:rsidRPr="00293329">
        <w:rPr>
          <w:rFonts w:eastAsia="SimSun"/>
          <w:lang w:val="es-ES" w:eastAsia="zh-CN"/>
        </w:rPr>
        <w:tab/>
      </w:r>
      <w:r w:rsidRPr="00293329">
        <w:rPr>
          <w:lang w:val="es-ES"/>
        </w:rPr>
        <w:t>La CE 17 de la UIT prosiguió su labor sobre seguridad de la IoT, así como la coordinación con</w:t>
      </w:r>
      <w:r w:rsidR="00B74E56" w:rsidRPr="00293329">
        <w:rPr>
          <w:lang w:val="es-ES"/>
        </w:rPr>
        <w:t> </w:t>
      </w:r>
      <w:r w:rsidRPr="00293329">
        <w:rPr>
          <w:lang w:val="es-ES"/>
        </w:rPr>
        <w:t>la CE</w:t>
      </w:r>
      <w:r w:rsidR="00944615" w:rsidRPr="00293329">
        <w:rPr>
          <w:lang w:val="es-ES"/>
        </w:rPr>
        <w:t> </w:t>
      </w:r>
      <w:r w:rsidRPr="00293329">
        <w:rPr>
          <w:lang w:val="es-ES"/>
        </w:rPr>
        <w:t xml:space="preserve">20 del UIT-T </w:t>
      </w:r>
      <w:r w:rsidR="007235BF" w:rsidRPr="00293329">
        <w:rPr>
          <w:lang w:val="es-ES"/>
        </w:rPr>
        <w:t>"</w:t>
      </w:r>
      <w:r w:rsidRPr="00293329">
        <w:rPr>
          <w:lang w:val="es-ES"/>
        </w:rPr>
        <w:t>IoT y sus aplicaciones, incluidas las ciudades y comunidades inteligentes</w:t>
      </w:r>
      <w:r w:rsidR="00B74E56" w:rsidRPr="00293329">
        <w:rPr>
          <w:lang w:val="es-ES"/>
        </w:rPr>
        <w:t> </w:t>
      </w:r>
      <w:r w:rsidRPr="00293329">
        <w:rPr>
          <w:lang w:val="es-ES"/>
        </w:rPr>
        <w:t>(C+CI)</w:t>
      </w:r>
      <w:r w:rsidR="007235BF" w:rsidRPr="00293329">
        <w:rPr>
          <w:lang w:val="es-ES"/>
        </w:rPr>
        <w:t>"</w:t>
      </w:r>
      <w:r w:rsidRPr="00293329">
        <w:rPr>
          <w:lang w:val="es-ES"/>
        </w:rPr>
        <w:t>.</w:t>
      </w:r>
    </w:p>
    <w:p w14:paraId="1CC95808" w14:textId="77777777" w:rsidR="00093BA4" w:rsidRPr="00293329" w:rsidRDefault="00093BA4" w:rsidP="009232C1">
      <w:pPr>
        <w:rPr>
          <w:lang w:val="es-ES"/>
        </w:rPr>
      </w:pPr>
      <w:r w:rsidRPr="00293329">
        <w:rPr>
          <w:lang w:val="es-ES"/>
        </w:rPr>
        <w:t>3.6</w:t>
      </w:r>
      <w:r w:rsidRPr="00293329">
        <w:rPr>
          <w:lang w:val="es-ES"/>
        </w:rPr>
        <w:tab/>
        <w:t>La CE 9 del UIT-T determinó cinco proyectos de Recomendación UIT-T, J.1012, J.1013, J.1014, J.1015 y J.1015.1, sobre la Interfaz común integrada para soluciones CA/DRM intercambiables.</w:t>
      </w:r>
    </w:p>
    <w:p w14:paraId="7342FD07" w14:textId="465B461F" w:rsidR="00093BA4" w:rsidRPr="00293329" w:rsidRDefault="00093BA4" w:rsidP="009232C1">
      <w:pPr>
        <w:rPr>
          <w:lang w:val="es-ES"/>
        </w:rPr>
      </w:pPr>
      <w:r w:rsidRPr="00293329">
        <w:rPr>
          <w:lang w:val="es-ES"/>
        </w:rPr>
        <w:t>3.7</w:t>
      </w:r>
      <w:r w:rsidRPr="00293329">
        <w:rPr>
          <w:lang w:val="es-ES"/>
        </w:rPr>
        <w:tab/>
        <w:t xml:space="preserve">La CE 13 del UIT-T aprobó la Enmienda 1 de la Recomendación UIT-T Y.3053 (2018), </w:t>
      </w:r>
      <w:r w:rsidR="007235BF" w:rsidRPr="00293329">
        <w:rPr>
          <w:lang w:val="es-ES"/>
        </w:rPr>
        <w:t>"</w:t>
      </w:r>
      <w:r w:rsidRPr="00293329">
        <w:rPr>
          <w:lang w:val="es-ES"/>
        </w:rPr>
        <w:t>Marco de creación fiable de redes con dominios de red centrados en la confianza: Enmienda 1 – Arquitectura y procedimiento fiables de despliegue de redes</w:t>
      </w:r>
      <w:r w:rsidR="007235BF" w:rsidRPr="00293329">
        <w:rPr>
          <w:lang w:val="es-ES"/>
        </w:rPr>
        <w:t>"</w:t>
      </w:r>
      <w:r w:rsidRPr="00293329">
        <w:rPr>
          <w:lang w:val="es-ES"/>
        </w:rPr>
        <w:t>, la Recomendación Y.3514 Cor.</w:t>
      </w:r>
      <w:r w:rsidR="008D5030" w:rsidRPr="00293329">
        <w:rPr>
          <w:lang w:val="es-ES"/>
        </w:rPr>
        <w:t> </w:t>
      </w:r>
      <w:r w:rsidRPr="00293329">
        <w:rPr>
          <w:lang w:val="es-ES"/>
        </w:rPr>
        <w:t xml:space="preserve">1 </w:t>
      </w:r>
      <w:r w:rsidR="007235BF" w:rsidRPr="00293329">
        <w:rPr>
          <w:lang w:val="es-ES"/>
        </w:rPr>
        <w:t>"</w:t>
      </w:r>
      <w:r w:rsidRPr="00293329">
        <w:rPr>
          <w:lang w:val="es-ES"/>
        </w:rPr>
        <w:t>Computación en la nube – Marco y requisitos de computación fiable entre nubes</w:t>
      </w:r>
      <w:r w:rsidR="007235BF" w:rsidRPr="00293329">
        <w:rPr>
          <w:lang w:val="es-ES"/>
        </w:rPr>
        <w:t>"</w:t>
      </w:r>
      <w:r w:rsidRPr="00293329">
        <w:rPr>
          <w:lang w:val="es-ES"/>
        </w:rPr>
        <w:t xml:space="preserve"> y la Recomendación Y.3517 </w:t>
      </w:r>
      <w:r w:rsidR="007235BF" w:rsidRPr="00293329">
        <w:rPr>
          <w:lang w:val="es-ES"/>
        </w:rPr>
        <w:t>"</w:t>
      </w:r>
      <w:r w:rsidRPr="00293329">
        <w:rPr>
          <w:lang w:val="es-ES"/>
        </w:rPr>
        <w:t>Computación en la nube – Visión general de la gestión de la confianza entre nubes</w:t>
      </w:r>
      <w:r w:rsidR="007235BF" w:rsidRPr="00293329">
        <w:rPr>
          <w:lang w:val="es-ES"/>
        </w:rPr>
        <w:t>"</w:t>
      </w:r>
      <w:r w:rsidRPr="00293329">
        <w:rPr>
          <w:lang w:val="es-ES"/>
        </w:rPr>
        <w:t>.</w:t>
      </w:r>
    </w:p>
    <w:p w14:paraId="6BF1DDE1" w14:textId="5D86F169" w:rsidR="00093BA4" w:rsidRPr="00293329" w:rsidRDefault="00093BA4" w:rsidP="007B1B46">
      <w:pPr>
        <w:rPr>
          <w:lang w:val="es-ES"/>
        </w:rPr>
      </w:pPr>
      <w:r w:rsidRPr="00293329">
        <w:rPr>
          <w:lang w:val="es-ES"/>
        </w:rPr>
        <w:t>3.8</w:t>
      </w:r>
      <w:r w:rsidRPr="00293329">
        <w:rPr>
          <w:lang w:val="es-ES"/>
        </w:rPr>
        <w:tab/>
        <w:t>La CE 15 del UIT-T está trabajando en el Suplemento (</w:t>
      </w:r>
      <w:proofErr w:type="gramStart"/>
      <w:r w:rsidRPr="00293329">
        <w:rPr>
          <w:lang w:val="es-ES"/>
        </w:rPr>
        <w:t>G.Sup.otnsec</w:t>
      </w:r>
      <w:proofErr w:type="gramEnd"/>
      <w:r w:rsidRPr="00293329">
        <w:rPr>
          <w:lang w:val="es-ES"/>
        </w:rPr>
        <w:t>) que describe el lenguaje y una infraestructura de datos común en las capas de protocolo de la Red de Transporte Óptico</w:t>
      </w:r>
      <w:r w:rsidR="00B74E56" w:rsidRPr="00293329">
        <w:rPr>
          <w:lang w:val="es-ES"/>
        </w:rPr>
        <w:t> </w:t>
      </w:r>
      <w:r w:rsidRPr="00293329">
        <w:rPr>
          <w:lang w:val="es-ES"/>
        </w:rPr>
        <w:t>(OTN) existentes que se necesita para utilizar los protocolos criptográficos propuestos de forma independiente a fin de crear soluciones de transporte seguro en determinadas capas de la</w:t>
      </w:r>
      <w:r w:rsidR="007B1B46" w:rsidRPr="00293329">
        <w:rPr>
          <w:lang w:val="es-ES"/>
        </w:rPr>
        <w:t> </w:t>
      </w:r>
      <w:r w:rsidRPr="00293329">
        <w:rPr>
          <w:lang w:val="es-ES"/>
        </w:rPr>
        <w:t xml:space="preserve">OTN. </w:t>
      </w:r>
    </w:p>
    <w:p w14:paraId="38D9EB5D" w14:textId="272FD5FE" w:rsidR="00093BA4" w:rsidRPr="00293329" w:rsidRDefault="00093BA4" w:rsidP="007B1B46">
      <w:pPr>
        <w:rPr>
          <w:lang w:val="es-ES"/>
        </w:rPr>
      </w:pPr>
      <w:r w:rsidRPr="00293329">
        <w:rPr>
          <w:lang w:val="es-ES"/>
        </w:rPr>
        <w:t>3.9</w:t>
      </w:r>
      <w:r w:rsidRPr="00293329">
        <w:rPr>
          <w:lang w:val="es-ES"/>
        </w:rPr>
        <w:tab/>
        <w:t>La CE </w:t>
      </w:r>
      <w:r w:rsidR="007B1B46" w:rsidRPr="00293329">
        <w:rPr>
          <w:lang w:val="es-ES"/>
        </w:rPr>
        <w:t>20</w:t>
      </w:r>
      <w:r w:rsidRPr="00293329">
        <w:rPr>
          <w:lang w:val="es-ES"/>
        </w:rPr>
        <w:t xml:space="preserve"> del UIT-T aprobó la Recomendación UIT-T Y.4807 </w:t>
      </w:r>
      <w:r w:rsidR="007235BF" w:rsidRPr="00293329">
        <w:rPr>
          <w:lang w:val="es-ES"/>
        </w:rPr>
        <w:t>"</w:t>
      </w:r>
      <w:r w:rsidRPr="00293329">
        <w:rPr>
          <w:lang w:val="es-ES"/>
        </w:rPr>
        <w:t>Agility by design for Telecommunications/ICT Systems Security used in the Internet of Things</w:t>
      </w:r>
      <w:r w:rsidR="007235BF" w:rsidRPr="00293329">
        <w:rPr>
          <w:lang w:val="es-ES"/>
        </w:rPr>
        <w:t>"</w:t>
      </w:r>
      <w:r w:rsidRPr="00293329">
        <w:rPr>
          <w:lang w:val="es-ES"/>
        </w:rPr>
        <w:t>.</w:t>
      </w:r>
    </w:p>
    <w:p w14:paraId="1B27148C" w14:textId="77E7C53C" w:rsidR="00093BA4" w:rsidRPr="00293329" w:rsidRDefault="00093BA4" w:rsidP="00474CE0">
      <w:pPr>
        <w:rPr>
          <w:szCs w:val="24"/>
          <w:lang w:val="es-ES"/>
        </w:rPr>
      </w:pPr>
      <w:r w:rsidRPr="00293329">
        <w:rPr>
          <w:lang w:val="es-ES"/>
        </w:rPr>
        <w:t>3.10</w:t>
      </w:r>
      <w:r w:rsidRPr="00293329">
        <w:rPr>
          <w:lang w:val="es-ES"/>
        </w:rPr>
        <w:tab/>
        <w:t>Varios Grupos Temáticos del UIT-T están estudiando los aspe</w:t>
      </w:r>
      <w:r w:rsidR="007B1B46" w:rsidRPr="00293329">
        <w:rPr>
          <w:lang w:val="es-ES"/>
        </w:rPr>
        <w:t>ctos de confianza de varias tec</w:t>
      </w:r>
      <w:r w:rsidRPr="00293329">
        <w:rPr>
          <w:lang w:val="es-ES"/>
        </w:rPr>
        <w:t xml:space="preserve">nologías emergentes como parte de su trabajo. Estos incluyen </w:t>
      </w:r>
      <w:r w:rsidRPr="00293329">
        <w:rPr>
          <w:rFonts w:asciiTheme="minorHAnsi" w:hAnsiTheme="minorHAnsi" w:cstheme="minorHAnsi"/>
          <w:szCs w:val="24"/>
          <w:lang w:val="es-ES"/>
        </w:rPr>
        <w:t xml:space="preserve">1) el </w:t>
      </w:r>
      <w:hyperlink r:id="rId36" w:history="1">
        <w:r w:rsidRPr="00293329">
          <w:rPr>
            <w:rStyle w:val="Hyperlink"/>
            <w:rFonts w:cstheme="minorHAnsi"/>
            <w:i/>
            <w:spacing w:val="2"/>
            <w:szCs w:val="24"/>
            <w:lang w:val="es-ES"/>
          </w:rPr>
          <w:t>Grupo Temático del UIT-T sobre aprendizaje automático para redes futuras, incluidas las 5G (FG-ML5G)</w:t>
        </w:r>
      </w:hyperlink>
      <w:r w:rsidR="007B1B46" w:rsidRPr="00293329">
        <w:rPr>
          <w:rFonts w:cstheme="minorHAnsi"/>
          <w:spacing w:val="2"/>
          <w:szCs w:val="24"/>
          <w:lang w:val="es-ES"/>
        </w:rPr>
        <w:t xml:space="preserve"> </w:t>
      </w:r>
      <w:r w:rsidRPr="00293329">
        <w:rPr>
          <w:rFonts w:cstheme="minorHAnsi"/>
          <w:spacing w:val="2"/>
          <w:szCs w:val="24"/>
          <w:lang w:val="es-ES"/>
        </w:rPr>
        <w:t xml:space="preserve">2) </w:t>
      </w:r>
      <w:hyperlink r:id="rId37" w:history="1">
        <w:r w:rsidRPr="00293329">
          <w:rPr>
            <w:rStyle w:val="Hyperlink"/>
            <w:rFonts w:cstheme="minorHAnsi"/>
            <w:i/>
            <w:spacing w:val="2"/>
            <w:szCs w:val="24"/>
            <w:lang w:val="es-ES"/>
          </w:rPr>
          <w:t>Grupo Temático del UIT-T sobre Tecnologías para la Red 2030 (FG NET-2030)</w:t>
        </w:r>
      </w:hyperlink>
      <w:r w:rsidR="007B1B46" w:rsidRPr="00293329">
        <w:rPr>
          <w:rFonts w:cstheme="minorHAnsi"/>
          <w:spacing w:val="2"/>
          <w:szCs w:val="24"/>
          <w:lang w:val="es-ES"/>
        </w:rPr>
        <w:t xml:space="preserve"> </w:t>
      </w:r>
      <w:r w:rsidRPr="00293329">
        <w:rPr>
          <w:rFonts w:cstheme="minorHAnsi"/>
          <w:spacing w:val="2"/>
          <w:szCs w:val="24"/>
          <w:lang w:val="es-ES"/>
        </w:rPr>
        <w:t xml:space="preserve">3) </w:t>
      </w:r>
      <w:hyperlink r:id="rId38" w:history="1">
        <w:r w:rsidRPr="00293329">
          <w:rPr>
            <w:rStyle w:val="Hyperlink"/>
            <w:rFonts w:cstheme="minorHAnsi"/>
            <w:i/>
            <w:spacing w:val="4"/>
            <w:szCs w:val="24"/>
            <w:lang w:val="es-ES"/>
          </w:rPr>
          <w:t>Grupo Temático del UIT-T sobre Inteligencia artificial para la salud (FG AI4H)</w:t>
        </w:r>
      </w:hyperlink>
      <w:r w:rsidR="007B1B46" w:rsidRPr="00293329">
        <w:rPr>
          <w:rFonts w:cstheme="minorHAnsi"/>
          <w:spacing w:val="2"/>
          <w:szCs w:val="24"/>
          <w:lang w:val="es-ES"/>
        </w:rPr>
        <w:t xml:space="preserve"> </w:t>
      </w:r>
      <w:r w:rsidRPr="00293329">
        <w:rPr>
          <w:rFonts w:cstheme="minorHAnsi"/>
          <w:spacing w:val="2"/>
          <w:szCs w:val="24"/>
          <w:lang w:val="es-ES"/>
        </w:rPr>
        <w:t xml:space="preserve">4) </w:t>
      </w:r>
      <w:hyperlink r:id="rId39" w:history="1">
        <w:r w:rsidRPr="00293329">
          <w:rPr>
            <w:rStyle w:val="Hyperlink"/>
            <w:rFonts w:cstheme="minorHAnsi"/>
            <w:i/>
            <w:spacing w:val="4"/>
            <w:szCs w:val="24"/>
            <w:lang w:val="es-ES"/>
          </w:rPr>
          <w:t>Grupo Temático del UIT-T sobre multimedios en vehículos (FG VM</w:t>
        </w:r>
      </w:hyperlink>
      <w:r w:rsidRPr="00293329">
        <w:rPr>
          <w:rFonts w:cstheme="minorHAnsi"/>
          <w:i/>
          <w:spacing w:val="4"/>
          <w:szCs w:val="24"/>
          <w:lang w:val="es-ES"/>
        </w:rPr>
        <w:t>)</w:t>
      </w:r>
      <w:r w:rsidR="007B1B46" w:rsidRPr="00293329">
        <w:rPr>
          <w:rFonts w:asciiTheme="minorHAnsi" w:hAnsiTheme="minorHAnsi" w:cstheme="minorHAnsi"/>
          <w:szCs w:val="24"/>
          <w:lang w:val="es-ES"/>
        </w:rPr>
        <w:t xml:space="preserve"> </w:t>
      </w:r>
      <w:r w:rsidRPr="00293329">
        <w:rPr>
          <w:rFonts w:asciiTheme="minorHAnsi" w:hAnsiTheme="minorHAnsi" w:cstheme="minorHAnsi"/>
          <w:szCs w:val="24"/>
          <w:lang w:val="es-ES"/>
        </w:rPr>
        <w:t>5) </w:t>
      </w:r>
      <w:hyperlink r:id="rId40" w:history="1">
        <w:r w:rsidRPr="00293329">
          <w:rPr>
            <w:rStyle w:val="Hyperlink"/>
            <w:rFonts w:asciiTheme="minorHAnsi" w:hAnsiTheme="minorHAnsi" w:cstheme="minorHAnsi"/>
            <w:i/>
            <w:szCs w:val="24"/>
            <w:lang w:val="es-ES"/>
          </w:rPr>
          <w:t>Grupo Temático del UIT-T sobre IA para la conducción autónoma y asistida</w:t>
        </w:r>
        <w:r w:rsidR="007B1B46" w:rsidRPr="00293329">
          <w:rPr>
            <w:rStyle w:val="Hyperlink"/>
            <w:rFonts w:asciiTheme="minorHAnsi" w:hAnsiTheme="minorHAnsi" w:cstheme="minorHAnsi"/>
            <w:szCs w:val="24"/>
            <w:lang w:val="es-ES"/>
          </w:rPr>
          <w:t xml:space="preserve"> </w:t>
        </w:r>
        <w:r w:rsidR="007B1B46" w:rsidRPr="00293329">
          <w:rPr>
            <w:rStyle w:val="Hyperlink"/>
            <w:rFonts w:asciiTheme="minorHAnsi" w:hAnsiTheme="minorHAnsi" w:cstheme="minorHAnsi"/>
            <w:i/>
            <w:szCs w:val="24"/>
            <w:lang w:val="es-ES"/>
          </w:rPr>
          <w:t>(FG-AI4AD)</w:t>
        </w:r>
      </w:hyperlink>
      <w:r w:rsidR="007B1B46" w:rsidRPr="00293329">
        <w:rPr>
          <w:rFonts w:asciiTheme="minorHAnsi" w:hAnsiTheme="minorHAnsi" w:cstheme="minorHAnsi"/>
          <w:szCs w:val="24"/>
          <w:lang w:val="es-ES"/>
        </w:rPr>
        <w:t xml:space="preserve"> </w:t>
      </w:r>
      <w:r w:rsidRPr="00293329">
        <w:rPr>
          <w:rFonts w:asciiTheme="minorHAnsi" w:hAnsiTheme="minorHAnsi" w:cstheme="minorHAnsi"/>
          <w:szCs w:val="24"/>
          <w:lang w:val="es-ES"/>
        </w:rPr>
        <w:t xml:space="preserve">6) </w:t>
      </w:r>
      <w:hyperlink r:id="rId41" w:history="1">
        <w:r w:rsidRPr="00293329">
          <w:rPr>
            <w:rStyle w:val="Hyperlink"/>
            <w:rFonts w:asciiTheme="minorHAnsi" w:hAnsiTheme="minorHAnsi" w:cstheme="minorHAnsi"/>
            <w:i/>
            <w:szCs w:val="24"/>
            <w:lang w:val="es-ES"/>
          </w:rPr>
          <w:t>Grupo Temático del UIT-T sobre tecnología de la información cuántica para redes (FG-QIT4N)</w:t>
        </w:r>
      </w:hyperlink>
      <w:r w:rsidRPr="00293329">
        <w:rPr>
          <w:rStyle w:val="Hyperlink"/>
          <w:rFonts w:asciiTheme="minorHAnsi" w:hAnsiTheme="minorHAnsi" w:cstheme="minorHAnsi"/>
          <w:i/>
          <w:color w:val="auto"/>
          <w:szCs w:val="24"/>
          <w:u w:val="none"/>
          <w:lang w:val="es-ES"/>
        </w:rPr>
        <w:t>.</w:t>
      </w:r>
    </w:p>
    <w:p w14:paraId="454BF675" w14:textId="29D61337" w:rsidR="00093BA4" w:rsidRPr="00293329" w:rsidRDefault="00093BA4" w:rsidP="007B1B46">
      <w:pPr>
        <w:rPr>
          <w:rFonts w:eastAsia="SimSun"/>
          <w:lang w:val="es-ES" w:eastAsia="zh-CN"/>
        </w:rPr>
      </w:pPr>
      <w:r w:rsidRPr="00293329">
        <w:rPr>
          <w:lang w:val="es-ES"/>
        </w:rPr>
        <w:t>3.11</w:t>
      </w:r>
      <w:r w:rsidRPr="00293329">
        <w:rPr>
          <w:rFonts w:eastAsia="SimSun"/>
          <w:lang w:val="es-ES" w:eastAsia="zh-CN"/>
        </w:rPr>
        <w:tab/>
        <w:t xml:space="preserve">La UIT, en colaboración con la Fundación Bill y Melinda Gates, el Grupo del Banco Mundial y el Banco de Pagos Internacionales, organizó un </w:t>
      </w:r>
      <w:hyperlink r:id="rId42" w:history="1">
        <w:r w:rsidR="007B1B46" w:rsidRPr="00293329">
          <w:rPr>
            <w:rStyle w:val="Hyperlink"/>
            <w:rFonts w:eastAsia="SimSun"/>
            <w:lang w:val="es-ES" w:eastAsia="zh-CN"/>
          </w:rPr>
          <w:t>T</w:t>
        </w:r>
        <w:r w:rsidRPr="00293329">
          <w:rPr>
            <w:rStyle w:val="Hyperlink"/>
            <w:rFonts w:eastAsia="SimSun"/>
            <w:lang w:val="es-ES" w:eastAsia="zh-CN"/>
          </w:rPr>
          <w:t>aller sobre la seguridad, la infraestructura y la confianza en los servicios financieros digitales</w:t>
        </w:r>
      </w:hyperlink>
      <w:r w:rsidRPr="00293329">
        <w:rPr>
          <w:rFonts w:eastAsia="SimSun"/>
          <w:lang w:val="es-ES" w:eastAsia="zh-CN"/>
        </w:rPr>
        <w:t>, que se celebró los días 4 y 5 de diciembre de 2019 en la sede de la UIT en Ginebra (Suiza).</w:t>
      </w:r>
    </w:p>
    <w:p w14:paraId="0E3AB7CE" w14:textId="77777777" w:rsidR="00093BA4" w:rsidRPr="00293329" w:rsidRDefault="00093BA4" w:rsidP="007B1B46">
      <w:pPr>
        <w:rPr>
          <w:lang w:val="es-ES"/>
        </w:rPr>
      </w:pPr>
      <w:r w:rsidRPr="00293329">
        <w:rPr>
          <w:rFonts w:eastAsia="SimSun"/>
          <w:lang w:val="es-ES" w:eastAsia="zh-CN"/>
        </w:rPr>
        <w:t>3.12</w:t>
      </w:r>
      <w:r w:rsidRPr="00293329">
        <w:rPr>
          <w:rFonts w:eastAsia="SimSun"/>
          <w:lang w:val="es-ES" w:eastAsia="zh-CN"/>
        </w:rPr>
        <w:tab/>
      </w:r>
      <w:r w:rsidRPr="00293329">
        <w:rPr>
          <w:lang w:val="es-ES"/>
        </w:rPr>
        <w:t xml:space="preserve">El UIT-R prosigue sus trabajos sobre normalización de las radiocomunicaciones, adaptándose a la constante evolución de las redes de telecomunicación modernas. Ese Sector ha establecido principios de seguridad claros para las redes IMT (3G, 4G y 5G) (Recomendaciones UIT-R M.1078, M.1223, M.1457, M.1645, M.2012 y M.2083). Ha publicado también Recomendaciones sobre cuestiones de seguridad en la arquitectura de la gestión de red para sistemas digitales de satélite </w:t>
      </w:r>
      <w:r w:rsidRPr="00293329">
        <w:rPr>
          <w:lang w:val="es-ES"/>
        </w:rPr>
        <w:lastRenderedPageBreak/>
        <w:t>(Recomendación UIT-R S.1250) y mejoras en el comportamiento del protocolo de control de transmisión por redes de satélites (Recomendación UIT-R S.1711).</w:t>
      </w:r>
    </w:p>
    <w:p w14:paraId="7DAA1061" w14:textId="77777777" w:rsidR="00093BA4" w:rsidRPr="00293329" w:rsidRDefault="00093BA4" w:rsidP="00093BA4">
      <w:pPr>
        <w:pStyle w:val="Heading1"/>
        <w:rPr>
          <w:lang w:val="es-ES"/>
        </w:rPr>
      </w:pPr>
      <w:r w:rsidRPr="00293329">
        <w:rPr>
          <w:lang w:val="es-ES"/>
        </w:rPr>
        <w:t>4</w:t>
      </w:r>
      <w:r w:rsidRPr="00293329">
        <w:rPr>
          <w:lang w:val="es-ES"/>
        </w:rPr>
        <w:tab/>
      </w:r>
      <w:proofErr w:type="gramStart"/>
      <w:r w:rsidRPr="00293329">
        <w:rPr>
          <w:lang w:val="es-ES"/>
        </w:rPr>
        <w:t>Estructuras</w:t>
      </w:r>
      <w:proofErr w:type="gramEnd"/>
      <w:r w:rsidRPr="00293329">
        <w:rPr>
          <w:lang w:val="es-ES"/>
        </w:rPr>
        <w:t xml:space="preserve"> institucionales</w:t>
      </w:r>
    </w:p>
    <w:p w14:paraId="00436270" w14:textId="777A1134" w:rsidR="00093BA4" w:rsidRPr="00293329" w:rsidRDefault="00093BA4" w:rsidP="00C12971">
      <w:pPr>
        <w:rPr>
          <w:rFonts w:cs="Segoe UI"/>
          <w:lang w:val="es-ES"/>
        </w:rPr>
      </w:pPr>
      <w:r w:rsidRPr="00293329">
        <w:rPr>
          <w:lang w:val="es-ES"/>
        </w:rPr>
        <w:t>4.1</w:t>
      </w:r>
      <w:r w:rsidRPr="00293329">
        <w:rPr>
          <w:lang w:val="es-ES"/>
        </w:rPr>
        <w:tab/>
        <w:t>La UIT realizó evaluaciones técnicas para valorar la preparación a efectos del establecimiento de Equipos de intervención en caso de incidente informático (</w:t>
      </w:r>
      <w:bookmarkStart w:id="12" w:name="_Hlk36721535"/>
      <w:r w:rsidRPr="00293329">
        <w:rPr>
          <w:lang w:val="es-ES"/>
        </w:rPr>
        <w:t>EIII</w:t>
      </w:r>
      <w:bookmarkEnd w:id="12"/>
      <w:r w:rsidRPr="00293329">
        <w:rPr>
          <w:lang w:val="es-ES"/>
        </w:rPr>
        <w:t xml:space="preserve">) en 76 países y está adoptando las medidas de seguimiento necesarias. Se ha completado la participación directa en 14 de esas actividades. Mediante la ejecución del proyecto de servicios y capacidades conexas de los EIII, se prestó asistencia al Estado de Palestina en la creación y el despliegue de las capacidades técnicas y la capacitación conexa para las operaciones del EIII. Kiribati y las Islas Salomón recibieron asistencia para elaborar sus estrategias nacionales de seguridad cibernética. Se proporcionó capacitación al EIII de Papua Nueva Guinea y Vanuatu mediante el </w:t>
      </w:r>
      <w:hyperlink r:id="rId43" w:history="1">
        <w:r w:rsidRPr="00293329">
          <w:rPr>
            <w:rStyle w:val="Hyperlink"/>
            <w:lang w:val="es-ES"/>
          </w:rPr>
          <w:t>proyecto del Departamento de Comunicaciones y Artes de la UIT, Australia (DoCA)</w:t>
        </w:r>
      </w:hyperlink>
      <w:r w:rsidRPr="00293329">
        <w:rPr>
          <w:lang w:val="es-ES"/>
        </w:rPr>
        <w:t>. Se celebraron en Chad y Liberia cursos prácticos de evaluación de la preparación para el EIII. Las partes interesadas nacionales del EIII de Gambia recibieron capacitación sobre las operaciones del EIII. Se iniciaron cuatro proyectos de EIII y su ejecución sigue en curso en Botswana, Burundi, Gambia y Malawi. En Kenya, está en curso la mejora del EIII existente (que se completará en 2020).</w:t>
      </w:r>
    </w:p>
    <w:p w14:paraId="34240648" w14:textId="776D5336" w:rsidR="00093BA4" w:rsidRPr="00293329" w:rsidRDefault="00093BA4" w:rsidP="00C12971">
      <w:pPr>
        <w:rPr>
          <w:rFonts w:asciiTheme="minorHAnsi" w:hAnsiTheme="minorHAnsi"/>
          <w:szCs w:val="24"/>
          <w:lang w:val="es-ES"/>
        </w:rPr>
      </w:pPr>
      <w:r w:rsidRPr="00293329">
        <w:rPr>
          <w:lang w:val="es-ES"/>
        </w:rPr>
        <w:t>4.2</w:t>
      </w:r>
      <w:r w:rsidRPr="00293329">
        <w:rPr>
          <w:lang w:val="es-ES"/>
        </w:rPr>
        <w:tab/>
      </w:r>
      <w:bookmarkStart w:id="13" w:name="lt_pId071"/>
      <w:r w:rsidRPr="00293329">
        <w:rPr>
          <w:lang w:val="es-ES"/>
        </w:rPr>
        <w:t xml:space="preserve">La UIT ha realizado 28 </w:t>
      </w:r>
      <w:hyperlink r:id="rId44" w:history="1">
        <w:r w:rsidRPr="00293329">
          <w:rPr>
            <w:rStyle w:val="Hyperlink"/>
            <w:lang w:val="es-ES"/>
          </w:rPr>
          <w:t>ciberejercicios de simulación</w:t>
        </w:r>
      </w:hyperlink>
      <w:r w:rsidRPr="00293329">
        <w:rPr>
          <w:lang w:val="es-ES"/>
        </w:rPr>
        <w:t xml:space="preserve"> </w:t>
      </w:r>
      <w:bookmarkStart w:id="14" w:name="lt_pId073"/>
      <w:bookmarkEnd w:id="13"/>
      <w:r w:rsidRPr="00293329">
        <w:rPr>
          <w:lang w:val="es-ES"/>
        </w:rPr>
        <w:t>en más de 100 países. Se han llevado a</w:t>
      </w:r>
      <w:r w:rsidRPr="00293329">
        <w:rPr>
          <w:rFonts w:asciiTheme="minorHAnsi" w:hAnsiTheme="minorHAnsi"/>
          <w:szCs w:val="24"/>
          <w:lang w:val="es-ES"/>
        </w:rPr>
        <w:t xml:space="preserve"> cabo ciberejercicios de simulación en </w:t>
      </w:r>
      <w:hyperlink r:id="rId45" w:history="1">
        <w:r w:rsidRPr="00293329">
          <w:rPr>
            <w:rStyle w:val="Hyperlink"/>
            <w:rFonts w:asciiTheme="minorHAnsi" w:hAnsiTheme="minorHAnsi" w:cstheme="minorHAnsi"/>
            <w:spacing w:val="2"/>
            <w:lang w:val="es-ES"/>
          </w:rPr>
          <w:t>Uganda</w:t>
        </w:r>
      </w:hyperlink>
      <w:r w:rsidRPr="00293329">
        <w:rPr>
          <w:rFonts w:asciiTheme="minorHAnsi" w:hAnsiTheme="minorHAnsi"/>
          <w:szCs w:val="24"/>
          <w:lang w:val="es-ES"/>
        </w:rPr>
        <w:t xml:space="preserve"> (</w:t>
      </w:r>
      <w:r w:rsidR="00C12971" w:rsidRPr="00293329">
        <w:rPr>
          <w:rFonts w:asciiTheme="minorHAnsi" w:hAnsiTheme="minorHAnsi"/>
          <w:szCs w:val="24"/>
          <w:lang w:val="es-ES"/>
        </w:rPr>
        <w:t xml:space="preserve">Región </w:t>
      </w:r>
      <w:r w:rsidRPr="00293329">
        <w:rPr>
          <w:rFonts w:asciiTheme="minorHAnsi" w:hAnsiTheme="minorHAnsi"/>
          <w:szCs w:val="24"/>
          <w:lang w:val="es-ES"/>
        </w:rPr>
        <w:t xml:space="preserve">de África, noviembre de 2019); </w:t>
      </w:r>
      <w:bookmarkEnd w:id="14"/>
      <w:r w:rsidRPr="00293329">
        <w:fldChar w:fldCharType="begin"/>
      </w:r>
      <w:r w:rsidRPr="00293329">
        <w:rPr>
          <w:lang w:val="es-ES"/>
        </w:rPr>
        <w:instrText xml:space="preserve"> HYPERLINK "https://www.itu.int/en/ITU-D/Regional-Presence/ArabStates/Pages/Events/2018/Cyber/Cyber.aspx" </w:instrText>
      </w:r>
      <w:r w:rsidRPr="00293329">
        <w:fldChar w:fldCharType="separate"/>
      </w:r>
      <w:r w:rsidRPr="00293329">
        <w:rPr>
          <w:rStyle w:val="Hyperlink"/>
          <w:rFonts w:asciiTheme="minorHAnsi" w:hAnsiTheme="minorHAnsi" w:cstheme="minorHAnsi"/>
          <w:lang w:val="es-ES"/>
        </w:rPr>
        <w:t>Omán</w:t>
      </w:r>
      <w:r w:rsidRPr="00293329">
        <w:rPr>
          <w:rStyle w:val="Hyperlink"/>
          <w:rFonts w:asciiTheme="minorHAnsi" w:hAnsiTheme="minorHAnsi" w:cstheme="minorHAnsi"/>
          <w:lang w:val="es-ES"/>
        </w:rPr>
        <w:fldChar w:fldCharType="end"/>
      </w:r>
      <w:r w:rsidR="00B74E56" w:rsidRPr="00293329">
        <w:rPr>
          <w:rFonts w:asciiTheme="minorHAnsi" w:hAnsiTheme="minorHAnsi" w:cstheme="minorHAnsi"/>
          <w:b/>
          <w:bCs/>
          <w:lang w:val="es-ES"/>
        </w:rPr>
        <w:t> </w:t>
      </w:r>
      <w:r w:rsidRPr="00293329">
        <w:rPr>
          <w:rFonts w:asciiTheme="minorHAnsi" w:hAnsiTheme="minorHAnsi" w:cstheme="minorHAnsi"/>
          <w:bCs/>
          <w:lang w:val="es-ES"/>
        </w:rPr>
        <w:t>(</w:t>
      </w:r>
      <w:r w:rsidRPr="00293329">
        <w:rPr>
          <w:rFonts w:asciiTheme="minorHAnsi" w:hAnsiTheme="minorHAnsi" w:cstheme="minorHAnsi"/>
          <w:lang w:val="es-ES"/>
        </w:rPr>
        <w:t xml:space="preserve">Región Árabe, octubre de 2019); </w:t>
      </w:r>
      <w:hyperlink r:id="rId46" w:history="1">
        <w:r w:rsidRPr="00293329">
          <w:rPr>
            <w:rStyle w:val="Hyperlink"/>
            <w:rFonts w:asciiTheme="minorHAnsi" w:hAnsiTheme="minorHAnsi" w:cstheme="minorHAnsi"/>
            <w:lang w:val="es-ES"/>
          </w:rPr>
          <w:t>Malasia</w:t>
        </w:r>
      </w:hyperlink>
      <w:r w:rsidRPr="00293329">
        <w:rPr>
          <w:rFonts w:asciiTheme="minorHAnsi" w:hAnsiTheme="minorHAnsi" w:cstheme="minorHAnsi"/>
          <w:lang w:val="es-ES"/>
        </w:rPr>
        <w:t xml:space="preserve"> (Región de Asia y el Pacífico, septiembre de 2019) </w:t>
      </w:r>
      <w:r w:rsidRPr="00293329">
        <w:rPr>
          <w:lang w:val="es-ES"/>
        </w:rPr>
        <w:t>y Rumania (Región de Europa y la CEI, mayo de 2019). Está previsto realizar 5 ciberjercicios de simulación en 2020.</w:t>
      </w:r>
      <w:r w:rsidRPr="00293329">
        <w:rPr>
          <w:rFonts w:asciiTheme="minorHAnsi" w:hAnsiTheme="minorHAnsi" w:cstheme="minorHAnsi"/>
          <w:lang w:val="es-ES"/>
        </w:rPr>
        <w:t xml:space="preserve"> </w:t>
      </w:r>
    </w:p>
    <w:p w14:paraId="6511B659" w14:textId="77777777" w:rsidR="00093BA4" w:rsidRPr="00293329" w:rsidRDefault="00093BA4" w:rsidP="00093BA4">
      <w:pPr>
        <w:pStyle w:val="Heading1"/>
        <w:rPr>
          <w:lang w:val="es-ES"/>
        </w:rPr>
      </w:pPr>
      <w:r w:rsidRPr="00293329">
        <w:rPr>
          <w:lang w:val="es-ES"/>
        </w:rPr>
        <w:t>5</w:t>
      </w:r>
      <w:r w:rsidRPr="00293329">
        <w:rPr>
          <w:lang w:val="es-ES"/>
        </w:rPr>
        <w:tab/>
      </w:r>
      <w:proofErr w:type="gramStart"/>
      <w:r w:rsidRPr="00293329">
        <w:rPr>
          <w:lang w:val="es-ES"/>
        </w:rPr>
        <w:t>Creación</w:t>
      </w:r>
      <w:proofErr w:type="gramEnd"/>
      <w:r w:rsidRPr="00293329">
        <w:rPr>
          <w:lang w:val="es-ES"/>
        </w:rPr>
        <w:t xml:space="preserve"> de capacidad</w:t>
      </w:r>
    </w:p>
    <w:p w14:paraId="738D536A" w14:textId="77777777" w:rsidR="00093BA4" w:rsidRPr="00293329" w:rsidRDefault="00093BA4" w:rsidP="00093BA4">
      <w:pPr>
        <w:rPr>
          <w:lang w:val="es-ES"/>
        </w:rPr>
      </w:pPr>
      <w:r w:rsidRPr="00293329">
        <w:rPr>
          <w:lang w:val="es-ES"/>
        </w:rPr>
        <w:t>5.1</w:t>
      </w:r>
      <w:r w:rsidRPr="00293329">
        <w:rPr>
          <w:lang w:val="es-ES"/>
        </w:rPr>
        <w:tab/>
        <w:t xml:space="preserve">La UIT ha organizado </w:t>
      </w:r>
      <w:hyperlink r:id="rId47" w:history="1">
        <w:r w:rsidRPr="00293329">
          <w:rPr>
            <w:rStyle w:val="Hyperlink"/>
            <w:lang w:val="es-ES"/>
          </w:rPr>
          <w:t>foros regionales de ciberseguridad</w:t>
        </w:r>
      </w:hyperlink>
      <w:r w:rsidRPr="00293329">
        <w:rPr>
          <w:lang w:val="es-ES"/>
        </w:rPr>
        <w:t xml:space="preserve"> para todas sus regiones a fin de aumentar las capacidades en el marco de varios programas y actividades de la BDT y para ofrecer una plataforma operacional de cooperación regional e internacional.</w:t>
      </w:r>
    </w:p>
    <w:p w14:paraId="0FC5F69B" w14:textId="3C495B93" w:rsidR="00093BA4" w:rsidRPr="00293329" w:rsidRDefault="00093BA4" w:rsidP="00C12971">
      <w:pPr>
        <w:rPr>
          <w:rFonts w:asciiTheme="minorHAnsi" w:hAnsiTheme="minorHAnsi"/>
          <w:spacing w:val="-2"/>
          <w:lang w:val="es-ES"/>
        </w:rPr>
      </w:pPr>
      <w:r w:rsidRPr="00293329">
        <w:rPr>
          <w:lang w:val="es-ES"/>
        </w:rPr>
        <w:t>5.2</w:t>
      </w:r>
      <w:r w:rsidRPr="00293329">
        <w:rPr>
          <w:lang w:val="es-ES"/>
        </w:rPr>
        <w:tab/>
      </w:r>
      <w:bookmarkStart w:id="15" w:name="lt_pId084"/>
      <w:r w:rsidR="00C12971" w:rsidRPr="00293329">
        <w:rPr>
          <w:lang w:val="es-ES"/>
        </w:rPr>
        <w:t>Después de la CMDT-</w:t>
      </w:r>
      <w:r w:rsidRPr="00293329">
        <w:rPr>
          <w:lang w:val="es-ES"/>
        </w:rPr>
        <w:t>17, la Cuestión 3/2 de la CE</w:t>
      </w:r>
      <w:r w:rsidR="00944615" w:rsidRPr="00293329">
        <w:rPr>
          <w:lang w:val="es-ES"/>
        </w:rPr>
        <w:t> </w:t>
      </w:r>
      <w:r w:rsidRPr="00293329">
        <w:rPr>
          <w:lang w:val="es-ES"/>
        </w:rPr>
        <w:t>2 del UIT-</w:t>
      </w:r>
      <w:r w:rsidRPr="00293329">
        <w:rPr>
          <w:rFonts w:asciiTheme="minorHAnsi" w:hAnsiTheme="minorHAnsi"/>
          <w:spacing w:val="-2"/>
          <w:lang w:val="es-ES"/>
        </w:rPr>
        <w:t>D (</w:t>
      </w:r>
      <w:hyperlink r:id="rId48" w:history="1">
        <w:r w:rsidRPr="00293329">
          <w:rPr>
            <w:rStyle w:val="Hyperlink"/>
            <w:bCs/>
            <w:szCs w:val="24"/>
            <w:lang w:val="es-ES"/>
          </w:rPr>
          <w:t>Seguridad en las redes de información y comunicación: prácticas óptimas para el desarrollo de una cultura de ciberseguridad</w:t>
        </w:r>
      </w:hyperlink>
      <w:r w:rsidRPr="00293329">
        <w:rPr>
          <w:rFonts w:asciiTheme="minorHAnsi" w:hAnsiTheme="minorHAnsi"/>
          <w:spacing w:val="-2"/>
          <w:lang w:val="es-ES"/>
        </w:rPr>
        <w:t>) proseguirá su labor en el periodo de estudios 2018-2021.</w:t>
      </w:r>
      <w:bookmarkEnd w:id="15"/>
    </w:p>
    <w:p w14:paraId="38925DC5" w14:textId="56F2F7AD" w:rsidR="00093BA4" w:rsidRPr="00293329" w:rsidRDefault="00093BA4" w:rsidP="00C12971">
      <w:pPr>
        <w:rPr>
          <w:lang w:val="es-ES"/>
        </w:rPr>
      </w:pPr>
      <w:r w:rsidRPr="00293329">
        <w:rPr>
          <w:lang w:val="es-ES"/>
        </w:rPr>
        <w:t>5.3</w:t>
      </w:r>
      <w:r w:rsidRPr="00293329">
        <w:rPr>
          <w:lang w:val="es-ES"/>
        </w:rPr>
        <w:tab/>
      </w:r>
      <w:bookmarkStart w:id="16" w:name="lt_pId086"/>
      <w:r w:rsidRPr="00293329">
        <w:rPr>
          <w:lang w:val="es-ES"/>
        </w:rPr>
        <w:t>La Guía de la UIT sobre formulación de una estrategia nacional de ciberseguridad es una guía de prácticas idóneas que utilizan países de todas las regiones. Se organizaron los siguientes talleres en 2019: a) El Ministerio de Informática y la Agencia de Ciberseguridad de Indonesia acogieron un taller regional en Yakarta dedicado a las estrategias de ciberseguridad (los debates trataron de la reglamentación general de protección de datos); b) en Macedonia se dedicó un taller regional a la mejora de las estrategias nacionales en cinco países de los Balcanes; c)</w:t>
      </w:r>
      <w:r w:rsidR="00B74E56" w:rsidRPr="00293329">
        <w:rPr>
          <w:lang w:val="es-ES"/>
        </w:rPr>
        <w:t> </w:t>
      </w:r>
      <w:r w:rsidRPr="00293329">
        <w:rPr>
          <w:lang w:val="es-ES"/>
        </w:rPr>
        <w:t>Túnez acogió un taller regional dedicado a la mejora de las estrategias nacionales de los países de las Regiones de África y los Estados Árabes. Participaron activamente 20 países. Tres países recibieron asistencia directa para la formulación y revisión de sus estrategias nacionales de ciberseguridad utilizando la Guía.</w:t>
      </w:r>
    </w:p>
    <w:p w14:paraId="622410A7" w14:textId="77777777" w:rsidR="00093BA4" w:rsidRPr="00293329" w:rsidRDefault="00093BA4" w:rsidP="009232C1">
      <w:pPr>
        <w:rPr>
          <w:lang w:val="es-ES"/>
        </w:rPr>
      </w:pPr>
      <w:r w:rsidRPr="00293329">
        <w:rPr>
          <w:lang w:val="es-ES"/>
        </w:rPr>
        <w:t>5.4</w:t>
      </w:r>
      <w:r w:rsidRPr="00293329">
        <w:rPr>
          <w:lang w:val="es-ES"/>
        </w:rPr>
        <w:tab/>
        <w:t>Se impartió capacitación y se prestó asistencia técnica a Sudán a fin de mejorar su estrategia de protección de las infraestructuras de información esenciales.</w:t>
      </w:r>
    </w:p>
    <w:p w14:paraId="1C9FB874" w14:textId="77777777" w:rsidR="00093BA4" w:rsidRPr="00293329" w:rsidRDefault="00093BA4" w:rsidP="009232C1">
      <w:pPr>
        <w:rPr>
          <w:lang w:val="es-ES"/>
        </w:rPr>
      </w:pPr>
      <w:r w:rsidRPr="00293329">
        <w:rPr>
          <w:lang w:val="es-ES"/>
        </w:rPr>
        <w:lastRenderedPageBreak/>
        <w:t>5.5</w:t>
      </w:r>
      <w:r w:rsidRPr="00293329">
        <w:rPr>
          <w:lang w:val="es-ES"/>
        </w:rPr>
        <w:tab/>
        <w:t xml:space="preserve">Durante la Semana Regional de la Ciberseguridad en la región de los Estados Árabes, el Centro de Ciberseguridad de la Región Árabe de la UIT (CCRA-UIT) promovió la compartición de información y la capacitación en ciberseguridad. Esta Semana ofreció a expertos en TIC y ciberseguridad del sector público de la región la oportunidad de reunirse con las partes interesadas pertinentes y debatir acerca de las amenazas, la evolución, las oportunidades y retos de la ciberseguridad. </w:t>
      </w:r>
    </w:p>
    <w:p w14:paraId="3673EF31" w14:textId="77777777" w:rsidR="00093BA4" w:rsidRPr="00293329" w:rsidRDefault="00093BA4" w:rsidP="00CD7FD0">
      <w:pPr>
        <w:rPr>
          <w:lang w:val="es-ES"/>
        </w:rPr>
      </w:pPr>
      <w:r w:rsidRPr="00293329">
        <w:rPr>
          <w:lang w:val="es-ES"/>
        </w:rPr>
        <w:t>5.6</w:t>
      </w:r>
      <w:r w:rsidRPr="00293329">
        <w:rPr>
          <w:lang w:val="es-ES"/>
        </w:rPr>
        <w:tab/>
        <w:t>Se celebró en Chisinau, Moldova, la Semana de la Ciberseguridad de Moldova con el apoyo de la UIT. Esta conferencia ofreció oportunidades de creación de redes de contactos y una plataforma para el intercambio de ideas, el debate y la colaboración para la definición de estrategias y soluciones globales de ciberseguridad a través de la innovación.</w:t>
      </w:r>
    </w:p>
    <w:p w14:paraId="18ABF55B" w14:textId="77777777" w:rsidR="00093BA4" w:rsidRPr="00293329" w:rsidRDefault="00093BA4" w:rsidP="00CD7FD0">
      <w:pPr>
        <w:rPr>
          <w:lang w:val="es-ES"/>
        </w:rPr>
      </w:pPr>
      <w:r w:rsidRPr="00293329">
        <w:rPr>
          <w:lang w:val="es-ES"/>
        </w:rPr>
        <w:t>5.7</w:t>
      </w:r>
      <w:r w:rsidRPr="00293329">
        <w:rPr>
          <w:lang w:val="es-ES"/>
        </w:rPr>
        <w:tab/>
        <w:t>Se celebró el Cyber Shield 2019 en Ankara, Turquía, con el apoyo de la UIT. Los principales objetivos fueron aumentar la capacidad de respuesta frente a incidentes y los niveles de preparación, aumentar la comprensión mutua de los ciberriesgos y los efectos asociados, y garantizar un esfuerzo de colaboración constante entre las partes interesadas en la seguridad cibernética internacional, especialmente los equipos nacionales de intervención en caso de incidente informático (EIII), a fin de mitigar las ciberamenazas. La UIT también organizó una sesión de formación para Kirguistán acerca de la manera de crear un centro de operaciones de ciberseguridad.</w:t>
      </w:r>
    </w:p>
    <w:p w14:paraId="17F073A3" w14:textId="10F1E93A" w:rsidR="00093BA4" w:rsidRPr="00293329" w:rsidRDefault="00093BA4" w:rsidP="00CD7FD0">
      <w:pPr>
        <w:rPr>
          <w:lang w:val="es-ES"/>
        </w:rPr>
      </w:pPr>
      <w:r w:rsidRPr="00293329">
        <w:rPr>
          <w:lang w:val="es-ES"/>
        </w:rPr>
        <w:t>5.8</w:t>
      </w:r>
      <w:r w:rsidRPr="00293329">
        <w:rPr>
          <w:lang w:val="es-ES"/>
        </w:rPr>
        <w:tab/>
        <w:t xml:space="preserve">La UIT, el Centro de Formación Avanzada en Telecomunicaciones y la Facultad de </w:t>
      </w:r>
      <w:r w:rsidR="00CD7FD0" w:rsidRPr="00293329">
        <w:rPr>
          <w:lang w:val="es-ES"/>
        </w:rPr>
        <w:t xml:space="preserve">ciencias </w:t>
      </w:r>
      <w:r w:rsidRPr="00293329">
        <w:rPr>
          <w:lang w:val="es-ES"/>
        </w:rPr>
        <w:t>aplicadas de correos y telecomunicaciones (Facultad TIC, República Islámica de</w:t>
      </w:r>
      <w:r w:rsidR="004A7419" w:rsidRPr="00293329">
        <w:rPr>
          <w:lang w:val="es-ES"/>
        </w:rPr>
        <w:t>l</w:t>
      </w:r>
      <w:r w:rsidRPr="00293329">
        <w:rPr>
          <w:lang w:val="es-ES"/>
        </w:rPr>
        <w:t xml:space="preserve"> Irán) organizaron una </w:t>
      </w:r>
      <w:hyperlink r:id="rId49" w:history="1">
        <w:r w:rsidRPr="00293329">
          <w:rPr>
            <w:rStyle w:val="Hyperlink"/>
            <w:rFonts w:asciiTheme="minorHAnsi" w:hAnsiTheme="minorHAnsi"/>
            <w:szCs w:val="24"/>
            <w:lang w:val="es-ES"/>
          </w:rPr>
          <w:t>formación de ciberseguridad en el CoE ASP de la UIT (Teherán, Irán</w:t>
        </w:r>
        <w:r w:rsidR="00CD7FD0" w:rsidRPr="00293329">
          <w:rPr>
            <w:rStyle w:val="Hyperlink"/>
            <w:rFonts w:asciiTheme="minorHAnsi" w:hAnsiTheme="minorHAnsi"/>
            <w:szCs w:val="24"/>
            <w:lang w:val="es-ES"/>
          </w:rPr>
          <w:t xml:space="preserve">, </w:t>
        </w:r>
        <w:r w:rsidRPr="00293329">
          <w:rPr>
            <w:rStyle w:val="Hyperlink"/>
            <w:rFonts w:asciiTheme="minorHAnsi" w:hAnsiTheme="minorHAnsi"/>
            <w:szCs w:val="24"/>
            <w:lang w:val="es-ES"/>
          </w:rPr>
          <w:t>diciembre de 2018)</w:t>
        </w:r>
      </w:hyperlink>
      <w:r w:rsidRPr="00293329">
        <w:rPr>
          <w:lang w:val="es-ES"/>
        </w:rPr>
        <w:t>.</w:t>
      </w:r>
    </w:p>
    <w:p w14:paraId="7E90E3F1" w14:textId="77777777" w:rsidR="00093BA4" w:rsidRPr="00293329" w:rsidRDefault="00093BA4" w:rsidP="00CD7FD0">
      <w:pPr>
        <w:rPr>
          <w:lang w:val="es-ES"/>
        </w:rPr>
      </w:pPr>
      <w:r w:rsidRPr="00293329">
        <w:rPr>
          <w:lang w:val="es-ES"/>
        </w:rPr>
        <w:t>5.9</w:t>
      </w:r>
      <w:r w:rsidRPr="00293329">
        <w:rPr>
          <w:lang w:val="es-ES"/>
        </w:rPr>
        <w:tab/>
        <w:t xml:space="preserve">La tercera versión del </w:t>
      </w:r>
      <w:hyperlink r:id="rId50" w:history="1">
        <w:r w:rsidRPr="00293329">
          <w:rPr>
            <w:rStyle w:val="Hyperlink"/>
            <w:rFonts w:asciiTheme="minorHAnsi" w:hAnsiTheme="minorHAnsi"/>
            <w:szCs w:val="24"/>
            <w:lang w:val="es-ES"/>
          </w:rPr>
          <w:t>Índice Mundial de Ciberseguridad</w:t>
        </w:r>
      </w:hyperlink>
      <w:r w:rsidRPr="00293329">
        <w:rPr>
          <w:lang w:val="es-ES"/>
        </w:rPr>
        <w:t xml:space="preserve"> (GCI) muestra una considerable mejora en el compromiso con la ciberseguridad en todo el mundo. Se ha puesto en marcha la cuarta versión de la encuesta del Índice Mundial de Ciberseguridad, con un cuestionario y una metodología mejorados. En asociación con Deloitte, se realizó un examen del panorama de la ciberseguridad en Côte d'Ivoire, en el que se incluyeron las conclusiones del Índice Mundial de Ciberseguridad. El examen ayudó al país a determinar las iniciativas prioritarias en materia de ciberseguridad para mejorar su situación al respecto.</w:t>
      </w:r>
      <w:bookmarkEnd w:id="16"/>
    </w:p>
    <w:p w14:paraId="17858971" w14:textId="77777777" w:rsidR="00093BA4" w:rsidRPr="00293329" w:rsidRDefault="00093BA4" w:rsidP="00093BA4">
      <w:pPr>
        <w:pStyle w:val="Heading1"/>
        <w:rPr>
          <w:lang w:val="es-ES"/>
        </w:rPr>
      </w:pPr>
      <w:r w:rsidRPr="00293329">
        <w:rPr>
          <w:lang w:val="es-ES"/>
        </w:rPr>
        <w:t>6</w:t>
      </w:r>
      <w:r w:rsidRPr="00293329">
        <w:rPr>
          <w:lang w:val="es-ES"/>
        </w:rPr>
        <w:tab/>
      </w:r>
      <w:proofErr w:type="gramStart"/>
      <w:r w:rsidRPr="00293329">
        <w:rPr>
          <w:lang w:val="es-ES"/>
        </w:rPr>
        <w:t>Cooperación</w:t>
      </w:r>
      <w:proofErr w:type="gramEnd"/>
      <w:r w:rsidRPr="00293329">
        <w:rPr>
          <w:lang w:val="es-ES"/>
        </w:rPr>
        <w:t xml:space="preserve"> internacional</w:t>
      </w:r>
    </w:p>
    <w:p w14:paraId="78F6754F" w14:textId="58B7D5B3" w:rsidR="00093BA4" w:rsidRPr="00293329" w:rsidRDefault="00093BA4" w:rsidP="00093BA4">
      <w:pPr>
        <w:rPr>
          <w:lang w:val="es-ES"/>
        </w:rPr>
      </w:pPr>
      <w:r w:rsidRPr="00293329">
        <w:rPr>
          <w:lang w:val="es-ES"/>
        </w:rPr>
        <w:t>6.1</w:t>
      </w:r>
      <w:r w:rsidRPr="00293329">
        <w:rPr>
          <w:lang w:val="es-ES"/>
        </w:rPr>
        <w:tab/>
        <w:t xml:space="preserve">La UIT está forjando relaciones y </w:t>
      </w:r>
      <w:hyperlink r:id="rId51" w:history="1">
        <w:r w:rsidRPr="00293329">
          <w:rPr>
            <w:rStyle w:val="Hyperlink"/>
            <w:lang w:val="es-ES"/>
          </w:rPr>
          <w:t>asociaciones</w:t>
        </w:r>
      </w:hyperlink>
      <w:r w:rsidRPr="00293329">
        <w:rPr>
          <w:lang w:val="es-ES"/>
        </w:rPr>
        <w:t xml:space="preserve"> con diversas organizaciones e iniciativas regionales/internacionales, tales como la Iniciativa contra la ciberdelincuencia de la Commonwealth, </w:t>
      </w:r>
      <w:r w:rsidRPr="00293329">
        <w:rPr>
          <w:rFonts w:asciiTheme="minorHAnsi" w:hAnsiTheme="minorHAnsi"/>
          <w:szCs w:val="24"/>
          <w:lang w:val="es-ES"/>
        </w:rPr>
        <w:t>ENISA, INTERPOL, CEDEAO, el Banco Mundial, FIRST y las asociaciones de </w:t>
      </w:r>
      <w:r w:rsidRPr="00293329">
        <w:rPr>
          <w:lang w:val="es-ES"/>
        </w:rPr>
        <w:t>EIII/EIEI</w:t>
      </w:r>
      <w:r w:rsidR="00B74E56" w:rsidRPr="00293329">
        <w:rPr>
          <w:lang w:val="es-ES"/>
        </w:rPr>
        <w:t> </w:t>
      </w:r>
      <w:r w:rsidRPr="00293329">
        <w:rPr>
          <w:lang w:val="es-ES"/>
        </w:rPr>
        <w:t>regionales, como el EIEI AP, el EIEI ÁFRICA y el EIEI OIC.</w:t>
      </w:r>
    </w:p>
    <w:p w14:paraId="21FF5FEC" w14:textId="77777777" w:rsidR="00093BA4" w:rsidRPr="00293329" w:rsidRDefault="00093BA4" w:rsidP="009232C1">
      <w:pPr>
        <w:rPr>
          <w:lang w:val="es-ES"/>
        </w:rPr>
      </w:pPr>
      <w:r w:rsidRPr="00293329">
        <w:rPr>
          <w:lang w:val="es-ES"/>
        </w:rPr>
        <w:t>6.2</w:t>
      </w:r>
      <w:r w:rsidRPr="00293329">
        <w:rPr>
          <w:lang w:val="es-ES"/>
        </w:rPr>
        <w:tab/>
        <w:t>La UIT está prestando apoyo a la Presidencia del G20 (Arabia Saudita), a petición de ésta, como asociado en materia de conocimientos en diversos ámbitos, incluida la prioridad de la seguridad en la economía digital, como parte del esfuerzo de múltiples partes interesadas emprendido por la Secretaría del G20 para implicar a las organizaciones internacionales pertinentes.</w:t>
      </w:r>
    </w:p>
    <w:p w14:paraId="5D0F9CE6" w14:textId="16743695" w:rsidR="00093BA4" w:rsidRPr="00293329" w:rsidRDefault="00093BA4" w:rsidP="009232C1">
      <w:pPr>
        <w:rPr>
          <w:lang w:val="es-ES"/>
        </w:rPr>
      </w:pPr>
      <w:r w:rsidRPr="00293329">
        <w:rPr>
          <w:lang w:val="es-ES"/>
        </w:rPr>
        <w:t>6.3</w:t>
      </w:r>
      <w:r w:rsidRPr="00293329">
        <w:rPr>
          <w:lang w:val="es-ES"/>
        </w:rPr>
        <w:tab/>
        <w:t xml:space="preserve">La UIT, como principal organismo facilitador de la Línea de Acción C5 de la CMSI, organizó en el </w:t>
      </w:r>
      <w:hyperlink r:id="rId52" w:history="1">
        <w:r w:rsidRPr="00293329">
          <w:rPr>
            <w:rStyle w:val="Hyperlink"/>
            <w:lang w:val="es-ES"/>
          </w:rPr>
          <w:t>Foro de la CMSI 2019</w:t>
        </w:r>
      </w:hyperlink>
      <w:r w:rsidRPr="00293329">
        <w:rPr>
          <w:lang w:val="es-ES"/>
        </w:rPr>
        <w:t xml:space="preserve"> una sesión de alto nivel sobre inteligencia artificial y confianza, así como una sesión sobre la importancia de la medición de la ciberseguridad.</w:t>
      </w:r>
    </w:p>
    <w:p w14:paraId="3B031E4A" w14:textId="5E1861BC" w:rsidR="00093BA4" w:rsidRPr="00293329" w:rsidRDefault="00093BA4" w:rsidP="00293329">
      <w:pPr>
        <w:keepLines/>
        <w:rPr>
          <w:lang w:val="es-ES"/>
        </w:rPr>
      </w:pPr>
      <w:r w:rsidRPr="00293329">
        <w:rPr>
          <w:lang w:val="es-ES"/>
        </w:rPr>
        <w:lastRenderedPageBreak/>
        <w:t>6.4</w:t>
      </w:r>
      <w:r w:rsidRPr="00293329">
        <w:rPr>
          <w:lang w:val="es-ES"/>
        </w:rPr>
        <w:tab/>
        <w:t>Siguiendo las instrucciones de la reunión del Consejo de 2019, el Secretario General ha presentado a la reunión del Consejo de 2020: 1) un informe en el que se explica la forma en que la</w:t>
      </w:r>
      <w:r w:rsidR="00B74E56" w:rsidRPr="00293329">
        <w:rPr>
          <w:lang w:val="es-ES"/>
        </w:rPr>
        <w:t> </w:t>
      </w:r>
      <w:r w:rsidRPr="00293329">
        <w:rPr>
          <w:lang w:val="es-ES"/>
        </w:rPr>
        <w:t>UIT utiliza actualmente el marco de la ACG y</w:t>
      </w:r>
      <w:r w:rsidR="00CD7FD0" w:rsidRPr="00293329">
        <w:rPr>
          <w:lang w:val="es-ES"/>
        </w:rPr>
        <w:t>;</w:t>
      </w:r>
      <w:r w:rsidRPr="00293329">
        <w:rPr>
          <w:lang w:val="es-ES"/>
        </w:rPr>
        <w:t xml:space="preserve"> 2) con la participación de los Estados Miembros, directrices apropiadas elaboradas para la utilización de la ACG por la UIT, para su examen y aprobación por el Consejo.</w:t>
      </w:r>
    </w:p>
    <w:p w14:paraId="01ADC498" w14:textId="77777777" w:rsidR="00093BA4" w:rsidRPr="00293329" w:rsidRDefault="00093BA4" w:rsidP="00093BA4">
      <w:pPr>
        <w:pStyle w:val="Heading1"/>
        <w:rPr>
          <w:lang w:val="es-ES"/>
        </w:rPr>
      </w:pPr>
      <w:r w:rsidRPr="00293329">
        <w:rPr>
          <w:lang w:val="es-ES"/>
        </w:rPr>
        <w:t>7</w:t>
      </w:r>
      <w:r w:rsidRPr="00293329">
        <w:rPr>
          <w:lang w:val="es-ES"/>
        </w:rPr>
        <w:tab/>
      </w:r>
      <w:proofErr w:type="gramStart"/>
      <w:r w:rsidRPr="00293329">
        <w:rPr>
          <w:lang w:val="es-ES"/>
        </w:rPr>
        <w:t>Protección</w:t>
      </w:r>
      <w:proofErr w:type="gramEnd"/>
      <w:r w:rsidRPr="00293329">
        <w:rPr>
          <w:lang w:val="es-ES"/>
        </w:rPr>
        <w:t xml:space="preserve"> de la Infancia en Línea (PIeL)</w:t>
      </w:r>
    </w:p>
    <w:p w14:paraId="025BA82E" w14:textId="77777777" w:rsidR="00093BA4" w:rsidRPr="00293329" w:rsidRDefault="00093BA4" w:rsidP="00093BA4">
      <w:pPr>
        <w:rPr>
          <w:rFonts w:cs="Calibri"/>
          <w:lang w:val="es-ES"/>
        </w:rPr>
      </w:pPr>
      <w:r w:rsidRPr="00293329">
        <w:rPr>
          <w:lang w:val="es-ES"/>
        </w:rPr>
        <w:t>7.1</w:t>
      </w:r>
      <w:r w:rsidRPr="00293329">
        <w:rPr>
          <w:lang w:val="es-ES"/>
        </w:rPr>
        <w:tab/>
      </w:r>
      <w:r w:rsidRPr="00293329">
        <w:rPr>
          <w:rFonts w:cs="Calibri"/>
          <w:lang w:val="es-ES"/>
        </w:rPr>
        <w:t xml:space="preserve">Un grupo de trabajo multipartito de expertos, formado por más de 50 organizaciones y expertos, ha empezado a revisar las </w:t>
      </w:r>
      <w:hyperlink r:id="rId53" w:history="1">
        <w:r w:rsidRPr="00293329">
          <w:rPr>
            <w:color w:val="0000FF"/>
            <w:u w:val="single"/>
            <w:lang w:val="es-ES"/>
          </w:rPr>
          <w:t>Directrices para la Protección de la Infancia en Línea</w:t>
        </w:r>
      </w:hyperlink>
      <w:r w:rsidRPr="00293329">
        <w:rPr>
          <w:rFonts w:cs="Calibri"/>
          <w:lang w:val="es-ES"/>
        </w:rPr>
        <w:t>, publicadas por primera vez en 2009.</w:t>
      </w:r>
    </w:p>
    <w:p w14:paraId="114F9F98" w14:textId="63713B9F" w:rsidR="00093BA4" w:rsidRPr="00293329" w:rsidRDefault="00093BA4" w:rsidP="00093BA4">
      <w:pPr>
        <w:rPr>
          <w:rFonts w:eastAsia="Calibri" w:cs="Calibri"/>
          <w:lang w:val="es-ES"/>
        </w:rPr>
      </w:pPr>
      <w:r w:rsidRPr="00293329">
        <w:rPr>
          <w:lang w:val="es-ES"/>
        </w:rPr>
        <w:t>7.2</w:t>
      </w:r>
      <w:r w:rsidRPr="00293329">
        <w:rPr>
          <w:lang w:val="es-ES"/>
        </w:rPr>
        <w:tab/>
      </w:r>
      <w:r w:rsidRPr="00293329">
        <w:rPr>
          <w:rFonts w:cs="Calibri"/>
          <w:lang w:val="es-ES"/>
        </w:rPr>
        <w:t>En África se empezó a hablar de la implementación de marcos estratégicos nacionales en Chad, Kenya, Malawi y Rwanda. Concretamente, el Foro Regional de la PIeL, celebrado en Ghana, reunió a una amplia gama de expertos para analizar las eventuales soluciones y medidas que se pueden adoptar. En la Región Asia-Pacífico se prestó asistencia al desarrollo del Marco regional de la ASEAN para la Protección de la Infancia en Línea</w:t>
      </w:r>
      <w:r w:rsidR="00F45540" w:rsidRPr="00293329">
        <w:rPr>
          <w:rFonts w:cs="Calibri"/>
          <w:lang w:val="es-ES"/>
        </w:rPr>
        <w:t>, aprovechando las Directrices</w:t>
      </w:r>
      <w:r w:rsidRPr="00293329">
        <w:rPr>
          <w:rFonts w:cs="Calibri"/>
          <w:lang w:val="es-ES"/>
        </w:rPr>
        <w:t xml:space="preserve"> </w:t>
      </w:r>
      <w:r w:rsidR="00F45540" w:rsidRPr="00293329">
        <w:rPr>
          <w:rFonts w:cs="Calibri"/>
          <w:lang w:val="es-ES"/>
        </w:rPr>
        <w:t xml:space="preserve">para la PIeL, </w:t>
      </w:r>
      <w:r w:rsidRPr="00293329">
        <w:rPr>
          <w:rFonts w:cs="Calibri"/>
          <w:lang w:val="es-ES"/>
        </w:rPr>
        <w:t>en coordinación con otros socios, como</w:t>
      </w:r>
      <w:r w:rsidR="00B74E56" w:rsidRPr="00293329">
        <w:rPr>
          <w:rFonts w:cs="Calibri"/>
          <w:color w:val="000000"/>
          <w:lang w:val="es-ES"/>
        </w:rPr>
        <w:t> </w:t>
      </w:r>
      <w:r w:rsidRPr="00293329">
        <w:rPr>
          <w:rFonts w:cs="Calibri"/>
          <w:color w:val="000000"/>
          <w:lang w:val="es-ES"/>
        </w:rPr>
        <w:t xml:space="preserve">TELSOM/TELMIN. Se llevaron a cabo otras actividades en Europa, como parte de la </w:t>
      </w:r>
      <w:r w:rsidR="00FA6543" w:rsidRPr="00293329">
        <w:rPr>
          <w:rFonts w:cs="Calibri"/>
          <w:color w:val="000000"/>
          <w:lang w:val="es-ES"/>
        </w:rPr>
        <w:t xml:space="preserve">iniciativa regional </w:t>
      </w:r>
      <w:r w:rsidRPr="00293329">
        <w:rPr>
          <w:rFonts w:cs="Calibri"/>
          <w:color w:val="000000"/>
          <w:lang w:val="es-ES"/>
        </w:rPr>
        <w:t>para aumentar la confianza y seguridad en la utilización de las TIC</w:t>
      </w:r>
      <w:r w:rsidRPr="00293329">
        <w:rPr>
          <w:rFonts w:eastAsia="Calibri" w:cs="Calibri"/>
          <w:lang w:val="es-ES"/>
        </w:rPr>
        <w:t>.</w:t>
      </w:r>
    </w:p>
    <w:p w14:paraId="36AA3B25" w14:textId="2219A4C0" w:rsidR="00093BA4" w:rsidRPr="00293329" w:rsidRDefault="00093BA4" w:rsidP="009232C1">
      <w:pPr>
        <w:rPr>
          <w:rFonts w:asciiTheme="minorHAnsi" w:hAnsiTheme="minorHAnsi"/>
          <w:bCs/>
          <w:lang w:val="es-ES"/>
        </w:rPr>
      </w:pPr>
      <w:r w:rsidRPr="00293329">
        <w:rPr>
          <w:lang w:val="es-ES"/>
        </w:rPr>
        <w:t>7.3</w:t>
      </w:r>
      <w:r w:rsidRPr="00293329">
        <w:rPr>
          <w:lang w:val="es-ES"/>
        </w:rPr>
        <w:tab/>
      </w:r>
      <w:bookmarkStart w:id="17" w:name="lt_pId113"/>
      <w:r w:rsidR="00FA6543" w:rsidRPr="00293329">
        <w:rPr>
          <w:lang w:val="es-ES"/>
        </w:rPr>
        <w:t xml:space="preserve">La </w:t>
      </w:r>
      <w:r w:rsidRPr="00293329">
        <w:rPr>
          <w:lang w:val="es-ES"/>
        </w:rPr>
        <w:t xml:space="preserve">UIT se ocupa también de la Secretaría de la Comisión de la Banda Ancha para el Desarrollo Sostenible. El Grupo de Trabajo sobre seguridad de la infancia en línea, dirigido por la </w:t>
      </w:r>
      <w:r w:rsidRPr="00293329">
        <w:rPr>
          <w:i/>
          <w:iCs/>
          <w:lang w:val="es-ES"/>
        </w:rPr>
        <w:t>World Childhood Foundation</w:t>
      </w:r>
      <w:r w:rsidRPr="00293329">
        <w:rPr>
          <w:lang w:val="es-ES"/>
        </w:rPr>
        <w:t xml:space="preserve"> y Zain, publicó su </w:t>
      </w:r>
      <w:hyperlink r:id="rId54" w:history="1">
        <w:r w:rsidRPr="00293329">
          <w:rPr>
            <w:color w:val="0000FF"/>
            <w:u w:val="single"/>
            <w:lang w:val="es-ES"/>
          </w:rPr>
          <w:t>informe</w:t>
        </w:r>
      </w:hyperlink>
      <w:r w:rsidRPr="00293329">
        <w:rPr>
          <w:lang w:val="es-ES"/>
        </w:rPr>
        <w:t xml:space="preserve"> completo en Nueva York en octubre de 2019. Las Directrices </w:t>
      </w:r>
      <w:r w:rsidR="00FA6543" w:rsidRPr="00293329">
        <w:rPr>
          <w:lang w:val="es-ES"/>
        </w:rPr>
        <w:t xml:space="preserve">para la </w:t>
      </w:r>
      <w:r w:rsidRPr="00293329">
        <w:rPr>
          <w:lang w:val="es-ES"/>
        </w:rPr>
        <w:t xml:space="preserve">PIeL sirvieron de referencia y se toman como base para la implementación de las recomendaciones del </w:t>
      </w:r>
      <w:r w:rsidR="00FA6543" w:rsidRPr="00293329">
        <w:rPr>
          <w:lang w:val="es-ES"/>
        </w:rPr>
        <w:t>informe</w:t>
      </w:r>
      <w:r w:rsidRPr="00293329">
        <w:rPr>
          <w:lang w:val="es-ES"/>
        </w:rPr>
        <w:t>.</w:t>
      </w:r>
      <w:bookmarkEnd w:id="17"/>
    </w:p>
    <w:p w14:paraId="3BABBDBF" w14:textId="20B3A61E" w:rsidR="00093BA4" w:rsidRPr="00293329" w:rsidRDefault="00093BA4" w:rsidP="009232C1">
      <w:pPr>
        <w:rPr>
          <w:lang w:val="es-ES"/>
        </w:rPr>
      </w:pPr>
      <w:r w:rsidRPr="00293329">
        <w:rPr>
          <w:lang w:val="es-ES"/>
        </w:rPr>
        <w:t>7.4</w:t>
      </w:r>
      <w:r w:rsidRPr="00293329">
        <w:rPr>
          <w:lang w:val="es-ES"/>
        </w:rPr>
        <w:tab/>
      </w:r>
      <w:bookmarkStart w:id="18" w:name="lt_pId116"/>
      <w:r w:rsidRPr="00293329">
        <w:rPr>
          <w:lang w:val="es-ES"/>
        </w:rPr>
        <w:t>Se elaboró un estudio regional sobre los enfoques nacionales para mantener la seguridad de los jóvenes y los niños en línea, que se sometió a examen y consultas con los países. También se prestó asistencia a Georgia y Ucrania en la formulación de una estrategia nacional de protección de la infancia en línea.</w:t>
      </w:r>
    </w:p>
    <w:p w14:paraId="469B1EB4" w14:textId="63042CE7" w:rsidR="00093BA4" w:rsidRPr="00293329" w:rsidRDefault="00093BA4" w:rsidP="009232C1">
      <w:pPr>
        <w:rPr>
          <w:lang w:val="es-ES"/>
        </w:rPr>
      </w:pPr>
      <w:r w:rsidRPr="00293329">
        <w:rPr>
          <w:lang w:val="es-ES"/>
        </w:rPr>
        <w:t>7.5</w:t>
      </w:r>
      <w:r w:rsidRPr="00293329">
        <w:rPr>
          <w:lang w:val="es-ES"/>
        </w:rPr>
        <w:tab/>
        <w:t>La UIT celebró el Día de Internet más segura 2020 a través de diversas actividades, incluida la promoción de la protección de la infancia en línea</w:t>
      </w:r>
      <w:bookmarkStart w:id="19" w:name="lt_pId120"/>
      <w:bookmarkEnd w:id="18"/>
      <w:r w:rsidRPr="00293329">
        <w:rPr>
          <w:lang w:val="es-ES"/>
        </w:rPr>
        <w:t>.</w:t>
      </w:r>
      <w:bookmarkEnd w:id="19"/>
      <w:r w:rsidRPr="00293329">
        <w:rPr>
          <w:lang w:val="es-ES"/>
        </w:rPr>
        <w:t xml:space="preserve"> En el Día de Internet más segura 2020 se presentó la nueva </w:t>
      </w:r>
      <w:r w:rsidR="00FA6543" w:rsidRPr="00293329">
        <w:rPr>
          <w:lang w:val="es-ES"/>
        </w:rPr>
        <w:t xml:space="preserve">mascota </w:t>
      </w:r>
      <w:r w:rsidRPr="00293329">
        <w:rPr>
          <w:lang w:val="es-ES"/>
        </w:rPr>
        <w:t xml:space="preserve">de la PIeL. </w:t>
      </w:r>
      <w:r w:rsidRPr="00293329">
        <w:rPr>
          <w:rFonts w:cstheme="minorHAnsi"/>
          <w:lang w:val="es-ES"/>
        </w:rPr>
        <w:t xml:space="preserve">Unos niños se encargaron de concebir y crear el </w:t>
      </w:r>
      <w:hyperlink r:id="rId55" w:history="1">
        <w:r w:rsidRPr="00293329">
          <w:rPr>
            <w:rStyle w:val="Hyperlink"/>
            <w:rFonts w:asciiTheme="minorHAnsi" w:hAnsiTheme="minorHAnsi" w:cstheme="minorHAnsi"/>
            <w:szCs w:val="24"/>
            <w:lang w:val="es-ES"/>
          </w:rPr>
          <w:t>relato y antecedentes</w:t>
        </w:r>
      </w:hyperlink>
      <w:r w:rsidRPr="00293329">
        <w:rPr>
          <w:rFonts w:cstheme="minorHAnsi"/>
          <w:color w:val="000000"/>
          <w:lang w:val="es-ES"/>
        </w:rPr>
        <w:t xml:space="preserve"> </w:t>
      </w:r>
      <w:r w:rsidRPr="00293329">
        <w:rPr>
          <w:rFonts w:cstheme="minorHAnsi"/>
          <w:lang w:val="es-ES"/>
        </w:rPr>
        <w:t>a comienzos de enero de 2020.</w:t>
      </w:r>
    </w:p>
    <w:p w14:paraId="47F5C2D2" w14:textId="77777777" w:rsidR="00093BA4" w:rsidRPr="00293329" w:rsidRDefault="00093BA4" w:rsidP="00093BA4">
      <w:pPr>
        <w:pStyle w:val="Reasons"/>
        <w:rPr>
          <w:lang w:val="es-ES"/>
        </w:rPr>
      </w:pPr>
    </w:p>
    <w:p w14:paraId="3A3FCD8D" w14:textId="77777777" w:rsidR="00093BA4" w:rsidRPr="00293329" w:rsidRDefault="00093BA4" w:rsidP="00093BA4">
      <w:pPr>
        <w:jc w:val="center"/>
        <w:rPr>
          <w:lang w:val="es-ES"/>
        </w:rPr>
      </w:pPr>
      <w:r w:rsidRPr="00293329">
        <w:rPr>
          <w:lang w:val="es-ES"/>
        </w:rPr>
        <w:t>______________</w:t>
      </w:r>
    </w:p>
    <w:sectPr w:rsidR="00093BA4" w:rsidRPr="00293329" w:rsidSect="00B74E56">
      <w:headerReference w:type="default" r:id="rId56"/>
      <w:footerReference w:type="default" r:id="rId57"/>
      <w:footerReference w:type="first" r:id="rId58"/>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2D3C" w14:textId="77777777" w:rsidR="004D1965" w:rsidRDefault="004D1965">
      <w:r>
        <w:separator/>
      </w:r>
    </w:p>
  </w:endnote>
  <w:endnote w:type="continuationSeparator" w:id="0">
    <w:p w14:paraId="34031158" w14:textId="77777777" w:rsidR="004D1965" w:rsidRDefault="004D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5F20" w14:textId="53F00A5F" w:rsidR="00760F1C" w:rsidRPr="00F075BC" w:rsidRDefault="00A5781C" w:rsidP="000848E9">
    <w:pPr>
      <w:pStyle w:val="Footer"/>
      <w:rPr>
        <w:lang w:val="fr-FR"/>
      </w:rPr>
    </w:pPr>
    <w:r>
      <w:fldChar w:fldCharType="begin"/>
    </w:r>
    <w:r w:rsidRPr="00F075BC">
      <w:rPr>
        <w:lang w:val="fr-FR"/>
      </w:rPr>
      <w:instrText xml:space="preserve"> FILENAME \p  \* MERGEFORMAT </w:instrText>
    </w:r>
    <w:r>
      <w:fldChar w:fldCharType="separate"/>
    </w:r>
    <w:r w:rsidR="000848E9" w:rsidRPr="00F075BC">
      <w:rPr>
        <w:lang w:val="fr-FR"/>
      </w:rPr>
      <w:t>P:\ESP\SG\CONSEIL\C20\000\01</w:t>
    </w:r>
    <w:r w:rsidR="00093BA4">
      <w:rPr>
        <w:lang w:val="fr-FR"/>
      </w:rPr>
      <w:t>8</w:t>
    </w:r>
    <w:r w:rsidR="000848E9" w:rsidRPr="00F075BC">
      <w:rPr>
        <w:lang w:val="fr-FR"/>
      </w:rPr>
      <w:t>S.docx</w:t>
    </w:r>
    <w:r>
      <w:fldChar w:fldCharType="end"/>
    </w:r>
    <w:r w:rsidR="000848E9" w:rsidRPr="00F075BC">
      <w:rPr>
        <w:lang w:val="fr-FR"/>
      </w:rPr>
      <w:t xml:space="preserve"> (46732</w:t>
    </w:r>
    <w:r w:rsidR="00093BA4">
      <w:rPr>
        <w:lang w:val="fr-FR"/>
      </w:rPr>
      <w:t>4</w:t>
    </w:r>
    <w:r w:rsidR="000848E9" w:rsidRPr="00F075BC">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C32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1808" w14:textId="77777777" w:rsidR="004D1965" w:rsidRDefault="004D1965">
      <w:r>
        <w:t>____________________</w:t>
      </w:r>
    </w:p>
  </w:footnote>
  <w:footnote w:type="continuationSeparator" w:id="0">
    <w:p w14:paraId="01FB1D82" w14:textId="77777777" w:rsidR="004D1965" w:rsidRDefault="004D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792EF" w14:textId="06C8E0E7" w:rsidR="00760F1C" w:rsidRDefault="000B7C15" w:rsidP="007657F0">
    <w:pPr>
      <w:pStyle w:val="Header"/>
    </w:pPr>
    <w:r>
      <w:fldChar w:fldCharType="begin"/>
    </w:r>
    <w:r>
      <w:instrText>PAGE</w:instrText>
    </w:r>
    <w:r>
      <w:fldChar w:fldCharType="separate"/>
    </w:r>
    <w:r w:rsidR="00293329">
      <w:rPr>
        <w:noProof/>
      </w:rPr>
      <w:t>6</w:t>
    </w:r>
    <w:r>
      <w:rPr>
        <w:noProof/>
      </w:rPr>
      <w:fldChar w:fldCharType="end"/>
    </w:r>
  </w:p>
  <w:p w14:paraId="156C9CD7" w14:textId="0FC6F295" w:rsidR="00760F1C" w:rsidRDefault="00760F1C" w:rsidP="00C2727F">
    <w:pPr>
      <w:pStyle w:val="Header"/>
    </w:pPr>
    <w:r>
      <w:t>C</w:t>
    </w:r>
    <w:r w:rsidR="007955DA">
      <w:t>20</w:t>
    </w:r>
    <w:r>
      <w:t>/</w:t>
    </w:r>
    <w:r w:rsidR="000848E9">
      <w:t>1</w:t>
    </w:r>
    <w:r w:rsidR="00093BA4">
      <w:t>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65"/>
    <w:rsid w:val="000848E9"/>
    <w:rsid w:val="00093BA4"/>
    <w:rsid w:val="00093EEB"/>
    <w:rsid w:val="000B0D00"/>
    <w:rsid w:val="000B7C15"/>
    <w:rsid w:val="000D1D0F"/>
    <w:rsid w:val="000E1708"/>
    <w:rsid w:val="000F5290"/>
    <w:rsid w:val="0010165C"/>
    <w:rsid w:val="00121C2F"/>
    <w:rsid w:val="00146BFB"/>
    <w:rsid w:val="001A45F2"/>
    <w:rsid w:val="001F14A2"/>
    <w:rsid w:val="00202503"/>
    <w:rsid w:val="002724C5"/>
    <w:rsid w:val="002765BE"/>
    <w:rsid w:val="002801AA"/>
    <w:rsid w:val="00293329"/>
    <w:rsid w:val="002C4676"/>
    <w:rsid w:val="002C70B0"/>
    <w:rsid w:val="002F3CC4"/>
    <w:rsid w:val="003A37EC"/>
    <w:rsid w:val="00474CE0"/>
    <w:rsid w:val="00486F59"/>
    <w:rsid w:val="004A7419"/>
    <w:rsid w:val="004B4BE3"/>
    <w:rsid w:val="004D1965"/>
    <w:rsid w:val="004E6028"/>
    <w:rsid w:val="00513630"/>
    <w:rsid w:val="00560125"/>
    <w:rsid w:val="00585553"/>
    <w:rsid w:val="005B34D9"/>
    <w:rsid w:val="005D0CCF"/>
    <w:rsid w:val="005F3BCB"/>
    <w:rsid w:val="005F410F"/>
    <w:rsid w:val="0060149A"/>
    <w:rsid w:val="00601924"/>
    <w:rsid w:val="006116B4"/>
    <w:rsid w:val="006447EA"/>
    <w:rsid w:val="0064731F"/>
    <w:rsid w:val="00664572"/>
    <w:rsid w:val="006710F6"/>
    <w:rsid w:val="006C1B56"/>
    <w:rsid w:val="006D4761"/>
    <w:rsid w:val="007235BF"/>
    <w:rsid w:val="00726872"/>
    <w:rsid w:val="00760F1C"/>
    <w:rsid w:val="007657F0"/>
    <w:rsid w:val="0077252D"/>
    <w:rsid w:val="007955DA"/>
    <w:rsid w:val="007B1B46"/>
    <w:rsid w:val="007E5DD3"/>
    <w:rsid w:val="007F350B"/>
    <w:rsid w:val="008074DB"/>
    <w:rsid w:val="00820BE4"/>
    <w:rsid w:val="008451E8"/>
    <w:rsid w:val="008D5030"/>
    <w:rsid w:val="00913B9C"/>
    <w:rsid w:val="009232C1"/>
    <w:rsid w:val="00944615"/>
    <w:rsid w:val="00956E77"/>
    <w:rsid w:val="009F4811"/>
    <w:rsid w:val="00A5781C"/>
    <w:rsid w:val="00A83611"/>
    <w:rsid w:val="00AA390C"/>
    <w:rsid w:val="00B0200A"/>
    <w:rsid w:val="00B574DB"/>
    <w:rsid w:val="00B74E56"/>
    <w:rsid w:val="00B826C2"/>
    <w:rsid w:val="00B8298E"/>
    <w:rsid w:val="00BD0723"/>
    <w:rsid w:val="00BD2518"/>
    <w:rsid w:val="00BF1D1C"/>
    <w:rsid w:val="00C12971"/>
    <w:rsid w:val="00C20C59"/>
    <w:rsid w:val="00C2727F"/>
    <w:rsid w:val="00C55B1F"/>
    <w:rsid w:val="00C8688A"/>
    <w:rsid w:val="00CD7FD0"/>
    <w:rsid w:val="00CF1A67"/>
    <w:rsid w:val="00D2750E"/>
    <w:rsid w:val="00D62446"/>
    <w:rsid w:val="00DA4EA2"/>
    <w:rsid w:val="00DB240B"/>
    <w:rsid w:val="00DC3D3E"/>
    <w:rsid w:val="00DE2C90"/>
    <w:rsid w:val="00DE3B24"/>
    <w:rsid w:val="00E06947"/>
    <w:rsid w:val="00E3592D"/>
    <w:rsid w:val="00E92DE8"/>
    <w:rsid w:val="00EB1212"/>
    <w:rsid w:val="00ED65AB"/>
    <w:rsid w:val="00F075BC"/>
    <w:rsid w:val="00F12850"/>
    <w:rsid w:val="00F33BF4"/>
    <w:rsid w:val="00F45540"/>
    <w:rsid w:val="00F7105E"/>
    <w:rsid w:val="00F75F57"/>
    <w:rsid w:val="00F82FEE"/>
    <w:rsid w:val="00FA6543"/>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E49E98"/>
  <w15:docId w15:val="{743731E9-B0F0-434A-8863-98DD549C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4D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79-S.pdf" TargetMode="External"/><Relationship Id="rId18" Type="http://schemas.openxmlformats.org/officeDocument/2006/relationships/hyperlink" Target="https://www.itu.int/md/D14-WTDC17-C-0115/es" TargetMode="External"/><Relationship Id="rId26" Type="http://schemas.openxmlformats.org/officeDocument/2006/relationships/hyperlink" Target="https://www.itu.int/md/S16-CL-C-0018/es" TargetMode="External"/><Relationship Id="rId39" Type="http://schemas.openxmlformats.org/officeDocument/2006/relationships/hyperlink" Target="https://www.itu.int/en/ITU-T/focusgroups/vm/Pages/default.aspx" TargetMode="External"/><Relationship Id="rId21" Type="http://schemas.openxmlformats.org/officeDocument/2006/relationships/hyperlink" Target="https://www.itu.int/pub/T-RES-T.50-2016/es" TargetMode="External"/><Relationship Id="rId34" Type="http://schemas.openxmlformats.org/officeDocument/2006/relationships/hyperlink" Target="https://www.itu.int/en/ITU-T/studygroups/2017-2020/17/Pages/mini-workshop_ITS.aspx" TargetMode="External"/><Relationship Id="rId42" Type="http://schemas.openxmlformats.org/officeDocument/2006/relationships/hyperlink" Target="https://www.itu.int/en/ITU-T/Workshops-and-Seminars/201912/Pages/default.aspx" TargetMode="External"/><Relationship Id="rId47" Type="http://schemas.openxmlformats.org/officeDocument/2006/relationships/hyperlink" Target="http://www.itu.int/en/ITU-D/Cybersecurity/Pages/Events.aspx" TargetMode="External"/><Relationship Id="rId50" Type="http://schemas.openxmlformats.org/officeDocument/2006/relationships/hyperlink" Target="https://www.itu.int/en/ITU-D/Cybersecurity/Pages/global-cybersecurity-index.aspx" TargetMode="External"/><Relationship Id="rId55" Type="http://schemas.openxmlformats.org/officeDocument/2006/relationships/hyperlink" Target="https://www.itu.int/en/ITU-D/Cybersecurity/Pages/COP.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5-CL-C-0109/es" TargetMode="External"/><Relationship Id="rId29" Type="http://schemas.openxmlformats.org/officeDocument/2006/relationships/hyperlink" Target="https://www.itu.int/md/S19-CL-C-0018/es" TargetMode="External"/><Relationship Id="rId11" Type="http://schemas.openxmlformats.org/officeDocument/2006/relationships/hyperlink" Target="https://www.itu.int/en/council/Documents/basic-texts/RES-140-S.pdf" TargetMode="External"/><Relationship Id="rId24" Type="http://schemas.openxmlformats.org/officeDocument/2006/relationships/hyperlink" Target="https://www.itu.int/pub/T-RES-T.58-2016/es" TargetMode="External"/><Relationship Id="rId32" Type="http://schemas.openxmlformats.org/officeDocument/2006/relationships/hyperlink" Target="https://www.itu.int/itu-t/workprog/wp_search.aspx?sg=17" TargetMode="External"/><Relationship Id="rId37" Type="http://schemas.openxmlformats.org/officeDocument/2006/relationships/hyperlink" Target="https://www.itu.int/en/ITU-T/focusgroups/net2030/Pages/default.aspx" TargetMode="External"/><Relationship Id="rId40" Type="http://schemas.openxmlformats.org/officeDocument/2006/relationships/hyperlink" Target="https://www.itu.int/en/ITU-T/focusgroups/ai4ad/Pages/default.aspx" TargetMode="External"/><Relationship Id="rId45" Type="http://schemas.openxmlformats.org/officeDocument/2006/relationships/hyperlink" Target="https://www.itu.int/en/ITU-D/Cybersecurity/Pages/Africa-Cyberdrill-2019.aspx" TargetMode="External"/><Relationship Id="rId53" Type="http://schemas.openxmlformats.org/officeDocument/2006/relationships/hyperlink" Target="https://www.itu.int/en/cop/Pages/guidelines.aspx"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tu.int/md/D14-WTDC17-C-0115/es" TargetMode="External"/><Relationship Id="rId4" Type="http://schemas.openxmlformats.org/officeDocument/2006/relationships/settings" Target="settings.xml"/><Relationship Id="rId9" Type="http://schemas.openxmlformats.org/officeDocument/2006/relationships/hyperlink" Target="https://www.itu.int/en/council/Documents/basic-texts/RES-071-S.pdf" TargetMode="External"/><Relationship Id="rId14" Type="http://schemas.openxmlformats.org/officeDocument/2006/relationships/hyperlink" Target="https://www.itu.int/en/council/Documents/basic-texts/RES-181-S.pdf" TargetMode="External"/><Relationship Id="rId22" Type="http://schemas.openxmlformats.org/officeDocument/2006/relationships/hyperlink" Target="https://www.itu.int/pub/T-RES-T.52-2016/es" TargetMode="External"/><Relationship Id="rId27" Type="http://schemas.openxmlformats.org/officeDocument/2006/relationships/hyperlink" Target="https://www.itu.int/md/S17-CL-C-0018/es" TargetMode="External"/><Relationship Id="rId30" Type="http://schemas.openxmlformats.org/officeDocument/2006/relationships/hyperlink" Target="http://www.itu.int/en/ITU-D/Cybersecurity/Pages/Legal-Measures.aspx" TargetMode="External"/><Relationship Id="rId35" Type="http://schemas.openxmlformats.org/officeDocument/2006/relationships/hyperlink" Target="https://www.itu.int/en/ITU-T/Workshops-and-Seminars/20200316/Pages/default.aspx" TargetMode="External"/><Relationship Id="rId43" Type="http://schemas.openxmlformats.org/officeDocument/2006/relationships/hyperlink" Target="https://www.itu.int/net4/ITU-D/CDS/projects/display.asp?ProjectNo=9RAS18061" TargetMode="External"/><Relationship Id="rId48" Type="http://schemas.openxmlformats.org/officeDocument/2006/relationships/hyperlink" Target="http://www.itu.int/net4/ITU-D/CDS/sg/rgqlist.asp?lg=3&amp;sp=2014&amp;rgq=D14-SG02-RGQ03.2&amp;stg=2"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itu.int/en/ITU-D/Cybersecurity/Pages/partnership.aspx" TargetMode="External"/><Relationship Id="rId3" Type="http://schemas.openxmlformats.org/officeDocument/2006/relationships/styles" Target="styles.xml"/><Relationship Id="rId12" Type="http://schemas.openxmlformats.org/officeDocument/2006/relationships/hyperlink" Target="https://www.itu.int/en/council/Documents/basic-texts/RES-174-S.pdf" TargetMode="External"/><Relationship Id="rId17" Type="http://schemas.openxmlformats.org/officeDocument/2006/relationships/hyperlink" Target="http://www.itu.int/en/ITU-D/Cybersecurity/Documents/45revDubai.pdf" TargetMode="External"/><Relationship Id="rId25" Type="http://schemas.openxmlformats.org/officeDocument/2006/relationships/hyperlink" Target="http://www.itu.int/md/S15-CL-C-0018/es" TargetMode="External"/><Relationship Id="rId33" Type="http://schemas.openxmlformats.org/officeDocument/2006/relationships/hyperlink" Target="https://www.itu.int/en/ITU-T/Workshops-and-Seminars/20190826/Pages/default.aspx" TargetMode="External"/><Relationship Id="rId38" Type="http://schemas.openxmlformats.org/officeDocument/2006/relationships/hyperlink" Target="https://www.itu.int/en/ITU-T/focusgroups/ai4h" TargetMode="External"/><Relationship Id="rId46" Type="http://schemas.openxmlformats.org/officeDocument/2006/relationships/hyperlink" Target="https://www.itu.int/en/ITU-D/Cybersecurity/Pages/ASP-CIS-Cyberdrill-2019.aspx" TargetMode="External"/><Relationship Id="rId59" Type="http://schemas.openxmlformats.org/officeDocument/2006/relationships/fontTable" Target="fontTable.xml"/><Relationship Id="rId20" Type="http://schemas.openxmlformats.org/officeDocument/2006/relationships/hyperlink" Target="http://www.itu.int/osg/csd/intgov/resoultions_2010/programme2.pdf" TargetMode="External"/><Relationship Id="rId41" Type="http://schemas.openxmlformats.org/officeDocument/2006/relationships/hyperlink" Target="https://www.itu.int/en/ITU-T/focusgroups/qit4n/Pages/default.aspx" TargetMode="External"/><Relationship Id="rId54" Type="http://schemas.openxmlformats.org/officeDocument/2006/relationships/hyperlink" Target="https://www.broadbandcommission.org/Documents/working-groups/ChildOnlineSafety_Declaratio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S-CONF-WCIT-2012/es" TargetMode="External"/><Relationship Id="rId23" Type="http://schemas.openxmlformats.org/officeDocument/2006/relationships/hyperlink" Target="https://www.itu.int/pub/T-RES-T.75-2016/es" TargetMode="External"/><Relationship Id="rId28" Type="http://schemas.openxmlformats.org/officeDocument/2006/relationships/hyperlink" Target="https://www.itu.int/md/S18-CL-C-0018/es" TargetMode="External"/><Relationship Id="rId36" Type="http://schemas.openxmlformats.org/officeDocument/2006/relationships/hyperlink" Target="https://www.itu.int/en/ITU-T/focusgroups/ml5g/Pages/default.aspx" TargetMode="External"/><Relationship Id="rId49" Type="http://schemas.openxmlformats.org/officeDocument/2006/relationships/hyperlink" Target="https://www.itu.int/en/ITU-D/Regional-Presence/AsiaPacific/Pages/Events/2018/CybersecurityASPCOE/cybersecurity.aspx" TargetMode="External"/><Relationship Id="rId57" Type="http://schemas.openxmlformats.org/officeDocument/2006/relationships/footer" Target="footer1.xml"/><Relationship Id="rId10" Type="http://schemas.openxmlformats.org/officeDocument/2006/relationships/hyperlink" Target="https://www.itu.int/en/council/Documents/basic-texts/RES-130-S.pdf" TargetMode="External"/><Relationship Id="rId31" Type="http://schemas.openxmlformats.org/officeDocument/2006/relationships/hyperlink" Target="http://www.itu.int/en/ITU-T/studygroups/2017-2020/17/Pages/default.aspx" TargetMode="External"/><Relationship Id="rId44" Type="http://schemas.openxmlformats.org/officeDocument/2006/relationships/hyperlink" Target="https://www.itu.int/en/ITU-D/Cybersecurity/Pages/cyberdrills.aspx" TargetMode="External"/><Relationship Id="rId52" Type="http://schemas.openxmlformats.org/officeDocument/2006/relationships/hyperlink" Target="https://www.itu.int/net4/wsis/forum/2019/es"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0584-4220-4595-A26E-BC30F86A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Template>
  <TotalTime>0</TotalTime>
  <Pages>6</Pages>
  <Words>2873</Words>
  <Characters>18682</Characters>
  <Application>Microsoft Office Word</Application>
  <DocSecurity>4</DocSecurity>
  <Lines>155</Lines>
  <Paragraphs>43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21512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Casellas, Mercedes</dc:creator>
  <cp:keywords>C2020, C20</cp:keywords>
  <dc:description/>
  <cp:lastModifiedBy>Janin, Patricia</cp:lastModifiedBy>
  <cp:revision>2</cp:revision>
  <cp:lastPrinted>2006-03-24T09:51:00Z</cp:lastPrinted>
  <dcterms:created xsi:type="dcterms:W3CDTF">2020-04-14T09:23:00Z</dcterms:created>
  <dcterms:modified xsi:type="dcterms:W3CDTF">2020-04-14T09:23:00Z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