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7220F" w14:paraId="246229B8" w14:textId="77777777">
        <w:trPr>
          <w:cantSplit/>
        </w:trPr>
        <w:tc>
          <w:tcPr>
            <w:tcW w:w="6912" w:type="dxa"/>
          </w:tcPr>
          <w:p w14:paraId="63DA3D0C" w14:textId="77777777" w:rsidR="00520F36" w:rsidRPr="0097220F" w:rsidRDefault="00520F36" w:rsidP="00D259ED">
            <w:pPr>
              <w:spacing w:before="360"/>
              <w:rPr>
                <w:lang w:val="fr-CH"/>
              </w:rPr>
            </w:pPr>
            <w:bookmarkStart w:id="0" w:name="dc06"/>
            <w:bookmarkEnd w:id="0"/>
            <w:r w:rsidRPr="0097220F">
              <w:rPr>
                <w:b/>
                <w:bCs/>
                <w:sz w:val="30"/>
                <w:szCs w:val="30"/>
                <w:lang w:val="fr-CH"/>
              </w:rPr>
              <w:t>Conseil 20</w:t>
            </w:r>
            <w:r w:rsidR="009C353C" w:rsidRPr="0097220F">
              <w:rPr>
                <w:b/>
                <w:bCs/>
                <w:sz w:val="30"/>
                <w:szCs w:val="30"/>
                <w:lang w:val="fr-CH"/>
              </w:rPr>
              <w:t>20</w:t>
            </w:r>
            <w:r w:rsidRPr="0097220F">
              <w:rPr>
                <w:rFonts w:ascii="Verdana" w:hAnsi="Verdana"/>
                <w:b/>
                <w:bCs/>
                <w:sz w:val="26"/>
                <w:szCs w:val="26"/>
                <w:lang w:val="fr-CH"/>
              </w:rPr>
              <w:br/>
            </w:r>
            <w:r w:rsidRPr="0097220F">
              <w:rPr>
                <w:b/>
                <w:bCs/>
                <w:szCs w:val="24"/>
                <w:lang w:val="fr-CH"/>
              </w:rPr>
              <w:t>Gen</w:t>
            </w:r>
            <w:r w:rsidRPr="0097220F">
              <w:rPr>
                <w:b/>
                <w:bCs/>
                <w:szCs w:val="24"/>
                <w:lang w:val="en-US"/>
              </w:rPr>
              <w:t>ève</w:t>
            </w:r>
            <w:r w:rsidRPr="0097220F">
              <w:rPr>
                <w:b/>
                <w:bCs/>
                <w:szCs w:val="24"/>
                <w:lang w:val="fr-CH"/>
              </w:rPr>
              <w:t xml:space="preserve">, </w:t>
            </w:r>
            <w:r w:rsidR="009C353C" w:rsidRPr="0097220F">
              <w:rPr>
                <w:b/>
                <w:bCs/>
                <w:szCs w:val="24"/>
                <w:lang w:val="fr-CH"/>
              </w:rPr>
              <w:t>9</w:t>
            </w:r>
            <w:r w:rsidRPr="0097220F">
              <w:rPr>
                <w:b/>
                <w:bCs/>
                <w:szCs w:val="24"/>
                <w:lang w:val="fr-CH"/>
              </w:rPr>
              <w:t>-</w:t>
            </w:r>
            <w:r w:rsidR="009C353C" w:rsidRPr="0097220F">
              <w:rPr>
                <w:b/>
                <w:bCs/>
                <w:szCs w:val="24"/>
                <w:lang w:val="fr-CH"/>
              </w:rPr>
              <w:t>19</w:t>
            </w:r>
            <w:r w:rsidR="00106B19" w:rsidRPr="0097220F">
              <w:rPr>
                <w:b/>
                <w:bCs/>
                <w:szCs w:val="24"/>
                <w:lang w:val="fr-CH"/>
              </w:rPr>
              <w:t xml:space="preserve"> juin</w:t>
            </w:r>
            <w:r w:rsidRPr="0097220F">
              <w:rPr>
                <w:b/>
                <w:bCs/>
                <w:szCs w:val="24"/>
                <w:lang w:val="fr-CH"/>
              </w:rPr>
              <w:t xml:space="preserve"> 20</w:t>
            </w:r>
            <w:r w:rsidR="009C353C" w:rsidRPr="0097220F">
              <w:rPr>
                <w:b/>
                <w:bCs/>
                <w:szCs w:val="24"/>
                <w:lang w:val="fr-CH"/>
              </w:rPr>
              <w:t>20</w:t>
            </w:r>
          </w:p>
        </w:tc>
        <w:tc>
          <w:tcPr>
            <w:tcW w:w="3261" w:type="dxa"/>
          </w:tcPr>
          <w:p w14:paraId="4664CEE6" w14:textId="77777777" w:rsidR="00520F36" w:rsidRPr="0097220F" w:rsidRDefault="009C353C" w:rsidP="00D259ED">
            <w:pPr>
              <w:spacing w:before="0"/>
              <w:rPr>
                <w:lang w:val="fr-CH"/>
              </w:rPr>
            </w:pPr>
            <w:bookmarkStart w:id="1" w:name="ditulogo"/>
            <w:bookmarkEnd w:id="1"/>
            <w:r w:rsidRPr="0097220F">
              <w:rPr>
                <w:noProof/>
                <w:lang w:val="en-US"/>
              </w:rPr>
              <w:drawing>
                <wp:inline distT="0" distB="0" distL="0" distR="0" wp14:anchorId="3B3122E5" wp14:editId="67147AF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97220F" w14:paraId="555B9EDC" w14:textId="77777777" w:rsidTr="00EF41DD">
        <w:trPr>
          <w:cantSplit/>
          <w:trHeight w:val="20"/>
        </w:trPr>
        <w:tc>
          <w:tcPr>
            <w:tcW w:w="6912" w:type="dxa"/>
            <w:tcBorders>
              <w:bottom w:val="single" w:sz="12" w:space="0" w:color="auto"/>
            </w:tcBorders>
            <w:vAlign w:val="center"/>
          </w:tcPr>
          <w:p w14:paraId="64E73B5A" w14:textId="77777777" w:rsidR="00520F36" w:rsidRPr="0097220F" w:rsidRDefault="00520F36" w:rsidP="00D259ED">
            <w:pPr>
              <w:spacing w:before="0"/>
              <w:rPr>
                <w:b/>
                <w:bCs/>
                <w:sz w:val="26"/>
                <w:szCs w:val="26"/>
                <w:lang w:val="fr-CH"/>
              </w:rPr>
            </w:pPr>
          </w:p>
        </w:tc>
        <w:tc>
          <w:tcPr>
            <w:tcW w:w="3261" w:type="dxa"/>
            <w:tcBorders>
              <w:bottom w:val="single" w:sz="12" w:space="0" w:color="auto"/>
            </w:tcBorders>
          </w:tcPr>
          <w:p w14:paraId="15DCDECA" w14:textId="77777777" w:rsidR="00520F36" w:rsidRPr="0097220F" w:rsidRDefault="00520F36" w:rsidP="00D259ED">
            <w:pPr>
              <w:spacing w:before="0"/>
              <w:rPr>
                <w:b/>
                <w:bCs/>
              </w:rPr>
            </w:pPr>
          </w:p>
        </w:tc>
      </w:tr>
      <w:tr w:rsidR="00520F36" w:rsidRPr="0097220F" w14:paraId="546735E5" w14:textId="77777777">
        <w:trPr>
          <w:cantSplit/>
          <w:trHeight w:val="20"/>
        </w:trPr>
        <w:tc>
          <w:tcPr>
            <w:tcW w:w="6912" w:type="dxa"/>
            <w:tcBorders>
              <w:top w:val="single" w:sz="12" w:space="0" w:color="auto"/>
            </w:tcBorders>
          </w:tcPr>
          <w:p w14:paraId="36EA2F98" w14:textId="77777777" w:rsidR="00520F36" w:rsidRPr="0097220F" w:rsidRDefault="00520F36" w:rsidP="00D259ED">
            <w:pPr>
              <w:spacing w:before="0"/>
              <w:rPr>
                <w:smallCaps/>
                <w:sz w:val="22"/>
                <w:lang w:val="fr-CH"/>
              </w:rPr>
            </w:pPr>
          </w:p>
        </w:tc>
        <w:tc>
          <w:tcPr>
            <w:tcW w:w="3261" w:type="dxa"/>
            <w:tcBorders>
              <w:top w:val="single" w:sz="12" w:space="0" w:color="auto"/>
            </w:tcBorders>
          </w:tcPr>
          <w:p w14:paraId="5130B39C" w14:textId="77777777" w:rsidR="00520F36" w:rsidRPr="0097220F" w:rsidRDefault="00520F36" w:rsidP="00D259ED">
            <w:pPr>
              <w:spacing w:before="0"/>
              <w:rPr>
                <w:b/>
                <w:bCs/>
              </w:rPr>
            </w:pPr>
          </w:p>
        </w:tc>
      </w:tr>
      <w:tr w:rsidR="00520F36" w:rsidRPr="0097220F" w14:paraId="4B244BBB" w14:textId="77777777">
        <w:trPr>
          <w:cantSplit/>
          <w:trHeight w:val="20"/>
        </w:trPr>
        <w:tc>
          <w:tcPr>
            <w:tcW w:w="6912" w:type="dxa"/>
            <w:vMerge w:val="restart"/>
          </w:tcPr>
          <w:p w14:paraId="168B844F" w14:textId="5A7CB20B" w:rsidR="00520F36" w:rsidRPr="0097220F" w:rsidRDefault="008C4ED4" w:rsidP="00D259ED">
            <w:pPr>
              <w:spacing w:before="0"/>
              <w:rPr>
                <w:rFonts w:cs="Times"/>
                <w:b/>
                <w:bCs/>
                <w:szCs w:val="24"/>
                <w:lang w:val="fr-CH"/>
              </w:rPr>
            </w:pPr>
            <w:bookmarkStart w:id="2" w:name="dnum" w:colFirst="1" w:colLast="1"/>
            <w:bookmarkStart w:id="3" w:name="dmeeting" w:colFirst="0" w:colLast="0"/>
            <w:r w:rsidRPr="0097220F">
              <w:rPr>
                <w:rFonts w:cs="Times"/>
                <w:b/>
                <w:bCs/>
                <w:szCs w:val="24"/>
                <w:lang w:val="fr-CH"/>
              </w:rPr>
              <w:t xml:space="preserve">Point de l'ordre du </w:t>
            </w:r>
            <w:proofErr w:type="gramStart"/>
            <w:r w:rsidRPr="0097220F">
              <w:rPr>
                <w:rFonts w:cs="Times"/>
                <w:b/>
                <w:bCs/>
                <w:szCs w:val="24"/>
                <w:lang w:val="fr-CH"/>
              </w:rPr>
              <w:t>jour:</w:t>
            </w:r>
            <w:proofErr w:type="gramEnd"/>
            <w:r w:rsidRPr="0097220F">
              <w:rPr>
                <w:rFonts w:cs="Times"/>
                <w:b/>
                <w:bCs/>
                <w:szCs w:val="24"/>
                <w:lang w:val="fr-CH"/>
              </w:rPr>
              <w:t xml:space="preserve"> PL 1.4</w:t>
            </w:r>
          </w:p>
        </w:tc>
        <w:tc>
          <w:tcPr>
            <w:tcW w:w="3261" w:type="dxa"/>
          </w:tcPr>
          <w:p w14:paraId="015F96AE" w14:textId="2B1B48B9" w:rsidR="00520F36" w:rsidRPr="0097220F" w:rsidRDefault="00520F36" w:rsidP="00D259ED">
            <w:pPr>
              <w:spacing w:before="0"/>
              <w:rPr>
                <w:b/>
                <w:bCs/>
              </w:rPr>
            </w:pPr>
            <w:r w:rsidRPr="0097220F">
              <w:rPr>
                <w:b/>
                <w:bCs/>
              </w:rPr>
              <w:t>Document C</w:t>
            </w:r>
            <w:r w:rsidR="009C353C" w:rsidRPr="0097220F">
              <w:rPr>
                <w:b/>
                <w:bCs/>
              </w:rPr>
              <w:t>20</w:t>
            </w:r>
            <w:r w:rsidRPr="0097220F">
              <w:rPr>
                <w:b/>
                <w:bCs/>
              </w:rPr>
              <w:t>/</w:t>
            </w:r>
            <w:r w:rsidR="008C4ED4" w:rsidRPr="0097220F">
              <w:rPr>
                <w:b/>
                <w:bCs/>
              </w:rPr>
              <w:t>18</w:t>
            </w:r>
            <w:r w:rsidRPr="0097220F">
              <w:rPr>
                <w:b/>
                <w:bCs/>
              </w:rPr>
              <w:t>-F</w:t>
            </w:r>
          </w:p>
        </w:tc>
      </w:tr>
      <w:tr w:rsidR="00520F36" w:rsidRPr="0097220F" w14:paraId="38595250" w14:textId="77777777">
        <w:trPr>
          <w:cantSplit/>
          <w:trHeight w:val="20"/>
        </w:trPr>
        <w:tc>
          <w:tcPr>
            <w:tcW w:w="6912" w:type="dxa"/>
            <w:vMerge/>
          </w:tcPr>
          <w:p w14:paraId="4A7A1974" w14:textId="77777777" w:rsidR="00520F36" w:rsidRPr="0097220F" w:rsidRDefault="00520F36" w:rsidP="00D259ED">
            <w:pPr>
              <w:shd w:val="solid" w:color="FFFFFF" w:fill="FFFFFF"/>
              <w:spacing w:before="180"/>
              <w:rPr>
                <w:smallCaps/>
                <w:lang w:val="fr-CH"/>
              </w:rPr>
            </w:pPr>
            <w:bookmarkStart w:id="4" w:name="ddate" w:colFirst="1" w:colLast="1"/>
            <w:bookmarkEnd w:id="2"/>
            <w:bookmarkEnd w:id="3"/>
          </w:p>
        </w:tc>
        <w:tc>
          <w:tcPr>
            <w:tcW w:w="3261" w:type="dxa"/>
          </w:tcPr>
          <w:p w14:paraId="492F583F" w14:textId="765AB905" w:rsidR="00520F36" w:rsidRPr="0097220F" w:rsidRDefault="008C4ED4" w:rsidP="00D259ED">
            <w:pPr>
              <w:spacing w:before="0"/>
              <w:rPr>
                <w:b/>
                <w:bCs/>
              </w:rPr>
            </w:pPr>
            <w:r w:rsidRPr="0097220F">
              <w:rPr>
                <w:b/>
                <w:bCs/>
              </w:rPr>
              <w:t>30 mars</w:t>
            </w:r>
            <w:r w:rsidR="00520F36" w:rsidRPr="0097220F">
              <w:rPr>
                <w:b/>
                <w:bCs/>
              </w:rPr>
              <w:t xml:space="preserve"> 20</w:t>
            </w:r>
            <w:r w:rsidR="009C353C" w:rsidRPr="0097220F">
              <w:rPr>
                <w:b/>
                <w:bCs/>
              </w:rPr>
              <w:t>20</w:t>
            </w:r>
          </w:p>
        </w:tc>
      </w:tr>
      <w:tr w:rsidR="00520F36" w:rsidRPr="0097220F" w14:paraId="115C0369" w14:textId="77777777">
        <w:trPr>
          <w:cantSplit/>
          <w:trHeight w:val="20"/>
        </w:trPr>
        <w:tc>
          <w:tcPr>
            <w:tcW w:w="6912" w:type="dxa"/>
            <w:vMerge/>
          </w:tcPr>
          <w:p w14:paraId="55B79057" w14:textId="77777777" w:rsidR="00520F36" w:rsidRPr="0097220F" w:rsidRDefault="00520F36" w:rsidP="00D259ED">
            <w:pPr>
              <w:shd w:val="solid" w:color="FFFFFF" w:fill="FFFFFF"/>
              <w:spacing w:before="180"/>
              <w:rPr>
                <w:smallCaps/>
                <w:lang w:val="fr-CH"/>
              </w:rPr>
            </w:pPr>
            <w:bookmarkStart w:id="5" w:name="dorlang" w:colFirst="1" w:colLast="1"/>
            <w:bookmarkEnd w:id="4"/>
          </w:p>
        </w:tc>
        <w:tc>
          <w:tcPr>
            <w:tcW w:w="3261" w:type="dxa"/>
          </w:tcPr>
          <w:p w14:paraId="7E294C2B" w14:textId="77777777" w:rsidR="00520F36" w:rsidRPr="0097220F" w:rsidRDefault="00520F36" w:rsidP="00D259ED">
            <w:pPr>
              <w:spacing w:before="0"/>
              <w:rPr>
                <w:b/>
                <w:bCs/>
              </w:rPr>
            </w:pPr>
            <w:proofErr w:type="gramStart"/>
            <w:r w:rsidRPr="0097220F">
              <w:rPr>
                <w:b/>
                <w:bCs/>
              </w:rPr>
              <w:t>Original:</w:t>
            </w:r>
            <w:proofErr w:type="gramEnd"/>
            <w:r w:rsidRPr="0097220F">
              <w:rPr>
                <w:b/>
                <w:bCs/>
              </w:rPr>
              <w:t xml:space="preserve"> anglais</w:t>
            </w:r>
          </w:p>
        </w:tc>
      </w:tr>
      <w:tr w:rsidR="00520F36" w:rsidRPr="0097220F" w14:paraId="7C81AFBC" w14:textId="77777777">
        <w:trPr>
          <w:cantSplit/>
        </w:trPr>
        <w:tc>
          <w:tcPr>
            <w:tcW w:w="10173" w:type="dxa"/>
            <w:gridSpan w:val="2"/>
          </w:tcPr>
          <w:p w14:paraId="11FB9B4E" w14:textId="2584DAEB" w:rsidR="00520F36" w:rsidRPr="0097220F" w:rsidRDefault="008C4ED4" w:rsidP="00D259ED">
            <w:pPr>
              <w:pStyle w:val="Source"/>
            </w:pPr>
            <w:bookmarkStart w:id="6" w:name="dsource" w:colFirst="0" w:colLast="0"/>
            <w:bookmarkEnd w:id="5"/>
            <w:r w:rsidRPr="0097220F">
              <w:t>Rapport du Secrétaire général</w:t>
            </w:r>
          </w:p>
        </w:tc>
      </w:tr>
      <w:tr w:rsidR="00520F36" w:rsidRPr="0097220F" w14:paraId="28968CBF" w14:textId="77777777">
        <w:trPr>
          <w:cantSplit/>
        </w:trPr>
        <w:tc>
          <w:tcPr>
            <w:tcW w:w="10173" w:type="dxa"/>
            <w:gridSpan w:val="2"/>
          </w:tcPr>
          <w:p w14:paraId="163FCC8A" w14:textId="5C036653" w:rsidR="00520F36" w:rsidRPr="0097220F" w:rsidRDefault="008C4ED4" w:rsidP="00D259ED">
            <w:pPr>
              <w:pStyle w:val="Title1"/>
            </w:pPr>
            <w:bookmarkStart w:id="7" w:name="dtitle1" w:colFirst="0" w:colLast="0"/>
            <w:bookmarkEnd w:id="6"/>
            <w:r w:rsidRPr="0097220F">
              <w:t>Activit</w:t>
            </w:r>
            <w:r w:rsidR="004479A6" w:rsidRPr="0097220F">
              <w:t>É</w:t>
            </w:r>
            <w:r w:rsidRPr="0097220F">
              <w:t>s de l'UIT relatives au renforcement du r</w:t>
            </w:r>
            <w:r w:rsidR="00622CD9">
              <w:t>Ô</w:t>
            </w:r>
            <w:r w:rsidRPr="0097220F">
              <w:t>le de l'union dans l'instauration de la confiance et de la s</w:t>
            </w:r>
            <w:r w:rsidR="004479A6" w:rsidRPr="0097220F">
              <w:t>É</w:t>
            </w:r>
            <w:r w:rsidRPr="0097220F">
              <w:t>curit</w:t>
            </w:r>
            <w:r w:rsidR="004479A6" w:rsidRPr="0097220F">
              <w:t>É</w:t>
            </w:r>
            <w:r w:rsidRPr="0097220F">
              <w:t xml:space="preserve"> dans l'utilisation des technologies de l'information et de la communication</w:t>
            </w:r>
          </w:p>
        </w:tc>
      </w:tr>
      <w:bookmarkEnd w:id="7"/>
    </w:tbl>
    <w:p w14:paraId="32A24139" w14:textId="77777777" w:rsidR="00520F36" w:rsidRPr="0097220F" w:rsidRDefault="00520F36" w:rsidP="00D259ED">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7220F" w14:paraId="62BC1F0F"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5ACE646" w14:textId="77777777" w:rsidR="00520F36" w:rsidRPr="0097220F" w:rsidRDefault="00520F36" w:rsidP="00D259ED">
            <w:pPr>
              <w:pStyle w:val="Headingb"/>
              <w:keepNext w:val="0"/>
              <w:keepLines w:val="0"/>
              <w:rPr>
                <w:lang w:val="fr-CH"/>
              </w:rPr>
            </w:pPr>
            <w:r w:rsidRPr="0097220F">
              <w:rPr>
                <w:lang w:val="fr-CH"/>
              </w:rPr>
              <w:t>Résumé</w:t>
            </w:r>
          </w:p>
          <w:p w14:paraId="250AD89C" w14:textId="45173528" w:rsidR="00520F36" w:rsidRPr="0097220F" w:rsidRDefault="008C4ED4" w:rsidP="00D259ED">
            <w:pPr>
              <w:rPr>
                <w:lang w:val="fr-CH"/>
              </w:rPr>
            </w:pPr>
            <w:r w:rsidRPr="0097220F">
              <w:t>Le présent rapport résume les activités menées par l'UIT depuis la session de 201</w:t>
            </w:r>
            <w:r w:rsidR="00AF7407" w:rsidRPr="0097220F">
              <w:t>9</w:t>
            </w:r>
            <w:r w:rsidRPr="0097220F">
              <w:t xml:space="preserve"> du Conseil au titre de la Résolution 130 (Rév. Dubaï, 2018) de la Conférence de plénipotentiaires, du rôle de l'UIT en tant que coordonnateur unique pour la grande orientation C5 du SMSI et des autres décisions prises par les membres concernant le renforcement du rôle de l'UIT dans l'instauration de la confiance et de la sécurité dans l'utilisation des technologies de l'information et de la communication (TIC).</w:t>
            </w:r>
          </w:p>
          <w:p w14:paraId="2C248F99" w14:textId="77777777" w:rsidR="00520F36" w:rsidRPr="0097220F" w:rsidRDefault="00520F36" w:rsidP="00D259ED">
            <w:pPr>
              <w:pStyle w:val="Headingb"/>
              <w:keepNext w:val="0"/>
              <w:keepLines w:val="0"/>
              <w:rPr>
                <w:lang w:val="fr-CH"/>
              </w:rPr>
            </w:pPr>
            <w:proofErr w:type="gramStart"/>
            <w:r w:rsidRPr="0097220F">
              <w:rPr>
                <w:lang w:val="fr-CH"/>
              </w:rPr>
              <w:t>Suite à</w:t>
            </w:r>
            <w:proofErr w:type="gramEnd"/>
            <w:r w:rsidRPr="0097220F">
              <w:rPr>
                <w:lang w:val="fr-CH"/>
              </w:rPr>
              <w:t xml:space="preserve"> donner</w:t>
            </w:r>
          </w:p>
          <w:p w14:paraId="11A59988" w14:textId="05191EFB" w:rsidR="00520F36" w:rsidRPr="0097220F" w:rsidRDefault="008C4ED4" w:rsidP="00D259ED">
            <w:pPr>
              <w:rPr>
                <w:lang w:val="fr-CH"/>
              </w:rPr>
            </w:pPr>
            <w:r w:rsidRPr="0097220F">
              <w:t xml:space="preserve">Le Conseil est invité à </w:t>
            </w:r>
            <w:r w:rsidRPr="0097220F">
              <w:rPr>
                <w:b/>
              </w:rPr>
              <w:t>prendre note</w:t>
            </w:r>
            <w:r w:rsidRPr="0097220F">
              <w:t xml:space="preserve"> du présent rapport.</w:t>
            </w:r>
          </w:p>
          <w:p w14:paraId="18FFABAF" w14:textId="77777777" w:rsidR="00520F36" w:rsidRPr="0097220F" w:rsidRDefault="00520F36" w:rsidP="00D259ED">
            <w:pPr>
              <w:pStyle w:val="Table"/>
              <w:keepNext w:val="0"/>
              <w:spacing w:before="0" w:after="0"/>
              <w:rPr>
                <w:rFonts w:ascii="Calibri" w:hAnsi="Calibri"/>
                <w:caps w:val="0"/>
                <w:sz w:val="22"/>
                <w:lang w:val="fr-CH"/>
              </w:rPr>
            </w:pPr>
            <w:r w:rsidRPr="0097220F">
              <w:rPr>
                <w:rFonts w:ascii="Calibri" w:hAnsi="Calibri"/>
                <w:caps w:val="0"/>
                <w:sz w:val="22"/>
                <w:lang w:val="fr-CH"/>
              </w:rPr>
              <w:t>____________</w:t>
            </w:r>
          </w:p>
          <w:p w14:paraId="236A11AC" w14:textId="77777777" w:rsidR="00520F36" w:rsidRPr="0097220F" w:rsidRDefault="00520F36" w:rsidP="00D259ED">
            <w:pPr>
              <w:pStyle w:val="Headingb"/>
              <w:keepNext w:val="0"/>
              <w:keepLines w:val="0"/>
              <w:rPr>
                <w:lang w:val="fr-CH"/>
              </w:rPr>
            </w:pPr>
            <w:r w:rsidRPr="0097220F">
              <w:rPr>
                <w:lang w:val="fr-CH"/>
              </w:rPr>
              <w:t>Références</w:t>
            </w:r>
          </w:p>
          <w:p w14:paraId="7C51A1E1" w14:textId="7FB04571" w:rsidR="00520F36" w:rsidRPr="0097220F" w:rsidRDefault="008C4ED4" w:rsidP="00D259ED">
            <w:pPr>
              <w:spacing w:after="120"/>
              <w:rPr>
                <w:i/>
                <w:iCs/>
                <w:lang w:val="fr-CH"/>
              </w:rPr>
            </w:pPr>
            <w:bookmarkStart w:id="8" w:name="lt_pId020"/>
            <w:r w:rsidRPr="0097220F">
              <w:rPr>
                <w:i/>
                <w:iCs/>
              </w:rPr>
              <w:t xml:space="preserve">Résolutions </w:t>
            </w:r>
            <w:hyperlink r:id="rId8" w:history="1">
              <w:r w:rsidRPr="0097220F">
                <w:rPr>
                  <w:rStyle w:val="Hyperlink"/>
                  <w:i/>
                  <w:iCs/>
                </w:rPr>
                <w:t>71</w:t>
              </w:r>
            </w:hyperlink>
            <w:r w:rsidRPr="0097220F">
              <w:rPr>
                <w:i/>
                <w:iCs/>
              </w:rPr>
              <w:t xml:space="preserve">, </w:t>
            </w:r>
            <w:hyperlink r:id="rId9" w:history="1">
              <w:r w:rsidRPr="0097220F">
                <w:rPr>
                  <w:rStyle w:val="Hyperlink"/>
                  <w:i/>
                  <w:iCs/>
                </w:rPr>
                <w:t>130</w:t>
              </w:r>
            </w:hyperlink>
            <w:r w:rsidRPr="0097220F">
              <w:rPr>
                <w:i/>
                <w:iCs/>
              </w:rPr>
              <w:t xml:space="preserve">, </w:t>
            </w:r>
            <w:hyperlink r:id="rId10" w:history="1">
              <w:r w:rsidRPr="0097220F">
                <w:rPr>
                  <w:rStyle w:val="Hyperlink"/>
                  <w:i/>
                  <w:iCs/>
                </w:rPr>
                <w:t>140</w:t>
              </w:r>
            </w:hyperlink>
            <w:r w:rsidRPr="0097220F">
              <w:rPr>
                <w:i/>
                <w:iCs/>
              </w:rPr>
              <w:t xml:space="preserve">, </w:t>
            </w:r>
            <w:hyperlink r:id="rId11" w:history="1">
              <w:r w:rsidRPr="0097220F">
                <w:rPr>
                  <w:rStyle w:val="Hyperlink"/>
                  <w:i/>
                  <w:iCs/>
                </w:rPr>
                <w:t>174</w:t>
              </w:r>
            </w:hyperlink>
            <w:r w:rsidRPr="0097220F">
              <w:rPr>
                <w:i/>
                <w:iCs/>
              </w:rPr>
              <w:t xml:space="preserve">, </w:t>
            </w:r>
            <w:hyperlink r:id="rId12" w:history="1">
              <w:r w:rsidRPr="0097220F">
                <w:rPr>
                  <w:rStyle w:val="Hyperlink"/>
                  <w:i/>
                  <w:iCs/>
                </w:rPr>
                <w:t>179</w:t>
              </w:r>
            </w:hyperlink>
            <w:r w:rsidRPr="0097220F">
              <w:rPr>
                <w:i/>
                <w:iCs/>
              </w:rPr>
              <w:t xml:space="preserve"> (Rév. Dubaï, 2018) et </w:t>
            </w:r>
            <w:hyperlink r:id="rId13" w:history="1">
              <w:r w:rsidRPr="0097220F">
                <w:rPr>
                  <w:rStyle w:val="Hyperlink"/>
                  <w:i/>
                  <w:iCs/>
                </w:rPr>
                <w:t>181</w:t>
              </w:r>
            </w:hyperlink>
            <w:r w:rsidRPr="0097220F">
              <w:rPr>
                <w:i/>
                <w:iCs/>
              </w:rPr>
              <w:t xml:space="preserve"> (Guadalajara, 2010) de la Conférence de plénipotentiaires, </w:t>
            </w:r>
            <w:hyperlink r:id="rId14" w:history="1">
              <w:r w:rsidRPr="0097220F">
                <w:rPr>
                  <w:rStyle w:val="Hyperlink"/>
                  <w:i/>
                  <w:iCs/>
                </w:rPr>
                <w:t>Règlement des télécommunications internationales</w:t>
              </w:r>
            </w:hyperlink>
            <w:r w:rsidRPr="0097220F">
              <w:rPr>
                <w:i/>
                <w:iCs/>
              </w:rPr>
              <w:t xml:space="preserve"> (Rév.Dubaï, 2012), </w:t>
            </w:r>
            <w:hyperlink r:id="rId15" w:history="1">
              <w:r w:rsidRPr="0097220F">
                <w:rPr>
                  <w:rStyle w:val="Hyperlink"/>
                  <w:i/>
                  <w:iCs/>
                </w:rPr>
                <w:t>Résolution 1306</w:t>
              </w:r>
            </w:hyperlink>
            <w:r w:rsidRPr="0097220F">
              <w:rPr>
                <w:i/>
                <w:iCs/>
              </w:rPr>
              <w:t xml:space="preserve"> du Conseil, Résolutions </w:t>
            </w:r>
            <w:hyperlink r:id="rId16" w:history="1">
              <w:r w:rsidRPr="0097220F">
                <w:rPr>
                  <w:rStyle w:val="Hyperlink"/>
                  <w:i/>
                  <w:iCs/>
                </w:rPr>
                <w:t>45</w:t>
              </w:r>
            </w:hyperlink>
            <w:r w:rsidRPr="0097220F">
              <w:rPr>
                <w:i/>
                <w:iCs/>
              </w:rPr>
              <w:t xml:space="preserve"> (Rév.Dubaï, 2014) et </w:t>
            </w:r>
            <w:hyperlink r:id="rId17" w:history="1">
              <w:r w:rsidRPr="0097220F">
                <w:rPr>
                  <w:rStyle w:val="Hyperlink"/>
                  <w:i/>
                  <w:iCs/>
                </w:rPr>
                <w:t>2</w:t>
              </w:r>
              <w:r w:rsidRPr="00D3182B">
                <w:rPr>
                  <w:rStyle w:val="Hyperlink"/>
                  <w:i/>
                  <w:iCs/>
                  <w:color w:val="auto"/>
                  <w:u w:val="none"/>
                </w:rPr>
                <w:t xml:space="preserve">, </w:t>
              </w:r>
              <w:r w:rsidRPr="0097220F">
                <w:rPr>
                  <w:rStyle w:val="Hyperlink"/>
                  <w:i/>
                  <w:iCs/>
                </w:rPr>
                <w:t>67</w:t>
              </w:r>
              <w:r w:rsidRPr="00D3182B">
                <w:rPr>
                  <w:rStyle w:val="Hyperlink"/>
                  <w:i/>
                  <w:iCs/>
                  <w:color w:val="auto"/>
                  <w:u w:val="none"/>
                </w:rPr>
                <w:t xml:space="preserve"> et </w:t>
              </w:r>
              <w:r w:rsidRPr="0097220F">
                <w:rPr>
                  <w:rStyle w:val="Hyperlink"/>
                  <w:i/>
                  <w:iCs/>
                </w:rPr>
                <w:t>69</w:t>
              </w:r>
              <w:r w:rsidRPr="00D3182B">
                <w:rPr>
                  <w:rStyle w:val="Hyperlink"/>
                  <w:i/>
                  <w:iCs/>
                  <w:color w:val="auto"/>
                  <w:u w:val="none"/>
                </w:rPr>
                <w:t xml:space="preserve"> (Rév.Buenos Aires, 2017)</w:t>
              </w:r>
            </w:hyperlink>
            <w:r w:rsidRPr="0097220F">
              <w:rPr>
                <w:i/>
                <w:iCs/>
              </w:rPr>
              <w:t xml:space="preserve"> de la </w:t>
            </w:r>
            <w:r w:rsidR="004479A6" w:rsidRPr="0097220F">
              <w:rPr>
                <w:i/>
                <w:iCs/>
              </w:rPr>
              <w:t>Conférence mondiale de développement des télécommunications</w:t>
            </w:r>
            <w:r w:rsidRPr="0097220F">
              <w:rPr>
                <w:i/>
                <w:iCs/>
              </w:rPr>
              <w:t>, Objectif 2/Produit 2.2 de l'UIT-D (</w:t>
            </w:r>
            <w:hyperlink r:id="rId18" w:history="1">
              <w:r w:rsidRPr="0097220F">
                <w:rPr>
                  <w:rStyle w:val="Hyperlink"/>
                  <w:i/>
                  <w:iCs/>
                </w:rPr>
                <w:t>Plan d'action de Buenos Aires</w:t>
              </w:r>
            </w:hyperlink>
            <w:r w:rsidRPr="0097220F">
              <w:rPr>
                <w:i/>
                <w:iCs/>
              </w:rPr>
              <w:t>)</w:t>
            </w:r>
            <w:hyperlink r:id="rId19" w:history="1"/>
            <w:r w:rsidRPr="0097220F">
              <w:rPr>
                <w:i/>
                <w:iCs/>
              </w:rPr>
              <w:t xml:space="preserve">, Résolutions </w:t>
            </w:r>
            <w:hyperlink r:id="rId20" w:history="1">
              <w:r w:rsidRPr="0097220F">
                <w:rPr>
                  <w:rStyle w:val="Hyperlink"/>
                  <w:i/>
                  <w:iCs/>
                </w:rPr>
                <w:t>50</w:t>
              </w:r>
            </w:hyperlink>
            <w:r w:rsidRPr="0097220F">
              <w:rPr>
                <w:i/>
                <w:iCs/>
              </w:rPr>
              <w:t xml:space="preserve">, </w:t>
            </w:r>
            <w:hyperlink r:id="rId21" w:history="1">
              <w:r w:rsidRPr="0097220F">
                <w:rPr>
                  <w:rStyle w:val="Hyperlink"/>
                  <w:i/>
                  <w:iCs/>
                </w:rPr>
                <w:t>52</w:t>
              </w:r>
            </w:hyperlink>
            <w:r w:rsidRPr="0097220F">
              <w:rPr>
                <w:i/>
                <w:iCs/>
              </w:rPr>
              <w:t xml:space="preserve">, </w:t>
            </w:r>
            <w:hyperlink r:id="rId22" w:history="1">
              <w:r w:rsidRPr="0097220F">
                <w:rPr>
                  <w:rStyle w:val="Hyperlink"/>
                  <w:i/>
                  <w:iCs/>
                </w:rPr>
                <w:t>75</w:t>
              </w:r>
            </w:hyperlink>
            <w:r w:rsidRPr="0097220F">
              <w:rPr>
                <w:i/>
                <w:iCs/>
              </w:rPr>
              <w:t xml:space="preserve"> (Rév.Hammamet, 2016) et </w:t>
            </w:r>
            <w:hyperlink r:id="rId23" w:history="1">
              <w:r w:rsidRPr="0097220F">
                <w:rPr>
                  <w:rStyle w:val="Hyperlink"/>
                  <w:i/>
                  <w:iCs/>
                </w:rPr>
                <w:t>58</w:t>
              </w:r>
            </w:hyperlink>
            <w:r w:rsidRPr="0097220F">
              <w:rPr>
                <w:i/>
                <w:iCs/>
              </w:rPr>
              <w:t xml:space="preserve"> (Rév.Dubaï, 2012) de l'A</w:t>
            </w:r>
            <w:r w:rsidR="004479A6" w:rsidRPr="0097220F">
              <w:rPr>
                <w:i/>
                <w:iCs/>
              </w:rPr>
              <w:t>ssemblée mondiale de normalisation des télécommunications</w:t>
            </w:r>
            <w:r w:rsidRPr="0097220F">
              <w:rPr>
                <w:i/>
                <w:iCs/>
              </w:rPr>
              <w:t>, Documents</w:t>
            </w:r>
            <w:r w:rsidR="004479A6" w:rsidRPr="0097220F">
              <w:rPr>
                <w:i/>
                <w:iCs/>
              </w:rPr>
              <w:t xml:space="preserve"> récents du Conseil –</w:t>
            </w:r>
            <w:r w:rsidR="004479A6" w:rsidRPr="0097220F">
              <w:t xml:space="preserve"> </w:t>
            </w:r>
            <w:hyperlink r:id="rId24" w:history="1">
              <w:r w:rsidRPr="0097220F">
                <w:rPr>
                  <w:rStyle w:val="Hyperlink"/>
                  <w:i/>
                  <w:iCs/>
                </w:rPr>
                <w:t>C15/18</w:t>
              </w:r>
            </w:hyperlink>
            <w:r w:rsidRPr="0097220F">
              <w:rPr>
                <w:i/>
                <w:iCs/>
              </w:rPr>
              <w:t xml:space="preserve">, </w:t>
            </w:r>
            <w:hyperlink r:id="rId25" w:history="1">
              <w:r w:rsidRPr="0097220F">
                <w:rPr>
                  <w:rStyle w:val="Hyperlink"/>
                  <w:i/>
                  <w:iCs/>
                </w:rPr>
                <w:t>C16/18</w:t>
              </w:r>
            </w:hyperlink>
            <w:r w:rsidRPr="0097220F">
              <w:rPr>
                <w:i/>
                <w:iCs/>
              </w:rPr>
              <w:t xml:space="preserve">, </w:t>
            </w:r>
            <w:hyperlink r:id="rId26" w:history="1">
              <w:r w:rsidRPr="0097220F">
                <w:rPr>
                  <w:rStyle w:val="Hyperlink"/>
                  <w:i/>
                  <w:iCs/>
                </w:rPr>
                <w:t>C17/18</w:t>
              </w:r>
            </w:hyperlink>
            <w:bookmarkEnd w:id="8"/>
            <w:r w:rsidR="004479A6" w:rsidRPr="0097220F">
              <w:rPr>
                <w:i/>
                <w:iCs/>
              </w:rPr>
              <w:t>,</w:t>
            </w:r>
            <w:r w:rsidRPr="0097220F">
              <w:rPr>
                <w:i/>
                <w:iCs/>
              </w:rPr>
              <w:t xml:space="preserve"> </w:t>
            </w:r>
            <w:hyperlink r:id="rId27" w:history="1">
              <w:r w:rsidRPr="0097220F">
                <w:rPr>
                  <w:rStyle w:val="Hyperlink"/>
                  <w:i/>
                  <w:iCs/>
                </w:rPr>
                <w:t>C18/18</w:t>
              </w:r>
            </w:hyperlink>
            <w:r w:rsidRPr="00D3182B">
              <w:rPr>
                <w:i/>
                <w:iCs/>
              </w:rPr>
              <w:t xml:space="preserve"> </w:t>
            </w:r>
            <w:r w:rsidR="004479A6" w:rsidRPr="0097220F">
              <w:rPr>
                <w:i/>
                <w:iCs/>
              </w:rPr>
              <w:t xml:space="preserve">et </w:t>
            </w:r>
            <w:hyperlink r:id="rId28" w:history="1">
              <w:r w:rsidR="004479A6" w:rsidRPr="00D3182B">
                <w:rPr>
                  <w:rStyle w:val="Hyperlink"/>
                  <w:i/>
                  <w:iCs/>
                </w:rPr>
                <w:t>C19/18</w:t>
              </w:r>
            </w:hyperlink>
            <w:r w:rsidR="004479A6" w:rsidRPr="0097220F">
              <w:rPr>
                <w:i/>
                <w:iCs/>
              </w:rPr>
              <w:t xml:space="preserve"> </w:t>
            </w:r>
          </w:p>
        </w:tc>
      </w:tr>
    </w:tbl>
    <w:p w14:paraId="6600790F" w14:textId="7EF51032" w:rsidR="009C353C" w:rsidRPr="0097220F" w:rsidRDefault="009C353C" w:rsidP="00D259ED"/>
    <w:p w14:paraId="1A7B556A" w14:textId="088871BE" w:rsidR="008C4ED4" w:rsidRPr="0097220F" w:rsidRDefault="008C4ED4" w:rsidP="00D259ED">
      <w:pPr>
        <w:tabs>
          <w:tab w:val="clear" w:pos="567"/>
          <w:tab w:val="clear" w:pos="1134"/>
          <w:tab w:val="clear" w:pos="1701"/>
          <w:tab w:val="clear" w:pos="2268"/>
          <w:tab w:val="clear" w:pos="2835"/>
        </w:tabs>
        <w:overflowPunct/>
        <w:autoSpaceDE/>
        <w:autoSpaceDN/>
        <w:adjustRightInd/>
        <w:spacing w:before="0"/>
        <w:textAlignment w:val="auto"/>
      </w:pPr>
      <w:r w:rsidRPr="0097220F">
        <w:br w:type="page"/>
      </w:r>
    </w:p>
    <w:p w14:paraId="524A4DDB" w14:textId="77777777" w:rsidR="008C4ED4" w:rsidRPr="0097220F" w:rsidRDefault="008C4ED4" w:rsidP="00D259ED">
      <w:pPr>
        <w:pStyle w:val="Heading1"/>
      </w:pPr>
      <w:r w:rsidRPr="0097220F">
        <w:lastRenderedPageBreak/>
        <w:t>1</w:t>
      </w:r>
      <w:r w:rsidRPr="0097220F">
        <w:tab/>
        <w:t>Activités relatives à la cybersécurité et à la lutte contre le spam</w:t>
      </w:r>
    </w:p>
    <w:p w14:paraId="0799AE84" w14:textId="77777777" w:rsidR="008C4ED4" w:rsidRPr="0097220F" w:rsidRDefault="008C4ED4" w:rsidP="00D259ED">
      <w:r w:rsidRPr="0097220F">
        <w:rPr>
          <w:szCs w:val="24"/>
        </w:rPr>
        <w:t>1.1</w:t>
      </w:r>
      <w:r w:rsidRPr="0097220F">
        <w:rPr>
          <w:szCs w:val="24"/>
        </w:rPr>
        <w:tab/>
      </w:r>
      <w:r w:rsidRPr="0097220F">
        <w:t>Le développement des TIC, étayé par la sécurité et la confiance, est reconnu comme un facteur essentiel du développement durable.</w:t>
      </w:r>
      <w:r w:rsidRPr="0097220F">
        <w:rPr>
          <w:szCs w:val="24"/>
        </w:rPr>
        <w:t xml:space="preserve"> </w:t>
      </w:r>
      <w:r w:rsidRPr="0097220F">
        <w:t xml:space="preserve">Le présent rapport, qui s'articule autour des cinq piliers du </w:t>
      </w:r>
      <w:hyperlink r:id="rId29" w:history="1">
        <w:r w:rsidRPr="0097220F">
          <w:rPr>
            <w:rStyle w:val="Hyperlink"/>
            <w:rFonts w:asciiTheme="minorHAnsi" w:hAnsiTheme="minorHAnsi"/>
          </w:rPr>
          <w:t>Programme mondial cybersécurité (GCA)</w:t>
        </w:r>
      </w:hyperlink>
      <w:r w:rsidRPr="0097220F">
        <w:t xml:space="preserve">, fait apparaître la complémentarité des programmes de travail existants de l'UIT et vise à faciliter la mise en oeuvre des activités menées par le BDT, le TSB et le BR dans ce domaine. </w:t>
      </w:r>
    </w:p>
    <w:p w14:paraId="0911C634" w14:textId="77777777" w:rsidR="008C4ED4" w:rsidRPr="0097220F" w:rsidRDefault="008C4ED4" w:rsidP="00D259ED">
      <w:pPr>
        <w:pStyle w:val="Heading1"/>
      </w:pPr>
      <w:r w:rsidRPr="0097220F">
        <w:rPr>
          <w:rFonts w:asciiTheme="minorHAnsi" w:hAnsiTheme="minorHAnsi"/>
          <w:bCs/>
          <w:szCs w:val="24"/>
        </w:rPr>
        <w:t>2</w:t>
      </w:r>
      <w:r w:rsidRPr="0097220F">
        <w:rPr>
          <w:rFonts w:asciiTheme="minorHAnsi" w:hAnsiTheme="minorHAnsi"/>
          <w:bCs/>
          <w:szCs w:val="24"/>
        </w:rPr>
        <w:tab/>
      </w:r>
      <w:r w:rsidRPr="0097220F">
        <w:t>Cadre législatif</w:t>
      </w:r>
    </w:p>
    <w:p w14:paraId="09ED6CF8" w14:textId="3706DB18" w:rsidR="008C4ED4" w:rsidRPr="0097220F" w:rsidRDefault="008C4ED4" w:rsidP="00D259ED">
      <w:r w:rsidRPr="0097220F">
        <w:t>2.1</w:t>
      </w:r>
      <w:r w:rsidRPr="0097220F">
        <w:tab/>
        <w:t xml:space="preserve">Dans le cadre de l'Objectif </w:t>
      </w:r>
      <w:r w:rsidR="004479A6" w:rsidRPr="0097220F">
        <w:t>2/</w:t>
      </w:r>
      <w:r w:rsidR="00D65CB0" w:rsidRPr="0097220F">
        <w:t>P</w:t>
      </w:r>
      <w:r w:rsidR="004479A6" w:rsidRPr="0097220F">
        <w:t>roduit 2.2</w:t>
      </w:r>
      <w:r w:rsidRPr="0097220F">
        <w:t xml:space="preserve"> du Plan d'action de Buenos Aires, et compte tenu de la Question 3/2 (ancienne Question 22/1) </w:t>
      </w:r>
      <w:r w:rsidR="00AA1583" w:rsidRPr="0097220F">
        <w:t xml:space="preserve">confiée à la </w:t>
      </w:r>
      <w:r w:rsidR="00D65CB0" w:rsidRPr="0097220F">
        <w:t>Commission d'études (CE)</w:t>
      </w:r>
      <w:r w:rsidR="00AA1583" w:rsidRPr="0097220F">
        <w:t xml:space="preserve"> 2 de</w:t>
      </w:r>
      <w:r w:rsidRPr="0097220F">
        <w:t xml:space="preserve"> l'UIT-D, l'UIT aide les Etats Membres à comprendre les aspects juridiques de la cybersécurité, en mettant à leur disposition ses </w:t>
      </w:r>
      <w:hyperlink r:id="rId30" w:history="1">
        <w:r w:rsidRPr="0097220F">
          <w:rPr>
            <w:rStyle w:val="Hyperlink"/>
            <w:rFonts w:asciiTheme="minorHAnsi" w:hAnsiTheme="minorHAnsi"/>
            <w:szCs w:val="24"/>
          </w:rPr>
          <w:t>ressources sur la législation relative à la cybercriminalité</w:t>
        </w:r>
      </w:hyperlink>
      <w:r w:rsidRPr="0097220F">
        <w:t>, afin de contribuer à l'harmonisation de leurs cadres juridiques. En ce qui concerne le cadre législatif, l'UIT collabore étroitement avec des partenaires tels que l'Office des Nations Unies contre la drogue et le crime (ONUDC) et d'autres experts.</w:t>
      </w:r>
    </w:p>
    <w:p w14:paraId="747A22C8" w14:textId="59520141" w:rsidR="008C4ED4" w:rsidRPr="0097220F" w:rsidRDefault="008C4ED4" w:rsidP="00D259ED">
      <w:pPr>
        <w:pStyle w:val="Heading1"/>
      </w:pPr>
      <w:r w:rsidRPr="0097220F">
        <w:t>3</w:t>
      </w:r>
      <w:r w:rsidRPr="0097220F">
        <w:tab/>
        <w:t>M</w:t>
      </w:r>
      <w:r w:rsidR="0082646E">
        <w:t>esures techniques et procédures</w:t>
      </w:r>
    </w:p>
    <w:p w14:paraId="0C9557CF" w14:textId="0AF032ED" w:rsidR="008C4ED4" w:rsidRPr="0097220F" w:rsidRDefault="008C4ED4" w:rsidP="00D259ED">
      <w:r w:rsidRPr="0097220F">
        <w:t>3.1</w:t>
      </w:r>
      <w:r w:rsidRPr="0097220F">
        <w:tab/>
        <w:t xml:space="preserve">La </w:t>
      </w:r>
      <w:hyperlink r:id="rId31" w:history="1">
        <w:r w:rsidRPr="0097220F">
          <w:rPr>
            <w:rStyle w:val="Hyperlink"/>
            <w:rFonts w:asciiTheme="minorHAnsi" w:hAnsiTheme="minorHAnsi"/>
            <w:szCs w:val="24"/>
          </w:rPr>
          <w:t>CE 17</w:t>
        </w:r>
      </w:hyperlink>
      <w:r w:rsidRPr="0097220F">
        <w:t xml:space="preserve"> de l'UIT-T, en sa qualité de commission d'études directrice chargée de la sécurité et de la gestion d'identité (IdM), continue de contribuer aux études et à la normalisation concernant la cybersécurité, la lutte contre le spam, la gestion d'identité, les certificats UIT-T X.509, la gestion de la sécurité de l'information, les réseaux de capteurs ubiquitaires, la télébiométrie, la sécurité mobile, la sécurité de la virtualisation dans l'optique de la sécurité de l'informatique en nuage,</w:t>
      </w:r>
      <w:r w:rsidRPr="0097220F">
        <w:rPr>
          <w:color w:val="000000"/>
        </w:rPr>
        <w:t xml:space="preserve"> la protection des informations d'identification personnelle</w:t>
      </w:r>
      <w:r w:rsidRPr="0097220F">
        <w:t xml:space="preserve"> ainsi que l'architecture de la sécurité et de la sécurité des applications, conjointement avec des organisations de normalisation extérieure. </w:t>
      </w:r>
    </w:p>
    <w:p w14:paraId="5903FDDB" w14:textId="7428DC4F" w:rsidR="00AF7407" w:rsidRPr="0097220F" w:rsidRDefault="00AF7407" w:rsidP="00D259ED">
      <w:r w:rsidRPr="0097220F">
        <w:t>3.2</w:t>
      </w:r>
      <w:r w:rsidRPr="0097220F">
        <w:tab/>
      </w:r>
      <w:r w:rsidRPr="0097220F">
        <w:rPr>
          <w:bCs/>
          <w:lang w:val="fr-CH"/>
        </w:rPr>
        <w:t xml:space="preserve">Depuis le dernier rapport à l'intention du Conseil, la CE 17 </w:t>
      </w:r>
      <w:r w:rsidR="001350C3" w:rsidRPr="0097220F">
        <w:rPr>
          <w:bCs/>
          <w:lang w:val="fr-CH"/>
        </w:rPr>
        <w:t>a tenu une réunion en septembre</w:t>
      </w:r>
      <w:r w:rsidR="00AA1583" w:rsidRPr="0097220F">
        <w:rPr>
          <w:bCs/>
          <w:lang w:val="fr-CH"/>
        </w:rPr>
        <w:t> </w:t>
      </w:r>
      <w:r w:rsidR="001350C3" w:rsidRPr="0097220F">
        <w:rPr>
          <w:bCs/>
          <w:lang w:val="fr-CH"/>
        </w:rPr>
        <w:t>2019</w:t>
      </w:r>
      <w:r w:rsidR="00AA1583" w:rsidRPr="0097220F">
        <w:rPr>
          <w:bCs/>
          <w:lang w:val="fr-CH"/>
        </w:rPr>
        <w:t>,</w:t>
      </w:r>
      <w:r w:rsidR="001350C3" w:rsidRPr="0097220F">
        <w:rPr>
          <w:bCs/>
          <w:lang w:val="fr-CH"/>
        </w:rPr>
        <w:t xml:space="preserve"> à laquelle elle a défini </w:t>
      </w:r>
      <w:hyperlink r:id="rId32" w:history="1">
        <w:r w:rsidR="001350C3" w:rsidRPr="0097220F">
          <w:rPr>
            <w:rStyle w:val="Hyperlink"/>
            <w:bCs/>
            <w:lang w:val="fr-CH"/>
          </w:rPr>
          <w:t>25 nouveaux sujets d'étude en matière de normalisation</w:t>
        </w:r>
      </w:hyperlink>
      <w:r w:rsidRPr="0097220F">
        <w:rPr>
          <w:bCs/>
        </w:rPr>
        <w:t xml:space="preserve">. </w:t>
      </w:r>
      <w:r w:rsidR="001350C3" w:rsidRPr="0097220F">
        <w:rPr>
          <w:bCs/>
        </w:rPr>
        <w:t xml:space="preserve">La CE </w:t>
      </w:r>
      <w:r w:rsidRPr="0097220F">
        <w:rPr>
          <w:bCs/>
        </w:rPr>
        <w:t xml:space="preserve">17 </w:t>
      </w:r>
      <w:r w:rsidR="001350C3" w:rsidRPr="0097220F">
        <w:rPr>
          <w:bCs/>
        </w:rPr>
        <w:t>a approuvé</w:t>
      </w:r>
      <w:r w:rsidR="00020EAB" w:rsidRPr="0097220F">
        <w:rPr>
          <w:bCs/>
        </w:rPr>
        <w:t xml:space="preserve"> plus de 30 Recommandations UIT-T nouvelles </w:t>
      </w:r>
      <w:r w:rsidR="0082646E">
        <w:rPr>
          <w:bCs/>
        </w:rPr>
        <w:t>ou révisées sur la sécurité des </w:t>
      </w:r>
      <w:r w:rsidR="00020EAB" w:rsidRPr="0097220F">
        <w:rPr>
          <w:bCs/>
        </w:rPr>
        <w:t xml:space="preserve">TIC, </w:t>
      </w:r>
      <w:r w:rsidR="0064052E">
        <w:rPr>
          <w:bCs/>
        </w:rPr>
        <w:t>notamment</w:t>
      </w:r>
      <w:r w:rsidR="00020EAB" w:rsidRPr="0097220F">
        <w:rPr>
          <w:bCs/>
        </w:rPr>
        <w:t>:</w:t>
      </w:r>
      <w:r w:rsidRPr="0097220F">
        <w:rPr>
          <w:bCs/>
        </w:rPr>
        <w:t xml:space="preserve"> </w:t>
      </w:r>
      <w:r w:rsidR="00B21B63" w:rsidRPr="0097220F">
        <w:rPr>
          <w:bCs/>
        </w:rPr>
        <w:t xml:space="preserve">9ème édition des normes essentielles en matière de cybersécurité pour les Recommandations de la série X.500 sur l'infrastructure de clé publique; </w:t>
      </w:r>
      <w:r w:rsidRPr="0097220F">
        <w:rPr>
          <w:bCs/>
        </w:rPr>
        <w:t xml:space="preserve">X.1044 </w:t>
      </w:r>
      <w:r w:rsidR="00B21B63" w:rsidRPr="0097220F">
        <w:rPr>
          <w:bCs/>
        </w:rPr>
        <w:t>"</w:t>
      </w:r>
      <w:r w:rsidR="00B21B63" w:rsidRPr="0097220F">
        <w:rPr>
          <w:color w:val="000000"/>
        </w:rPr>
        <w:t>Exigences de sécurité de la virtualisation de réseau"</w:t>
      </w:r>
      <w:r w:rsidR="00B21B63" w:rsidRPr="0097220F">
        <w:rPr>
          <w:bCs/>
        </w:rPr>
        <w:t>;</w:t>
      </w:r>
      <w:r w:rsidRPr="0097220F">
        <w:rPr>
          <w:bCs/>
        </w:rPr>
        <w:t xml:space="preserve"> X.1045 </w:t>
      </w:r>
      <w:r w:rsidR="00B21B63" w:rsidRPr="0097220F">
        <w:rPr>
          <w:bCs/>
        </w:rPr>
        <w:t>"</w:t>
      </w:r>
      <w:r w:rsidR="00B21B63" w:rsidRPr="0097220F">
        <w:rPr>
          <w:color w:val="000000"/>
        </w:rPr>
        <w:t>Architecture de la chaîne de services de sécurité pour les réseaux et les applications</w:t>
      </w:r>
      <w:r w:rsidR="00B21B63" w:rsidRPr="0097220F">
        <w:rPr>
          <w:bCs/>
        </w:rPr>
        <w:t>";</w:t>
      </w:r>
      <w:r w:rsidRPr="0097220F">
        <w:rPr>
          <w:bCs/>
        </w:rPr>
        <w:t xml:space="preserve"> X.1059 </w:t>
      </w:r>
      <w:r w:rsidR="00B21B63" w:rsidRPr="0097220F">
        <w:rPr>
          <w:bCs/>
        </w:rPr>
        <w:t>"</w:t>
      </w:r>
      <w:r w:rsidR="00B21B63" w:rsidRPr="0097220F">
        <w:rPr>
          <w:color w:val="000000"/>
        </w:rPr>
        <w:t>Guide de mise en œuvre à l'intention des organisations de télécommunication sur la gestion des risques liés à leurs actifs mondialement accessibles dans les réseaux IP</w:t>
      </w:r>
      <w:r w:rsidR="00B21B63" w:rsidRPr="0097220F">
        <w:rPr>
          <w:bCs/>
        </w:rPr>
        <w:t>";</w:t>
      </w:r>
      <w:r w:rsidRPr="0097220F">
        <w:rPr>
          <w:bCs/>
        </w:rPr>
        <w:t xml:space="preserve"> X.1702 </w:t>
      </w:r>
      <w:r w:rsidR="00B21B63" w:rsidRPr="0097220F">
        <w:rPr>
          <w:bCs/>
        </w:rPr>
        <w:t>"</w:t>
      </w:r>
      <w:r w:rsidR="00B21B63" w:rsidRPr="0097220F">
        <w:rPr>
          <w:color w:val="000000"/>
        </w:rPr>
        <w:t>Architecture d'un générateur de nombres aléatoires pour le bruit quantique</w:t>
      </w:r>
      <w:r w:rsidR="00B21B63" w:rsidRPr="0097220F">
        <w:rPr>
          <w:bCs/>
        </w:rPr>
        <w:t>";</w:t>
      </w:r>
      <w:r w:rsidRPr="0097220F">
        <w:rPr>
          <w:bCs/>
        </w:rPr>
        <w:t xml:space="preserve"> X.1232 </w:t>
      </w:r>
      <w:r w:rsidR="00B21B63" w:rsidRPr="0097220F">
        <w:rPr>
          <w:bCs/>
        </w:rPr>
        <w:t>"</w:t>
      </w:r>
      <w:r w:rsidR="00B21B63" w:rsidRPr="0097220F">
        <w:rPr>
          <w:color w:val="000000"/>
        </w:rPr>
        <w:t>Cadre technique de lutte contre le spam publicitaire dans les informations générées par les utilisateurs"</w:t>
      </w:r>
      <w:r w:rsidR="00B21B63" w:rsidRPr="0097220F">
        <w:rPr>
          <w:bCs/>
        </w:rPr>
        <w:t>;</w:t>
      </w:r>
      <w:r w:rsidRPr="0097220F">
        <w:rPr>
          <w:bCs/>
        </w:rPr>
        <w:t xml:space="preserve"> X.677  </w:t>
      </w:r>
      <w:r w:rsidR="00B21B63" w:rsidRPr="0097220F">
        <w:rPr>
          <w:bCs/>
        </w:rPr>
        <w:t>"</w:t>
      </w:r>
      <w:r w:rsidR="00EA2DF6" w:rsidRPr="0097220F">
        <w:rPr>
          <w:bCs/>
        </w:rPr>
        <w:t xml:space="preserve">Mécanisme d'identification pour </w:t>
      </w:r>
      <w:r w:rsidR="00BB45C1" w:rsidRPr="0097220F">
        <w:rPr>
          <w:bCs/>
        </w:rPr>
        <w:t>l</w:t>
      </w:r>
      <w:r w:rsidR="00EA2DF6" w:rsidRPr="0097220F">
        <w:rPr>
          <w:bCs/>
        </w:rPr>
        <w:t xml:space="preserve">es aéronefs sans pilote utilisant des identificateurs d'objet"; </w:t>
      </w:r>
      <w:r w:rsidRPr="0097220F">
        <w:rPr>
          <w:bCs/>
        </w:rPr>
        <w:t xml:space="preserve">X.1402 </w:t>
      </w:r>
      <w:r w:rsidR="007E5F4F" w:rsidRPr="0097220F">
        <w:rPr>
          <w:bCs/>
        </w:rPr>
        <w:t>"</w:t>
      </w:r>
      <w:r w:rsidR="00EA2DF6" w:rsidRPr="0097220F">
        <w:rPr>
          <w:bCs/>
        </w:rPr>
        <w:t>Menaces de sécurité pour la technologie de</w:t>
      </w:r>
      <w:r w:rsidR="007E5F4F" w:rsidRPr="0097220F">
        <w:rPr>
          <w:bCs/>
        </w:rPr>
        <w:t>s</w:t>
      </w:r>
      <w:r w:rsidR="00EA2DF6" w:rsidRPr="0097220F">
        <w:rPr>
          <w:bCs/>
        </w:rPr>
        <w:t xml:space="preserve"> registres distribués"; Amendement 1 à la Recommandation </w:t>
      </w:r>
      <w:r w:rsidR="00622CD9">
        <w:rPr>
          <w:bCs/>
        </w:rPr>
        <w:t xml:space="preserve">UIT-T </w:t>
      </w:r>
      <w:r w:rsidRPr="0097220F">
        <w:rPr>
          <w:bCs/>
        </w:rPr>
        <w:t xml:space="preserve">X.1197 </w:t>
      </w:r>
      <w:r w:rsidR="00EA2DF6" w:rsidRPr="0097220F">
        <w:rPr>
          <w:bCs/>
        </w:rPr>
        <w:t>"</w:t>
      </w:r>
      <w:r w:rsidR="00EA2DF6" w:rsidRPr="0097220F">
        <w:rPr>
          <w:color w:val="000000"/>
        </w:rPr>
        <w:t>Lignes directrices révisées relatives aux critères de sélection d'algorithmes cryptographiques pour la protection de service et de contenu de TVIP"</w:t>
      </w:r>
      <w:r w:rsidR="00EA2DF6" w:rsidRPr="0097220F">
        <w:rPr>
          <w:bCs/>
        </w:rPr>
        <w:t>;</w:t>
      </w:r>
      <w:r w:rsidRPr="0097220F">
        <w:rPr>
          <w:bCs/>
        </w:rPr>
        <w:t xml:space="preserve"> </w:t>
      </w:r>
      <w:r w:rsidR="00EA2DF6" w:rsidRPr="0097220F">
        <w:rPr>
          <w:bCs/>
        </w:rPr>
        <w:t xml:space="preserve">Corrigendum 1 à la Recommandation </w:t>
      </w:r>
      <w:r w:rsidR="00622CD9">
        <w:rPr>
          <w:bCs/>
        </w:rPr>
        <w:t xml:space="preserve">UIT-T </w:t>
      </w:r>
      <w:r w:rsidRPr="0097220F">
        <w:rPr>
          <w:bCs/>
        </w:rPr>
        <w:t xml:space="preserve">X.694 </w:t>
      </w:r>
      <w:r w:rsidR="0082646E">
        <w:rPr>
          <w:bCs/>
        </w:rPr>
        <w:t>et Corrigendum </w:t>
      </w:r>
      <w:r w:rsidR="00EA2DF6" w:rsidRPr="0097220F">
        <w:rPr>
          <w:bCs/>
        </w:rPr>
        <w:t>1 à la Recommandation</w:t>
      </w:r>
      <w:r w:rsidRPr="0097220F">
        <w:rPr>
          <w:bCs/>
        </w:rPr>
        <w:t xml:space="preserve"> </w:t>
      </w:r>
      <w:r w:rsidR="00622CD9">
        <w:rPr>
          <w:bCs/>
        </w:rPr>
        <w:t xml:space="preserve">UIT-T </w:t>
      </w:r>
      <w:r w:rsidRPr="0097220F">
        <w:rPr>
          <w:bCs/>
        </w:rPr>
        <w:t xml:space="preserve">X.893 </w:t>
      </w:r>
      <w:r w:rsidR="00BF6726">
        <w:rPr>
          <w:bCs/>
        </w:rPr>
        <w:t>– Not</w:t>
      </w:r>
      <w:r w:rsidR="00D4742D" w:rsidRPr="0097220F">
        <w:rPr>
          <w:color w:val="000000"/>
        </w:rPr>
        <w:t>ation de syntaxe abstraite numéro un (ASN.1);</w:t>
      </w:r>
      <w:r w:rsidRPr="0097220F">
        <w:rPr>
          <w:bCs/>
        </w:rPr>
        <w:t xml:space="preserve"> </w:t>
      </w:r>
      <w:r w:rsidR="007D4BBC">
        <w:rPr>
          <w:bCs/>
        </w:rPr>
        <w:t>version révisée</w:t>
      </w:r>
      <w:r w:rsidR="00D4742D" w:rsidRPr="0097220F">
        <w:rPr>
          <w:bCs/>
        </w:rPr>
        <w:t xml:space="preserve"> de la série </w:t>
      </w:r>
      <w:r w:rsidRPr="0097220F">
        <w:rPr>
          <w:bCs/>
        </w:rPr>
        <w:t>Z.100</w:t>
      </w:r>
      <w:r w:rsidR="00D4742D" w:rsidRPr="0097220F">
        <w:rPr>
          <w:bCs/>
        </w:rPr>
        <w:t xml:space="preserve"> </w:t>
      </w:r>
      <w:r w:rsidR="00BB45C1" w:rsidRPr="0097220F">
        <w:rPr>
          <w:bCs/>
        </w:rPr>
        <w:t>– L</w:t>
      </w:r>
      <w:r w:rsidR="00D4742D" w:rsidRPr="0097220F">
        <w:rPr>
          <w:bCs/>
        </w:rPr>
        <w:t>angage SDL et</w:t>
      </w:r>
      <w:r w:rsidR="007D4BBC">
        <w:rPr>
          <w:bCs/>
        </w:rPr>
        <w:t xml:space="preserve"> version</w:t>
      </w:r>
      <w:r w:rsidR="00D4742D" w:rsidRPr="0097220F">
        <w:rPr>
          <w:bCs/>
        </w:rPr>
        <w:t xml:space="preserve"> révis</w:t>
      </w:r>
      <w:r w:rsidR="007D4BBC">
        <w:rPr>
          <w:bCs/>
        </w:rPr>
        <w:t>ée</w:t>
      </w:r>
      <w:r w:rsidR="00D4742D" w:rsidRPr="0097220F">
        <w:rPr>
          <w:bCs/>
        </w:rPr>
        <w:t xml:space="preserve"> de la série</w:t>
      </w:r>
      <w:r w:rsidRPr="0097220F">
        <w:rPr>
          <w:bCs/>
        </w:rPr>
        <w:t xml:space="preserve"> Z.160</w:t>
      </w:r>
      <w:r w:rsidR="00D4742D" w:rsidRPr="0097220F">
        <w:rPr>
          <w:bCs/>
        </w:rPr>
        <w:t xml:space="preserve"> </w:t>
      </w:r>
      <w:r w:rsidR="00BB45C1" w:rsidRPr="0097220F">
        <w:rPr>
          <w:bCs/>
        </w:rPr>
        <w:t>– No</w:t>
      </w:r>
      <w:r w:rsidR="00D4742D" w:rsidRPr="0097220F">
        <w:rPr>
          <w:bCs/>
        </w:rPr>
        <w:t xml:space="preserve">tation de texte et de commande de test version 3 (TTCN-3). La CE 17 a aussi approuvé un nouveau Supplément sur les </w:t>
      </w:r>
      <w:r w:rsidR="00BB45C1" w:rsidRPr="0097220F">
        <w:rPr>
          <w:bCs/>
        </w:rPr>
        <w:t>cas d'utilisation du cadre</w:t>
      </w:r>
      <w:r w:rsidR="00D4742D" w:rsidRPr="0097220F">
        <w:rPr>
          <w:bCs/>
        </w:rPr>
        <w:t xml:space="preserve"> de garantie d'authentification des entités (EAA) et </w:t>
      </w:r>
      <w:r w:rsidR="00A4685B">
        <w:rPr>
          <w:bCs/>
        </w:rPr>
        <w:t>a révisé le</w:t>
      </w:r>
      <w:r w:rsidR="00D4742D" w:rsidRPr="0097220F">
        <w:rPr>
          <w:bCs/>
        </w:rPr>
        <w:t xml:space="preserve"> guide de mise en œuvre </w:t>
      </w:r>
      <w:r w:rsidR="00622CD9">
        <w:rPr>
          <w:bCs/>
        </w:rPr>
        <w:t xml:space="preserve">des Recommandations UIT-T </w:t>
      </w:r>
      <w:r w:rsidR="00D4742D" w:rsidRPr="0097220F">
        <w:rPr>
          <w:bCs/>
        </w:rPr>
        <w:t xml:space="preserve">de la série Z. </w:t>
      </w:r>
    </w:p>
    <w:p w14:paraId="5AFFDEBA" w14:textId="14371BFF" w:rsidR="00AF7407" w:rsidRPr="0097220F" w:rsidRDefault="00AF7407" w:rsidP="00D259ED">
      <w:r w:rsidRPr="0097220F">
        <w:lastRenderedPageBreak/>
        <w:t>3.3</w:t>
      </w:r>
      <w:r w:rsidRPr="0097220F">
        <w:tab/>
      </w:r>
      <w:r w:rsidR="00D4742D" w:rsidRPr="0097220F">
        <w:rPr>
          <w:bCs/>
        </w:rPr>
        <w:t>La CE 17 a organisé un</w:t>
      </w:r>
      <w:r w:rsidRPr="0097220F">
        <w:rPr>
          <w:bCs/>
        </w:rPr>
        <w:t xml:space="preserve"> </w:t>
      </w:r>
      <w:hyperlink r:id="rId33" w:history="1">
        <w:r w:rsidRPr="0097220F">
          <w:rPr>
            <w:rStyle w:val="Hyperlink"/>
            <w:bCs/>
          </w:rPr>
          <w:t xml:space="preserve">Atelier de l'UIT </w:t>
        </w:r>
        <w:r w:rsidR="00D4742D" w:rsidRPr="0097220F">
          <w:rPr>
            <w:rStyle w:val="Hyperlink"/>
            <w:bCs/>
          </w:rPr>
          <w:t xml:space="preserve">d'une journée </w:t>
        </w:r>
        <w:r w:rsidRPr="0097220F">
          <w:rPr>
            <w:rStyle w:val="Hyperlink"/>
            <w:bCs/>
          </w:rPr>
          <w:t>sur la sécurité des technologies financières</w:t>
        </w:r>
      </w:hyperlink>
      <w:r w:rsidR="00D4742D" w:rsidRPr="0082646E">
        <w:rPr>
          <w:rStyle w:val="Hyperlink"/>
          <w:bCs/>
          <w:color w:val="auto"/>
          <w:u w:val="none"/>
        </w:rPr>
        <w:t xml:space="preserve">, </w:t>
      </w:r>
      <w:r w:rsidR="00D4742D" w:rsidRPr="0097220F">
        <w:rPr>
          <w:bCs/>
        </w:rPr>
        <w:t xml:space="preserve">le 26 août 2019, </w:t>
      </w:r>
      <w:r w:rsidR="007E5F4F" w:rsidRPr="0097220F">
        <w:rPr>
          <w:bCs/>
        </w:rPr>
        <w:t>au terme</w:t>
      </w:r>
      <w:r w:rsidR="00D4742D" w:rsidRPr="0097220F">
        <w:rPr>
          <w:bCs/>
        </w:rPr>
        <w:t xml:space="preserve"> duquel des</w:t>
      </w:r>
      <w:r w:rsidR="00EA5F37" w:rsidRPr="0097220F">
        <w:rPr>
          <w:bCs/>
        </w:rPr>
        <w:t xml:space="preserve"> propositions ont été formulées concernant les activités de suivi </w:t>
      </w:r>
      <w:r w:rsidR="00622CD9">
        <w:rPr>
          <w:bCs/>
        </w:rPr>
        <w:t>que</w:t>
      </w:r>
      <w:r w:rsidR="00622CD9" w:rsidRPr="0097220F">
        <w:rPr>
          <w:bCs/>
        </w:rPr>
        <w:t xml:space="preserve"> </w:t>
      </w:r>
      <w:r w:rsidR="00EA5F37" w:rsidRPr="0097220F">
        <w:rPr>
          <w:bCs/>
        </w:rPr>
        <w:t>la CE 17</w:t>
      </w:r>
      <w:r w:rsidR="00622CD9">
        <w:rPr>
          <w:bCs/>
        </w:rPr>
        <w:t xml:space="preserve"> pourrait</w:t>
      </w:r>
      <w:r w:rsidR="00EA5F37" w:rsidRPr="0097220F">
        <w:rPr>
          <w:bCs/>
        </w:rPr>
        <w:t xml:space="preserve"> men</w:t>
      </w:r>
      <w:r w:rsidR="00622CD9">
        <w:rPr>
          <w:bCs/>
        </w:rPr>
        <w:t>er</w:t>
      </w:r>
      <w:r w:rsidR="00EA5F37" w:rsidRPr="0097220F">
        <w:rPr>
          <w:bCs/>
        </w:rPr>
        <w:t xml:space="preserve"> en collaboration avec d'autres organismes </w:t>
      </w:r>
      <w:r w:rsidR="00A4685B">
        <w:rPr>
          <w:bCs/>
        </w:rPr>
        <w:t xml:space="preserve">reconnus </w:t>
      </w:r>
      <w:r w:rsidR="00EA5F37" w:rsidRPr="0097220F">
        <w:rPr>
          <w:bCs/>
        </w:rPr>
        <w:t xml:space="preserve">de normalisation s'occupant de la sécurité des technologies financières, à l'instar du </w:t>
      </w:r>
      <w:r w:rsidR="00EA5F37" w:rsidRPr="0097220F">
        <w:rPr>
          <w:color w:val="000000"/>
        </w:rPr>
        <w:t>Groupe spécialisé de l'UIT-T sur l'application de la technologie des registres distribués (FG-DLT)</w:t>
      </w:r>
      <w:r w:rsidRPr="0097220F">
        <w:t xml:space="preserve">, </w:t>
      </w:r>
      <w:r w:rsidR="00EA5F37" w:rsidRPr="0097220F">
        <w:t xml:space="preserve">du </w:t>
      </w:r>
      <w:r w:rsidR="0082646E">
        <w:rPr>
          <w:color w:val="000000"/>
        </w:rPr>
        <w:t>Groupe </w:t>
      </w:r>
      <w:r w:rsidR="00EA5F37" w:rsidRPr="0097220F">
        <w:rPr>
          <w:color w:val="000000"/>
        </w:rPr>
        <w:t>spécialisé de l'UIT-T sur la monnaie numérique, y compris la monnaie fiduciaire numérique (FG-DFC)</w:t>
      </w:r>
      <w:r w:rsidRPr="0097220F">
        <w:t xml:space="preserve">, </w:t>
      </w:r>
      <w:r w:rsidR="00EA5F37" w:rsidRPr="0097220F">
        <w:t>du Comité technique (TC) 307 de l'ISO et du</w:t>
      </w:r>
      <w:r w:rsidRPr="0097220F">
        <w:t xml:space="preserve"> </w:t>
      </w:r>
      <w:r w:rsidR="00EA5F37" w:rsidRPr="0097220F">
        <w:t xml:space="preserve">World Wide Web Consortium (W3C) sur les technologies </w:t>
      </w:r>
      <w:r w:rsidRPr="0097220F">
        <w:t xml:space="preserve">DLT. </w:t>
      </w:r>
      <w:r w:rsidR="00EA5F37" w:rsidRPr="0097220F">
        <w:t xml:space="preserve">La CE 17 a aussi organisé un </w:t>
      </w:r>
      <w:hyperlink r:id="rId34" w:history="1">
        <w:r w:rsidR="00EA5F37" w:rsidRPr="0097220F">
          <w:rPr>
            <w:rStyle w:val="Hyperlink"/>
          </w:rPr>
          <w:t>mini-atelier sur les problèmes de cybersécurité que pose la conduite automatisée</w:t>
        </w:r>
      </w:hyperlink>
      <w:r w:rsidR="00EA5F37" w:rsidRPr="0097220F">
        <w:t xml:space="preserve">, le 26 août 2019, </w:t>
      </w:r>
      <w:r w:rsidR="000B36FC" w:rsidRPr="0097220F">
        <w:t xml:space="preserve">en coopération avec la </w:t>
      </w:r>
      <w:r w:rsidR="000B36FC" w:rsidRPr="0097220F">
        <w:rPr>
          <w:color w:val="000000"/>
        </w:rPr>
        <w:t>Collaboration</w:t>
      </w:r>
      <w:r w:rsidR="009A2EAE" w:rsidRPr="0097220F">
        <w:rPr>
          <w:color w:val="000000"/>
        </w:rPr>
        <w:t xml:space="preserve"> de l'UIT</w:t>
      </w:r>
      <w:r w:rsidR="000B36FC" w:rsidRPr="0097220F">
        <w:rPr>
          <w:color w:val="000000"/>
        </w:rPr>
        <w:t xml:space="preserve"> sur les normes de communication pour les systèmes de transport intelligents (CITS) et le Groupe de travail 29 (WP29) de la Commission économique des Nations Unies pour l'Europe (CEE).  </w:t>
      </w:r>
    </w:p>
    <w:p w14:paraId="0017D199" w14:textId="090C7E8E" w:rsidR="00AF7407" w:rsidRPr="0097220F" w:rsidRDefault="00AF7407" w:rsidP="00D259ED">
      <w:r w:rsidRPr="0097220F">
        <w:t>3.4</w:t>
      </w:r>
      <w:r w:rsidRPr="0097220F">
        <w:tab/>
      </w:r>
      <w:r w:rsidR="000B36FC" w:rsidRPr="0097220F">
        <w:t>En raison de l'épidémie de</w:t>
      </w:r>
      <w:r w:rsidR="007D4BBC">
        <w:t xml:space="preserve"> maladie à</w:t>
      </w:r>
      <w:r w:rsidR="000B36FC" w:rsidRPr="0097220F">
        <w:t xml:space="preserve"> coronavirus dans le monde, la réunion de la CE 17</w:t>
      </w:r>
      <w:r w:rsidR="00574AF4" w:rsidRPr="0097220F">
        <w:t xml:space="preserve"> qui s'est déroulée</w:t>
      </w:r>
      <w:r w:rsidR="000B36FC" w:rsidRPr="0097220F">
        <w:t xml:space="preserve"> du 17 au 26</w:t>
      </w:r>
      <w:r w:rsidR="009A2EAE" w:rsidRPr="0097220F">
        <w:t> </w:t>
      </w:r>
      <w:r w:rsidR="000B36FC" w:rsidRPr="0097220F">
        <w:t xml:space="preserve">mars 2020 </w:t>
      </w:r>
      <w:r w:rsidR="00574AF4" w:rsidRPr="0097220F">
        <w:t>a été la première réunion d'une Commission d'études de l'UIT-T à se tenir de manière entièrement virtuelle.</w:t>
      </w:r>
      <w:r w:rsidRPr="0097220F">
        <w:t xml:space="preserve"> </w:t>
      </w:r>
      <w:r w:rsidR="009A2EAE" w:rsidRPr="0097220F">
        <w:t xml:space="preserve">En outre, la CE 17 a dû reporter son </w:t>
      </w:r>
      <w:r w:rsidR="009A2EAE" w:rsidRPr="00A4685B">
        <w:rPr>
          <w:rStyle w:val="Hyperlink"/>
        </w:rPr>
        <w:t>atelier</w:t>
      </w:r>
      <w:r w:rsidR="009A2EAE" w:rsidRPr="0097220F">
        <w:t xml:space="preserve"> </w:t>
      </w:r>
      <w:hyperlink r:id="rId35" w:history="1">
        <w:r w:rsidR="009A2EAE" w:rsidRPr="0097220F">
          <w:rPr>
            <w:rStyle w:val="Hyperlink"/>
          </w:rPr>
          <w:t>organisé</w:t>
        </w:r>
        <w:r w:rsidRPr="0097220F">
          <w:rPr>
            <w:rStyle w:val="Hyperlink"/>
          </w:rPr>
          <w:t xml:space="preserve"> conjoint</w:t>
        </w:r>
        <w:r w:rsidR="009A2EAE" w:rsidRPr="0097220F">
          <w:rPr>
            <w:rStyle w:val="Hyperlink"/>
          </w:rPr>
          <w:t>ement avec le</w:t>
        </w:r>
        <w:r w:rsidRPr="0097220F">
          <w:rPr>
            <w:rStyle w:val="Hyperlink"/>
          </w:rPr>
          <w:t xml:space="preserve"> TC 307 de l'ISO sur le thème "Sécurité des technologies de registres distribués (DLT), gestion des identités et vie privée"</w:t>
        </w:r>
      </w:hyperlink>
      <w:r w:rsidR="009A2EAE" w:rsidRPr="004E673E">
        <w:rPr>
          <w:rStyle w:val="Hyperlink"/>
          <w:color w:val="auto"/>
          <w:u w:val="none"/>
        </w:rPr>
        <w:t>,</w:t>
      </w:r>
      <w:r w:rsidRPr="004E673E">
        <w:t xml:space="preserve"> </w:t>
      </w:r>
      <w:r w:rsidR="009A2EAE" w:rsidRPr="0097220F">
        <w:t>prévu initialement le 16 mars 2020</w:t>
      </w:r>
      <w:r w:rsidRPr="0097220F">
        <w:t>.</w:t>
      </w:r>
    </w:p>
    <w:p w14:paraId="1B7FE8FB" w14:textId="086599CE" w:rsidR="008C4ED4" w:rsidRPr="0097220F" w:rsidRDefault="008C4ED4" w:rsidP="00D259ED">
      <w:r w:rsidRPr="0097220F">
        <w:rPr>
          <w:rFonts w:asciiTheme="minorHAnsi" w:eastAsia="SimSun" w:hAnsiTheme="minorHAnsi" w:cs="Arial"/>
          <w:bCs/>
          <w:szCs w:val="24"/>
          <w:lang w:eastAsia="zh-CN"/>
        </w:rPr>
        <w:t>3.</w:t>
      </w:r>
      <w:r w:rsidR="00AF7407" w:rsidRPr="0097220F">
        <w:rPr>
          <w:rFonts w:asciiTheme="minorHAnsi" w:eastAsia="SimSun" w:hAnsiTheme="minorHAnsi" w:cs="Arial"/>
          <w:bCs/>
          <w:szCs w:val="24"/>
          <w:lang w:eastAsia="zh-CN"/>
        </w:rPr>
        <w:t>5</w:t>
      </w:r>
      <w:r w:rsidRPr="0097220F">
        <w:rPr>
          <w:rFonts w:asciiTheme="minorHAnsi" w:eastAsia="SimSun" w:hAnsiTheme="minorHAnsi" w:cs="Arial"/>
          <w:bCs/>
          <w:szCs w:val="24"/>
          <w:lang w:eastAsia="zh-CN"/>
        </w:rPr>
        <w:tab/>
      </w:r>
      <w:r w:rsidRPr="0097220F">
        <w:t>La CE 17</w:t>
      </w:r>
      <w:r w:rsidRPr="0097220F">
        <w:rPr>
          <w:rFonts w:asciiTheme="minorHAnsi" w:hAnsiTheme="minorHAnsi"/>
        </w:rPr>
        <w:t xml:space="preserve"> </w:t>
      </w:r>
      <w:r w:rsidRPr="0097220F">
        <w:t>a poursuivi ses travaux sur la sécurité de l'</w:t>
      </w:r>
      <w:r w:rsidRPr="0097220F">
        <w:rPr>
          <w:rFonts w:eastAsia="SimSun" w:cstheme="minorHAnsi"/>
          <w:bCs/>
        </w:rPr>
        <w:t xml:space="preserve">IoT </w:t>
      </w:r>
      <w:r w:rsidRPr="0097220F">
        <w:t xml:space="preserve">et a continué d'assurer une coordination avec la CE 20 de l'UIT-T, chargée de l'étude </w:t>
      </w:r>
      <w:proofErr w:type="gramStart"/>
      <w:r w:rsidRPr="0097220F">
        <w:t>de:</w:t>
      </w:r>
      <w:proofErr w:type="gramEnd"/>
      <w:r w:rsidRPr="0097220F">
        <w:t xml:space="preserve"> "L'Internet des objets et ses applications, y compris les villes et les communautés intelligentes (SC&amp;C)".</w:t>
      </w:r>
    </w:p>
    <w:p w14:paraId="1519B0C0" w14:textId="1519C696" w:rsidR="008C4ED4" w:rsidRPr="0097220F" w:rsidRDefault="008C4ED4" w:rsidP="00D259ED">
      <w:pPr>
        <w:rPr>
          <w:color w:val="000000"/>
        </w:rPr>
      </w:pPr>
      <w:r w:rsidRPr="0097220F">
        <w:rPr>
          <w:rFonts w:eastAsia="SimSun" w:cstheme="minorHAnsi"/>
          <w:bCs/>
          <w:lang w:val="fr-CH"/>
        </w:rPr>
        <w:t>3.</w:t>
      </w:r>
      <w:r w:rsidR="00AF7407" w:rsidRPr="0097220F">
        <w:rPr>
          <w:rFonts w:eastAsia="SimSun" w:cstheme="minorHAnsi"/>
          <w:bCs/>
          <w:lang w:val="fr-CH"/>
        </w:rPr>
        <w:t>6</w:t>
      </w:r>
      <w:r w:rsidRPr="0097220F">
        <w:rPr>
          <w:rFonts w:eastAsia="SimSun" w:cstheme="minorHAnsi"/>
          <w:bCs/>
          <w:lang w:val="fr-CH"/>
        </w:rPr>
        <w:tab/>
      </w:r>
      <w:r w:rsidRPr="0097220F">
        <w:t xml:space="preserve">La CE 9 </w:t>
      </w:r>
      <w:r w:rsidRPr="0097220F">
        <w:rPr>
          <w:rFonts w:asciiTheme="minorHAnsi" w:hAnsiTheme="minorHAnsi"/>
        </w:rPr>
        <w:t xml:space="preserve">de l'UIT-T </w:t>
      </w:r>
      <w:r w:rsidRPr="0097220F">
        <w:rPr>
          <w:color w:val="000000"/>
        </w:rPr>
        <w:t>a déterminé cinq projets de Recommandation (</w:t>
      </w:r>
      <w:r w:rsidRPr="0097220F">
        <w:rPr>
          <w:rFonts w:eastAsia="SimSun" w:cstheme="minorHAnsi"/>
          <w:bCs/>
          <w:lang w:val="fr-CH"/>
        </w:rPr>
        <w:t>UIT-T J.1012</w:t>
      </w:r>
      <w:r w:rsidR="004E673E">
        <w:rPr>
          <w:rFonts w:eastAsia="SimSun" w:cstheme="minorHAnsi"/>
          <w:bCs/>
          <w:lang w:val="fr-CH"/>
        </w:rPr>
        <w:t>,</w:t>
      </w:r>
      <w:r w:rsidRPr="0097220F">
        <w:rPr>
          <w:rFonts w:eastAsia="SimSun" w:cstheme="minorHAnsi"/>
          <w:bCs/>
          <w:lang w:val="fr-CH"/>
        </w:rPr>
        <w:t xml:space="preserve"> J.1013, J.1014, J.1015 et J.1015.1) sur l'</w:t>
      </w:r>
      <w:r w:rsidRPr="0097220F">
        <w:rPr>
          <w:color w:val="000000"/>
        </w:rPr>
        <w:t>interface commune intégrée pour les solutions CA/DRM interchangeables.</w:t>
      </w:r>
    </w:p>
    <w:p w14:paraId="159E837E" w14:textId="49F2CB4B" w:rsidR="008C4ED4" w:rsidRPr="0097220F" w:rsidRDefault="008C4ED4" w:rsidP="00D259ED">
      <w:pPr>
        <w:snapToGrid w:val="0"/>
        <w:spacing w:after="120"/>
        <w:rPr>
          <w:rFonts w:eastAsia="SimSun" w:cs="Calibri"/>
          <w:lang w:val="fr-CH"/>
        </w:rPr>
      </w:pPr>
      <w:r w:rsidRPr="0097220F">
        <w:rPr>
          <w:rFonts w:eastAsia="SimSun" w:cstheme="minorHAnsi"/>
          <w:bCs/>
          <w:lang w:val="fr-CH"/>
        </w:rPr>
        <w:t>3.</w:t>
      </w:r>
      <w:r w:rsidR="00AF7407" w:rsidRPr="0097220F">
        <w:rPr>
          <w:rFonts w:eastAsia="SimSun" w:cstheme="minorHAnsi"/>
          <w:bCs/>
          <w:lang w:val="fr-CH"/>
        </w:rPr>
        <w:t>7</w:t>
      </w:r>
      <w:r w:rsidRPr="0097220F">
        <w:rPr>
          <w:rFonts w:eastAsia="SimSun" w:cstheme="minorHAnsi"/>
          <w:bCs/>
          <w:lang w:val="fr-CH"/>
        </w:rPr>
        <w:tab/>
      </w:r>
      <w:r w:rsidRPr="0097220F">
        <w:rPr>
          <w:lang w:val="fr-CH"/>
        </w:rPr>
        <w:t xml:space="preserve">La CE 13 </w:t>
      </w:r>
      <w:r w:rsidRPr="0097220F">
        <w:rPr>
          <w:rFonts w:asciiTheme="minorHAnsi" w:hAnsiTheme="minorHAnsi"/>
          <w:lang w:val="fr-CH"/>
        </w:rPr>
        <w:t>de l'UIT-T</w:t>
      </w:r>
      <w:r w:rsidRPr="0097220F">
        <w:rPr>
          <w:rFonts w:eastAsia="SimSun" w:cstheme="minorHAnsi"/>
          <w:bCs/>
          <w:lang w:val="fr-CH"/>
        </w:rPr>
        <w:t xml:space="preserve"> a approuvé </w:t>
      </w:r>
      <w:r w:rsidR="002146CF" w:rsidRPr="0097220F">
        <w:rPr>
          <w:rFonts w:eastAsia="SimSun" w:cstheme="minorHAnsi"/>
          <w:bCs/>
          <w:lang w:val="fr-CH"/>
        </w:rPr>
        <w:t xml:space="preserve">l'Amendement 1 à la </w:t>
      </w:r>
      <w:r w:rsidRPr="0097220F">
        <w:rPr>
          <w:rFonts w:eastAsia="SimSun" w:cstheme="minorHAnsi"/>
          <w:bCs/>
          <w:lang w:val="fr-CH"/>
        </w:rPr>
        <w:t>Recommandation UIT-T Y.3053 (2018) "</w:t>
      </w:r>
      <w:r w:rsidRPr="0097220F">
        <w:rPr>
          <w:color w:val="000000"/>
        </w:rPr>
        <w:t>Cadre applicable aux réseaux de confiance ayant des domaines de réseau centrés sur la confiance</w:t>
      </w:r>
      <w:r w:rsidRPr="0097220F">
        <w:rPr>
          <w:rFonts w:eastAsia="SimSun" w:cstheme="minorHAnsi"/>
          <w:bCs/>
          <w:lang w:val="fr-CH"/>
        </w:rPr>
        <w:t xml:space="preserve">: Amendement 1 – </w:t>
      </w:r>
      <w:r w:rsidRPr="0097220F">
        <w:rPr>
          <w:color w:val="000000"/>
        </w:rPr>
        <w:t>Architecture et procédures de déploiement des réseaux de confiance</w:t>
      </w:r>
      <w:r w:rsidRPr="0097220F">
        <w:rPr>
          <w:rFonts w:eastAsia="SimSun" w:cs="Calibri"/>
          <w:lang w:val="fr-CH"/>
        </w:rPr>
        <w:t>"</w:t>
      </w:r>
      <w:r w:rsidR="00AF7407" w:rsidRPr="0097220F">
        <w:rPr>
          <w:rFonts w:eastAsia="SimSun" w:cs="Calibri"/>
          <w:lang w:val="fr-CH"/>
        </w:rPr>
        <w:t xml:space="preserve">, </w:t>
      </w:r>
      <w:r w:rsidR="002146CF" w:rsidRPr="0097220F">
        <w:rPr>
          <w:rFonts w:eastAsia="SimSun" w:cs="Calibri"/>
          <w:lang w:val="fr-CH"/>
        </w:rPr>
        <w:t>le Corrigendum 1 à la Recommandation</w:t>
      </w:r>
      <w:r w:rsidR="00622CD9">
        <w:rPr>
          <w:rFonts w:eastAsia="SimSun" w:cs="Calibri"/>
          <w:lang w:val="fr-CH"/>
        </w:rPr>
        <w:t xml:space="preserve"> UIT-T</w:t>
      </w:r>
      <w:r w:rsidR="002146CF" w:rsidRPr="0097220F">
        <w:rPr>
          <w:rFonts w:eastAsia="SimSun" w:cs="Calibri"/>
          <w:lang w:val="fr-CH"/>
        </w:rPr>
        <w:t xml:space="preserve"> </w:t>
      </w:r>
      <w:r w:rsidR="00AF7407" w:rsidRPr="0097220F">
        <w:rPr>
          <w:rFonts w:eastAsia="SimSun" w:cs="Calibri"/>
          <w:lang w:val="fr-CH"/>
        </w:rPr>
        <w:t xml:space="preserve">Y.3514 "Informatique en nuage – Cadre et exigences concernant la confiance pour les échanges inter-nuages" et </w:t>
      </w:r>
      <w:r w:rsidR="002146CF" w:rsidRPr="0097220F">
        <w:rPr>
          <w:rFonts w:eastAsia="SimSun" w:cs="Calibri"/>
          <w:lang w:val="fr-CH"/>
        </w:rPr>
        <w:t>la Recommandation</w:t>
      </w:r>
      <w:r w:rsidR="00622CD9">
        <w:rPr>
          <w:rFonts w:eastAsia="SimSun" w:cs="Calibri"/>
          <w:lang w:val="fr-CH"/>
        </w:rPr>
        <w:t xml:space="preserve"> UIT-T</w:t>
      </w:r>
      <w:r w:rsidR="002146CF" w:rsidRPr="0097220F">
        <w:rPr>
          <w:rFonts w:eastAsia="SimSun" w:cs="Calibri"/>
          <w:lang w:val="fr-CH"/>
        </w:rPr>
        <w:t xml:space="preserve"> </w:t>
      </w:r>
      <w:r w:rsidR="00AF7407" w:rsidRPr="0097220F">
        <w:rPr>
          <w:rFonts w:eastAsia="SimSun" w:cs="Calibri"/>
          <w:lang w:val="fr-CH"/>
        </w:rPr>
        <w:t>Y.3517 "Informatique en nuage – Aperçu de la gestion de la confiance inter-nuages".</w:t>
      </w:r>
    </w:p>
    <w:p w14:paraId="5185B8EB" w14:textId="2513EFE5" w:rsidR="00AF7407" w:rsidRPr="0097220F" w:rsidRDefault="00AF7407" w:rsidP="00D259ED">
      <w:pPr>
        <w:snapToGrid w:val="0"/>
        <w:spacing w:after="120"/>
        <w:rPr>
          <w:rFonts w:eastAsia="SimSun" w:cstheme="minorHAnsi"/>
          <w:bCs/>
        </w:rPr>
      </w:pPr>
      <w:r w:rsidRPr="004E673E">
        <w:rPr>
          <w:rFonts w:eastAsia="SimSun" w:cstheme="minorHAnsi"/>
          <w:bCs/>
          <w:lang w:val="fr-CH"/>
        </w:rPr>
        <w:t>3.8</w:t>
      </w:r>
      <w:r w:rsidRPr="004E673E">
        <w:rPr>
          <w:rFonts w:eastAsia="SimSun" w:cstheme="minorHAnsi"/>
          <w:bCs/>
          <w:lang w:val="fr-CH"/>
        </w:rPr>
        <w:tab/>
      </w:r>
      <w:r w:rsidR="002146CF" w:rsidRPr="004E673E">
        <w:rPr>
          <w:rFonts w:eastAsia="SimSun" w:cstheme="minorHAnsi"/>
          <w:bCs/>
          <w:lang w:val="fr-CH"/>
        </w:rPr>
        <w:t xml:space="preserve">La CE 15 de l'UIT-T élabore actuellement le Supplément </w:t>
      </w:r>
      <w:r w:rsidRPr="004E673E">
        <w:rPr>
          <w:rFonts w:eastAsia="SimSun" w:cstheme="minorHAnsi"/>
          <w:bCs/>
          <w:lang w:val="fr-CH"/>
        </w:rPr>
        <w:t>(</w:t>
      </w:r>
      <w:proofErr w:type="gramStart"/>
      <w:r w:rsidRPr="004E673E">
        <w:rPr>
          <w:rFonts w:eastAsia="SimSun" w:cstheme="minorHAnsi"/>
          <w:bCs/>
          <w:lang w:val="fr-CH"/>
        </w:rPr>
        <w:t>G.Sup.otnsec</w:t>
      </w:r>
      <w:proofErr w:type="gramEnd"/>
      <w:r w:rsidRPr="004E673E">
        <w:rPr>
          <w:rFonts w:eastAsia="SimSun" w:cstheme="minorHAnsi"/>
          <w:bCs/>
          <w:lang w:val="fr-CH"/>
        </w:rPr>
        <w:t xml:space="preserve">) </w:t>
      </w:r>
      <w:r w:rsidR="003E1705" w:rsidRPr="004E673E">
        <w:rPr>
          <w:rFonts w:eastAsia="SimSun" w:cstheme="minorHAnsi"/>
          <w:bCs/>
          <w:lang w:val="fr-CH"/>
        </w:rPr>
        <w:t>qui contient une description du langage et d'une infrastructure de données</w:t>
      </w:r>
      <w:r w:rsidR="00710D2B" w:rsidRPr="004E673E">
        <w:rPr>
          <w:rFonts w:eastAsia="SimSun" w:cstheme="minorHAnsi"/>
          <w:bCs/>
          <w:lang w:val="fr-CH"/>
        </w:rPr>
        <w:t xml:space="preserve"> commune</w:t>
      </w:r>
      <w:r w:rsidR="003E1705" w:rsidRPr="004E673E">
        <w:rPr>
          <w:rFonts w:eastAsia="SimSun" w:cstheme="minorHAnsi"/>
          <w:bCs/>
          <w:lang w:val="fr-CH"/>
        </w:rPr>
        <w:t xml:space="preserve"> dans les couches de protocole </w:t>
      </w:r>
      <w:r w:rsidR="00710D2B" w:rsidRPr="004E673E">
        <w:rPr>
          <w:rFonts w:eastAsia="SimSun" w:cstheme="minorHAnsi"/>
          <w:bCs/>
          <w:lang w:val="fr-CH"/>
        </w:rPr>
        <w:t xml:space="preserve">existantes </w:t>
      </w:r>
      <w:r w:rsidR="003E1705" w:rsidRPr="004E673E">
        <w:rPr>
          <w:rFonts w:eastAsia="SimSun" w:cstheme="minorHAnsi"/>
          <w:bCs/>
          <w:lang w:val="fr-CH"/>
        </w:rPr>
        <w:t>du réseau de transport optique (OTN)</w:t>
      </w:r>
      <w:r w:rsidR="00710D2B" w:rsidRPr="004E673E">
        <w:rPr>
          <w:rFonts w:eastAsia="SimSun" w:cstheme="minorHAnsi"/>
          <w:bCs/>
          <w:lang w:val="fr-CH"/>
        </w:rPr>
        <w:t xml:space="preserve">, qui </w:t>
      </w:r>
      <w:r w:rsidR="00622CD9" w:rsidRPr="004E673E">
        <w:rPr>
          <w:rFonts w:eastAsia="SimSun" w:cstheme="minorHAnsi"/>
          <w:bCs/>
          <w:lang w:val="fr-CH"/>
        </w:rPr>
        <w:t xml:space="preserve">sont </w:t>
      </w:r>
      <w:r w:rsidR="00710D2B" w:rsidRPr="004E673E">
        <w:rPr>
          <w:rFonts w:eastAsia="SimSun" w:cstheme="minorHAnsi"/>
          <w:bCs/>
          <w:lang w:val="fr-CH"/>
        </w:rPr>
        <w:t>nécessaire</w:t>
      </w:r>
      <w:r w:rsidR="00622CD9" w:rsidRPr="004E673E">
        <w:rPr>
          <w:rFonts w:eastAsia="SimSun" w:cstheme="minorHAnsi"/>
          <w:bCs/>
          <w:lang w:val="fr-CH"/>
        </w:rPr>
        <w:t>s</w:t>
      </w:r>
      <w:r w:rsidR="003E1705" w:rsidRPr="004E673E">
        <w:rPr>
          <w:rFonts w:eastAsia="SimSun" w:cstheme="minorHAnsi"/>
          <w:bCs/>
          <w:lang w:val="fr-CH"/>
        </w:rPr>
        <w:t xml:space="preserve"> pour utiliser </w:t>
      </w:r>
      <w:r w:rsidR="00622CD9" w:rsidRPr="004E673E">
        <w:rPr>
          <w:rFonts w:eastAsia="SimSun" w:cstheme="minorHAnsi"/>
          <w:bCs/>
          <w:lang w:val="fr-CH"/>
        </w:rPr>
        <w:t xml:space="preserve">de manière </w:t>
      </w:r>
      <w:r w:rsidR="003E1705" w:rsidRPr="004E673E">
        <w:rPr>
          <w:rFonts w:eastAsia="SimSun" w:cstheme="minorHAnsi"/>
          <w:bCs/>
          <w:lang w:val="fr-CH"/>
        </w:rPr>
        <w:t>indépenda</w:t>
      </w:r>
      <w:r w:rsidR="00622CD9" w:rsidRPr="004E673E">
        <w:rPr>
          <w:rFonts w:eastAsia="SimSun" w:cstheme="minorHAnsi"/>
          <w:bCs/>
          <w:lang w:val="fr-CH"/>
        </w:rPr>
        <w:t>nte</w:t>
      </w:r>
      <w:r w:rsidR="003E1705" w:rsidRPr="004E673E">
        <w:rPr>
          <w:rFonts w:eastAsia="SimSun" w:cstheme="minorHAnsi"/>
          <w:bCs/>
          <w:lang w:val="fr-CH"/>
        </w:rPr>
        <w:t xml:space="preserve"> les protocoles cryptographiques proposés en vue d'élaborer des solutions de transport </w:t>
      </w:r>
      <w:r w:rsidR="00622CD9" w:rsidRPr="004E673E">
        <w:rPr>
          <w:rFonts w:eastAsia="SimSun" w:cstheme="minorHAnsi"/>
          <w:bCs/>
          <w:lang w:val="fr-CH"/>
        </w:rPr>
        <w:t xml:space="preserve">sécurisées </w:t>
      </w:r>
      <w:r w:rsidR="003E1705" w:rsidRPr="004E673E">
        <w:rPr>
          <w:rFonts w:eastAsia="SimSun" w:cstheme="minorHAnsi"/>
          <w:bCs/>
          <w:lang w:val="fr-CH"/>
        </w:rPr>
        <w:t xml:space="preserve">sur </w:t>
      </w:r>
      <w:r w:rsidR="00710D2B" w:rsidRPr="004E673E">
        <w:rPr>
          <w:rFonts w:eastAsia="SimSun" w:cstheme="minorHAnsi"/>
          <w:bCs/>
          <w:lang w:val="fr-CH"/>
        </w:rPr>
        <w:t xml:space="preserve">certaines </w:t>
      </w:r>
      <w:r w:rsidR="003E1705" w:rsidRPr="004E673E">
        <w:rPr>
          <w:rFonts w:eastAsia="SimSun" w:cstheme="minorHAnsi"/>
          <w:bCs/>
          <w:lang w:val="fr-CH"/>
        </w:rPr>
        <w:t>couches OTN</w:t>
      </w:r>
      <w:r w:rsidR="004E673E" w:rsidRPr="004E673E">
        <w:rPr>
          <w:rFonts w:eastAsia="SimSun" w:cstheme="minorHAnsi"/>
          <w:bCs/>
          <w:lang w:val="fr-CH"/>
        </w:rPr>
        <w:t>.</w:t>
      </w:r>
      <w:r w:rsidR="004E673E">
        <w:rPr>
          <w:rFonts w:eastAsia="SimSun" w:cstheme="minorHAnsi"/>
          <w:bCs/>
          <w:lang w:val="fr-CH"/>
        </w:rPr>
        <w:t xml:space="preserve"> </w:t>
      </w:r>
    </w:p>
    <w:p w14:paraId="6292F817" w14:textId="1AE85533" w:rsidR="008C4ED4" w:rsidRPr="0097220F" w:rsidRDefault="008C4ED4" w:rsidP="00D259ED">
      <w:pPr>
        <w:snapToGrid w:val="0"/>
        <w:spacing w:after="120"/>
        <w:rPr>
          <w:rFonts w:cstheme="minorHAnsi"/>
        </w:rPr>
      </w:pPr>
      <w:r w:rsidRPr="0097220F">
        <w:rPr>
          <w:rFonts w:eastAsia="SimSun" w:cstheme="minorHAnsi"/>
          <w:bCs/>
        </w:rPr>
        <w:t>3.</w:t>
      </w:r>
      <w:r w:rsidR="00AF7407" w:rsidRPr="0097220F">
        <w:rPr>
          <w:rFonts w:eastAsia="SimSun" w:cstheme="minorHAnsi"/>
          <w:bCs/>
        </w:rPr>
        <w:t>9</w:t>
      </w:r>
      <w:r w:rsidRPr="0097220F">
        <w:rPr>
          <w:rFonts w:eastAsia="SimSun" w:cstheme="minorHAnsi"/>
          <w:bCs/>
        </w:rPr>
        <w:tab/>
        <w:t xml:space="preserve">La </w:t>
      </w:r>
      <w:r w:rsidRPr="0097220F">
        <w:t>CE</w:t>
      </w:r>
      <w:r w:rsidRPr="0097220F">
        <w:rPr>
          <w:rFonts w:eastAsia="SimSun" w:cstheme="minorHAnsi"/>
          <w:bCs/>
        </w:rPr>
        <w:t xml:space="preserve"> 20 </w:t>
      </w:r>
      <w:r w:rsidRPr="0097220F">
        <w:rPr>
          <w:rFonts w:asciiTheme="minorHAnsi" w:hAnsiTheme="minorHAnsi"/>
        </w:rPr>
        <w:t xml:space="preserve">de l'UIT-T </w:t>
      </w:r>
      <w:r w:rsidRPr="0097220F">
        <w:rPr>
          <w:rFonts w:eastAsia="SimSun" w:cstheme="minorHAnsi"/>
          <w:bCs/>
        </w:rPr>
        <w:t>a approuvé la Recommandation UIT-T Y.</w:t>
      </w:r>
      <w:r w:rsidR="00AF7407" w:rsidRPr="0097220F">
        <w:rPr>
          <w:rFonts w:eastAsia="SimSun" w:cstheme="minorHAnsi"/>
          <w:bCs/>
        </w:rPr>
        <w:t>4807</w:t>
      </w:r>
      <w:r w:rsidRPr="0097220F">
        <w:rPr>
          <w:rFonts w:eastAsia="SimSun" w:cstheme="minorHAnsi"/>
          <w:bCs/>
        </w:rPr>
        <w:t xml:space="preserve"> "</w:t>
      </w:r>
      <w:bookmarkStart w:id="9" w:name="_Hlk37159235"/>
      <w:r w:rsidR="00622CD9">
        <w:t>Intégration du principe d'agilité dès la</w:t>
      </w:r>
      <w:r w:rsidR="00CE6AC4">
        <w:t xml:space="preserve"> conception </w:t>
      </w:r>
      <w:r w:rsidR="00622CD9">
        <w:t xml:space="preserve">pour la sécurité </w:t>
      </w:r>
      <w:r w:rsidR="00CE6AC4">
        <w:t xml:space="preserve">des systèmes de télécommunication/TIC </w:t>
      </w:r>
      <w:r w:rsidR="00622CD9">
        <w:t xml:space="preserve">utilisés </w:t>
      </w:r>
      <w:r w:rsidR="00CE6AC4">
        <w:t>dans l'Internet des objets</w:t>
      </w:r>
      <w:bookmarkEnd w:id="9"/>
      <w:r w:rsidR="00380183" w:rsidRPr="0097220F">
        <w:rPr>
          <w:color w:val="000000"/>
        </w:rPr>
        <w:t>"</w:t>
      </w:r>
      <w:r w:rsidRPr="0097220F">
        <w:rPr>
          <w:color w:val="000000"/>
        </w:rPr>
        <w:t>.</w:t>
      </w:r>
    </w:p>
    <w:p w14:paraId="3E7ABC68" w14:textId="5E0CE20B" w:rsidR="004E673E" w:rsidRDefault="00AF7407" w:rsidP="00D259ED">
      <w:pPr>
        <w:rPr>
          <w:color w:val="000000"/>
        </w:rPr>
      </w:pPr>
      <w:r w:rsidRPr="0097220F">
        <w:rPr>
          <w:rFonts w:asciiTheme="minorHAnsi" w:hAnsiTheme="minorHAnsi"/>
          <w:bCs/>
          <w:szCs w:val="24"/>
        </w:rPr>
        <w:t>3.10</w:t>
      </w:r>
      <w:r w:rsidRPr="0097220F">
        <w:rPr>
          <w:rFonts w:asciiTheme="minorHAnsi" w:hAnsiTheme="minorHAnsi"/>
          <w:bCs/>
          <w:szCs w:val="24"/>
        </w:rPr>
        <w:tab/>
      </w:r>
      <w:r w:rsidR="00380183" w:rsidRPr="0097220F">
        <w:rPr>
          <w:rFonts w:asciiTheme="minorHAnsi" w:hAnsiTheme="minorHAnsi"/>
          <w:bCs/>
          <w:szCs w:val="24"/>
        </w:rPr>
        <w:t xml:space="preserve">Dans le cadre de leurs travaux, plusieurs groupes spécialisés de l'UIT-T étudient actuellement les aspects liés à la confiance </w:t>
      </w:r>
      <w:r w:rsidR="00622CD9">
        <w:rPr>
          <w:rFonts w:asciiTheme="minorHAnsi" w:hAnsiTheme="minorHAnsi"/>
          <w:bCs/>
          <w:szCs w:val="24"/>
        </w:rPr>
        <w:t xml:space="preserve">pour </w:t>
      </w:r>
      <w:r w:rsidR="00380183" w:rsidRPr="0097220F">
        <w:rPr>
          <w:rFonts w:asciiTheme="minorHAnsi" w:hAnsiTheme="minorHAnsi"/>
          <w:bCs/>
          <w:szCs w:val="24"/>
        </w:rPr>
        <w:t xml:space="preserve">diverses technologies </w:t>
      </w:r>
      <w:r w:rsidR="00622CD9">
        <w:rPr>
          <w:rFonts w:asciiTheme="minorHAnsi" w:hAnsiTheme="minorHAnsi"/>
          <w:bCs/>
          <w:szCs w:val="24"/>
        </w:rPr>
        <w:t>émergentes</w:t>
      </w:r>
      <w:r w:rsidR="00380183" w:rsidRPr="0097220F">
        <w:rPr>
          <w:rFonts w:asciiTheme="minorHAnsi" w:hAnsiTheme="minorHAnsi"/>
          <w:bCs/>
          <w:szCs w:val="24"/>
        </w:rPr>
        <w:t xml:space="preserve">. C'est le cas notamment des groupes suivants: </w:t>
      </w:r>
      <w:r w:rsidR="00DE2889" w:rsidRPr="0097220F">
        <w:rPr>
          <w:rFonts w:asciiTheme="minorHAnsi" w:hAnsiTheme="minorHAnsi"/>
          <w:bCs/>
          <w:szCs w:val="24"/>
        </w:rPr>
        <w:t>1)</w:t>
      </w:r>
      <w:r w:rsidR="00380183" w:rsidRPr="0097220F">
        <w:rPr>
          <w:rFonts w:asciiTheme="minorHAnsi" w:hAnsiTheme="minorHAnsi"/>
          <w:bCs/>
          <w:szCs w:val="24"/>
        </w:rPr>
        <w:t xml:space="preserve"> </w:t>
      </w:r>
      <w:hyperlink r:id="rId36" w:anchor="/fr" w:history="1">
        <w:r w:rsidRPr="007946BC">
          <w:rPr>
            <w:rStyle w:val="Hyperlink"/>
            <w:rFonts w:asciiTheme="minorHAnsi" w:hAnsiTheme="minorHAnsi"/>
            <w:i/>
            <w:szCs w:val="24"/>
            <w:lang w:val="fr-CH"/>
          </w:rPr>
          <w:t xml:space="preserve">Groupe </w:t>
        </w:r>
        <w:r w:rsidR="00380183" w:rsidRPr="007946BC">
          <w:rPr>
            <w:rStyle w:val="Hyperlink"/>
            <w:rFonts w:asciiTheme="minorHAnsi" w:hAnsiTheme="minorHAnsi"/>
            <w:i/>
            <w:szCs w:val="24"/>
            <w:lang w:val="fr-CH"/>
          </w:rPr>
          <w:t>spécialisé de l'UIT-T</w:t>
        </w:r>
        <w:r w:rsidRPr="007946BC">
          <w:rPr>
            <w:rStyle w:val="Hyperlink"/>
            <w:rFonts w:asciiTheme="minorHAnsi" w:hAnsiTheme="minorHAnsi"/>
            <w:i/>
            <w:szCs w:val="24"/>
            <w:lang w:val="fr-CH"/>
          </w:rPr>
          <w:t xml:space="preserve"> sur l'apprentissage machine pour les réseaux</w:t>
        </w:r>
        <w:r w:rsidR="00380183" w:rsidRPr="007946BC">
          <w:rPr>
            <w:rStyle w:val="Hyperlink"/>
            <w:rFonts w:asciiTheme="minorHAnsi" w:hAnsiTheme="minorHAnsi"/>
            <w:i/>
            <w:szCs w:val="24"/>
            <w:lang w:val="fr-CH"/>
          </w:rPr>
          <w:t xml:space="preserve"> futurs</w:t>
        </w:r>
        <w:r w:rsidRPr="007946BC">
          <w:rPr>
            <w:rStyle w:val="Hyperlink"/>
            <w:rFonts w:asciiTheme="minorHAnsi" w:hAnsiTheme="minorHAnsi"/>
            <w:i/>
            <w:szCs w:val="24"/>
            <w:lang w:val="fr-CH"/>
          </w:rPr>
          <w:t>, y compris l</w:t>
        </w:r>
        <w:r w:rsidR="00380183" w:rsidRPr="007946BC">
          <w:rPr>
            <w:rStyle w:val="Hyperlink"/>
            <w:rFonts w:asciiTheme="minorHAnsi" w:hAnsiTheme="minorHAnsi"/>
            <w:i/>
            <w:szCs w:val="24"/>
            <w:lang w:val="fr-CH"/>
          </w:rPr>
          <w:t>a</w:t>
        </w:r>
        <w:r w:rsidRPr="007946BC">
          <w:rPr>
            <w:rStyle w:val="Hyperlink"/>
            <w:rFonts w:asciiTheme="minorHAnsi" w:hAnsiTheme="minorHAnsi"/>
            <w:i/>
            <w:szCs w:val="24"/>
            <w:lang w:val="fr-CH"/>
          </w:rPr>
          <w:t xml:space="preserve"> 5G</w:t>
        </w:r>
        <w:r w:rsidR="00DE2889" w:rsidRPr="007946BC">
          <w:rPr>
            <w:rStyle w:val="Hyperlink"/>
            <w:rFonts w:asciiTheme="minorHAnsi" w:hAnsiTheme="minorHAnsi"/>
            <w:i/>
            <w:szCs w:val="24"/>
            <w:lang w:val="fr-CH"/>
          </w:rPr>
          <w:t xml:space="preserve"> (FG-ML5G</w:t>
        </w:r>
      </w:hyperlink>
      <w:r w:rsidR="00DE2889" w:rsidRPr="0097220F">
        <w:rPr>
          <w:rStyle w:val="Hyperlink"/>
          <w:rFonts w:asciiTheme="minorHAnsi" w:hAnsiTheme="minorHAnsi"/>
          <w:i/>
          <w:szCs w:val="24"/>
          <w:lang w:val="fr-CH"/>
        </w:rPr>
        <w:t>)</w:t>
      </w:r>
      <w:r w:rsidR="00DE2889" w:rsidRPr="0097220F">
        <w:rPr>
          <w:rFonts w:asciiTheme="minorHAnsi" w:hAnsiTheme="minorHAnsi"/>
          <w:szCs w:val="24"/>
        </w:rPr>
        <w:t xml:space="preserve">; </w:t>
      </w:r>
      <w:r w:rsidRPr="0097220F">
        <w:rPr>
          <w:rFonts w:asciiTheme="minorHAnsi" w:hAnsiTheme="minorHAnsi"/>
          <w:szCs w:val="24"/>
        </w:rPr>
        <w:t xml:space="preserve">2) </w:t>
      </w:r>
      <w:hyperlink r:id="rId37" w:anchor="/fr" w:history="1">
        <w:r w:rsidR="00DE2889" w:rsidRPr="007946BC">
          <w:rPr>
            <w:rStyle w:val="Hyperlink"/>
            <w:rFonts w:asciiTheme="minorHAnsi" w:hAnsiTheme="minorHAnsi"/>
            <w:i/>
            <w:szCs w:val="24"/>
            <w:lang w:val="fr-CH"/>
          </w:rPr>
          <w:t>Groupe spécialisé de l'UIT-T sur les technologies pour le réseau 2030 (FG NET-2030)</w:t>
        </w:r>
      </w:hyperlink>
      <w:r w:rsidR="00DE2889" w:rsidRPr="0097220F">
        <w:rPr>
          <w:rFonts w:asciiTheme="minorHAnsi" w:hAnsiTheme="minorHAnsi"/>
          <w:szCs w:val="24"/>
        </w:rPr>
        <w:t xml:space="preserve">; </w:t>
      </w:r>
      <w:r w:rsidRPr="0097220F">
        <w:rPr>
          <w:rFonts w:asciiTheme="minorHAnsi" w:hAnsiTheme="minorHAnsi"/>
          <w:szCs w:val="24"/>
        </w:rPr>
        <w:t xml:space="preserve">3) </w:t>
      </w:r>
      <w:hyperlink r:id="rId38" w:history="1">
        <w:r w:rsidR="00DE2889" w:rsidRPr="007946BC">
          <w:rPr>
            <w:rStyle w:val="Hyperlink"/>
            <w:rFonts w:asciiTheme="minorHAnsi" w:hAnsiTheme="minorHAnsi"/>
            <w:i/>
            <w:szCs w:val="24"/>
            <w:lang w:val="fr-CH"/>
          </w:rPr>
          <w:t>Groupe spécialisé de l'UIT-T sur l'intelligence artificielle au service de la santé (FG-AI4H)</w:t>
        </w:r>
      </w:hyperlink>
      <w:r w:rsidR="00DE2889" w:rsidRPr="0097220F">
        <w:rPr>
          <w:rFonts w:asciiTheme="minorHAnsi" w:hAnsiTheme="minorHAnsi"/>
          <w:szCs w:val="24"/>
        </w:rPr>
        <w:t xml:space="preserve">; </w:t>
      </w:r>
      <w:r w:rsidRPr="0097220F">
        <w:rPr>
          <w:rFonts w:asciiTheme="minorHAnsi" w:hAnsiTheme="minorHAnsi"/>
          <w:szCs w:val="24"/>
        </w:rPr>
        <w:t xml:space="preserve">4) </w:t>
      </w:r>
      <w:hyperlink r:id="rId39" w:anchor="/fr" w:history="1">
        <w:r w:rsidR="00DE2889" w:rsidRPr="007946BC">
          <w:rPr>
            <w:rStyle w:val="Hyperlink"/>
            <w:rFonts w:asciiTheme="minorHAnsi" w:hAnsiTheme="minorHAnsi"/>
            <w:i/>
            <w:szCs w:val="24"/>
            <w:lang w:val="fr-CH"/>
          </w:rPr>
          <w:t>Groupe spécialisé de l'UIT-T sur le multimédia dans les véhicules (FG-VM)</w:t>
        </w:r>
      </w:hyperlink>
      <w:r w:rsidR="00DE2889" w:rsidRPr="0097220F">
        <w:rPr>
          <w:color w:val="000000"/>
        </w:rPr>
        <w:t xml:space="preserve">; </w:t>
      </w:r>
      <w:r w:rsidR="004E673E">
        <w:rPr>
          <w:color w:val="000000"/>
        </w:rPr>
        <w:br w:type="page"/>
      </w:r>
    </w:p>
    <w:p w14:paraId="63F53175" w14:textId="7D8BBC0A" w:rsidR="00AF7407" w:rsidRPr="0097220F" w:rsidRDefault="00AF7407" w:rsidP="00D259ED">
      <w:pPr>
        <w:rPr>
          <w:rFonts w:asciiTheme="minorHAnsi" w:hAnsiTheme="minorHAnsi"/>
          <w:i/>
          <w:szCs w:val="24"/>
          <w:u w:val="single"/>
        </w:rPr>
      </w:pPr>
      <w:r w:rsidRPr="0097220F">
        <w:rPr>
          <w:rFonts w:asciiTheme="minorHAnsi" w:hAnsiTheme="minorHAnsi"/>
          <w:szCs w:val="24"/>
        </w:rPr>
        <w:lastRenderedPageBreak/>
        <w:t>5) </w:t>
      </w:r>
      <w:hyperlink r:id="rId40" w:anchor="/fr" w:history="1">
        <w:r w:rsidR="00DE2889" w:rsidRPr="007946BC">
          <w:rPr>
            <w:rStyle w:val="Hyperlink"/>
            <w:rFonts w:asciiTheme="minorHAnsi" w:hAnsiTheme="minorHAnsi"/>
            <w:i/>
            <w:szCs w:val="24"/>
            <w:lang w:val="fr-CH"/>
          </w:rPr>
          <w:t>Groupe spécialisé de l'UIT-T sur l'intelligence artificielle au service de la conduite autonome et de la conduite assistée (FG-AI4AD)</w:t>
        </w:r>
      </w:hyperlink>
      <w:r w:rsidR="00DE2889" w:rsidRPr="0097220F">
        <w:rPr>
          <w:rFonts w:asciiTheme="minorHAnsi" w:hAnsiTheme="minorHAnsi"/>
          <w:szCs w:val="24"/>
        </w:rPr>
        <w:t xml:space="preserve">; et </w:t>
      </w:r>
      <w:r w:rsidRPr="0097220F">
        <w:rPr>
          <w:rFonts w:asciiTheme="minorHAnsi" w:hAnsiTheme="minorHAnsi"/>
          <w:szCs w:val="24"/>
        </w:rPr>
        <w:t xml:space="preserve">6) </w:t>
      </w:r>
      <w:hyperlink r:id="rId41" w:anchor="/fr" w:history="1">
        <w:r w:rsidR="00DE2889" w:rsidRPr="007946BC">
          <w:rPr>
            <w:rStyle w:val="Hyperlink"/>
            <w:rFonts w:asciiTheme="minorHAnsi" w:hAnsiTheme="minorHAnsi"/>
            <w:i/>
            <w:szCs w:val="24"/>
            <w:lang w:val="fr-CH"/>
          </w:rPr>
          <w:t>Groupe spécialisé de l'UIT-T sur l'informatique quantique pour les réseaux (FG-QIT4N)</w:t>
        </w:r>
      </w:hyperlink>
      <w:r w:rsidRPr="0097220F">
        <w:rPr>
          <w:rFonts w:asciiTheme="minorHAnsi" w:hAnsiTheme="minorHAnsi"/>
          <w:szCs w:val="24"/>
        </w:rPr>
        <w:t>.</w:t>
      </w:r>
    </w:p>
    <w:p w14:paraId="50774FF0" w14:textId="2E0D249B" w:rsidR="00AF7407" w:rsidRPr="0097220F" w:rsidRDefault="00AF7407" w:rsidP="00D259ED">
      <w:pPr>
        <w:rPr>
          <w:rFonts w:asciiTheme="minorHAnsi" w:hAnsiTheme="minorHAnsi"/>
          <w:bCs/>
          <w:iCs/>
          <w:szCs w:val="24"/>
        </w:rPr>
      </w:pPr>
      <w:r w:rsidRPr="0097220F">
        <w:rPr>
          <w:rFonts w:asciiTheme="minorHAnsi" w:hAnsiTheme="minorHAnsi"/>
          <w:iCs/>
          <w:szCs w:val="24"/>
        </w:rPr>
        <w:t>3.11</w:t>
      </w:r>
      <w:r w:rsidRPr="0097220F">
        <w:rPr>
          <w:rFonts w:asciiTheme="minorHAnsi" w:hAnsiTheme="minorHAnsi"/>
          <w:iCs/>
          <w:szCs w:val="24"/>
        </w:rPr>
        <w:tab/>
      </w:r>
      <w:r w:rsidR="00DE2889" w:rsidRPr="0097220F">
        <w:rPr>
          <w:rFonts w:asciiTheme="minorHAnsi" w:hAnsiTheme="minorHAnsi"/>
          <w:iCs/>
          <w:szCs w:val="24"/>
        </w:rPr>
        <w:t xml:space="preserve">L'UIT, en collaboration avec la Fondation </w:t>
      </w:r>
      <w:r w:rsidRPr="0097220F">
        <w:rPr>
          <w:rFonts w:asciiTheme="minorHAnsi" w:hAnsiTheme="minorHAnsi"/>
          <w:iCs/>
          <w:szCs w:val="24"/>
        </w:rPr>
        <w:t xml:space="preserve">Bill &amp; Melinda Gates, </w:t>
      </w:r>
      <w:r w:rsidR="00DE2889" w:rsidRPr="0097220F">
        <w:rPr>
          <w:rFonts w:asciiTheme="minorHAnsi" w:hAnsiTheme="minorHAnsi"/>
          <w:iCs/>
          <w:szCs w:val="24"/>
        </w:rPr>
        <w:t xml:space="preserve">le Groupe de la Banque mondiale et la Banque des règlements internationaux, a organisé un </w:t>
      </w:r>
      <w:hyperlink r:id="rId42" w:history="1">
        <w:r w:rsidR="00DE2889" w:rsidRPr="0097220F">
          <w:rPr>
            <w:rStyle w:val="Hyperlink"/>
            <w:rFonts w:asciiTheme="minorHAnsi" w:hAnsiTheme="minorHAnsi"/>
            <w:iCs/>
            <w:szCs w:val="24"/>
          </w:rPr>
          <w:t xml:space="preserve">atelier sur </w:t>
        </w:r>
        <w:r w:rsidR="00D1044E" w:rsidRPr="0097220F">
          <w:rPr>
            <w:rStyle w:val="Hyperlink"/>
            <w:rFonts w:asciiTheme="minorHAnsi" w:hAnsiTheme="minorHAnsi"/>
            <w:iCs/>
            <w:szCs w:val="24"/>
          </w:rPr>
          <w:t>la sécurité, l'infrastructure et la confiance dans les services financiers numériques</w:t>
        </w:r>
      </w:hyperlink>
      <w:r w:rsidR="00D1044E" w:rsidRPr="0097220F">
        <w:rPr>
          <w:rFonts w:asciiTheme="minorHAnsi" w:hAnsiTheme="minorHAnsi"/>
          <w:iCs/>
          <w:szCs w:val="24"/>
        </w:rPr>
        <w:t xml:space="preserve">, </w:t>
      </w:r>
      <w:r w:rsidR="00D1044E" w:rsidRPr="0097220F">
        <w:t xml:space="preserve">les 4 et 5 décembre 2019 au siège de l'UIT, à Genève (Suisse). </w:t>
      </w:r>
    </w:p>
    <w:p w14:paraId="4A76DBD1" w14:textId="07EA5C50" w:rsidR="008C4ED4" w:rsidRPr="0097220F" w:rsidRDefault="008C4ED4" w:rsidP="00D259ED">
      <w:r w:rsidRPr="0097220F">
        <w:rPr>
          <w:rFonts w:asciiTheme="minorHAnsi" w:hAnsiTheme="minorHAnsi"/>
          <w:szCs w:val="24"/>
        </w:rPr>
        <w:t>3.1</w:t>
      </w:r>
      <w:r w:rsidR="00AF7407" w:rsidRPr="0097220F">
        <w:rPr>
          <w:rFonts w:asciiTheme="minorHAnsi" w:hAnsiTheme="minorHAnsi"/>
          <w:szCs w:val="24"/>
        </w:rPr>
        <w:t>2</w:t>
      </w:r>
      <w:r w:rsidRPr="0097220F">
        <w:rPr>
          <w:rFonts w:asciiTheme="minorHAnsi" w:hAnsiTheme="minorHAnsi"/>
          <w:szCs w:val="24"/>
        </w:rPr>
        <w:tab/>
      </w:r>
      <w:r w:rsidRPr="0097220F">
        <w:t>L'UIT-R poursuit ses travaux dans le domaine de la normalisation des radiocommunications, de façon à répondre à l'évolution constante des réseaux modernes de télécommunication. Ce Secteur a défini des principes de sécurité précis concernant les réseaux IMT (3G, 4G et 5G) (Recommandations UIT-R M.1078, M.1223, M.1457, M.1645, M.2012 et M.2083). Il a également publié des Recommandations sur les questions de sécurité relatives à l'architecture de gestion des réseaux pour les systèmes numériques à satellites (Recommandation UIT-R S.1250) et sur l'amélioration de la qualité de fonctionnement du protocole de commande de transmission sur les réseaux à satellite (Recommandation UIT-R S.1711).</w:t>
      </w:r>
    </w:p>
    <w:p w14:paraId="33A5FF75" w14:textId="087D2E7F" w:rsidR="009E4D41" w:rsidRPr="0097220F" w:rsidRDefault="00AF7407" w:rsidP="00D259ED">
      <w:pPr>
        <w:pStyle w:val="Heading1"/>
        <w:rPr>
          <w:lang w:val="fr-CH"/>
        </w:rPr>
      </w:pPr>
      <w:r w:rsidRPr="0097220F">
        <w:rPr>
          <w:lang w:val="fr-CH"/>
        </w:rPr>
        <w:t>4</w:t>
      </w:r>
      <w:r w:rsidRPr="0097220F">
        <w:rPr>
          <w:lang w:val="fr-CH"/>
        </w:rPr>
        <w:tab/>
        <w:t>Structures organisationnelles</w:t>
      </w:r>
    </w:p>
    <w:p w14:paraId="509806DB" w14:textId="3CBEDCBF" w:rsidR="009E4D41" w:rsidRPr="0097220F" w:rsidRDefault="009E4D41" w:rsidP="00D259ED">
      <w:pPr>
        <w:rPr>
          <w:b/>
          <w:bCs/>
          <w:lang w:val="fr-CH"/>
        </w:rPr>
      </w:pPr>
      <w:r w:rsidRPr="0097220F">
        <w:rPr>
          <w:lang w:val="fr-CH"/>
        </w:rPr>
        <w:t>4.1</w:t>
      </w:r>
      <w:r w:rsidRPr="0097220F">
        <w:rPr>
          <w:lang w:val="fr-CH"/>
        </w:rPr>
        <w:tab/>
        <w:t xml:space="preserve">L'UIT a procédé à des évaluations techniques pour faire le point sur l'état de préparation à la création d'équipes d'intervention en cas d'incident informatique (CIRT) dans 76 pays, et prend actuellement les mesures de suivi nécessaires. La participation directe à 14 de ces activités a pris fin. </w:t>
      </w:r>
      <w:r w:rsidRPr="0097220F">
        <w:t>Dans le cadre du projet "</w:t>
      </w:r>
      <w:r w:rsidRPr="0097220F">
        <w:rPr>
          <w:i/>
          <w:iCs/>
        </w:rPr>
        <w:t>Mise en œuvre de services CIRT et des capacités connexes</w:t>
      </w:r>
      <w:r w:rsidRPr="0097220F">
        <w:t xml:space="preserve">", l'État de Palestine a bénéficié d'une assistance dans la mise en place et le déploiement des capacités techniques et des formations associées concernant les activités d'une équipe CIRT. </w:t>
      </w:r>
      <w:r w:rsidRPr="0097220F">
        <w:rPr>
          <w:rFonts w:eastAsia="Calibri" w:cs="Calibri"/>
        </w:rPr>
        <w:t xml:space="preserve">Les Kiribati et les îles Salomon </w:t>
      </w:r>
      <w:proofErr w:type="gramStart"/>
      <w:r w:rsidRPr="0097220F">
        <w:rPr>
          <w:rFonts w:eastAsia="Calibri" w:cs="Calibri"/>
        </w:rPr>
        <w:t>ont</w:t>
      </w:r>
      <w:proofErr w:type="gramEnd"/>
      <w:r w:rsidRPr="0097220F">
        <w:rPr>
          <w:rFonts w:eastAsia="Calibri" w:cs="Calibri"/>
        </w:rPr>
        <w:t xml:space="preserve"> bénéficié d'une assistance afin d'élaborer leur stratégie nationale en matière de cybersécurité. </w:t>
      </w:r>
      <w:bookmarkStart w:id="10" w:name="lt_pId133"/>
      <w:r w:rsidRPr="0097220F">
        <w:rPr>
          <w:rFonts w:eastAsia="Calibri" w:cs="Calibri"/>
        </w:rPr>
        <w:t xml:space="preserve">En Papouasie-Nouvelle-Guinée et à Vanuatu, les capacités des équipes CIRT ont été renforcées dans le cadre du </w:t>
      </w:r>
      <w:hyperlink r:id="rId43" w:history="1">
        <w:r w:rsidRPr="0097220F">
          <w:rPr>
            <w:rStyle w:val="Hyperlink"/>
            <w:rFonts w:eastAsia="Calibri" w:cs="Calibri"/>
          </w:rPr>
          <w:t xml:space="preserve">projet </w:t>
        </w:r>
        <w:r w:rsidR="00D1044E" w:rsidRPr="0097220F">
          <w:rPr>
            <w:rStyle w:val="Hyperlink"/>
            <w:rFonts w:eastAsia="Calibri" w:cs="Calibri"/>
          </w:rPr>
          <w:t>de l'UIT en coopération avec le Département des communications et des arts de l'Australie (</w:t>
        </w:r>
        <w:r w:rsidRPr="0097220F">
          <w:rPr>
            <w:rStyle w:val="Hyperlink"/>
            <w:rFonts w:eastAsia="Calibri" w:cs="Calibri"/>
          </w:rPr>
          <w:t>UIT-DoCA</w:t>
        </w:r>
      </w:hyperlink>
      <w:r w:rsidR="00D1044E" w:rsidRPr="0097220F">
        <w:rPr>
          <w:rStyle w:val="Hyperlink"/>
          <w:rFonts w:eastAsia="Calibri" w:cs="Calibri"/>
        </w:rPr>
        <w:t>)</w:t>
      </w:r>
      <w:r w:rsidRPr="0097220F">
        <w:rPr>
          <w:rFonts w:eastAsia="Calibri" w:cs="Calibri"/>
        </w:rPr>
        <w:t>.</w:t>
      </w:r>
      <w:bookmarkEnd w:id="10"/>
      <w:r w:rsidRPr="0097220F">
        <w:rPr>
          <w:rFonts w:eastAsia="Calibri" w:cs="Calibri"/>
        </w:rPr>
        <w:t xml:space="preserve"> </w:t>
      </w:r>
      <w:r w:rsidRPr="0097220F">
        <w:rPr>
          <w:shd w:val="clear" w:color="auto" w:fill="FFFFFF"/>
        </w:rPr>
        <w:t xml:space="preserve">Des ateliers visant à évaluer l'état de préparation en vue de la création d'une équipe CIRT ont été organisés au Libéria et au Tchad. En Gambie, les parties prenantes nationales de l'équipe CIRT ont bénéficié d'une formation concernant </w:t>
      </w:r>
      <w:r w:rsidR="00622CD9">
        <w:rPr>
          <w:shd w:val="clear" w:color="auto" w:fill="FFFFFF"/>
        </w:rPr>
        <w:t>l</w:t>
      </w:r>
      <w:r w:rsidRPr="0097220F">
        <w:rPr>
          <w:shd w:val="clear" w:color="auto" w:fill="FFFFFF"/>
        </w:rPr>
        <w:t>es activités</w:t>
      </w:r>
      <w:r w:rsidR="00622CD9">
        <w:rPr>
          <w:shd w:val="clear" w:color="auto" w:fill="FFFFFF"/>
        </w:rPr>
        <w:t xml:space="preserve"> de </w:t>
      </w:r>
      <w:r w:rsidR="000E7DEB">
        <w:rPr>
          <w:shd w:val="clear" w:color="auto" w:fill="FFFFFF"/>
        </w:rPr>
        <w:t>cette équipe</w:t>
      </w:r>
      <w:r w:rsidRPr="0097220F">
        <w:rPr>
          <w:shd w:val="clear" w:color="auto" w:fill="FFFFFF"/>
        </w:rPr>
        <w:t xml:space="preserve">. </w:t>
      </w:r>
      <w:r w:rsidRPr="0097220F">
        <w:t xml:space="preserve">Quatre projets visant à créer des équipes CIRT ont </w:t>
      </w:r>
      <w:r w:rsidR="00622CD9">
        <w:t>débuté</w:t>
      </w:r>
      <w:r w:rsidRPr="0097220F">
        <w:t xml:space="preserve"> au Botswana, au Burundi, en Gambie et au Malawi, et sont encore en cours de mise en œuvre. </w:t>
      </w:r>
      <w:bookmarkStart w:id="11" w:name="lt_pId123"/>
      <w:r w:rsidRPr="0097220F">
        <w:t>Au Kenya, l'équipe CIRT existante est en cours de consolidation (achèvement prévu en 2020).</w:t>
      </w:r>
      <w:bookmarkEnd w:id="11"/>
      <w:r w:rsidR="003C02D4" w:rsidRPr="0097220F">
        <w:t xml:space="preserve"> </w:t>
      </w:r>
    </w:p>
    <w:p w14:paraId="7FB40AC6" w14:textId="5419D584" w:rsidR="009E4D41" w:rsidRPr="0097220F" w:rsidRDefault="009E4D41" w:rsidP="00D259ED">
      <w:r w:rsidRPr="0097220F">
        <w:t>4.2</w:t>
      </w:r>
      <w:r w:rsidRPr="0097220F">
        <w:tab/>
      </w:r>
      <w:r w:rsidR="00D1044E" w:rsidRPr="0097220F">
        <w:t xml:space="preserve">L'UIT a réalisé 28 </w:t>
      </w:r>
      <w:hyperlink r:id="rId44" w:history="1">
        <w:r w:rsidR="00D1044E" w:rsidRPr="0097220F">
          <w:rPr>
            <w:rStyle w:val="Hyperlink"/>
          </w:rPr>
          <w:t>cyberexercices</w:t>
        </w:r>
      </w:hyperlink>
      <w:r w:rsidR="00D1044E" w:rsidRPr="0097220F">
        <w:t>, auxquels plus de 100 pays ont participé.</w:t>
      </w:r>
      <w:r w:rsidRPr="0097220F">
        <w:t xml:space="preserve"> </w:t>
      </w:r>
      <w:r w:rsidR="00D1044E" w:rsidRPr="0097220F">
        <w:t xml:space="preserve">Des cyberexercices ont été organisés en </w:t>
      </w:r>
      <w:hyperlink r:id="rId45" w:history="1">
        <w:r w:rsidR="00D1044E" w:rsidRPr="0097220F">
          <w:rPr>
            <w:rStyle w:val="Hyperlink"/>
          </w:rPr>
          <w:t>Ouganda</w:t>
        </w:r>
      </w:hyperlink>
      <w:r w:rsidR="00D1044E" w:rsidRPr="0097220F">
        <w:t xml:space="preserve"> (pour la région Afrique, en novembre 2019), à </w:t>
      </w:r>
      <w:hyperlink r:id="rId46" w:history="1">
        <w:r w:rsidR="009D6B65" w:rsidRPr="0097220F">
          <w:rPr>
            <w:rStyle w:val="Hyperlink"/>
          </w:rPr>
          <w:t>Oman</w:t>
        </w:r>
      </w:hyperlink>
      <w:r w:rsidR="00D1044E" w:rsidRPr="0097220F">
        <w:t xml:space="preserve"> (pour la région des États arabes, en octobre 2019), en </w:t>
      </w:r>
      <w:hyperlink r:id="rId47" w:history="1">
        <w:r w:rsidR="00D1044E" w:rsidRPr="0097220F">
          <w:rPr>
            <w:rStyle w:val="Hyperlink"/>
          </w:rPr>
          <w:t>Malaisie</w:t>
        </w:r>
      </w:hyperlink>
      <w:r w:rsidR="00D1044E" w:rsidRPr="0097220F">
        <w:t xml:space="preserve"> (pour la région Asie-Pacifique, en septembre 2019) et en Roumanie (pour la région Europe et la Communauté des États indépendants, en mai 2019). </w:t>
      </w:r>
      <w:r w:rsidR="00E72285">
        <w:t>Il est prévu d'organiser c</w:t>
      </w:r>
      <w:r w:rsidR="009D6B65" w:rsidRPr="0097220F">
        <w:t xml:space="preserve">inq cyberexercices en 2020. </w:t>
      </w:r>
    </w:p>
    <w:p w14:paraId="114F4F09" w14:textId="77777777" w:rsidR="007C56D3" w:rsidRDefault="007C56D3" w:rsidP="00D259ED">
      <w:pPr>
        <w:pStyle w:val="Heading1"/>
      </w:pPr>
      <w:r>
        <w:br w:type="page"/>
      </w:r>
    </w:p>
    <w:p w14:paraId="1A43B4BE" w14:textId="68C965B2" w:rsidR="008C4ED4" w:rsidRPr="0097220F" w:rsidRDefault="008C4ED4" w:rsidP="00D259ED">
      <w:pPr>
        <w:pStyle w:val="Heading1"/>
      </w:pPr>
      <w:r w:rsidRPr="0097220F">
        <w:lastRenderedPageBreak/>
        <w:t>5</w:t>
      </w:r>
      <w:r w:rsidRPr="0097220F">
        <w:tab/>
        <w:t>Renforcement des capacités</w:t>
      </w:r>
    </w:p>
    <w:p w14:paraId="32799F56" w14:textId="3C008815" w:rsidR="008C4ED4" w:rsidRPr="0097220F" w:rsidRDefault="008C4ED4" w:rsidP="00D259ED">
      <w:r w:rsidRPr="0097220F">
        <w:t>5.1</w:t>
      </w:r>
      <w:r w:rsidRPr="0097220F">
        <w:tab/>
        <w:t xml:space="preserve">L'UIT a organisé des </w:t>
      </w:r>
      <w:hyperlink r:id="rId48" w:history="1">
        <w:r w:rsidRPr="0097220F">
          <w:rPr>
            <w:rStyle w:val="Hyperlink"/>
            <w:rFonts w:asciiTheme="minorHAnsi" w:hAnsiTheme="minorHAnsi"/>
            <w:szCs w:val="24"/>
          </w:rPr>
          <w:t>forums régionaux sur la cybersécurité</w:t>
        </w:r>
      </w:hyperlink>
      <w:r w:rsidRPr="0097220F">
        <w:rPr>
          <w:rStyle w:val="Hyperlink"/>
          <w:rFonts w:asciiTheme="minorHAnsi" w:hAnsiTheme="minorHAnsi"/>
          <w:color w:val="auto"/>
          <w:szCs w:val="24"/>
          <w:u w:val="none"/>
        </w:rPr>
        <w:t xml:space="preserve"> </w:t>
      </w:r>
      <w:r w:rsidRPr="0097220F">
        <w:t>à l'intention de toutes ses régions, afin de renforcer les capacités pour différents programmes/diverses activités du BDT et de fournir un cadre opérationnel pour la coopération régionale et internationale.</w:t>
      </w:r>
    </w:p>
    <w:p w14:paraId="74A24FD5" w14:textId="641ADB0C" w:rsidR="009E4D41" w:rsidRPr="0097220F" w:rsidRDefault="009E4D41" w:rsidP="00D259ED">
      <w:pPr>
        <w:rPr>
          <w:rFonts w:asciiTheme="minorHAnsi" w:hAnsiTheme="minorHAnsi"/>
          <w:szCs w:val="24"/>
        </w:rPr>
      </w:pPr>
      <w:r w:rsidRPr="0097220F">
        <w:rPr>
          <w:rFonts w:asciiTheme="minorHAnsi" w:hAnsiTheme="minorHAnsi"/>
          <w:szCs w:val="24"/>
        </w:rPr>
        <w:t>5.2</w:t>
      </w:r>
      <w:r w:rsidRPr="0097220F">
        <w:rPr>
          <w:rFonts w:asciiTheme="minorHAnsi" w:hAnsiTheme="minorHAnsi"/>
          <w:szCs w:val="24"/>
        </w:rPr>
        <w:tab/>
      </w:r>
      <w:r w:rsidR="00B6051A" w:rsidRPr="0097220F">
        <w:rPr>
          <w:rFonts w:asciiTheme="minorHAnsi" w:hAnsiTheme="minorHAnsi"/>
          <w:szCs w:val="24"/>
        </w:rPr>
        <w:t>À la suite de la CMDT-</w:t>
      </w:r>
      <w:r w:rsidRPr="0097220F">
        <w:rPr>
          <w:rFonts w:asciiTheme="minorHAnsi" w:hAnsiTheme="minorHAnsi"/>
          <w:szCs w:val="24"/>
        </w:rPr>
        <w:t xml:space="preserve">17, </w:t>
      </w:r>
      <w:r w:rsidR="00B6051A" w:rsidRPr="0097220F">
        <w:rPr>
          <w:rFonts w:asciiTheme="minorHAnsi" w:hAnsiTheme="minorHAnsi"/>
          <w:szCs w:val="24"/>
        </w:rPr>
        <w:t xml:space="preserve">la CE 2 de l'UIT-D poursuit ses travaux </w:t>
      </w:r>
      <w:r w:rsidR="00622CD9">
        <w:rPr>
          <w:rFonts w:asciiTheme="minorHAnsi" w:hAnsiTheme="minorHAnsi"/>
          <w:szCs w:val="24"/>
        </w:rPr>
        <w:t>sur</w:t>
      </w:r>
      <w:r w:rsidR="00B6051A" w:rsidRPr="0097220F">
        <w:rPr>
          <w:rFonts w:asciiTheme="minorHAnsi" w:hAnsiTheme="minorHAnsi"/>
          <w:szCs w:val="24"/>
        </w:rPr>
        <w:t xml:space="preserve"> la Question </w:t>
      </w:r>
      <w:r w:rsidRPr="0097220F">
        <w:rPr>
          <w:rFonts w:asciiTheme="minorHAnsi" w:hAnsiTheme="minorHAnsi"/>
          <w:szCs w:val="24"/>
        </w:rPr>
        <w:t>3/2 (</w:t>
      </w:r>
      <w:hyperlink r:id="rId49" w:history="1">
        <w:r w:rsidR="00B6051A" w:rsidRPr="007C56D3">
          <w:rPr>
            <w:rStyle w:val="Hyperlink"/>
          </w:rPr>
          <w:t>Sécurisation des réseaux d'information et de communication: Bonnes pratiques pour créer une culture de la cybersécurité</w:t>
        </w:r>
      </w:hyperlink>
      <w:r w:rsidRPr="0097220F">
        <w:rPr>
          <w:rFonts w:asciiTheme="minorHAnsi" w:hAnsiTheme="minorHAnsi"/>
          <w:szCs w:val="24"/>
        </w:rPr>
        <w:t xml:space="preserve">) </w:t>
      </w:r>
      <w:r w:rsidR="00622CD9">
        <w:rPr>
          <w:rFonts w:asciiTheme="minorHAnsi" w:hAnsiTheme="minorHAnsi"/>
          <w:szCs w:val="24"/>
        </w:rPr>
        <w:t>pendant</w:t>
      </w:r>
      <w:r w:rsidR="00E72285">
        <w:rPr>
          <w:rFonts w:asciiTheme="minorHAnsi" w:hAnsiTheme="minorHAnsi"/>
          <w:szCs w:val="24"/>
        </w:rPr>
        <w:t xml:space="preserve"> </w:t>
      </w:r>
      <w:r w:rsidR="00B6051A" w:rsidRPr="0097220F">
        <w:rPr>
          <w:rFonts w:asciiTheme="minorHAnsi" w:hAnsiTheme="minorHAnsi"/>
          <w:szCs w:val="24"/>
        </w:rPr>
        <w:t xml:space="preserve">la période d'études </w:t>
      </w:r>
      <w:r w:rsidRPr="0097220F">
        <w:rPr>
          <w:rFonts w:asciiTheme="minorHAnsi" w:hAnsiTheme="minorHAnsi"/>
          <w:szCs w:val="24"/>
        </w:rPr>
        <w:t>2018-2021.</w:t>
      </w:r>
    </w:p>
    <w:p w14:paraId="50BD4C75" w14:textId="7D36FB38" w:rsidR="009E4D41" w:rsidRPr="0097220F" w:rsidRDefault="009E4D41" w:rsidP="00D259ED">
      <w:pPr>
        <w:rPr>
          <w:bCs/>
        </w:rPr>
      </w:pPr>
      <w:r w:rsidRPr="0097220F">
        <w:rPr>
          <w:bCs/>
        </w:rPr>
        <w:t>5.3</w:t>
      </w:r>
      <w:r w:rsidRPr="0097220F">
        <w:rPr>
          <w:bCs/>
        </w:rPr>
        <w:tab/>
      </w:r>
      <w:r w:rsidR="00622CD9">
        <w:rPr>
          <w:bCs/>
        </w:rPr>
        <w:t>Le</w:t>
      </w:r>
      <w:r w:rsidRPr="0097220F">
        <w:rPr>
          <w:bCs/>
        </w:rPr>
        <w:t xml:space="preserve"> Guide</w:t>
      </w:r>
      <w:r w:rsidR="00622CD9">
        <w:rPr>
          <w:bCs/>
        </w:rPr>
        <w:t xml:space="preserve"> UIT</w:t>
      </w:r>
      <w:r w:rsidRPr="0097220F">
        <w:rPr>
          <w:bCs/>
        </w:rPr>
        <w:t xml:space="preserve"> </w:t>
      </w:r>
      <w:r w:rsidR="00622CD9">
        <w:rPr>
          <w:bCs/>
        </w:rPr>
        <w:t>sur l</w:t>
      </w:r>
      <w:r w:rsidRPr="0097220F">
        <w:rPr>
          <w:bCs/>
        </w:rPr>
        <w:t>'élaboration d'une stratégie nationale en matière de cybersécurité de l'UIT</w:t>
      </w:r>
      <w:r w:rsidR="00622CD9">
        <w:rPr>
          <w:rStyle w:val="Hyperlink"/>
          <w:bCs/>
          <w:color w:val="auto"/>
          <w:u w:val="none"/>
        </w:rPr>
        <w:t xml:space="preserve"> est</w:t>
      </w:r>
      <w:r w:rsidRPr="0097220F">
        <w:rPr>
          <w:rStyle w:val="Hyperlink"/>
          <w:bCs/>
          <w:color w:val="auto"/>
          <w:u w:val="none"/>
        </w:rPr>
        <w:t xml:space="preserve"> un guide </w:t>
      </w:r>
      <w:r w:rsidR="00622CD9">
        <w:rPr>
          <w:rStyle w:val="Hyperlink"/>
          <w:bCs/>
          <w:color w:val="auto"/>
          <w:u w:val="none"/>
        </w:rPr>
        <w:t xml:space="preserve">rassemblant </w:t>
      </w:r>
      <w:r w:rsidRPr="0097220F">
        <w:rPr>
          <w:rStyle w:val="Hyperlink"/>
          <w:bCs/>
          <w:color w:val="auto"/>
          <w:u w:val="none"/>
        </w:rPr>
        <w:t>des bonnes pratiques</w:t>
      </w:r>
      <w:r w:rsidR="00622CD9">
        <w:rPr>
          <w:rStyle w:val="Hyperlink"/>
          <w:bCs/>
          <w:color w:val="auto"/>
          <w:u w:val="none"/>
        </w:rPr>
        <w:t xml:space="preserve"> qui est utilisé par des pays de toutes les régions</w:t>
      </w:r>
      <w:r w:rsidRPr="0097220F">
        <w:rPr>
          <w:rStyle w:val="Hyperlink"/>
          <w:bCs/>
          <w:color w:val="auto"/>
          <w:u w:val="none"/>
        </w:rPr>
        <w:t xml:space="preserve">. </w:t>
      </w:r>
      <w:r w:rsidR="00B6051A" w:rsidRPr="0097220F">
        <w:rPr>
          <w:rStyle w:val="Hyperlink"/>
          <w:bCs/>
          <w:color w:val="auto"/>
          <w:u w:val="none"/>
        </w:rPr>
        <w:t>Les ateliers suivants ont été organisés en 2019</w:t>
      </w:r>
      <w:r w:rsidRPr="0097220F">
        <w:rPr>
          <w:rStyle w:val="Hyperlink"/>
          <w:bCs/>
          <w:color w:val="auto"/>
          <w:u w:val="none"/>
        </w:rPr>
        <w:t xml:space="preserve">: </w:t>
      </w:r>
      <w:bookmarkStart w:id="12" w:name="lt_pId135"/>
      <w:r w:rsidRPr="0097220F">
        <w:rPr>
          <w:rStyle w:val="Hyperlink"/>
          <w:bCs/>
          <w:color w:val="auto"/>
          <w:u w:val="none"/>
        </w:rPr>
        <w:t xml:space="preserve">a) </w:t>
      </w:r>
      <w:r w:rsidR="00B6051A" w:rsidRPr="0097220F">
        <w:rPr>
          <w:rFonts w:eastAsia="Calibri"/>
        </w:rPr>
        <w:t>u</w:t>
      </w:r>
      <w:r w:rsidRPr="0097220F">
        <w:rPr>
          <w:rFonts w:eastAsia="Calibri"/>
        </w:rPr>
        <w:t>n atelier régional</w:t>
      </w:r>
      <w:r w:rsidR="00B6051A" w:rsidRPr="0097220F">
        <w:rPr>
          <w:rFonts w:eastAsia="Calibri"/>
        </w:rPr>
        <w:t>,</w:t>
      </w:r>
      <w:r w:rsidRPr="0097220F">
        <w:rPr>
          <w:rFonts w:eastAsia="Calibri"/>
        </w:rPr>
        <w:t xml:space="preserve"> organisé par le Ministère de l'informatique et l'agence de la cybersécurité de l'Indonésie à Jakarta, sur les stratégies en matière de cybersécurité</w:t>
      </w:r>
      <w:bookmarkStart w:id="13" w:name="lt_pId136"/>
      <w:bookmarkEnd w:id="12"/>
      <w:r w:rsidR="00B6051A" w:rsidRPr="0097220F">
        <w:rPr>
          <w:rFonts w:eastAsia="Calibri"/>
        </w:rPr>
        <w:t xml:space="preserve"> (les débats ont porté </w:t>
      </w:r>
      <w:r w:rsidR="00E72285">
        <w:rPr>
          <w:rFonts w:eastAsia="Calibri"/>
        </w:rPr>
        <w:t xml:space="preserve">notamment </w:t>
      </w:r>
      <w:r w:rsidR="00B6051A" w:rsidRPr="0097220F">
        <w:rPr>
          <w:rFonts w:eastAsia="Calibri"/>
        </w:rPr>
        <w:t>sur le</w:t>
      </w:r>
      <w:r w:rsidRPr="0097220F">
        <w:rPr>
          <w:rFonts w:eastAsia="Calibri"/>
        </w:rPr>
        <w:t xml:space="preserve"> règlement général sur la protection des données</w:t>
      </w:r>
      <w:bookmarkEnd w:id="13"/>
      <w:r w:rsidR="00B6051A" w:rsidRPr="0097220F">
        <w:rPr>
          <w:rFonts w:eastAsia="Calibri"/>
        </w:rPr>
        <w:t>)</w:t>
      </w:r>
      <w:r w:rsidR="003C02D4" w:rsidRPr="0097220F">
        <w:rPr>
          <w:rFonts w:eastAsia="Calibri"/>
        </w:rPr>
        <w:t>;</w:t>
      </w:r>
      <w:r w:rsidRPr="0097220F">
        <w:rPr>
          <w:rFonts w:eastAsia="Calibri"/>
        </w:rPr>
        <w:t xml:space="preserve"> b)</w:t>
      </w:r>
      <w:r w:rsidR="003C02D4" w:rsidRPr="0097220F">
        <w:rPr>
          <w:rFonts w:eastAsia="Calibri"/>
        </w:rPr>
        <w:t xml:space="preserve"> </w:t>
      </w:r>
      <w:r w:rsidR="00B6051A" w:rsidRPr="0097220F">
        <w:rPr>
          <w:bCs/>
        </w:rPr>
        <w:t>u</w:t>
      </w:r>
      <w:r w:rsidRPr="0097220F">
        <w:rPr>
          <w:bCs/>
        </w:rPr>
        <w:t xml:space="preserve">n atelier régional, organisé par la Macédoine du Nord </w:t>
      </w:r>
      <w:r w:rsidR="00622CD9">
        <w:rPr>
          <w:bCs/>
        </w:rPr>
        <w:t>sur l'</w:t>
      </w:r>
      <w:r w:rsidRPr="0097220F">
        <w:rPr>
          <w:bCs/>
        </w:rPr>
        <w:t>amélior</w:t>
      </w:r>
      <w:r w:rsidR="00622CD9">
        <w:rPr>
          <w:bCs/>
        </w:rPr>
        <w:t>ation</w:t>
      </w:r>
      <w:r w:rsidRPr="0097220F">
        <w:rPr>
          <w:bCs/>
        </w:rPr>
        <w:t xml:space="preserve"> </w:t>
      </w:r>
      <w:r w:rsidR="00622CD9">
        <w:rPr>
          <w:bCs/>
        </w:rPr>
        <w:t>d</w:t>
      </w:r>
      <w:r w:rsidRPr="0097220F">
        <w:rPr>
          <w:bCs/>
        </w:rPr>
        <w:t>es stratégies nationales de cinq États de la région des Balkans</w:t>
      </w:r>
      <w:r w:rsidR="003C02D4" w:rsidRPr="0097220F">
        <w:rPr>
          <w:bCs/>
        </w:rPr>
        <w:t xml:space="preserve">; c) </w:t>
      </w:r>
      <w:r w:rsidR="00B6051A" w:rsidRPr="0097220F">
        <w:rPr>
          <w:bCs/>
        </w:rPr>
        <w:t>u</w:t>
      </w:r>
      <w:r w:rsidRPr="0097220F">
        <w:rPr>
          <w:bCs/>
        </w:rPr>
        <w:t>n atelier régional</w:t>
      </w:r>
      <w:r w:rsidR="00B6051A" w:rsidRPr="0097220F">
        <w:rPr>
          <w:bCs/>
        </w:rPr>
        <w:t xml:space="preserve">, </w:t>
      </w:r>
      <w:r w:rsidRPr="0097220F">
        <w:rPr>
          <w:bCs/>
        </w:rPr>
        <w:t xml:space="preserve">organisé en Tunisie </w:t>
      </w:r>
      <w:r w:rsidR="00622CD9">
        <w:rPr>
          <w:bCs/>
        </w:rPr>
        <w:t>sur l</w:t>
      </w:r>
      <w:r w:rsidRPr="0097220F">
        <w:rPr>
          <w:bCs/>
        </w:rPr>
        <w:t>'amélior</w:t>
      </w:r>
      <w:r w:rsidR="00622CD9">
        <w:rPr>
          <w:bCs/>
        </w:rPr>
        <w:t>ation</w:t>
      </w:r>
      <w:r w:rsidRPr="0097220F">
        <w:rPr>
          <w:bCs/>
        </w:rPr>
        <w:t xml:space="preserve"> </w:t>
      </w:r>
      <w:r w:rsidR="00622CD9">
        <w:rPr>
          <w:bCs/>
        </w:rPr>
        <w:t>d</w:t>
      </w:r>
      <w:r w:rsidRPr="0097220F">
        <w:rPr>
          <w:bCs/>
        </w:rPr>
        <w:t>es stratégies nationales de</w:t>
      </w:r>
      <w:r w:rsidR="00622CD9">
        <w:rPr>
          <w:bCs/>
        </w:rPr>
        <w:t>s</w:t>
      </w:r>
      <w:r w:rsidRPr="0097220F">
        <w:rPr>
          <w:bCs/>
        </w:rPr>
        <w:t xml:space="preserve"> pays des régions Afrique et des États arabes. Vingt pays ont participé de manière active.</w:t>
      </w:r>
      <w:bookmarkStart w:id="14" w:name="lt_pId115"/>
      <w:r w:rsidR="003C02D4" w:rsidRPr="0097220F">
        <w:rPr>
          <w:bCs/>
        </w:rPr>
        <w:t xml:space="preserve"> </w:t>
      </w:r>
      <w:r w:rsidRPr="0097220F">
        <w:rPr>
          <w:bCs/>
        </w:rPr>
        <w:t>Trois pays ont bénéficié d'une assistance directe afin d'élaborer et de réviser des stratégies nationales en matière de cybersécurité, en s'inspirant du</w:t>
      </w:r>
      <w:bookmarkEnd w:id="14"/>
      <w:r w:rsidRPr="0097220F">
        <w:rPr>
          <w:rStyle w:val="Hyperlink"/>
          <w:bCs/>
          <w:color w:val="auto"/>
          <w:u w:val="none"/>
        </w:rPr>
        <w:t xml:space="preserve"> guide.</w:t>
      </w:r>
    </w:p>
    <w:p w14:paraId="2EFC49C2" w14:textId="59E38EA1" w:rsidR="009E4D41" w:rsidRPr="0097220F" w:rsidRDefault="003C02D4" w:rsidP="00D259ED">
      <w:pPr>
        <w:rPr>
          <w:rFonts w:asciiTheme="minorHAnsi" w:hAnsiTheme="minorHAnsi"/>
          <w:szCs w:val="24"/>
        </w:rPr>
      </w:pPr>
      <w:r w:rsidRPr="0097220F">
        <w:rPr>
          <w:rFonts w:asciiTheme="minorHAnsi" w:hAnsiTheme="minorHAnsi"/>
          <w:szCs w:val="24"/>
        </w:rPr>
        <w:t>5.4</w:t>
      </w:r>
      <w:r w:rsidRPr="0097220F">
        <w:rPr>
          <w:rFonts w:asciiTheme="minorHAnsi" w:hAnsiTheme="minorHAnsi"/>
          <w:szCs w:val="24"/>
        </w:rPr>
        <w:tab/>
        <w:t>Le Soudan a bénéficié d'une assistance technique et du renforcement de ses capacités, en vue d'améliorer sa stratégie en matière de protection de l'infrastructure informatique essentielle.</w:t>
      </w:r>
    </w:p>
    <w:p w14:paraId="4C36E60D" w14:textId="08905356" w:rsidR="009E4D41" w:rsidRPr="0097220F" w:rsidRDefault="003C02D4" w:rsidP="00D259ED">
      <w:pPr>
        <w:rPr>
          <w:rFonts w:asciiTheme="minorHAnsi" w:hAnsiTheme="minorHAnsi"/>
          <w:szCs w:val="24"/>
        </w:rPr>
      </w:pPr>
      <w:r w:rsidRPr="0097220F">
        <w:rPr>
          <w:rFonts w:asciiTheme="minorHAnsi" w:hAnsiTheme="minorHAnsi"/>
          <w:szCs w:val="24"/>
        </w:rPr>
        <w:t>5.5</w:t>
      </w:r>
      <w:r w:rsidRPr="0097220F">
        <w:rPr>
          <w:rFonts w:asciiTheme="minorHAnsi" w:hAnsiTheme="minorHAnsi"/>
          <w:szCs w:val="24"/>
        </w:rPr>
        <w:tab/>
        <w:t>Lors de la semaine régionale sur la cybersécurité organisée pour la région des États arabes, le Centre régional de cybersécurité de l'UIT pour la région des États arabes (UIT ARCC) a encouragé l'échange d'informations et le renforcement des capacités dans le domaine de la cybersécurité. Cette manifestation a offert un cadre à des hauts responsables dans le domaine des TIC et de la cybersécurité issus de la région pour rencontrer les principales parties prenantes et débattre des menaces, des progrès accomplis, des perspectives et des défis que pose la cybersécurité.</w:t>
      </w:r>
    </w:p>
    <w:p w14:paraId="19D8A1D1" w14:textId="205A6248" w:rsidR="009E4D41" w:rsidRPr="0097220F" w:rsidRDefault="003C02D4" w:rsidP="00D259ED">
      <w:pPr>
        <w:rPr>
          <w:rFonts w:asciiTheme="minorHAnsi" w:hAnsiTheme="minorHAnsi"/>
          <w:szCs w:val="24"/>
        </w:rPr>
      </w:pPr>
      <w:r w:rsidRPr="0097220F">
        <w:rPr>
          <w:rFonts w:asciiTheme="minorHAnsi" w:hAnsiTheme="minorHAnsi"/>
          <w:szCs w:val="24"/>
        </w:rPr>
        <w:t>5.6</w:t>
      </w:r>
      <w:r w:rsidRPr="0097220F">
        <w:rPr>
          <w:rFonts w:asciiTheme="minorHAnsi" w:hAnsiTheme="minorHAnsi"/>
          <w:szCs w:val="24"/>
        </w:rPr>
        <w:tab/>
        <w:t>La semaine de la cybersécurité organisée en Moldavie s'est tenue à Chisinau avec l'appui de l'UIT. Cette manifestation a offert des possibilités de nouer des contacts ainsi qu'une plate-forme où échanger des idées, débattre et collaborer en vue de promouvoir, grâce à l'innovation, des stratégies et des solutions en matière de cybersécurité à l'échelle mondiale.</w:t>
      </w:r>
    </w:p>
    <w:p w14:paraId="46791E86" w14:textId="4130AAFB" w:rsidR="003C02D4" w:rsidRPr="0097220F" w:rsidRDefault="003C02D4" w:rsidP="00D259ED">
      <w:pPr>
        <w:rPr>
          <w:rFonts w:asciiTheme="minorHAnsi" w:hAnsiTheme="minorHAnsi"/>
          <w:szCs w:val="24"/>
        </w:rPr>
      </w:pPr>
      <w:r w:rsidRPr="0097220F">
        <w:rPr>
          <w:rFonts w:asciiTheme="minorHAnsi" w:hAnsiTheme="minorHAnsi"/>
          <w:szCs w:val="24"/>
        </w:rPr>
        <w:t>5.7</w:t>
      </w:r>
      <w:r w:rsidRPr="0097220F">
        <w:rPr>
          <w:rFonts w:asciiTheme="minorHAnsi" w:hAnsiTheme="minorHAnsi"/>
          <w:szCs w:val="24"/>
        </w:rPr>
        <w:tab/>
        <w:t>La manifestation "Cyber Shield" de 2019 s'est tenue à Ankara (Turquie) avec l'appui de l'UIT. Les principaux objectifs étaient d'augmenter les capacités d'intervention et les niveaux de préparation en cas d'incident, d'approfondir la compréhension mutuelle des cyberrisques et de leurs effets, et de garantir un</w:t>
      </w:r>
      <w:r w:rsidR="00944185">
        <w:rPr>
          <w:rFonts w:asciiTheme="minorHAnsi" w:hAnsiTheme="minorHAnsi"/>
          <w:szCs w:val="24"/>
        </w:rPr>
        <w:t>e</w:t>
      </w:r>
      <w:r w:rsidRPr="0097220F">
        <w:rPr>
          <w:rFonts w:asciiTheme="minorHAnsi" w:hAnsiTheme="minorHAnsi"/>
          <w:szCs w:val="24"/>
        </w:rPr>
        <w:t xml:space="preserve"> </w:t>
      </w:r>
      <w:r w:rsidR="00944185">
        <w:rPr>
          <w:rFonts w:asciiTheme="minorHAnsi" w:hAnsiTheme="minorHAnsi"/>
          <w:szCs w:val="24"/>
        </w:rPr>
        <w:t>collaboration</w:t>
      </w:r>
      <w:r w:rsidRPr="0097220F">
        <w:rPr>
          <w:rFonts w:asciiTheme="minorHAnsi" w:hAnsiTheme="minorHAnsi"/>
          <w:szCs w:val="24"/>
        </w:rPr>
        <w:t xml:space="preserve"> constant</w:t>
      </w:r>
      <w:r w:rsidR="00944185">
        <w:rPr>
          <w:rFonts w:asciiTheme="minorHAnsi" w:hAnsiTheme="minorHAnsi"/>
          <w:szCs w:val="24"/>
        </w:rPr>
        <w:t>e</w:t>
      </w:r>
      <w:r w:rsidRPr="0097220F">
        <w:rPr>
          <w:rFonts w:asciiTheme="minorHAnsi" w:hAnsiTheme="minorHAnsi"/>
          <w:szCs w:val="24"/>
        </w:rPr>
        <w:t xml:space="preserve"> entre les acteurs de la cybersécurité dans le monde, en particulier les équipes C</w:t>
      </w:r>
      <w:r w:rsidR="00F24244" w:rsidRPr="0097220F">
        <w:rPr>
          <w:rFonts w:asciiTheme="minorHAnsi" w:hAnsiTheme="minorHAnsi"/>
          <w:szCs w:val="24"/>
        </w:rPr>
        <w:t>I</w:t>
      </w:r>
      <w:r w:rsidRPr="0097220F">
        <w:rPr>
          <w:rFonts w:asciiTheme="minorHAnsi" w:hAnsiTheme="minorHAnsi"/>
          <w:szCs w:val="24"/>
        </w:rPr>
        <w:t>RT</w:t>
      </w:r>
      <w:r w:rsidR="00F24244" w:rsidRPr="0097220F">
        <w:rPr>
          <w:rFonts w:asciiTheme="minorHAnsi" w:hAnsiTheme="minorHAnsi"/>
          <w:szCs w:val="24"/>
        </w:rPr>
        <w:t xml:space="preserve"> </w:t>
      </w:r>
      <w:r w:rsidR="00622CD9">
        <w:rPr>
          <w:rFonts w:asciiTheme="minorHAnsi" w:hAnsiTheme="minorHAnsi"/>
          <w:szCs w:val="24"/>
        </w:rPr>
        <w:t>des pays</w:t>
      </w:r>
      <w:r w:rsidRPr="0097220F">
        <w:rPr>
          <w:rFonts w:asciiTheme="minorHAnsi" w:hAnsiTheme="minorHAnsi"/>
          <w:szCs w:val="24"/>
        </w:rPr>
        <w:t xml:space="preserve">, afin de </w:t>
      </w:r>
      <w:r w:rsidR="00622CD9">
        <w:rPr>
          <w:rFonts w:asciiTheme="minorHAnsi" w:hAnsiTheme="minorHAnsi"/>
          <w:szCs w:val="24"/>
        </w:rPr>
        <w:t>limiter les</w:t>
      </w:r>
      <w:r w:rsidRPr="0097220F">
        <w:rPr>
          <w:rFonts w:asciiTheme="minorHAnsi" w:hAnsiTheme="minorHAnsi"/>
          <w:szCs w:val="24"/>
        </w:rPr>
        <w:t xml:space="preserve"> cybermenaces.</w:t>
      </w:r>
      <w:r w:rsidR="00F24244" w:rsidRPr="0097220F">
        <w:rPr>
          <w:rFonts w:asciiTheme="minorHAnsi" w:hAnsiTheme="minorHAnsi"/>
          <w:szCs w:val="24"/>
        </w:rPr>
        <w:t xml:space="preserve"> L'UIT a aussi organisé une formation à l'intention du Kirghizistan sur la manière de créer un centre </w:t>
      </w:r>
      <w:r w:rsidR="00E72285">
        <w:rPr>
          <w:rFonts w:asciiTheme="minorHAnsi" w:hAnsiTheme="minorHAnsi"/>
          <w:szCs w:val="24"/>
        </w:rPr>
        <w:t>d'activités liées à la</w:t>
      </w:r>
      <w:r w:rsidR="00F24244" w:rsidRPr="0097220F">
        <w:rPr>
          <w:rFonts w:asciiTheme="minorHAnsi" w:hAnsiTheme="minorHAnsi"/>
          <w:szCs w:val="24"/>
        </w:rPr>
        <w:t xml:space="preserve"> cybersécurité.</w:t>
      </w:r>
    </w:p>
    <w:p w14:paraId="2F203A22" w14:textId="7C9E32CF" w:rsidR="008C4ED4" w:rsidRPr="0097220F" w:rsidRDefault="008C4ED4" w:rsidP="00D259ED">
      <w:pPr>
        <w:rPr>
          <w:rFonts w:asciiTheme="minorHAnsi" w:hAnsiTheme="minorHAnsi" w:cstheme="minorHAnsi"/>
          <w:lang w:val="fr-CH"/>
        </w:rPr>
      </w:pPr>
      <w:r w:rsidRPr="0097220F">
        <w:rPr>
          <w:rFonts w:asciiTheme="minorHAnsi" w:hAnsiTheme="minorHAnsi" w:cstheme="minorHAnsi"/>
          <w:lang w:val="fr-CH"/>
        </w:rPr>
        <w:t>5.</w:t>
      </w:r>
      <w:r w:rsidR="003C02D4" w:rsidRPr="0097220F">
        <w:rPr>
          <w:rFonts w:asciiTheme="minorHAnsi" w:hAnsiTheme="minorHAnsi" w:cstheme="minorHAnsi"/>
          <w:lang w:val="fr-CH"/>
        </w:rPr>
        <w:t>8</w:t>
      </w:r>
      <w:r w:rsidRPr="0097220F">
        <w:rPr>
          <w:rFonts w:asciiTheme="minorHAnsi" w:hAnsiTheme="minorHAnsi" w:cstheme="minorHAnsi"/>
          <w:lang w:val="fr-CH"/>
        </w:rPr>
        <w:tab/>
      </w:r>
      <w:r w:rsidRPr="0097220F">
        <w:rPr>
          <w:lang w:val="fr-CH"/>
        </w:rPr>
        <w:t>L'UIT</w:t>
      </w:r>
      <w:r w:rsidRPr="0097220F">
        <w:rPr>
          <w:rFonts w:asciiTheme="minorHAnsi" w:hAnsiTheme="minorHAnsi" w:cstheme="minorHAnsi"/>
          <w:lang w:val="fr-CH"/>
        </w:rPr>
        <w:t xml:space="preserve">, le </w:t>
      </w:r>
      <w:r w:rsidRPr="0097220F">
        <w:rPr>
          <w:lang w:val="fr-CH"/>
        </w:rPr>
        <w:t xml:space="preserve">Centre supérieur de formation aux télécommunications et la Faculté des sciences appliquées des postes et télécommunications </w:t>
      </w:r>
      <w:r w:rsidRPr="0097220F">
        <w:rPr>
          <w:rFonts w:asciiTheme="minorHAnsi" w:hAnsiTheme="minorHAnsi" w:cstheme="minorHAnsi"/>
          <w:lang w:val="fr-CH"/>
        </w:rPr>
        <w:t>(</w:t>
      </w:r>
      <w:r w:rsidRPr="0097220F">
        <w:rPr>
          <w:lang w:val="fr-CH"/>
        </w:rPr>
        <w:t>Faculté des TIC</w:t>
      </w:r>
      <w:r w:rsidRPr="0097220F">
        <w:rPr>
          <w:rFonts w:asciiTheme="minorHAnsi" w:hAnsiTheme="minorHAnsi" w:cstheme="minorHAnsi"/>
          <w:lang w:val="fr-CH"/>
        </w:rPr>
        <w:t xml:space="preserve">, </w:t>
      </w:r>
      <w:r w:rsidRPr="0097220F">
        <w:rPr>
          <w:lang w:val="fr-CH"/>
        </w:rPr>
        <w:t>République islamique d'Iran</w:t>
      </w:r>
      <w:r w:rsidRPr="0097220F">
        <w:rPr>
          <w:rFonts w:asciiTheme="minorHAnsi" w:hAnsiTheme="minorHAnsi" w:cstheme="minorHAnsi"/>
          <w:lang w:val="fr-CH"/>
        </w:rPr>
        <w:t xml:space="preserve">) ont organisé </w:t>
      </w:r>
      <w:hyperlink r:id="rId50" w:history="1">
        <w:r w:rsidRPr="007C56D3">
          <w:rPr>
            <w:rStyle w:val="Hyperlink"/>
            <w:rFonts w:asciiTheme="minorHAnsi" w:hAnsiTheme="minorHAnsi" w:cstheme="minorHAnsi"/>
            <w:lang w:val="fr-CH"/>
          </w:rPr>
          <w:t xml:space="preserve">une </w:t>
        </w:r>
        <w:r w:rsidRPr="007C56D3">
          <w:rPr>
            <w:rStyle w:val="Hyperlink"/>
            <w:lang w:val="fr-CH"/>
          </w:rPr>
          <w:t xml:space="preserve">formation sur la cybersécurité dispensée par le Centre d'excellence de l'UIT pour la région Asie-Pacifique </w:t>
        </w:r>
        <w:r w:rsidRPr="007C56D3">
          <w:rPr>
            <w:rStyle w:val="Hyperlink"/>
            <w:rFonts w:asciiTheme="minorHAnsi" w:hAnsiTheme="minorHAnsi" w:cstheme="minorHAnsi"/>
            <w:lang w:val="fr-CH"/>
          </w:rPr>
          <w:t>(Téhéran, Iran – décembre 2018)</w:t>
        </w:r>
        <w:r w:rsidRPr="007C56D3">
          <w:rPr>
            <w:rStyle w:val="Hyperlink"/>
            <w:rFonts w:asciiTheme="minorHAnsi" w:hAnsiTheme="minorHAnsi" w:cstheme="minorHAnsi"/>
            <w:color w:val="auto"/>
            <w:u w:val="none"/>
            <w:lang w:val="fr-CH"/>
          </w:rPr>
          <w:t>.</w:t>
        </w:r>
      </w:hyperlink>
    </w:p>
    <w:p w14:paraId="0FB8F645" w14:textId="77777777" w:rsidR="007C56D3" w:rsidRDefault="007C56D3" w:rsidP="00D259ED">
      <w:pPr>
        <w:rPr>
          <w:rFonts w:asciiTheme="minorHAnsi" w:hAnsiTheme="minorHAnsi" w:cstheme="minorHAnsi"/>
          <w:lang w:val="fr-CH"/>
        </w:rPr>
      </w:pPr>
      <w:r>
        <w:rPr>
          <w:rFonts w:asciiTheme="minorHAnsi" w:hAnsiTheme="minorHAnsi" w:cstheme="minorHAnsi"/>
          <w:lang w:val="fr-CH"/>
        </w:rPr>
        <w:br w:type="page"/>
      </w:r>
    </w:p>
    <w:p w14:paraId="58655168" w14:textId="57771DA4" w:rsidR="003C02D4" w:rsidRPr="0097220F" w:rsidRDefault="008C4ED4" w:rsidP="00D259ED">
      <w:pPr>
        <w:rPr>
          <w:b/>
          <w:bCs/>
          <w:lang w:val="fr-CH"/>
        </w:rPr>
      </w:pPr>
      <w:r w:rsidRPr="0097220F">
        <w:rPr>
          <w:rFonts w:asciiTheme="minorHAnsi" w:hAnsiTheme="minorHAnsi" w:cstheme="minorHAnsi"/>
          <w:lang w:val="fr-CH"/>
        </w:rPr>
        <w:lastRenderedPageBreak/>
        <w:t>5.</w:t>
      </w:r>
      <w:r w:rsidR="003C02D4" w:rsidRPr="0097220F">
        <w:rPr>
          <w:rFonts w:asciiTheme="minorHAnsi" w:hAnsiTheme="minorHAnsi" w:cstheme="minorHAnsi"/>
          <w:lang w:val="fr-CH"/>
        </w:rPr>
        <w:t>9</w:t>
      </w:r>
      <w:r w:rsidRPr="0097220F">
        <w:rPr>
          <w:rFonts w:asciiTheme="minorHAnsi" w:hAnsiTheme="minorHAnsi" w:cstheme="minorHAnsi"/>
          <w:lang w:val="fr-CH"/>
        </w:rPr>
        <w:tab/>
      </w:r>
      <w:r w:rsidR="003C02D4" w:rsidRPr="0097220F">
        <w:rPr>
          <w:lang w:val="fr-CH"/>
        </w:rPr>
        <w:t xml:space="preserve">Le troisième </w:t>
      </w:r>
      <w:hyperlink r:id="rId51" w:history="1">
        <w:r w:rsidR="003C02D4" w:rsidRPr="0097220F">
          <w:rPr>
            <w:rStyle w:val="Hyperlink"/>
            <w:lang w:val="fr-CH"/>
          </w:rPr>
          <w:t>Indice mondial de cybersécurité</w:t>
        </w:r>
      </w:hyperlink>
      <w:r w:rsidR="003C02D4" w:rsidRPr="0097220F">
        <w:rPr>
          <w:lang w:val="fr-CH"/>
        </w:rPr>
        <w:t xml:space="preserve"> (GCI) de l'UIT montre </w:t>
      </w:r>
      <w:r w:rsidR="00622CD9">
        <w:rPr>
          <w:lang w:val="fr-CH"/>
        </w:rPr>
        <w:t>un renforcement</w:t>
      </w:r>
      <w:r w:rsidR="003C02D4" w:rsidRPr="0097220F">
        <w:rPr>
          <w:lang w:val="fr-CH"/>
        </w:rPr>
        <w:t xml:space="preserve"> </w:t>
      </w:r>
      <w:r w:rsidR="00F24244" w:rsidRPr="0097220F">
        <w:rPr>
          <w:lang w:val="fr-CH"/>
        </w:rPr>
        <w:t>considérable</w:t>
      </w:r>
      <w:r w:rsidR="00622CD9">
        <w:rPr>
          <w:lang w:val="fr-CH"/>
        </w:rPr>
        <w:t xml:space="preserve"> de l'importance accordée à la cybersécurité partout</w:t>
      </w:r>
      <w:r w:rsidR="003C02D4" w:rsidRPr="0097220F">
        <w:rPr>
          <w:lang w:val="fr-CH"/>
        </w:rPr>
        <w:t xml:space="preserve"> dans le monde. La quatrième version de l'enquête sur l'Indice mondial de cybersécurité, dont le questionnaire et la méthodologie ont été perfectionnés, a été présentée. En partenariat avec le cabinet Deloitte, un examen de l'environnement de la cybersécurité a été réalisé</w:t>
      </w:r>
      <w:r w:rsidR="00622CD9">
        <w:rPr>
          <w:lang w:val="fr-CH"/>
        </w:rPr>
        <w:t xml:space="preserve"> pour la Côte d'Ivoire</w:t>
      </w:r>
      <w:r w:rsidR="003C02D4" w:rsidRPr="0097220F">
        <w:rPr>
          <w:lang w:val="fr-CH"/>
        </w:rPr>
        <w:t xml:space="preserve">, </w:t>
      </w:r>
      <w:r w:rsidR="00944185">
        <w:rPr>
          <w:lang w:val="fr-CH"/>
        </w:rPr>
        <w:t>portant également</w:t>
      </w:r>
      <w:r w:rsidR="003C02D4" w:rsidRPr="0097220F">
        <w:rPr>
          <w:lang w:val="fr-CH"/>
        </w:rPr>
        <w:t xml:space="preserve"> </w:t>
      </w:r>
      <w:r w:rsidR="00622CD9">
        <w:rPr>
          <w:lang w:val="fr-CH"/>
        </w:rPr>
        <w:t>sur l</w:t>
      </w:r>
      <w:r w:rsidR="003C02D4" w:rsidRPr="0097220F">
        <w:rPr>
          <w:lang w:val="fr-CH"/>
        </w:rPr>
        <w:t xml:space="preserve">es résultats concernant l'Indice </w:t>
      </w:r>
      <w:r w:rsidR="00622CD9">
        <w:rPr>
          <w:lang w:val="fr-CH"/>
        </w:rPr>
        <w:t>GCI du pays</w:t>
      </w:r>
      <w:r w:rsidR="003C02D4" w:rsidRPr="0097220F">
        <w:rPr>
          <w:lang w:val="fr-CH"/>
        </w:rPr>
        <w:t>. Grâce à cet examen, le pays a pu recenser les initiatives relatives à la cybersécurité qu'il devra déployer en priorité pour améliorer sa stratégie en la matière</w:t>
      </w:r>
      <w:r w:rsidR="00F24244" w:rsidRPr="0097220F">
        <w:rPr>
          <w:lang w:val="fr-CH"/>
        </w:rPr>
        <w:t>.</w:t>
      </w:r>
    </w:p>
    <w:p w14:paraId="32CDF1D6" w14:textId="77777777" w:rsidR="008C4ED4" w:rsidRPr="0097220F" w:rsidRDefault="008C4ED4" w:rsidP="00D259ED">
      <w:pPr>
        <w:pStyle w:val="Heading1"/>
        <w:spacing w:before="360"/>
      </w:pPr>
      <w:r w:rsidRPr="0097220F">
        <w:t>6</w:t>
      </w:r>
      <w:r w:rsidRPr="0097220F">
        <w:tab/>
        <w:t>Coopération internationale</w:t>
      </w:r>
    </w:p>
    <w:p w14:paraId="21C35B36" w14:textId="2F4AD865" w:rsidR="008C4ED4" w:rsidRPr="0097220F" w:rsidRDefault="008C4ED4" w:rsidP="00D259ED">
      <w:bookmarkStart w:id="15" w:name="lt_pId100"/>
      <w:r w:rsidRPr="0097220F">
        <w:t>6.1</w:t>
      </w:r>
      <w:r w:rsidRPr="0097220F">
        <w:tab/>
        <w:t xml:space="preserve">L'UIT noue des relations et des </w:t>
      </w:r>
      <w:hyperlink r:id="rId52" w:history="1">
        <w:r w:rsidRPr="0097220F">
          <w:rPr>
            <w:rStyle w:val="Hyperlink"/>
            <w:rFonts w:asciiTheme="minorHAnsi" w:hAnsiTheme="minorHAnsi"/>
            <w:szCs w:val="24"/>
          </w:rPr>
          <w:t>partenariats</w:t>
        </w:r>
      </w:hyperlink>
      <w:r w:rsidRPr="0097220F">
        <w:t xml:space="preserve"> avec diverses organisations et initiatives régionales ou internationales, notamment la Commonwealth Cybercrime Initiative, l'</w:t>
      </w:r>
      <w:r w:rsidR="00C13C74">
        <w:rPr>
          <w:color w:val="000000"/>
        </w:rPr>
        <w:t>Agence de l'Union européenne chargée de la sécurité des réseaux et de l'information</w:t>
      </w:r>
      <w:r w:rsidR="00C13C74" w:rsidRPr="0097220F">
        <w:t xml:space="preserve"> </w:t>
      </w:r>
      <w:r w:rsidR="00C13C74">
        <w:t>(</w:t>
      </w:r>
      <w:r w:rsidRPr="0097220F">
        <w:t>ENISA</w:t>
      </w:r>
      <w:r w:rsidR="00C13C74">
        <w:t>)</w:t>
      </w:r>
      <w:r w:rsidRPr="0097220F">
        <w:t>, INTERPOL, la</w:t>
      </w:r>
      <w:r w:rsidR="00C13C74" w:rsidRPr="00C13C74">
        <w:rPr>
          <w:color w:val="000000"/>
        </w:rPr>
        <w:t xml:space="preserve"> </w:t>
      </w:r>
      <w:r w:rsidR="00C13C74">
        <w:rPr>
          <w:color w:val="000000"/>
        </w:rPr>
        <w:t>Communauté économique des États de l'Afrique de l'Ouest</w:t>
      </w:r>
      <w:r w:rsidRPr="0097220F">
        <w:t xml:space="preserve"> </w:t>
      </w:r>
      <w:r w:rsidR="00C13C74">
        <w:t>(</w:t>
      </w:r>
      <w:r w:rsidRPr="0097220F">
        <w:t>CEDEAO</w:t>
      </w:r>
      <w:r w:rsidR="00C13C74">
        <w:t>)</w:t>
      </w:r>
      <w:r w:rsidRPr="0097220F">
        <w:t>, la Banque mondiale</w:t>
      </w:r>
      <w:r w:rsidR="00F24244" w:rsidRPr="0097220F">
        <w:t>,</w:t>
      </w:r>
      <w:r w:rsidRPr="0097220F">
        <w:t xml:space="preserve"> le Forum FIRST et les associations régionales d'équipes CSIRT/CERT</w:t>
      </w:r>
      <w:r w:rsidR="007C56D3">
        <w:t>, comme AP CERT, AFRICA CERT et </w:t>
      </w:r>
      <w:r w:rsidRPr="0097220F">
        <w:t xml:space="preserve">OIC CERT. </w:t>
      </w:r>
    </w:p>
    <w:p w14:paraId="4F4ABDA6" w14:textId="391EF879" w:rsidR="003C02D4" w:rsidRPr="0097220F" w:rsidRDefault="003C02D4" w:rsidP="00D259ED">
      <w:pPr>
        <w:rPr>
          <w:rFonts w:asciiTheme="minorHAnsi" w:hAnsiTheme="minorHAnsi"/>
          <w:szCs w:val="24"/>
        </w:rPr>
      </w:pPr>
      <w:r w:rsidRPr="0097220F">
        <w:rPr>
          <w:rFonts w:asciiTheme="minorHAnsi" w:hAnsiTheme="minorHAnsi"/>
          <w:szCs w:val="24"/>
        </w:rPr>
        <w:t>6.2</w:t>
      </w:r>
      <w:r w:rsidRPr="0097220F">
        <w:rPr>
          <w:rFonts w:asciiTheme="minorHAnsi" w:hAnsiTheme="minorHAnsi"/>
          <w:szCs w:val="24"/>
        </w:rPr>
        <w:tab/>
      </w:r>
      <w:r w:rsidR="00622CD9">
        <w:rPr>
          <w:rFonts w:asciiTheme="minorHAnsi" w:hAnsiTheme="minorHAnsi"/>
          <w:szCs w:val="24"/>
        </w:rPr>
        <w:t>L</w:t>
      </w:r>
      <w:r w:rsidR="00C13C74">
        <w:rPr>
          <w:rFonts w:asciiTheme="minorHAnsi" w:hAnsiTheme="minorHAnsi"/>
          <w:szCs w:val="24"/>
        </w:rPr>
        <w:t xml:space="preserve">'UIT fournit actuellement un appui </w:t>
      </w:r>
      <w:r w:rsidR="00622CD9">
        <w:rPr>
          <w:rFonts w:asciiTheme="minorHAnsi" w:hAnsiTheme="minorHAnsi"/>
          <w:szCs w:val="24"/>
        </w:rPr>
        <w:t xml:space="preserve">à la Présidence du G20 en 2020 (Arabie saoudite), à sa demande, </w:t>
      </w:r>
      <w:r w:rsidR="002E2F8C" w:rsidRPr="0097220F">
        <w:rPr>
          <w:rFonts w:asciiTheme="minorHAnsi" w:hAnsiTheme="minorHAnsi"/>
          <w:szCs w:val="24"/>
        </w:rPr>
        <w:t>en tant que partenaire pour le partage des connaissances dans divers volets, notamment le volet prioritaire sur la sécurité dans l'économie numérique, dans le cadre de</w:t>
      </w:r>
      <w:r w:rsidR="00165492">
        <w:rPr>
          <w:rFonts w:asciiTheme="minorHAnsi" w:hAnsiTheme="minorHAnsi"/>
          <w:szCs w:val="24"/>
        </w:rPr>
        <w:t xml:space="preserve"> l'action</w:t>
      </w:r>
      <w:r w:rsidR="002E2F8C" w:rsidRPr="0097220F">
        <w:rPr>
          <w:rFonts w:asciiTheme="minorHAnsi" w:hAnsiTheme="minorHAnsi"/>
          <w:szCs w:val="24"/>
        </w:rPr>
        <w:t xml:space="preserve"> multi-parties prenantes </w:t>
      </w:r>
      <w:r w:rsidR="00165492">
        <w:rPr>
          <w:rFonts w:asciiTheme="minorHAnsi" w:hAnsiTheme="minorHAnsi"/>
          <w:szCs w:val="24"/>
        </w:rPr>
        <w:t>menée par</w:t>
      </w:r>
      <w:r w:rsidR="00165492" w:rsidRPr="0097220F">
        <w:rPr>
          <w:rFonts w:asciiTheme="minorHAnsi" w:hAnsiTheme="minorHAnsi"/>
          <w:szCs w:val="24"/>
        </w:rPr>
        <w:t xml:space="preserve"> </w:t>
      </w:r>
      <w:r w:rsidR="002E2F8C" w:rsidRPr="0097220F">
        <w:rPr>
          <w:rFonts w:asciiTheme="minorHAnsi" w:hAnsiTheme="minorHAnsi"/>
          <w:szCs w:val="24"/>
        </w:rPr>
        <w:t xml:space="preserve">le secrétariat du G20 </w:t>
      </w:r>
      <w:r w:rsidR="00C13C74">
        <w:rPr>
          <w:rFonts w:asciiTheme="minorHAnsi" w:hAnsiTheme="minorHAnsi"/>
          <w:szCs w:val="24"/>
        </w:rPr>
        <w:t>pour</w:t>
      </w:r>
      <w:r w:rsidR="002E2F8C" w:rsidRPr="0097220F">
        <w:rPr>
          <w:rFonts w:asciiTheme="minorHAnsi" w:hAnsiTheme="minorHAnsi"/>
          <w:szCs w:val="24"/>
        </w:rPr>
        <w:t xml:space="preserve"> solliciter la participation des organisation</w:t>
      </w:r>
      <w:r w:rsidR="00C13C74">
        <w:rPr>
          <w:rFonts w:asciiTheme="minorHAnsi" w:hAnsiTheme="minorHAnsi"/>
          <w:szCs w:val="24"/>
        </w:rPr>
        <w:t>s</w:t>
      </w:r>
      <w:r w:rsidR="002E2F8C" w:rsidRPr="0097220F">
        <w:rPr>
          <w:rFonts w:asciiTheme="minorHAnsi" w:hAnsiTheme="minorHAnsi"/>
          <w:szCs w:val="24"/>
        </w:rPr>
        <w:t xml:space="preserve"> internationales compétentes.</w:t>
      </w:r>
    </w:p>
    <w:p w14:paraId="015A780E" w14:textId="4EB53828" w:rsidR="003C02D4" w:rsidRPr="0097220F" w:rsidRDefault="003C02D4" w:rsidP="00D259ED">
      <w:pPr>
        <w:rPr>
          <w:rFonts w:asciiTheme="minorHAnsi" w:hAnsiTheme="minorHAnsi"/>
          <w:szCs w:val="24"/>
        </w:rPr>
      </w:pPr>
      <w:r w:rsidRPr="0097220F">
        <w:rPr>
          <w:rFonts w:asciiTheme="minorHAnsi" w:hAnsiTheme="minorHAnsi"/>
          <w:szCs w:val="24"/>
        </w:rPr>
        <w:t>6.3</w:t>
      </w:r>
      <w:r w:rsidRPr="0097220F">
        <w:rPr>
          <w:rFonts w:asciiTheme="minorHAnsi" w:hAnsiTheme="minorHAnsi"/>
          <w:szCs w:val="24"/>
        </w:rPr>
        <w:tab/>
      </w:r>
      <w:r w:rsidR="002E2F8C" w:rsidRPr="0097220F">
        <w:rPr>
          <w:rFonts w:asciiTheme="minorHAnsi" w:hAnsiTheme="minorHAnsi"/>
          <w:szCs w:val="24"/>
        </w:rPr>
        <w:t xml:space="preserve">En tant que coordonnateur principal pour la grande orientation C5 du SMSI, l'UIT a organisé plusieurs sessions au </w:t>
      </w:r>
      <w:hyperlink r:id="rId53" w:history="1">
        <w:r w:rsidR="002E2F8C" w:rsidRPr="0097220F">
          <w:rPr>
            <w:rStyle w:val="Hyperlink"/>
            <w:rFonts w:asciiTheme="minorHAnsi" w:hAnsiTheme="minorHAnsi"/>
            <w:szCs w:val="24"/>
          </w:rPr>
          <w:t>Forum 2019 du SMSI</w:t>
        </w:r>
      </w:hyperlink>
      <w:r w:rsidR="002E2F8C" w:rsidRPr="0097220F">
        <w:rPr>
          <w:rFonts w:asciiTheme="minorHAnsi" w:hAnsiTheme="minorHAnsi"/>
          <w:szCs w:val="24"/>
        </w:rPr>
        <w:t xml:space="preserve">, en particulier une session de haut niveau sur </w:t>
      </w:r>
      <w:r w:rsidR="00C13C74">
        <w:rPr>
          <w:rFonts w:asciiTheme="minorHAnsi" w:hAnsiTheme="minorHAnsi"/>
          <w:szCs w:val="24"/>
        </w:rPr>
        <w:t>l'intelligence artificielle et la confiance</w:t>
      </w:r>
      <w:r w:rsidR="002E2F8C" w:rsidRPr="0097220F">
        <w:rPr>
          <w:rFonts w:asciiTheme="minorHAnsi" w:hAnsiTheme="minorHAnsi"/>
          <w:szCs w:val="24"/>
        </w:rPr>
        <w:t>, ainsi qu'une session sur l'importance de</w:t>
      </w:r>
      <w:r w:rsidR="00C13C74">
        <w:rPr>
          <w:rFonts w:asciiTheme="minorHAnsi" w:hAnsiTheme="minorHAnsi"/>
          <w:szCs w:val="24"/>
        </w:rPr>
        <w:t>s</w:t>
      </w:r>
      <w:r w:rsidR="002E2F8C" w:rsidRPr="0097220F">
        <w:rPr>
          <w:rFonts w:asciiTheme="minorHAnsi" w:hAnsiTheme="minorHAnsi"/>
          <w:szCs w:val="24"/>
        </w:rPr>
        <w:t xml:space="preserve"> </w:t>
      </w:r>
      <w:r w:rsidR="00C13C74">
        <w:rPr>
          <w:rFonts w:asciiTheme="minorHAnsi" w:hAnsiTheme="minorHAnsi"/>
          <w:szCs w:val="24"/>
        </w:rPr>
        <w:t>mesures</w:t>
      </w:r>
      <w:r w:rsidR="002E2F8C" w:rsidRPr="0097220F">
        <w:rPr>
          <w:rFonts w:asciiTheme="minorHAnsi" w:hAnsiTheme="minorHAnsi"/>
          <w:szCs w:val="24"/>
        </w:rPr>
        <w:t xml:space="preserve"> dans le domaine de la cybersécurité.</w:t>
      </w:r>
    </w:p>
    <w:p w14:paraId="0007B222" w14:textId="19384474" w:rsidR="003C02D4" w:rsidRPr="0097220F" w:rsidRDefault="003C02D4" w:rsidP="00D259ED">
      <w:pPr>
        <w:rPr>
          <w:rFonts w:asciiTheme="minorHAnsi" w:hAnsiTheme="minorHAnsi"/>
          <w:szCs w:val="24"/>
        </w:rPr>
      </w:pPr>
      <w:r w:rsidRPr="0097220F">
        <w:rPr>
          <w:rFonts w:asciiTheme="minorHAnsi" w:hAnsiTheme="minorHAnsi"/>
          <w:szCs w:val="24"/>
        </w:rPr>
        <w:t>6.4</w:t>
      </w:r>
      <w:r w:rsidRPr="0097220F">
        <w:rPr>
          <w:rFonts w:asciiTheme="minorHAnsi" w:hAnsiTheme="minorHAnsi"/>
          <w:szCs w:val="24"/>
        </w:rPr>
        <w:tab/>
      </w:r>
      <w:r w:rsidR="002E2F8C" w:rsidRPr="0097220F">
        <w:rPr>
          <w:rFonts w:asciiTheme="minorHAnsi" w:hAnsiTheme="minorHAnsi"/>
          <w:szCs w:val="24"/>
        </w:rPr>
        <w:t xml:space="preserve">Conformément aux instructions données par le Conseil à sa session de 2019, le Secrétaire général </w:t>
      </w:r>
      <w:r w:rsidR="00165492">
        <w:rPr>
          <w:rFonts w:asciiTheme="minorHAnsi" w:hAnsiTheme="minorHAnsi"/>
          <w:szCs w:val="24"/>
        </w:rPr>
        <w:t>soumet</w:t>
      </w:r>
      <w:r w:rsidR="002E2F8C" w:rsidRPr="0097220F">
        <w:rPr>
          <w:rFonts w:asciiTheme="minorHAnsi" w:hAnsiTheme="minorHAnsi"/>
          <w:szCs w:val="24"/>
        </w:rPr>
        <w:t xml:space="preserve"> à la session de 2020 du Conseil (1) </w:t>
      </w:r>
      <w:r w:rsidR="002E2F8C" w:rsidRPr="0097220F">
        <w:rPr>
          <w:color w:val="000000"/>
        </w:rPr>
        <w:t>un rapport décrivant la façon dont le cadre offert par le Programme mondial cybersécurité (GCA) est actuellement utilisé par l'UIT et (2) des lignes directrices appropriées relatives à l'utilisation du Programme GCA par l'UIT, élaborées avec la participation des États Membres, pour examen et approbation par le Conseil</w:t>
      </w:r>
      <w:r w:rsidRPr="0097220F">
        <w:rPr>
          <w:rFonts w:asciiTheme="minorHAnsi" w:hAnsiTheme="minorHAnsi"/>
          <w:szCs w:val="24"/>
        </w:rPr>
        <w:t>.</w:t>
      </w:r>
    </w:p>
    <w:bookmarkEnd w:id="15"/>
    <w:p w14:paraId="3385A240" w14:textId="77777777" w:rsidR="008C4ED4" w:rsidRPr="0097220F" w:rsidRDefault="008C4ED4" w:rsidP="00D259ED">
      <w:pPr>
        <w:pStyle w:val="Heading1"/>
        <w:rPr>
          <w:rFonts w:eastAsia="SimSun" w:cs="Arial"/>
          <w:bCs/>
          <w:szCs w:val="22"/>
        </w:rPr>
      </w:pPr>
      <w:r w:rsidRPr="0097220F">
        <w:rPr>
          <w:rFonts w:eastAsia="SimSun" w:cs="Arial"/>
          <w:bCs/>
          <w:szCs w:val="22"/>
        </w:rPr>
        <w:t>7</w:t>
      </w:r>
      <w:r w:rsidRPr="0097220F">
        <w:rPr>
          <w:rFonts w:eastAsia="SimSun" w:cs="Arial"/>
          <w:bCs/>
          <w:szCs w:val="22"/>
        </w:rPr>
        <w:tab/>
      </w:r>
      <w:r w:rsidRPr="0097220F">
        <w:t xml:space="preserve">Protection en ligne des enfants (COP) </w:t>
      </w:r>
    </w:p>
    <w:p w14:paraId="28AE42C6" w14:textId="5FB33DE9" w:rsidR="008C4ED4" w:rsidRPr="0097220F" w:rsidRDefault="008C4ED4" w:rsidP="00D259ED">
      <w:pPr>
        <w:rPr>
          <w:rFonts w:asciiTheme="minorHAnsi" w:hAnsiTheme="minorHAnsi"/>
          <w:szCs w:val="24"/>
        </w:rPr>
      </w:pPr>
      <w:r w:rsidRPr="0097220F">
        <w:rPr>
          <w:rFonts w:asciiTheme="minorHAnsi" w:hAnsiTheme="minorHAnsi"/>
          <w:szCs w:val="24"/>
          <w:lang w:val="fr-CH"/>
        </w:rPr>
        <w:t>7.1</w:t>
      </w:r>
      <w:r w:rsidRPr="0097220F">
        <w:rPr>
          <w:rFonts w:asciiTheme="minorHAnsi" w:hAnsiTheme="minorHAnsi"/>
          <w:szCs w:val="24"/>
          <w:lang w:val="fr-CH"/>
        </w:rPr>
        <w:tab/>
      </w:r>
      <w:bookmarkStart w:id="16" w:name="lt_pId201"/>
      <w:r w:rsidR="003C02D4" w:rsidRPr="0097220F">
        <w:rPr>
          <w:rFonts w:asciiTheme="minorHAnsi" w:hAnsiTheme="minorHAnsi"/>
          <w:szCs w:val="24"/>
        </w:rPr>
        <w:t xml:space="preserve">Un groupe de travail multi-parties prenantes composé de plus de 50 organisations et experts a entamé l'examen des </w:t>
      </w:r>
      <w:hyperlink r:id="rId54" w:history="1">
        <w:r w:rsidR="003C02D4" w:rsidRPr="0097220F">
          <w:rPr>
            <w:rStyle w:val="Hyperlink"/>
            <w:rFonts w:asciiTheme="minorHAnsi" w:hAnsiTheme="minorHAnsi"/>
            <w:szCs w:val="24"/>
          </w:rPr>
          <w:t>Lignes directrices sur la protection en ligne des enfants</w:t>
        </w:r>
      </w:hyperlink>
      <w:r w:rsidR="003C02D4" w:rsidRPr="0097220F">
        <w:rPr>
          <w:rFonts w:asciiTheme="minorHAnsi" w:hAnsiTheme="minorHAnsi"/>
          <w:szCs w:val="24"/>
        </w:rPr>
        <w:t>, qui ont été publiées pour la première fois en 2009.</w:t>
      </w:r>
      <w:bookmarkEnd w:id="16"/>
    </w:p>
    <w:p w14:paraId="53A0E252" w14:textId="7C235C97" w:rsidR="008C4ED4" w:rsidRPr="0097220F" w:rsidRDefault="003C02D4" w:rsidP="00D259ED">
      <w:r w:rsidRPr="0097220F">
        <w:t>7.2</w:t>
      </w:r>
      <w:r w:rsidRPr="0097220F">
        <w:tab/>
      </w:r>
      <w:bookmarkStart w:id="17" w:name="lt_pId203"/>
      <w:r w:rsidRPr="0097220F">
        <w:t xml:space="preserve">En Afrique, </w:t>
      </w:r>
      <w:r w:rsidR="00165492">
        <w:t>des discussions ont commencé avec le</w:t>
      </w:r>
      <w:r w:rsidRPr="0097220F">
        <w:t xml:space="preserve"> Kenya, </w:t>
      </w:r>
      <w:r w:rsidR="00165492">
        <w:t>le</w:t>
      </w:r>
      <w:r w:rsidR="00165492" w:rsidRPr="0097220F">
        <w:t xml:space="preserve"> </w:t>
      </w:r>
      <w:r w:rsidRPr="0097220F">
        <w:t xml:space="preserve">Malawi, </w:t>
      </w:r>
      <w:r w:rsidR="00165492">
        <w:t>le</w:t>
      </w:r>
      <w:r w:rsidR="00165492" w:rsidRPr="0097220F">
        <w:t xml:space="preserve"> </w:t>
      </w:r>
      <w:r w:rsidRPr="0097220F">
        <w:t xml:space="preserve">Rwanda et </w:t>
      </w:r>
      <w:r w:rsidR="00165492">
        <w:t>le</w:t>
      </w:r>
      <w:r w:rsidR="00165492" w:rsidRPr="0097220F">
        <w:t xml:space="preserve"> </w:t>
      </w:r>
      <w:r w:rsidRPr="0097220F">
        <w:t>Tchad concernant la mise en œuvre de cadres stratégiques au niveau national.</w:t>
      </w:r>
      <w:bookmarkEnd w:id="17"/>
      <w:r w:rsidRPr="0097220F">
        <w:t xml:space="preserve"> </w:t>
      </w:r>
      <w:bookmarkStart w:id="18" w:name="lt_pId204"/>
      <w:r w:rsidRPr="0097220F">
        <w:t>En particulier, le Forum régional sur la protection en ligne des enfants, organisé au Ghana, a rassemblé un large éventail d'experts en vue d'examiner des solutions et les mesures qui pourraient être prises.</w:t>
      </w:r>
      <w:bookmarkEnd w:id="18"/>
      <w:r w:rsidRPr="0097220F">
        <w:t xml:space="preserve"> </w:t>
      </w:r>
      <w:bookmarkStart w:id="19" w:name="lt_pId205"/>
      <w:r w:rsidRPr="0097220F">
        <w:t xml:space="preserve">Dans la région Asie-Pacifique, une assistance a été fournie pour l'élaboration du cadre régional ASEAN sur la protection en ligne des enfants, </w:t>
      </w:r>
      <w:r w:rsidR="00CC07A2">
        <w:t xml:space="preserve">conformément aux Lignes directrices sur la protection en ligne des enfants et </w:t>
      </w:r>
      <w:r w:rsidRPr="0097220F">
        <w:t>en coordination avec d'autres partenaires, tels que TELSOM/TELMIN.</w:t>
      </w:r>
      <w:bookmarkEnd w:id="19"/>
      <w:r w:rsidRPr="0097220F">
        <w:t xml:space="preserve"> </w:t>
      </w:r>
      <w:bookmarkStart w:id="20" w:name="lt_pId207"/>
      <w:r w:rsidRPr="0097220F">
        <w:t>D'autres activités ont été organisées en Europe, dans le cadre de l'initiative régionale visant à renforcer la confiance dans l'utilisation des TIC.</w:t>
      </w:r>
      <w:bookmarkEnd w:id="20"/>
    </w:p>
    <w:p w14:paraId="679BF602" w14:textId="4107D80E" w:rsidR="003C02D4" w:rsidRPr="0097220F" w:rsidRDefault="003C02D4" w:rsidP="00D259ED">
      <w:r w:rsidRPr="0097220F">
        <w:lastRenderedPageBreak/>
        <w:t>7.3</w:t>
      </w:r>
      <w:r w:rsidRPr="0097220F">
        <w:tab/>
      </w:r>
      <w:r w:rsidR="006C64EC" w:rsidRPr="0097220F">
        <w:t>L'UIT assure le secrétariat de la Commission "Le large bande au service du développement durable".</w:t>
      </w:r>
      <w:r w:rsidR="00A84B7E" w:rsidRPr="0097220F">
        <w:t xml:space="preserve"> Le Groupe de travail sur la sécurité en ligne des enfants, dirigé par la Fondation World Childhood et par Zain, a publié son </w:t>
      </w:r>
      <w:hyperlink r:id="rId55" w:history="1">
        <w:r w:rsidR="00A84B7E" w:rsidRPr="0097220F">
          <w:rPr>
            <w:rStyle w:val="Hyperlink"/>
          </w:rPr>
          <w:t>rapport</w:t>
        </w:r>
      </w:hyperlink>
      <w:r w:rsidR="00A84B7E" w:rsidRPr="0097220F">
        <w:t xml:space="preserve"> exhaustif en octobre 2019 à New York. Les lignes directrices </w:t>
      </w:r>
      <w:r w:rsidR="00CC07A2">
        <w:t>sur</w:t>
      </w:r>
      <w:r w:rsidR="00A84B7E" w:rsidRPr="0097220F">
        <w:t xml:space="preserve"> la protection en ligne des enfants ont été incluses en tant que référence et ont servi de </w:t>
      </w:r>
      <w:r w:rsidR="00165492">
        <w:t>base</w:t>
      </w:r>
      <w:r w:rsidR="00165492" w:rsidRPr="0097220F">
        <w:t xml:space="preserve"> </w:t>
      </w:r>
      <w:r w:rsidR="00A84B7E" w:rsidRPr="0097220F">
        <w:t xml:space="preserve">à la mise en œuvre des recommandations </w:t>
      </w:r>
      <w:r w:rsidR="00165492">
        <w:t>figurant</w:t>
      </w:r>
      <w:r w:rsidR="00165492" w:rsidRPr="0097220F">
        <w:t xml:space="preserve"> </w:t>
      </w:r>
      <w:r w:rsidR="00A84B7E" w:rsidRPr="0097220F">
        <w:t>dans le rapport.</w:t>
      </w:r>
    </w:p>
    <w:p w14:paraId="707BFCD6" w14:textId="59CBAB33" w:rsidR="003C02D4" w:rsidRPr="0097220F" w:rsidRDefault="00A84B7E" w:rsidP="00D259ED">
      <w:r w:rsidRPr="0097220F">
        <w:t>7.4</w:t>
      </w:r>
      <w:r w:rsidRPr="0097220F">
        <w:tab/>
        <w:t>Une étude régionale sur les stratégies nationales en vue d'assurer la sécurité en ligne des adolescents et des enfants a été rédigée pour examen et soumise à la consultation des pays</w:t>
      </w:r>
      <w:r w:rsidR="006C64EC" w:rsidRPr="0097220F">
        <w:t>.</w:t>
      </w:r>
      <w:r w:rsidRPr="0097220F">
        <w:t xml:space="preserve"> </w:t>
      </w:r>
      <w:r w:rsidR="006C64EC" w:rsidRPr="0097220F">
        <w:t xml:space="preserve">En outre, </w:t>
      </w:r>
      <w:r w:rsidRPr="0097220F">
        <w:t xml:space="preserve">une assistance a été fournie à la Géorgie et à l'Ukraine </w:t>
      </w:r>
      <w:r w:rsidR="00165492">
        <w:t>concernant</w:t>
      </w:r>
      <w:r w:rsidR="00165492" w:rsidRPr="0097220F">
        <w:t xml:space="preserve"> </w:t>
      </w:r>
      <w:r w:rsidRPr="0097220F">
        <w:t>l'élaboration d'une stratégie nationale sur la protection en ligne des enfants.</w:t>
      </w:r>
    </w:p>
    <w:p w14:paraId="3E7D4D35" w14:textId="3D7E9E57" w:rsidR="00BF14E8" w:rsidRPr="0097220F" w:rsidRDefault="00BF14E8" w:rsidP="00D259ED">
      <w:r w:rsidRPr="0097220F">
        <w:t>7.5</w:t>
      </w:r>
      <w:r w:rsidRPr="0097220F">
        <w:tab/>
      </w:r>
      <w:r w:rsidR="006C64EC" w:rsidRPr="0097220F">
        <w:t xml:space="preserve">L'UIT a </w:t>
      </w:r>
      <w:r w:rsidR="00CC07A2">
        <w:t xml:space="preserve">organisé diverses activités </w:t>
      </w:r>
      <w:r w:rsidR="00165492">
        <w:t>pour célébrer</w:t>
      </w:r>
      <w:r w:rsidR="00CC07A2">
        <w:t xml:space="preserve"> la Journée 2020 </w:t>
      </w:r>
      <w:r w:rsidR="006C64EC" w:rsidRPr="0097220F">
        <w:t>pour un Internet plus sûr</w:t>
      </w:r>
      <w:r w:rsidR="00165492">
        <w:t>,</w:t>
      </w:r>
      <w:r w:rsidR="006C64EC" w:rsidRPr="0097220F">
        <w:t xml:space="preserve"> </w:t>
      </w:r>
      <w:r w:rsidR="00CC07A2">
        <w:t xml:space="preserve">notamment </w:t>
      </w:r>
      <w:r w:rsidR="00CD0848">
        <w:t>avec</w:t>
      </w:r>
      <w:r w:rsidR="00165492">
        <w:t xml:space="preserve"> la promotion</w:t>
      </w:r>
      <w:r w:rsidR="00CD0848">
        <w:t xml:space="preserve"> de</w:t>
      </w:r>
      <w:r w:rsidR="00CC07A2">
        <w:t xml:space="preserve"> la</w:t>
      </w:r>
      <w:r w:rsidR="006C64EC" w:rsidRPr="0097220F">
        <w:t xml:space="preserve"> protection en ligne des enfants. La nouvelle mascotte de la protection en ligne des enfants a été présentée à </w:t>
      </w:r>
      <w:r w:rsidR="00FA2173">
        <w:t xml:space="preserve">cette </w:t>
      </w:r>
      <w:r w:rsidR="006C64EC" w:rsidRPr="0097220F">
        <w:t xml:space="preserve">occasion. </w:t>
      </w:r>
      <w:hyperlink r:id="rId56" w:history="1">
        <w:r w:rsidR="00165492" w:rsidRPr="008F52F9">
          <w:rPr>
            <w:rStyle w:val="Hyperlink"/>
            <w:color w:val="auto"/>
            <w:u w:val="none"/>
          </w:rPr>
          <w:t xml:space="preserve">Le </w:t>
        </w:r>
        <w:r w:rsidR="00165492">
          <w:rPr>
            <w:rStyle w:val="Hyperlink"/>
          </w:rPr>
          <w:t>personnage et</w:t>
        </w:r>
        <w:r w:rsidR="00574AF4" w:rsidRPr="0097220F">
          <w:rPr>
            <w:rStyle w:val="Hyperlink"/>
          </w:rPr>
          <w:t xml:space="preserve"> son histoire</w:t>
        </w:r>
      </w:hyperlink>
      <w:r w:rsidR="00165492">
        <w:t xml:space="preserve"> ont été imaginés et créés par des enfants début janvier 2020.</w:t>
      </w:r>
    </w:p>
    <w:p w14:paraId="48D729CC" w14:textId="77777777" w:rsidR="00BF14E8" w:rsidRPr="0097220F" w:rsidRDefault="00BF14E8" w:rsidP="00D259ED">
      <w:pPr>
        <w:pStyle w:val="Reasons"/>
      </w:pPr>
    </w:p>
    <w:p w14:paraId="016B4E54" w14:textId="77777777" w:rsidR="00BF14E8" w:rsidRDefault="00BF14E8" w:rsidP="00D259ED">
      <w:pPr>
        <w:jc w:val="center"/>
      </w:pPr>
      <w:r w:rsidRPr="0097220F">
        <w:t>______________</w:t>
      </w:r>
    </w:p>
    <w:sectPr w:rsidR="00BF14E8" w:rsidSect="005C3890">
      <w:headerReference w:type="even" r:id="rId57"/>
      <w:headerReference w:type="default" r:id="rId58"/>
      <w:footerReference w:type="even" r:id="rId59"/>
      <w:footerReference w:type="default" r:id="rId60"/>
      <w:headerReference w:type="first" r:id="rId61"/>
      <w:footerReference w:type="first" r:id="rId6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51835" w14:textId="77777777" w:rsidR="00C62A20" w:rsidRDefault="00C62A20">
      <w:r>
        <w:separator/>
      </w:r>
    </w:p>
  </w:endnote>
  <w:endnote w:type="continuationSeparator" w:id="0">
    <w:p w14:paraId="0C133442" w14:textId="77777777" w:rsidR="00C62A20" w:rsidRDefault="00C6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32149" w14:textId="50FEBA15" w:rsidR="00732045" w:rsidRPr="00D259ED" w:rsidRDefault="00D259ED">
    <w:pPr>
      <w:pStyle w:val="Footer"/>
      <w:rPr>
        <w:lang w:val="en-US"/>
      </w:rPr>
    </w:pPr>
    <w:r>
      <w:fldChar w:fldCharType="begin"/>
    </w:r>
    <w:r w:rsidRPr="00D259ED">
      <w:rPr>
        <w:lang w:val="en-US"/>
      </w:rPr>
      <w:instrText xml:space="preserve"> FILENAME \p \* MERGEFORMAT </w:instrText>
    </w:r>
    <w:r>
      <w:fldChar w:fldCharType="separate"/>
    </w:r>
    <w:r w:rsidR="006B7503" w:rsidRPr="00D259ED">
      <w:rPr>
        <w:lang w:val="en-US"/>
      </w:rPr>
      <w:t>P:\TRAD\F\LING\Dawonauth\SG\467324F.docx</w:t>
    </w:r>
    <w:r>
      <w:fldChar w:fldCharType="end"/>
    </w:r>
    <w:r w:rsidR="00732045" w:rsidRPr="00D259ED">
      <w:rPr>
        <w:lang w:val="en-US"/>
      </w:rPr>
      <w:tab/>
    </w:r>
    <w:r w:rsidR="002F1B76">
      <w:fldChar w:fldCharType="begin"/>
    </w:r>
    <w:r w:rsidR="00732045">
      <w:instrText xml:space="preserve"> savedate \@ dd.MM.yy </w:instrText>
    </w:r>
    <w:r w:rsidR="002F1B76">
      <w:fldChar w:fldCharType="separate"/>
    </w:r>
    <w:r w:rsidR="00193A23">
      <w:t>09.04.20</w:t>
    </w:r>
    <w:r w:rsidR="002F1B76">
      <w:fldChar w:fldCharType="end"/>
    </w:r>
    <w:r w:rsidR="00732045" w:rsidRPr="00D259ED">
      <w:rPr>
        <w:lang w:val="en-US"/>
      </w:rPr>
      <w:tab/>
    </w:r>
    <w:r w:rsidR="002F1B76">
      <w:fldChar w:fldCharType="begin"/>
    </w:r>
    <w:r w:rsidR="00732045">
      <w:instrText xml:space="preserve"> printdate \@ dd.MM.yy </w:instrText>
    </w:r>
    <w:r w:rsidR="002F1B76">
      <w:fldChar w:fldCharType="separate"/>
    </w:r>
    <w:r w:rsidR="006B7503">
      <w:t>07.04.20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A9329" w14:textId="502FC1E4" w:rsidR="00732045" w:rsidRPr="00193A23" w:rsidRDefault="00732045" w:rsidP="00193A23">
    <w:pPr>
      <w:pStyle w:val="Footer"/>
    </w:pPr>
    <w:bookmarkStart w:id="21" w:name="_GoBack"/>
    <w:bookmarkEnd w:id="2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95BEA"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D2990" w14:textId="77777777" w:rsidR="00C62A20" w:rsidRDefault="00C62A20">
      <w:r>
        <w:t>____________________</w:t>
      </w:r>
    </w:p>
  </w:footnote>
  <w:footnote w:type="continuationSeparator" w:id="0">
    <w:p w14:paraId="41B4B7F4" w14:textId="77777777" w:rsidR="00C62A20" w:rsidRDefault="00C62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69663"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843C91"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F1614" w14:textId="1D6A55A0" w:rsidR="00732045" w:rsidRDefault="00C27A7C" w:rsidP="00475FB3">
    <w:pPr>
      <w:pStyle w:val="Header"/>
    </w:pPr>
    <w:r>
      <w:fldChar w:fldCharType="begin"/>
    </w:r>
    <w:r>
      <w:instrText>PAGE</w:instrText>
    </w:r>
    <w:r>
      <w:fldChar w:fldCharType="separate"/>
    </w:r>
    <w:r w:rsidR="008F52F9">
      <w:rPr>
        <w:noProof/>
      </w:rPr>
      <w:t>7</w:t>
    </w:r>
    <w:r>
      <w:rPr>
        <w:noProof/>
      </w:rPr>
      <w:fldChar w:fldCharType="end"/>
    </w:r>
  </w:p>
  <w:p w14:paraId="4F0EC891" w14:textId="33237697" w:rsidR="00732045" w:rsidRDefault="00732045" w:rsidP="00106B19">
    <w:pPr>
      <w:pStyle w:val="Header"/>
    </w:pPr>
    <w:r>
      <w:t>C</w:t>
    </w:r>
    <w:r w:rsidR="009C353C">
      <w:t>20</w:t>
    </w:r>
    <w:r>
      <w:t>/</w:t>
    </w:r>
    <w:r w:rsidR="008C4ED4">
      <w:t>18</w:t>
    </w:r>
    <w:r>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BEFEB" w14:textId="77777777" w:rsidR="00193A23" w:rsidRDefault="00193A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051"/>
    <w:rsid w:val="00020EAB"/>
    <w:rsid w:val="000327B5"/>
    <w:rsid w:val="000B36FC"/>
    <w:rsid w:val="000D0D0A"/>
    <w:rsid w:val="000E7DEB"/>
    <w:rsid w:val="00103163"/>
    <w:rsid w:val="00106B19"/>
    <w:rsid w:val="00115D93"/>
    <w:rsid w:val="001247A8"/>
    <w:rsid w:val="001350C3"/>
    <w:rsid w:val="001378C0"/>
    <w:rsid w:val="00165492"/>
    <w:rsid w:val="0018694A"/>
    <w:rsid w:val="00193A23"/>
    <w:rsid w:val="001A3287"/>
    <w:rsid w:val="001A6508"/>
    <w:rsid w:val="001D4C31"/>
    <w:rsid w:val="001E4D21"/>
    <w:rsid w:val="00207CD1"/>
    <w:rsid w:val="002146CF"/>
    <w:rsid w:val="002477A2"/>
    <w:rsid w:val="00263A51"/>
    <w:rsid w:val="00267E02"/>
    <w:rsid w:val="002A5D44"/>
    <w:rsid w:val="002C1A9C"/>
    <w:rsid w:val="002E0BC4"/>
    <w:rsid w:val="002E2F8C"/>
    <w:rsid w:val="002F1B76"/>
    <w:rsid w:val="003141CA"/>
    <w:rsid w:val="00331051"/>
    <w:rsid w:val="0033568E"/>
    <w:rsid w:val="00355FF5"/>
    <w:rsid w:val="00361350"/>
    <w:rsid w:val="00380183"/>
    <w:rsid w:val="003C02D4"/>
    <w:rsid w:val="003C3FAE"/>
    <w:rsid w:val="003E1705"/>
    <w:rsid w:val="004038CB"/>
    <w:rsid w:val="0040546F"/>
    <w:rsid w:val="0042404A"/>
    <w:rsid w:val="0044618F"/>
    <w:rsid w:val="004479A6"/>
    <w:rsid w:val="0046769A"/>
    <w:rsid w:val="00475FB3"/>
    <w:rsid w:val="004C37A9"/>
    <w:rsid w:val="004E673E"/>
    <w:rsid w:val="004F259E"/>
    <w:rsid w:val="00511F1D"/>
    <w:rsid w:val="00520F36"/>
    <w:rsid w:val="00540615"/>
    <w:rsid w:val="00540A6D"/>
    <w:rsid w:val="00571EEA"/>
    <w:rsid w:val="00574AF4"/>
    <w:rsid w:val="00575417"/>
    <w:rsid w:val="005768E1"/>
    <w:rsid w:val="005B1938"/>
    <w:rsid w:val="005C3890"/>
    <w:rsid w:val="005F7BFE"/>
    <w:rsid w:val="00600017"/>
    <w:rsid w:val="00622CD9"/>
    <w:rsid w:val="006235CA"/>
    <w:rsid w:val="0064052E"/>
    <w:rsid w:val="006643AB"/>
    <w:rsid w:val="006B7503"/>
    <w:rsid w:val="006C64EC"/>
    <w:rsid w:val="00704B2D"/>
    <w:rsid w:val="00710D2B"/>
    <w:rsid w:val="007210CD"/>
    <w:rsid w:val="00732045"/>
    <w:rsid w:val="007369DB"/>
    <w:rsid w:val="007946BC"/>
    <w:rsid w:val="007956C2"/>
    <w:rsid w:val="007A187E"/>
    <w:rsid w:val="007C56D3"/>
    <w:rsid w:val="007C72C2"/>
    <w:rsid w:val="007D4436"/>
    <w:rsid w:val="007D4BBC"/>
    <w:rsid w:val="007E5F4F"/>
    <w:rsid w:val="007F257A"/>
    <w:rsid w:val="007F3665"/>
    <w:rsid w:val="00800037"/>
    <w:rsid w:val="0082646E"/>
    <w:rsid w:val="00861D73"/>
    <w:rsid w:val="008A4E87"/>
    <w:rsid w:val="008C4ED4"/>
    <w:rsid w:val="008D76E6"/>
    <w:rsid w:val="008F52F9"/>
    <w:rsid w:val="0092392D"/>
    <w:rsid w:val="0093234A"/>
    <w:rsid w:val="00944185"/>
    <w:rsid w:val="0097220F"/>
    <w:rsid w:val="009A270D"/>
    <w:rsid w:val="009A2EAE"/>
    <w:rsid w:val="009C307F"/>
    <w:rsid w:val="009C353C"/>
    <w:rsid w:val="009D6B65"/>
    <w:rsid w:val="009E4D41"/>
    <w:rsid w:val="00A2113E"/>
    <w:rsid w:val="00A23A51"/>
    <w:rsid w:val="00A24607"/>
    <w:rsid w:val="00A25CD3"/>
    <w:rsid w:val="00A4685B"/>
    <w:rsid w:val="00A82767"/>
    <w:rsid w:val="00A84B7E"/>
    <w:rsid w:val="00AA1583"/>
    <w:rsid w:val="00AA332F"/>
    <w:rsid w:val="00AA7BBB"/>
    <w:rsid w:val="00AB64A8"/>
    <w:rsid w:val="00AC0266"/>
    <w:rsid w:val="00AC48CA"/>
    <w:rsid w:val="00AD24EC"/>
    <w:rsid w:val="00AF7407"/>
    <w:rsid w:val="00B21B63"/>
    <w:rsid w:val="00B309F9"/>
    <w:rsid w:val="00B32B60"/>
    <w:rsid w:val="00B6051A"/>
    <w:rsid w:val="00B61619"/>
    <w:rsid w:val="00BB4545"/>
    <w:rsid w:val="00BB45C1"/>
    <w:rsid w:val="00BD5873"/>
    <w:rsid w:val="00BF14E8"/>
    <w:rsid w:val="00BF6726"/>
    <w:rsid w:val="00C04BE3"/>
    <w:rsid w:val="00C13C74"/>
    <w:rsid w:val="00C25D29"/>
    <w:rsid w:val="00C27A7C"/>
    <w:rsid w:val="00C62A20"/>
    <w:rsid w:val="00CA08ED"/>
    <w:rsid w:val="00CC07A2"/>
    <w:rsid w:val="00CD0848"/>
    <w:rsid w:val="00CE6AC4"/>
    <w:rsid w:val="00CF183B"/>
    <w:rsid w:val="00D03F93"/>
    <w:rsid w:val="00D1044E"/>
    <w:rsid w:val="00D259ED"/>
    <w:rsid w:val="00D3182B"/>
    <w:rsid w:val="00D375CD"/>
    <w:rsid w:val="00D4742D"/>
    <w:rsid w:val="00D553A2"/>
    <w:rsid w:val="00D65CB0"/>
    <w:rsid w:val="00D774D3"/>
    <w:rsid w:val="00D904E8"/>
    <w:rsid w:val="00DA08C3"/>
    <w:rsid w:val="00DB5A3E"/>
    <w:rsid w:val="00DC22AA"/>
    <w:rsid w:val="00DE2889"/>
    <w:rsid w:val="00DF74DD"/>
    <w:rsid w:val="00E25AD0"/>
    <w:rsid w:val="00E72285"/>
    <w:rsid w:val="00EA2DF6"/>
    <w:rsid w:val="00EA5F37"/>
    <w:rsid w:val="00EB6350"/>
    <w:rsid w:val="00F15B57"/>
    <w:rsid w:val="00F24244"/>
    <w:rsid w:val="00F427DB"/>
    <w:rsid w:val="00FA2173"/>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29BBC1D"/>
  <w15:docId w15:val="{19525453-C7E5-44FC-8318-ACB8E69AE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8C4ED4"/>
    <w:rPr>
      <w:color w:val="605E5C"/>
      <w:shd w:val="clear" w:color="auto" w:fill="E1DFDD"/>
    </w:rPr>
  </w:style>
  <w:style w:type="paragraph" w:styleId="BalloonText">
    <w:name w:val="Balloon Text"/>
    <w:basedOn w:val="Normal"/>
    <w:link w:val="BalloonTextChar"/>
    <w:semiHidden/>
    <w:unhideWhenUsed/>
    <w:rsid w:val="007D4BB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D4BBC"/>
    <w:rPr>
      <w:rFonts w:ascii="Segoe UI" w:hAnsi="Segoe UI" w:cs="Segoe UI"/>
      <w:sz w:val="18"/>
      <w:szCs w:val="18"/>
      <w:lang w:val="fr-FR" w:eastAsia="en-US"/>
    </w:rPr>
  </w:style>
  <w:style w:type="paragraph" w:styleId="Revision">
    <w:name w:val="Revision"/>
    <w:hidden/>
    <w:uiPriority w:val="99"/>
    <w:semiHidden/>
    <w:rsid w:val="00D259ED"/>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215368">
      <w:bodyDiv w:val="1"/>
      <w:marLeft w:val="0"/>
      <w:marRight w:val="0"/>
      <w:marTop w:val="0"/>
      <w:marBottom w:val="0"/>
      <w:divBdr>
        <w:top w:val="none" w:sz="0" w:space="0" w:color="auto"/>
        <w:left w:val="none" w:sz="0" w:space="0" w:color="auto"/>
        <w:bottom w:val="none" w:sz="0" w:space="0" w:color="auto"/>
        <w:right w:val="none" w:sz="0" w:space="0" w:color="auto"/>
      </w:divBdr>
    </w:div>
    <w:div w:id="969433732">
      <w:bodyDiv w:val="1"/>
      <w:marLeft w:val="0"/>
      <w:marRight w:val="0"/>
      <w:marTop w:val="0"/>
      <w:marBottom w:val="0"/>
      <w:divBdr>
        <w:top w:val="none" w:sz="0" w:space="0" w:color="auto"/>
        <w:left w:val="none" w:sz="0" w:space="0" w:color="auto"/>
        <w:bottom w:val="none" w:sz="0" w:space="0" w:color="auto"/>
        <w:right w:val="none" w:sz="0" w:space="0" w:color="auto"/>
      </w:divBdr>
    </w:div>
    <w:div w:id="1780251115">
      <w:bodyDiv w:val="1"/>
      <w:marLeft w:val="0"/>
      <w:marRight w:val="0"/>
      <w:marTop w:val="0"/>
      <w:marBottom w:val="0"/>
      <w:divBdr>
        <w:top w:val="none" w:sz="0" w:space="0" w:color="auto"/>
        <w:left w:val="none" w:sz="0" w:space="0" w:color="auto"/>
        <w:bottom w:val="none" w:sz="0" w:space="0" w:color="auto"/>
        <w:right w:val="none" w:sz="0" w:space="0" w:color="auto"/>
      </w:divBdr>
      <w:divsChild>
        <w:div w:id="683943044">
          <w:marLeft w:val="75"/>
          <w:marRight w:val="75"/>
          <w:marTop w:val="0"/>
          <w:marBottom w:val="75"/>
          <w:divBdr>
            <w:top w:val="none" w:sz="0" w:space="0" w:color="auto"/>
            <w:left w:val="none" w:sz="0" w:space="0" w:color="auto"/>
            <w:bottom w:val="none" w:sz="0" w:space="0" w:color="auto"/>
            <w:right w:val="none" w:sz="0" w:space="0" w:color="auto"/>
          </w:divBdr>
          <w:divsChild>
            <w:div w:id="21212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2019/Documents/basic-texts/RES-181-F.pdf" TargetMode="External"/><Relationship Id="rId18" Type="http://schemas.openxmlformats.org/officeDocument/2006/relationships/hyperlink" Target="https://www.itu.int/md/D14-WTDC17-C-0115/en" TargetMode="External"/><Relationship Id="rId26" Type="http://schemas.openxmlformats.org/officeDocument/2006/relationships/hyperlink" Target="https://www.itu.int/md/S17-CL-C-0018/en" TargetMode="External"/><Relationship Id="rId39" Type="http://schemas.openxmlformats.org/officeDocument/2006/relationships/hyperlink" Target="https://www.itu.int/en/ITU-T/focusgroups/vm/Pages/default.aspx" TargetMode="External"/><Relationship Id="rId21" Type="http://schemas.openxmlformats.org/officeDocument/2006/relationships/hyperlink" Target="https://www.itu.int/pub/T-RES-T.52-2016" TargetMode="External"/><Relationship Id="rId34" Type="http://schemas.openxmlformats.org/officeDocument/2006/relationships/hyperlink" Target="https://www.itu.int/en/ITU-T/studygroups/2017-2020/17/Pages/mini-workshop_ITS.aspx" TargetMode="External"/><Relationship Id="rId42" Type="http://schemas.openxmlformats.org/officeDocument/2006/relationships/hyperlink" Target="https://www.itu.int/en/ITU-T/Workshops-and-Seminars/201912/Pages/default.aspx" TargetMode="External"/><Relationship Id="rId47" Type="http://schemas.openxmlformats.org/officeDocument/2006/relationships/hyperlink" Target="https://www.itu.int/en/ITU-D/Cybersecurity/Pages/ASP-CIS-Cyberdrill-2019.aspx" TargetMode="External"/><Relationship Id="rId50" Type="http://schemas.openxmlformats.org/officeDocument/2006/relationships/hyperlink" Target="https://www.itu.int/en/ITU-D/Regional-Presence/AsiaPacific/Pages/Events/2018/CybersecurityASPCOE/cybersecurity.aspx" TargetMode="External"/><Relationship Id="rId55" Type="http://schemas.openxmlformats.org/officeDocument/2006/relationships/hyperlink" Target="https://www.broadbandcommission.org/Documents/working-groups/ChildOnlineSafety_Declaration.pdf" TargetMode="External"/><Relationship Id="rId63"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itu.int/en/ITU-D/Cybersecurity/Documents/45revDubai.pdf" TargetMode="External"/><Relationship Id="rId29" Type="http://schemas.openxmlformats.org/officeDocument/2006/relationships/hyperlink" Target="http://www.itu.int/en/action/cybersecurity/Pages/gca.aspx" TargetMode="External"/><Relationship Id="rId11" Type="http://schemas.openxmlformats.org/officeDocument/2006/relationships/hyperlink" Target="https://www.itu.int/en/council/2019/Documents/basic-texts/RES-174-F.pdf" TargetMode="External"/><Relationship Id="rId24" Type="http://schemas.openxmlformats.org/officeDocument/2006/relationships/hyperlink" Target="http://www.itu.int/md/S15-CL-C-0018/en" TargetMode="External"/><Relationship Id="rId32" Type="http://schemas.openxmlformats.org/officeDocument/2006/relationships/hyperlink" Target="https://www.itu.int/itu-t/workprog/wp_search.aspx?sg=17" TargetMode="External"/><Relationship Id="rId37" Type="http://schemas.openxmlformats.org/officeDocument/2006/relationships/hyperlink" Target="https://www.itu.int/en/ITU-T/focusgroups/net2030/Pages/default.aspx" TargetMode="External"/><Relationship Id="rId40" Type="http://schemas.openxmlformats.org/officeDocument/2006/relationships/hyperlink" Target="https://www.itu.int/en/ITU-T/focusgroups/ai4ad/Pages/default.aspx" TargetMode="External"/><Relationship Id="rId45" Type="http://schemas.openxmlformats.org/officeDocument/2006/relationships/hyperlink" Target="https://www.itu.int/en/ITU-D/Cybersecurity/Pages/Africa-Cyberdrill-2019.aspx" TargetMode="External"/><Relationship Id="rId53" Type="http://schemas.openxmlformats.org/officeDocument/2006/relationships/hyperlink" Target="https://www.itu.int/net4/wsis/forum/2019/" TargetMode="External"/><Relationship Id="rId58"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eader" Target="header3.xml"/><Relationship Id="rId19" Type="http://schemas.openxmlformats.org/officeDocument/2006/relationships/hyperlink" Target="http://www.itu.int/osg/csd/intgov/resoultions_2010/programme2.pdf" TargetMode="External"/><Relationship Id="rId14" Type="http://schemas.openxmlformats.org/officeDocument/2006/relationships/hyperlink" Target="https://www.itu.int/pub/S-CONF-WCIT-2012/fr" TargetMode="External"/><Relationship Id="rId22" Type="http://schemas.openxmlformats.org/officeDocument/2006/relationships/hyperlink" Target="https://www.itu.int/pub/T-RES-T.75-2016" TargetMode="External"/><Relationship Id="rId27" Type="http://schemas.openxmlformats.org/officeDocument/2006/relationships/hyperlink" Target="https://www.itu.int/md/S18-CL-C-0018/en" TargetMode="External"/><Relationship Id="rId30" Type="http://schemas.openxmlformats.org/officeDocument/2006/relationships/hyperlink" Target="http://www.itu.int/en/ITU-D/Cybersecurity/Pages/Legal-Measures.aspx" TargetMode="External"/><Relationship Id="rId35" Type="http://schemas.openxmlformats.org/officeDocument/2006/relationships/hyperlink" Target="https://www.itu.int/en/ITU-T/Workshops-and-Seminars/20200316/Pages/default.aspx" TargetMode="External"/><Relationship Id="rId43" Type="http://schemas.openxmlformats.org/officeDocument/2006/relationships/hyperlink" Target="https://www.itu.int/net4/ITU-D/CDS/projects/display.asp?ProjectNo=9RAS18061" TargetMode="External"/><Relationship Id="rId48" Type="http://schemas.openxmlformats.org/officeDocument/2006/relationships/hyperlink" Target="http://www.itu.int/en/ITU-D/Cybersecurity/Pages/Events.aspx" TargetMode="External"/><Relationship Id="rId56" Type="http://schemas.openxmlformats.org/officeDocument/2006/relationships/hyperlink" Target="https://www.itu.int/en/ITU-D/Cybersecurity/Pages/COP.aspx" TargetMode="External"/><Relationship Id="rId64" Type="http://schemas.openxmlformats.org/officeDocument/2006/relationships/theme" Target="theme/theme1.xml"/><Relationship Id="rId8" Type="http://schemas.openxmlformats.org/officeDocument/2006/relationships/hyperlink" Target="https://www.itu.int/en/council/2019/Documents/basic-texts/RES-071-F.pdf" TargetMode="External"/><Relationship Id="rId51" Type="http://schemas.openxmlformats.org/officeDocument/2006/relationships/hyperlink" Target="https://www.itu.int/en/ITU-D/Cybersecurity/Pages/global-cybersecurity-index.aspx" TargetMode="External"/><Relationship Id="rId3" Type="http://schemas.openxmlformats.org/officeDocument/2006/relationships/settings" Target="settings.xml"/><Relationship Id="rId12" Type="http://schemas.openxmlformats.org/officeDocument/2006/relationships/hyperlink" Target="https://www.itu.int/en/council/2019/Documents/basic-texts/RES-179-F.pdf" TargetMode="External"/><Relationship Id="rId17" Type="http://schemas.openxmlformats.org/officeDocument/2006/relationships/hyperlink" Target="https://www.itu.int/md/D14-WTDC17-C-0115/en" TargetMode="External"/><Relationship Id="rId25" Type="http://schemas.openxmlformats.org/officeDocument/2006/relationships/hyperlink" Target="https://www.itu.int/md/S16-CL-C-0018/en" TargetMode="External"/><Relationship Id="rId33" Type="http://schemas.openxmlformats.org/officeDocument/2006/relationships/hyperlink" Target="https://www.itu.int/en/ITU-T/Workshops-and-Seminars/20190826/Pages/default.aspx" TargetMode="External"/><Relationship Id="rId38" Type="http://schemas.openxmlformats.org/officeDocument/2006/relationships/hyperlink" Target="https://www.itu.int/en/ITU-T/focusgroups/ai4h" TargetMode="External"/><Relationship Id="rId46" Type="http://schemas.openxmlformats.org/officeDocument/2006/relationships/hyperlink" Target="https://www.itu.int/en/ITU-D/Regional-Presence/ArabStates/Pages/Events/2018/Cyber/Cyber.aspx" TargetMode="External"/><Relationship Id="rId59" Type="http://schemas.openxmlformats.org/officeDocument/2006/relationships/footer" Target="footer1.xml"/><Relationship Id="rId20" Type="http://schemas.openxmlformats.org/officeDocument/2006/relationships/hyperlink" Target="https://www.itu.int/pub/T-RES-T.50-2016" TargetMode="External"/><Relationship Id="rId41" Type="http://schemas.openxmlformats.org/officeDocument/2006/relationships/hyperlink" Target="https://www.itu.int/en/ITU-T/focusgroups/qit4n/Pages/default.aspx" TargetMode="External"/><Relationship Id="rId54" Type="http://schemas.openxmlformats.org/officeDocument/2006/relationships/hyperlink" Target="https://www.itu.int/en/cop/Pages/guidelines.aspx"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itu.int/md/S15-CL-C-0109/en" TargetMode="External"/><Relationship Id="rId23" Type="http://schemas.openxmlformats.org/officeDocument/2006/relationships/hyperlink" Target="https://www.itu.int/pub/T-RES-T.58-2016" TargetMode="External"/><Relationship Id="rId28" Type="http://schemas.openxmlformats.org/officeDocument/2006/relationships/hyperlink" Target="https://www.itu.int/md/S19-CL-C-0018/en" TargetMode="External"/><Relationship Id="rId36" Type="http://schemas.openxmlformats.org/officeDocument/2006/relationships/hyperlink" Target="https://www.itu.int/en/ITU-T/focusgroups/ml5g/Pages/default.aspx" TargetMode="External"/><Relationship Id="rId49" Type="http://schemas.openxmlformats.org/officeDocument/2006/relationships/hyperlink" Target="https://www.itu.int/net4/ITU-D/CDS/sg/rgqlist.asp?lg=2&amp;sp=2014&amp;rgq=D14-SG02-RGQ03.2&amp;stg=2" TargetMode="External"/><Relationship Id="rId57" Type="http://schemas.openxmlformats.org/officeDocument/2006/relationships/header" Target="header1.xml"/><Relationship Id="rId10" Type="http://schemas.openxmlformats.org/officeDocument/2006/relationships/hyperlink" Target="https://www.itu.int/en/council/2019/Documents/basic-texts/RES-140-F.pdf" TargetMode="External"/><Relationship Id="rId31" Type="http://schemas.openxmlformats.org/officeDocument/2006/relationships/hyperlink" Target="http://www.itu.int/ITU-T/studygroups/com17/" TargetMode="External"/><Relationship Id="rId44" Type="http://schemas.openxmlformats.org/officeDocument/2006/relationships/hyperlink" Target="https://www.itu.int/en/ITU-D/Cybersecurity/Pages/cyberdrills.aspx" TargetMode="External"/><Relationship Id="rId52" Type="http://schemas.openxmlformats.org/officeDocument/2006/relationships/hyperlink" Target="http://www.itu.int/en/ITU-D/Cybersecurity/Pages/partnership.aspx" TargetMode="External"/><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en/council/2019/Documents/basic-texts/RES-130-F.pdf"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80FC2-EFC9-4282-B995-E9A4F3D20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PF_C20</Template>
  <TotalTime>0</TotalTime>
  <Pages>7</Pages>
  <Words>3144</Words>
  <Characters>21234</Characters>
  <Application>Microsoft Office Word</Application>
  <DocSecurity>4</DocSecurity>
  <Lines>176</Lines>
  <Paragraphs>48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24330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French</dc:creator>
  <cp:keywords>C2020, C20</cp:keywords>
  <dc:description/>
  <cp:lastModifiedBy>Janin, Patricia</cp:lastModifiedBy>
  <cp:revision>2</cp:revision>
  <cp:lastPrinted>2020-04-07T11:09:00Z</cp:lastPrinted>
  <dcterms:created xsi:type="dcterms:W3CDTF">2020-04-09T07:07:00Z</dcterms:created>
  <dcterms:modified xsi:type="dcterms:W3CDTF">2020-04-09T07:07:00Z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