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37AB599" w14:textId="77777777" w:rsidTr="00073075">
        <w:trPr>
          <w:cantSplit/>
        </w:trPr>
        <w:tc>
          <w:tcPr>
            <w:tcW w:w="6911" w:type="dxa"/>
          </w:tcPr>
          <w:p w14:paraId="5D32AEB8" w14:textId="335C5F4B"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 xml:space="preserve">Council </w:t>
            </w:r>
            <w:r w:rsidR="003A6768">
              <w:rPr>
                <w:b/>
                <w:bCs/>
                <w:position w:val="6"/>
                <w:sz w:val="30"/>
                <w:szCs w:val="30"/>
                <w:lang w:val="fr-CH"/>
              </w:rPr>
              <w:t>2020</w:t>
            </w:r>
            <w:r w:rsidRPr="00E85629">
              <w:rPr>
                <w:rFonts w:cs="Times"/>
                <w:b/>
                <w:position w:val="6"/>
                <w:sz w:val="26"/>
                <w:szCs w:val="26"/>
                <w:lang w:val="en-US"/>
              </w:rPr>
              <w:br/>
            </w:r>
            <w:r w:rsidRPr="00E85629">
              <w:rPr>
                <w:b/>
                <w:bCs/>
                <w:position w:val="6"/>
                <w:szCs w:val="24"/>
                <w:lang w:val="fr-CH"/>
              </w:rPr>
              <w:t xml:space="preserve">Geneva, </w:t>
            </w:r>
            <w:r w:rsidR="003A6768">
              <w:rPr>
                <w:b/>
                <w:bCs/>
                <w:position w:val="6"/>
                <w:szCs w:val="24"/>
                <w:lang w:val="fr-CH"/>
              </w:rPr>
              <w:t>9</w:t>
            </w:r>
            <w:r w:rsidR="00FA4575">
              <w:rPr>
                <w:b/>
                <w:bCs/>
                <w:position w:val="6"/>
                <w:szCs w:val="24"/>
                <w:lang w:val="fr-CH"/>
              </w:rPr>
              <w:t>-</w:t>
            </w:r>
            <w:r w:rsidR="003A6768">
              <w:rPr>
                <w:b/>
                <w:bCs/>
                <w:position w:val="6"/>
                <w:szCs w:val="24"/>
                <w:lang w:val="fr-CH"/>
              </w:rPr>
              <w:t>19</w:t>
            </w:r>
            <w:r w:rsidR="00FA4575">
              <w:rPr>
                <w:b/>
                <w:bCs/>
                <w:position w:val="6"/>
                <w:szCs w:val="24"/>
                <w:lang w:val="fr-CH"/>
              </w:rPr>
              <w:t xml:space="preserve"> June 20</w:t>
            </w:r>
            <w:r w:rsidR="003A6768">
              <w:rPr>
                <w:b/>
                <w:bCs/>
                <w:position w:val="6"/>
                <w:szCs w:val="24"/>
                <w:lang w:val="fr-CH"/>
              </w:rPr>
              <w:t>20</w:t>
            </w:r>
          </w:p>
        </w:tc>
        <w:tc>
          <w:tcPr>
            <w:tcW w:w="3120" w:type="dxa"/>
          </w:tcPr>
          <w:p w14:paraId="7C65ABBF" w14:textId="4694BAF2" w:rsidR="002A2188" w:rsidRPr="00813E5E" w:rsidRDefault="00285E88" w:rsidP="00285E88">
            <w:pPr>
              <w:spacing w:before="0" w:line="240" w:lineRule="atLeast"/>
            </w:pPr>
            <w:bookmarkStart w:id="1" w:name="ditulogo"/>
            <w:bookmarkEnd w:id="1"/>
            <w:r w:rsidRPr="00866C5C">
              <w:rPr>
                <w:noProof/>
                <w:lang w:eastAsia="zh-CN"/>
              </w:rPr>
              <w:drawing>
                <wp:inline distT="0" distB="0" distL="0" distR="0" wp14:anchorId="52D4BE97" wp14:editId="46A0772E">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2A2188" w:rsidRPr="00813E5E" w14:paraId="396EBE42" w14:textId="77777777" w:rsidTr="00073075">
        <w:trPr>
          <w:cantSplit/>
        </w:trPr>
        <w:tc>
          <w:tcPr>
            <w:tcW w:w="6911" w:type="dxa"/>
            <w:tcBorders>
              <w:bottom w:val="single" w:sz="12" w:space="0" w:color="auto"/>
            </w:tcBorders>
          </w:tcPr>
          <w:p w14:paraId="7595881E" w14:textId="77777777" w:rsidR="002A2188" w:rsidRPr="00813E5E" w:rsidRDefault="002A2188" w:rsidP="00073075">
            <w:pPr>
              <w:spacing w:before="0" w:after="48" w:line="240" w:lineRule="atLeast"/>
              <w:rPr>
                <w:b/>
                <w:smallCaps/>
                <w:szCs w:val="24"/>
              </w:rPr>
            </w:pPr>
          </w:p>
        </w:tc>
        <w:tc>
          <w:tcPr>
            <w:tcW w:w="3120" w:type="dxa"/>
            <w:tcBorders>
              <w:bottom w:val="single" w:sz="12" w:space="0" w:color="auto"/>
            </w:tcBorders>
          </w:tcPr>
          <w:p w14:paraId="0493E96D" w14:textId="77777777" w:rsidR="002A2188" w:rsidRPr="00813E5E" w:rsidRDefault="002A2188" w:rsidP="00073075">
            <w:pPr>
              <w:spacing w:before="0" w:line="240" w:lineRule="atLeast"/>
              <w:rPr>
                <w:szCs w:val="24"/>
              </w:rPr>
            </w:pPr>
          </w:p>
        </w:tc>
      </w:tr>
      <w:tr w:rsidR="002A2188" w:rsidRPr="00813E5E" w14:paraId="136225C6" w14:textId="77777777" w:rsidTr="00073075">
        <w:trPr>
          <w:cantSplit/>
        </w:trPr>
        <w:tc>
          <w:tcPr>
            <w:tcW w:w="6911" w:type="dxa"/>
            <w:tcBorders>
              <w:top w:val="single" w:sz="12" w:space="0" w:color="auto"/>
            </w:tcBorders>
          </w:tcPr>
          <w:p w14:paraId="6885C4A3" w14:textId="77777777" w:rsidR="002A2188" w:rsidRPr="00813E5E" w:rsidRDefault="002A2188" w:rsidP="000D0F40">
            <w:pPr>
              <w:spacing w:before="0" w:line="240" w:lineRule="atLeast"/>
              <w:rPr>
                <w:b/>
                <w:smallCaps/>
                <w:szCs w:val="24"/>
              </w:rPr>
            </w:pPr>
          </w:p>
        </w:tc>
        <w:tc>
          <w:tcPr>
            <w:tcW w:w="3120" w:type="dxa"/>
            <w:tcBorders>
              <w:top w:val="single" w:sz="12" w:space="0" w:color="auto"/>
            </w:tcBorders>
          </w:tcPr>
          <w:p w14:paraId="6ED5992C" w14:textId="77777777" w:rsidR="002A2188" w:rsidRPr="00813E5E" w:rsidRDefault="002A2188" w:rsidP="000D0F40">
            <w:pPr>
              <w:spacing w:before="0" w:line="240" w:lineRule="atLeast"/>
              <w:rPr>
                <w:szCs w:val="24"/>
              </w:rPr>
            </w:pPr>
          </w:p>
        </w:tc>
      </w:tr>
      <w:tr w:rsidR="002A2188" w:rsidRPr="00813E5E" w14:paraId="22729977" w14:textId="77777777" w:rsidTr="00073075">
        <w:trPr>
          <w:cantSplit/>
          <w:trHeight w:val="23"/>
        </w:trPr>
        <w:tc>
          <w:tcPr>
            <w:tcW w:w="6911" w:type="dxa"/>
            <w:vMerge w:val="restart"/>
          </w:tcPr>
          <w:p w14:paraId="374FC8EA" w14:textId="652FA2AA" w:rsidR="002A2188" w:rsidRPr="00E85629" w:rsidRDefault="0084574D" w:rsidP="00D04E39">
            <w:pPr>
              <w:tabs>
                <w:tab w:val="left" w:pos="851"/>
              </w:tabs>
              <w:spacing w:before="0" w:line="240" w:lineRule="atLeast"/>
              <w:rPr>
                <w:b/>
              </w:rPr>
            </w:pPr>
            <w:bookmarkStart w:id="2" w:name="dmeeting" w:colFirst="0" w:colLast="0"/>
            <w:bookmarkStart w:id="3" w:name="dnum" w:colFirst="1" w:colLast="1"/>
            <w:r>
              <w:rPr>
                <w:b/>
              </w:rPr>
              <w:t xml:space="preserve">Agenda item: </w:t>
            </w:r>
            <w:r w:rsidR="00136C1A">
              <w:rPr>
                <w:b/>
              </w:rPr>
              <w:t>PL 1.4</w:t>
            </w:r>
          </w:p>
        </w:tc>
        <w:tc>
          <w:tcPr>
            <w:tcW w:w="3120" w:type="dxa"/>
          </w:tcPr>
          <w:p w14:paraId="0ADB8464" w14:textId="7B5DE40B" w:rsidR="002A2188" w:rsidRPr="00E85629" w:rsidRDefault="002A2188" w:rsidP="00050A13">
            <w:pPr>
              <w:tabs>
                <w:tab w:val="left" w:pos="851"/>
              </w:tabs>
              <w:spacing w:before="0" w:line="240" w:lineRule="atLeast"/>
              <w:rPr>
                <w:b/>
              </w:rPr>
            </w:pPr>
            <w:r>
              <w:rPr>
                <w:b/>
              </w:rPr>
              <w:t>Document C</w:t>
            </w:r>
            <w:r w:rsidR="003A6768">
              <w:rPr>
                <w:b/>
              </w:rPr>
              <w:t>20</w:t>
            </w:r>
            <w:r w:rsidR="00285E88">
              <w:rPr>
                <w:b/>
              </w:rPr>
              <w:t>/18-E</w:t>
            </w:r>
          </w:p>
        </w:tc>
      </w:tr>
      <w:tr w:rsidR="002A2188" w:rsidRPr="00813E5E" w14:paraId="760A22A4" w14:textId="77777777" w:rsidTr="00073075">
        <w:trPr>
          <w:cantSplit/>
          <w:trHeight w:val="23"/>
        </w:trPr>
        <w:tc>
          <w:tcPr>
            <w:tcW w:w="6911" w:type="dxa"/>
            <w:vMerge/>
          </w:tcPr>
          <w:p w14:paraId="2176395B" w14:textId="77777777" w:rsidR="002A2188" w:rsidRPr="00813E5E" w:rsidRDefault="002A2188" w:rsidP="00073075">
            <w:pPr>
              <w:tabs>
                <w:tab w:val="left" w:pos="851"/>
              </w:tabs>
              <w:spacing w:line="240" w:lineRule="atLeast"/>
              <w:rPr>
                <w:b/>
              </w:rPr>
            </w:pPr>
            <w:bookmarkStart w:id="4" w:name="ddate" w:colFirst="1" w:colLast="1"/>
            <w:bookmarkEnd w:id="2"/>
            <w:bookmarkEnd w:id="3"/>
          </w:p>
        </w:tc>
        <w:tc>
          <w:tcPr>
            <w:tcW w:w="3120" w:type="dxa"/>
          </w:tcPr>
          <w:p w14:paraId="4F832AB4" w14:textId="233F8161" w:rsidR="002A2188" w:rsidRPr="00E85629" w:rsidRDefault="00285E88" w:rsidP="00573FF1">
            <w:pPr>
              <w:tabs>
                <w:tab w:val="left" w:pos="993"/>
              </w:tabs>
              <w:spacing w:before="0"/>
              <w:rPr>
                <w:b/>
              </w:rPr>
            </w:pPr>
            <w:r>
              <w:rPr>
                <w:b/>
              </w:rPr>
              <w:t>30 March 2020</w:t>
            </w:r>
          </w:p>
        </w:tc>
      </w:tr>
      <w:tr w:rsidR="002A2188" w:rsidRPr="00813E5E" w14:paraId="16F5B1FF" w14:textId="77777777" w:rsidTr="00073075">
        <w:trPr>
          <w:cantSplit/>
          <w:trHeight w:val="23"/>
        </w:trPr>
        <w:tc>
          <w:tcPr>
            <w:tcW w:w="6911" w:type="dxa"/>
            <w:vMerge/>
          </w:tcPr>
          <w:p w14:paraId="7DDFD2F4" w14:textId="77777777" w:rsidR="002A2188" w:rsidRPr="00813E5E" w:rsidRDefault="002A2188" w:rsidP="00073075">
            <w:pPr>
              <w:tabs>
                <w:tab w:val="left" w:pos="851"/>
              </w:tabs>
              <w:spacing w:line="240" w:lineRule="atLeast"/>
              <w:rPr>
                <w:b/>
              </w:rPr>
            </w:pPr>
            <w:bookmarkStart w:id="5" w:name="dorlang" w:colFirst="1" w:colLast="1"/>
            <w:bookmarkEnd w:id="4"/>
          </w:p>
        </w:tc>
        <w:tc>
          <w:tcPr>
            <w:tcW w:w="3120" w:type="dxa"/>
          </w:tcPr>
          <w:p w14:paraId="0EACD1B4" w14:textId="77777777" w:rsidR="002A2188" w:rsidRPr="00E85629" w:rsidRDefault="002A2188" w:rsidP="00073075">
            <w:pPr>
              <w:tabs>
                <w:tab w:val="left" w:pos="993"/>
              </w:tabs>
              <w:spacing w:before="0"/>
              <w:rPr>
                <w:b/>
              </w:rPr>
            </w:pPr>
            <w:r>
              <w:rPr>
                <w:b/>
              </w:rPr>
              <w:t>Original: English</w:t>
            </w:r>
          </w:p>
        </w:tc>
      </w:tr>
      <w:tr w:rsidR="002A2188" w:rsidRPr="00813E5E" w14:paraId="067672FA" w14:textId="77777777" w:rsidTr="00073075">
        <w:trPr>
          <w:cantSplit/>
        </w:trPr>
        <w:tc>
          <w:tcPr>
            <w:tcW w:w="10031" w:type="dxa"/>
            <w:gridSpan w:val="2"/>
          </w:tcPr>
          <w:p w14:paraId="6ABA41AD" w14:textId="77777777" w:rsidR="002A2188" w:rsidRPr="00813E5E" w:rsidRDefault="00D04E39" w:rsidP="00073075">
            <w:pPr>
              <w:pStyle w:val="Source"/>
            </w:pPr>
            <w:bookmarkStart w:id="6" w:name="dsource" w:colFirst="0" w:colLast="0"/>
            <w:bookmarkEnd w:id="5"/>
            <w:r w:rsidRPr="00D04E39">
              <w:t>Report by the Secretary-General</w:t>
            </w:r>
          </w:p>
        </w:tc>
      </w:tr>
      <w:tr w:rsidR="002A2188" w:rsidRPr="00813E5E" w14:paraId="00CE23C3" w14:textId="77777777" w:rsidTr="00073075">
        <w:trPr>
          <w:cantSplit/>
        </w:trPr>
        <w:tc>
          <w:tcPr>
            <w:tcW w:w="10031" w:type="dxa"/>
            <w:gridSpan w:val="2"/>
          </w:tcPr>
          <w:p w14:paraId="09258E3B" w14:textId="77777777" w:rsidR="002A2188" w:rsidRPr="00813E5E" w:rsidRDefault="0084574D" w:rsidP="00073075">
            <w:pPr>
              <w:pStyle w:val="Title1"/>
            </w:pPr>
            <w:bookmarkStart w:id="7" w:name="dtitle1" w:colFirst="0" w:colLast="0"/>
            <w:bookmarkEnd w:id="6"/>
            <w:r w:rsidRPr="0084574D">
              <w:t>ITU ACTIVITIES ON STRENGTHENING THE ROLE OF ITU IN BUILDING CONFIDENCE AND SECURITY IN THE USE OF INFORMATION AND COMMUNICATION TECHNOLOGIES</w:t>
            </w:r>
          </w:p>
        </w:tc>
      </w:tr>
      <w:bookmarkEnd w:id="7"/>
    </w:tbl>
    <w:p w14:paraId="7F3E976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8427074" w14:textId="77777777" w:rsidTr="00073075">
        <w:trPr>
          <w:trHeight w:val="3372"/>
        </w:trPr>
        <w:tc>
          <w:tcPr>
            <w:tcW w:w="8080" w:type="dxa"/>
            <w:tcBorders>
              <w:top w:val="single" w:sz="12" w:space="0" w:color="auto"/>
              <w:left w:val="single" w:sz="12" w:space="0" w:color="auto"/>
              <w:bottom w:val="single" w:sz="12" w:space="0" w:color="auto"/>
              <w:right w:val="single" w:sz="12" w:space="0" w:color="auto"/>
            </w:tcBorders>
          </w:tcPr>
          <w:p w14:paraId="1F4320A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Summary</w:t>
            </w:r>
          </w:p>
          <w:p w14:paraId="6D48DB78" w14:textId="612EF4F3" w:rsidR="0084574D" w:rsidRPr="007050A6"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This report summarizes ITU’s activities since Council 201</w:t>
            </w:r>
            <w:r w:rsidR="006A45B5">
              <w:rPr>
                <w:rFonts w:asciiTheme="minorHAnsi" w:hAnsiTheme="minorHAnsi" w:cstheme="minorHAnsi"/>
                <w:sz w:val="22"/>
                <w:szCs w:val="22"/>
              </w:rPr>
              <w:t>9</w:t>
            </w:r>
            <w:r w:rsidRPr="007050A6">
              <w:rPr>
                <w:rFonts w:asciiTheme="minorHAnsi" w:hAnsiTheme="minorHAnsi" w:cstheme="minorHAnsi"/>
                <w:sz w:val="22"/>
                <w:szCs w:val="22"/>
              </w:rPr>
              <w:t xml:space="preserve"> in relation to Resolution 130 (Rev.</w:t>
            </w:r>
            <w:r w:rsidR="00124223">
              <w:rPr>
                <w:rFonts w:asciiTheme="minorHAnsi" w:hAnsiTheme="minorHAnsi" w:cstheme="minorHAnsi"/>
                <w:sz w:val="22"/>
                <w:szCs w:val="22"/>
              </w:rPr>
              <w:t> </w:t>
            </w:r>
            <w:r w:rsidRPr="007050A6">
              <w:rPr>
                <w:rFonts w:asciiTheme="minorHAnsi" w:hAnsiTheme="minorHAnsi" w:cstheme="minorHAnsi"/>
                <w:sz w:val="22"/>
                <w:szCs w:val="22"/>
              </w:rPr>
              <w:t>Dubai, 2018), ITU’s role as sole facilitator for WSIS Action Line C5, and other decisions by the membership on strengthening the role of ITU in building confidence and security in the use of information and communication technologies (ICTs).</w:t>
            </w:r>
          </w:p>
          <w:p w14:paraId="1F186FE6" w14:textId="77777777" w:rsidR="0084574D" w:rsidRPr="007050A6" w:rsidRDefault="0084574D" w:rsidP="0084574D">
            <w:pPr>
              <w:pStyle w:val="Headingb"/>
              <w:keepNext w:val="0"/>
              <w:keepLines w:val="0"/>
              <w:spacing w:before="120" w:after="120"/>
              <w:jc w:val="both"/>
              <w:rPr>
                <w:rFonts w:asciiTheme="minorHAnsi" w:hAnsiTheme="minorHAnsi" w:cstheme="minorHAnsi"/>
                <w:sz w:val="22"/>
                <w:szCs w:val="22"/>
              </w:rPr>
            </w:pPr>
            <w:r w:rsidRPr="007050A6">
              <w:rPr>
                <w:rFonts w:asciiTheme="minorHAnsi" w:hAnsiTheme="minorHAnsi" w:cstheme="minorHAnsi"/>
                <w:sz w:val="22"/>
                <w:szCs w:val="22"/>
              </w:rPr>
              <w:t>Action required</w:t>
            </w:r>
          </w:p>
          <w:p w14:paraId="07899437" w14:textId="77777777" w:rsidR="0084574D" w:rsidRPr="007050A6"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The Council is invited to </w:t>
            </w:r>
            <w:r w:rsidRPr="007050A6">
              <w:rPr>
                <w:rFonts w:asciiTheme="minorHAnsi" w:hAnsiTheme="minorHAnsi" w:cstheme="minorHAnsi"/>
                <w:b/>
                <w:bCs/>
                <w:sz w:val="22"/>
                <w:szCs w:val="22"/>
              </w:rPr>
              <w:t>note</w:t>
            </w:r>
            <w:r w:rsidRPr="007050A6">
              <w:rPr>
                <w:rFonts w:asciiTheme="minorHAnsi" w:hAnsiTheme="minorHAnsi" w:cstheme="minorHAnsi"/>
                <w:sz w:val="22"/>
                <w:szCs w:val="22"/>
              </w:rPr>
              <w:t xml:space="preserve"> the report.</w:t>
            </w:r>
            <w:bookmarkStart w:id="8" w:name="_GoBack"/>
            <w:bookmarkEnd w:id="8"/>
          </w:p>
          <w:p w14:paraId="4407A44C" w14:textId="77777777" w:rsidR="0084574D" w:rsidRPr="007050A6" w:rsidRDefault="0084574D" w:rsidP="0084574D">
            <w:pPr>
              <w:pStyle w:val="Table"/>
              <w:keepNext w:val="0"/>
              <w:spacing w:before="120"/>
              <w:rPr>
                <w:rFonts w:asciiTheme="minorHAnsi" w:hAnsiTheme="minorHAnsi" w:cstheme="minorHAnsi"/>
                <w:caps w:val="0"/>
                <w:sz w:val="22"/>
                <w:szCs w:val="22"/>
              </w:rPr>
            </w:pPr>
            <w:r w:rsidRPr="007050A6">
              <w:rPr>
                <w:rFonts w:asciiTheme="minorHAnsi" w:hAnsiTheme="minorHAnsi" w:cstheme="minorHAnsi"/>
                <w:caps w:val="0"/>
                <w:sz w:val="22"/>
                <w:szCs w:val="22"/>
              </w:rPr>
              <w:t>____________</w:t>
            </w:r>
          </w:p>
          <w:p w14:paraId="7436D8C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References</w:t>
            </w:r>
          </w:p>
          <w:p w14:paraId="7727ADC6" w14:textId="33317BC0" w:rsidR="002A2188" w:rsidRPr="00124223" w:rsidRDefault="0084574D" w:rsidP="0075278C">
            <w:pPr>
              <w:spacing w:after="120"/>
              <w:jc w:val="both"/>
              <w:rPr>
                <w:rFonts w:asciiTheme="minorHAnsi" w:hAnsiTheme="minorHAnsi"/>
                <w:i/>
                <w:iCs/>
              </w:rPr>
            </w:pPr>
            <w:r w:rsidRPr="00124223">
              <w:rPr>
                <w:rFonts w:asciiTheme="minorHAnsi" w:hAnsiTheme="minorHAnsi" w:cstheme="minorHAnsi"/>
                <w:i/>
                <w:iCs/>
                <w:spacing w:val="-2"/>
                <w:sz w:val="22"/>
                <w:szCs w:val="22"/>
              </w:rPr>
              <w:t>Plenipotentiary Resolutions</w:t>
            </w:r>
            <w:r w:rsidRPr="00124223">
              <w:rPr>
                <w:rFonts w:asciiTheme="minorHAnsi" w:hAnsiTheme="minorHAnsi" w:cstheme="minorHAnsi"/>
                <w:spacing w:val="-2"/>
                <w:sz w:val="22"/>
                <w:szCs w:val="22"/>
              </w:rPr>
              <w:t xml:space="preserve"> </w:t>
            </w:r>
            <w:hyperlink r:id="rId9" w:history="1">
              <w:r w:rsidRPr="003F300C">
                <w:rPr>
                  <w:rStyle w:val="Hyperlink"/>
                  <w:rFonts w:asciiTheme="minorHAnsi" w:hAnsiTheme="minorHAnsi" w:cstheme="minorHAnsi"/>
                  <w:i/>
                  <w:iCs/>
                  <w:spacing w:val="-2"/>
                  <w:sz w:val="22"/>
                  <w:szCs w:val="22"/>
                </w:rPr>
                <w:t>71</w:t>
              </w:r>
            </w:hyperlink>
            <w:r w:rsidRPr="00124223">
              <w:rPr>
                <w:rFonts w:asciiTheme="minorHAnsi" w:hAnsiTheme="minorHAnsi" w:cstheme="minorHAnsi"/>
                <w:i/>
                <w:iCs/>
                <w:color w:val="000000"/>
                <w:spacing w:val="-2"/>
                <w:sz w:val="22"/>
                <w:szCs w:val="22"/>
              </w:rPr>
              <w:t xml:space="preserve">, </w:t>
            </w:r>
            <w:hyperlink r:id="rId10" w:history="1">
              <w:r w:rsidRPr="003F300C">
                <w:rPr>
                  <w:rStyle w:val="Hyperlink"/>
                  <w:rFonts w:asciiTheme="minorHAnsi" w:hAnsiTheme="minorHAnsi" w:cstheme="minorHAnsi"/>
                  <w:i/>
                  <w:iCs/>
                  <w:spacing w:val="-2"/>
                  <w:sz w:val="22"/>
                  <w:szCs w:val="22"/>
                </w:rPr>
                <w:t>130</w:t>
              </w:r>
            </w:hyperlink>
            <w:r w:rsidRPr="00124223">
              <w:rPr>
                <w:rFonts w:asciiTheme="minorHAnsi" w:hAnsiTheme="minorHAnsi" w:cstheme="minorHAnsi"/>
                <w:i/>
                <w:iCs/>
                <w:color w:val="000000"/>
                <w:spacing w:val="-2"/>
                <w:sz w:val="22"/>
                <w:szCs w:val="22"/>
              </w:rPr>
              <w:t xml:space="preserve">, </w:t>
            </w:r>
            <w:hyperlink r:id="rId11" w:history="1">
              <w:r w:rsidRPr="003F300C">
                <w:rPr>
                  <w:rStyle w:val="Hyperlink"/>
                  <w:rFonts w:asciiTheme="minorHAnsi" w:hAnsiTheme="minorHAnsi" w:cstheme="minorHAnsi"/>
                  <w:i/>
                  <w:iCs/>
                  <w:spacing w:val="-2"/>
                  <w:sz w:val="22"/>
                  <w:szCs w:val="22"/>
                </w:rPr>
                <w:t>140</w:t>
              </w:r>
            </w:hyperlink>
            <w:r w:rsidRPr="00124223">
              <w:rPr>
                <w:rFonts w:asciiTheme="minorHAnsi" w:hAnsiTheme="minorHAnsi" w:cstheme="minorHAnsi"/>
                <w:i/>
                <w:iCs/>
                <w:color w:val="000000"/>
                <w:spacing w:val="-2"/>
                <w:sz w:val="22"/>
                <w:szCs w:val="22"/>
              </w:rPr>
              <w:t xml:space="preserve">, </w:t>
            </w:r>
            <w:hyperlink r:id="rId12" w:history="1">
              <w:r w:rsidRPr="003F300C">
                <w:rPr>
                  <w:rStyle w:val="Hyperlink"/>
                  <w:rFonts w:asciiTheme="minorHAnsi" w:hAnsiTheme="minorHAnsi" w:cstheme="minorHAnsi"/>
                  <w:i/>
                  <w:iCs/>
                  <w:spacing w:val="-2"/>
                  <w:sz w:val="22"/>
                  <w:szCs w:val="22"/>
                </w:rPr>
                <w:t>174</w:t>
              </w:r>
            </w:hyperlink>
            <w:r w:rsidRPr="00124223">
              <w:rPr>
                <w:rFonts w:asciiTheme="minorHAnsi" w:hAnsiTheme="minorHAnsi" w:cstheme="minorHAnsi"/>
                <w:color w:val="0000FF"/>
                <w:spacing w:val="-2"/>
                <w:sz w:val="22"/>
                <w:szCs w:val="22"/>
              </w:rPr>
              <w:t xml:space="preserve">, </w:t>
            </w:r>
            <w:hyperlink r:id="rId13" w:history="1">
              <w:r w:rsidRPr="003F300C">
                <w:rPr>
                  <w:rStyle w:val="Hyperlink"/>
                  <w:rFonts w:asciiTheme="minorHAnsi" w:hAnsiTheme="minorHAnsi" w:cstheme="minorHAnsi"/>
                  <w:i/>
                  <w:iCs/>
                  <w:spacing w:val="-2"/>
                  <w:sz w:val="22"/>
                  <w:szCs w:val="22"/>
                </w:rPr>
                <w:t>179</w:t>
              </w:r>
            </w:hyperlink>
            <w:r w:rsidRPr="00124223">
              <w:rPr>
                <w:rFonts w:asciiTheme="minorHAnsi" w:hAnsiTheme="minorHAnsi" w:cstheme="minorHAnsi"/>
                <w:i/>
                <w:iCs/>
                <w:color w:val="0000FF"/>
                <w:spacing w:val="-2"/>
                <w:sz w:val="22"/>
                <w:szCs w:val="22"/>
              </w:rPr>
              <w:t xml:space="preserve"> </w:t>
            </w:r>
            <w:r w:rsidRPr="00124223">
              <w:rPr>
                <w:rFonts w:asciiTheme="minorHAnsi" w:hAnsiTheme="minorHAnsi" w:cstheme="minorHAnsi"/>
                <w:i/>
                <w:iCs/>
                <w:color w:val="000000"/>
                <w:spacing w:val="-2"/>
                <w:sz w:val="22"/>
                <w:szCs w:val="22"/>
              </w:rPr>
              <w:t xml:space="preserve">(Rev. Dubai, 2018), </w:t>
            </w:r>
            <w:hyperlink r:id="rId14" w:history="1">
              <w:r w:rsidRPr="003F300C">
                <w:rPr>
                  <w:rStyle w:val="Hyperlink"/>
                  <w:rFonts w:asciiTheme="minorHAnsi" w:hAnsiTheme="minorHAnsi" w:cstheme="minorHAnsi"/>
                  <w:i/>
                  <w:iCs/>
                  <w:spacing w:val="-2"/>
                  <w:sz w:val="22"/>
                  <w:szCs w:val="22"/>
                </w:rPr>
                <w:t>181</w:t>
              </w:r>
            </w:hyperlink>
            <w:r w:rsidRPr="00124223">
              <w:rPr>
                <w:rFonts w:asciiTheme="minorHAnsi" w:hAnsiTheme="minorHAnsi" w:cstheme="minorHAnsi"/>
                <w:i/>
                <w:iCs/>
                <w:spacing w:val="-2"/>
                <w:sz w:val="22"/>
                <w:szCs w:val="22"/>
              </w:rPr>
              <w:t xml:space="preserve"> (Guadalajara, </w:t>
            </w:r>
            <w:r w:rsidRPr="00124223">
              <w:rPr>
                <w:rFonts w:asciiTheme="minorHAnsi" w:hAnsiTheme="minorHAnsi" w:cstheme="minorHAnsi"/>
                <w:i/>
                <w:iCs/>
                <w:sz w:val="22"/>
                <w:szCs w:val="22"/>
              </w:rPr>
              <w:t>2010)</w:t>
            </w:r>
            <w:r w:rsidRPr="00124223">
              <w:rPr>
                <w:rFonts w:asciiTheme="minorHAnsi" w:hAnsiTheme="minorHAnsi" w:cstheme="minorHAnsi"/>
                <w:i/>
                <w:iCs/>
                <w:color w:val="000000"/>
                <w:sz w:val="22"/>
                <w:szCs w:val="22"/>
              </w:rPr>
              <w:t xml:space="preserve">; </w:t>
            </w:r>
            <w:hyperlink r:id="rId15" w:history="1">
              <w:r w:rsidR="0075278C" w:rsidRPr="000D0F40">
                <w:rPr>
                  <w:rFonts w:cstheme="minorHAnsi"/>
                  <w:i/>
                  <w:iCs/>
                  <w:color w:val="0000FF"/>
                  <w:spacing w:val="-2"/>
                  <w:sz w:val="22"/>
                  <w:szCs w:val="22"/>
                  <w:u w:val="single"/>
                </w:rPr>
                <w:t>ITRs</w:t>
              </w:r>
            </w:hyperlink>
            <w:r w:rsidRPr="000D0F40">
              <w:rPr>
                <w:rFonts w:cstheme="minorHAnsi"/>
                <w:i/>
                <w:iCs/>
                <w:color w:val="000000"/>
                <w:spacing w:val="-2"/>
                <w:sz w:val="22"/>
                <w:szCs w:val="22"/>
              </w:rPr>
              <w:t xml:space="preserve"> (Rev. Dubai, 2012); Council </w:t>
            </w:r>
            <w:r w:rsidRPr="000D0F40">
              <w:rPr>
                <w:rStyle w:val="Hyperlink"/>
                <w:rFonts w:cstheme="minorHAnsi"/>
                <w:i/>
                <w:iCs/>
                <w:color w:val="auto"/>
                <w:spacing w:val="-2"/>
                <w:sz w:val="22"/>
                <w:szCs w:val="22"/>
                <w:u w:val="none"/>
              </w:rPr>
              <w:t xml:space="preserve">Resolution </w:t>
            </w:r>
            <w:hyperlink r:id="rId16" w:history="1">
              <w:r w:rsidRPr="000D0F40">
                <w:rPr>
                  <w:rStyle w:val="Hyperlink"/>
                  <w:rFonts w:cstheme="minorHAnsi"/>
                  <w:i/>
                  <w:iCs/>
                  <w:spacing w:val="-2"/>
                  <w:sz w:val="22"/>
                  <w:szCs w:val="22"/>
                </w:rPr>
                <w:t>1306</w:t>
              </w:r>
            </w:hyperlink>
            <w:r w:rsidRPr="000D0F40">
              <w:rPr>
                <w:rFonts w:cstheme="minorHAnsi"/>
                <w:color w:val="000000"/>
                <w:spacing w:val="-2"/>
                <w:sz w:val="22"/>
                <w:szCs w:val="22"/>
              </w:rPr>
              <w:t>;</w:t>
            </w:r>
            <w:r w:rsidRPr="000D0F40">
              <w:rPr>
                <w:rFonts w:cstheme="minorHAnsi"/>
                <w:i/>
                <w:iCs/>
                <w:color w:val="000000"/>
                <w:spacing w:val="-2"/>
                <w:sz w:val="22"/>
                <w:szCs w:val="22"/>
              </w:rPr>
              <w:t xml:space="preserve"> WTDC Resolutions </w:t>
            </w:r>
            <w:hyperlink r:id="rId17" w:history="1">
              <w:r w:rsidRPr="000D0F40">
                <w:rPr>
                  <w:rFonts w:cstheme="minorHAnsi"/>
                  <w:i/>
                  <w:iCs/>
                  <w:color w:val="0000FF"/>
                  <w:spacing w:val="-2"/>
                  <w:sz w:val="22"/>
                  <w:szCs w:val="22"/>
                  <w:u w:val="single"/>
                </w:rPr>
                <w:t>45</w:t>
              </w:r>
            </w:hyperlink>
            <w:r w:rsidRPr="000D0F40">
              <w:rPr>
                <w:rFonts w:cstheme="minorHAnsi"/>
                <w:i/>
                <w:iCs/>
                <w:color w:val="000000"/>
                <w:spacing w:val="-2"/>
                <w:sz w:val="22"/>
                <w:szCs w:val="22"/>
              </w:rPr>
              <w:t xml:space="preserve"> </w:t>
            </w:r>
            <w:r w:rsidRPr="00124223">
              <w:rPr>
                <w:rFonts w:asciiTheme="minorHAnsi" w:hAnsiTheme="minorHAnsi" w:cstheme="minorHAnsi"/>
                <w:i/>
                <w:iCs/>
                <w:color w:val="000000"/>
                <w:sz w:val="22"/>
                <w:szCs w:val="22"/>
              </w:rPr>
              <w:t xml:space="preserve">(Rev. Dubai, 2014), </w:t>
            </w:r>
            <w:hyperlink r:id="rId18" w:history="1">
              <w:r w:rsidRPr="00124223">
                <w:rPr>
                  <w:rStyle w:val="Hyperlink"/>
                  <w:rFonts w:asciiTheme="minorHAnsi" w:hAnsiTheme="minorHAnsi" w:cstheme="minorHAnsi"/>
                  <w:sz w:val="22"/>
                  <w:szCs w:val="22"/>
                </w:rPr>
                <w:t>2, 67, 69</w:t>
              </w:r>
            </w:hyperlink>
            <w:r w:rsidRPr="00124223">
              <w:rPr>
                <w:rStyle w:val="Hyperlink"/>
                <w:rFonts w:asciiTheme="minorHAnsi" w:hAnsiTheme="minorHAnsi" w:cstheme="minorHAnsi"/>
                <w:color w:val="auto"/>
                <w:sz w:val="22"/>
                <w:szCs w:val="22"/>
                <w:u w:val="none"/>
              </w:rPr>
              <w:t xml:space="preserve"> </w:t>
            </w:r>
            <w:r w:rsidR="00124223" w:rsidRPr="00124223">
              <w:rPr>
                <w:rStyle w:val="Hyperlink"/>
                <w:rFonts w:asciiTheme="minorHAnsi" w:hAnsiTheme="minorHAnsi" w:cstheme="minorHAnsi"/>
                <w:i/>
                <w:iCs/>
                <w:color w:val="auto"/>
                <w:sz w:val="22"/>
                <w:szCs w:val="22"/>
                <w:u w:val="none"/>
              </w:rPr>
              <w:t>(Rev. </w:t>
            </w:r>
            <w:r w:rsidRPr="00124223">
              <w:rPr>
                <w:rStyle w:val="Hyperlink"/>
                <w:rFonts w:asciiTheme="minorHAnsi" w:hAnsiTheme="minorHAnsi" w:cstheme="minorHAnsi"/>
                <w:i/>
                <w:iCs/>
                <w:color w:val="auto"/>
                <w:sz w:val="22"/>
                <w:szCs w:val="22"/>
                <w:u w:val="none"/>
              </w:rPr>
              <w:t>Buenos Aires, 2017);</w:t>
            </w:r>
            <w:r w:rsidRPr="00124223">
              <w:rPr>
                <w:rFonts w:asciiTheme="minorHAnsi" w:hAnsiTheme="minorHAnsi" w:cstheme="minorHAnsi"/>
                <w:i/>
                <w:iCs/>
                <w:sz w:val="22"/>
                <w:szCs w:val="22"/>
              </w:rPr>
              <w:t xml:space="preserve"> </w:t>
            </w:r>
            <w:r w:rsidRPr="00124223">
              <w:rPr>
                <w:rFonts w:asciiTheme="minorHAnsi" w:hAnsiTheme="minorHAnsi" w:cstheme="minorHAnsi"/>
                <w:i/>
                <w:iCs/>
                <w:color w:val="000000"/>
                <w:sz w:val="22"/>
                <w:szCs w:val="22"/>
              </w:rPr>
              <w:t>ITU-D Objective 2/Outcome 2.2 (</w:t>
            </w:r>
            <w:hyperlink r:id="rId19" w:history="1">
              <w:r w:rsidRPr="00124223">
                <w:rPr>
                  <w:rStyle w:val="Hyperlink"/>
                  <w:rFonts w:asciiTheme="minorHAnsi" w:hAnsiTheme="minorHAnsi" w:cstheme="minorHAnsi"/>
                  <w:sz w:val="22"/>
                  <w:szCs w:val="22"/>
                </w:rPr>
                <w:t>Buenos Aires Action Plan</w:t>
              </w:r>
            </w:hyperlink>
            <w:r w:rsidRPr="00124223">
              <w:rPr>
                <w:rFonts w:asciiTheme="minorHAnsi" w:hAnsiTheme="minorHAnsi" w:cstheme="minorHAnsi"/>
                <w:i/>
                <w:iCs/>
                <w:color w:val="000000"/>
                <w:sz w:val="22"/>
                <w:szCs w:val="22"/>
              </w:rPr>
              <w:t>)</w:t>
            </w:r>
            <w:hyperlink r:id="rId20" w:history="1"/>
            <w:r w:rsidRPr="00124223">
              <w:rPr>
                <w:rFonts w:asciiTheme="minorHAnsi" w:hAnsiTheme="minorHAnsi" w:cstheme="minorHAnsi"/>
                <w:sz w:val="22"/>
                <w:szCs w:val="22"/>
              </w:rPr>
              <w:t>;</w:t>
            </w:r>
            <w:r w:rsidRPr="00124223">
              <w:rPr>
                <w:rFonts w:asciiTheme="minorHAnsi" w:hAnsiTheme="minorHAnsi" w:cstheme="minorHAnsi"/>
                <w:i/>
                <w:iCs/>
                <w:color w:val="000000"/>
                <w:sz w:val="22"/>
                <w:szCs w:val="22"/>
              </w:rPr>
              <w:t xml:space="preserve"> WTSA Resolutions </w:t>
            </w:r>
            <w:hyperlink r:id="rId21" w:history="1">
              <w:r w:rsidRPr="00124223">
                <w:rPr>
                  <w:rStyle w:val="Hyperlink"/>
                  <w:rFonts w:asciiTheme="minorHAnsi" w:hAnsiTheme="minorHAnsi" w:cstheme="minorHAnsi"/>
                  <w:i/>
                  <w:iCs/>
                  <w:sz w:val="22"/>
                  <w:szCs w:val="22"/>
                  <w:lang w:val="en-US"/>
                </w:rPr>
                <w:t>50</w:t>
              </w:r>
            </w:hyperlink>
            <w:r w:rsidRPr="00124223">
              <w:rPr>
                <w:rFonts w:asciiTheme="minorHAnsi" w:hAnsiTheme="minorHAnsi" w:cstheme="minorHAnsi"/>
                <w:i/>
                <w:iCs/>
                <w:color w:val="000000"/>
                <w:sz w:val="22"/>
                <w:szCs w:val="22"/>
                <w:lang w:val="en-US"/>
              </w:rPr>
              <w:t xml:space="preserve">, </w:t>
            </w:r>
            <w:hyperlink r:id="rId22" w:history="1">
              <w:r w:rsidRPr="00124223">
                <w:rPr>
                  <w:rStyle w:val="Hyperlink"/>
                  <w:rFonts w:asciiTheme="minorHAnsi" w:hAnsiTheme="minorHAnsi" w:cstheme="minorHAnsi"/>
                  <w:i/>
                  <w:iCs/>
                  <w:sz w:val="22"/>
                  <w:szCs w:val="22"/>
                  <w:lang w:val="en-US"/>
                </w:rPr>
                <w:t>52</w:t>
              </w:r>
            </w:hyperlink>
            <w:r w:rsidRPr="00124223">
              <w:rPr>
                <w:rFonts w:asciiTheme="minorHAnsi" w:hAnsiTheme="minorHAnsi" w:cstheme="minorHAnsi"/>
                <w:i/>
                <w:iCs/>
                <w:color w:val="000000"/>
                <w:sz w:val="22"/>
                <w:szCs w:val="22"/>
              </w:rPr>
              <w:t xml:space="preserve">, </w:t>
            </w:r>
            <w:hyperlink r:id="rId23" w:history="1">
              <w:r w:rsidRPr="00124223">
                <w:rPr>
                  <w:rStyle w:val="Hyperlink"/>
                  <w:rFonts w:asciiTheme="minorHAnsi" w:hAnsiTheme="minorHAnsi" w:cstheme="minorHAnsi"/>
                  <w:i/>
                  <w:iCs/>
                  <w:sz w:val="22"/>
                  <w:szCs w:val="22"/>
                </w:rPr>
                <w:t>75</w:t>
              </w:r>
            </w:hyperlink>
            <w:r w:rsidRPr="00124223">
              <w:rPr>
                <w:rFonts w:asciiTheme="minorHAnsi" w:hAnsiTheme="minorHAnsi" w:cstheme="minorHAnsi"/>
                <w:i/>
                <w:iCs/>
                <w:color w:val="000000"/>
                <w:sz w:val="22"/>
                <w:szCs w:val="22"/>
                <w:lang w:val="en-US"/>
              </w:rPr>
              <w:t xml:space="preserve"> (Rev. </w:t>
            </w:r>
            <w:proofErr w:type="spellStart"/>
            <w:r w:rsidRPr="00124223">
              <w:rPr>
                <w:rFonts w:asciiTheme="minorHAnsi" w:hAnsiTheme="minorHAnsi" w:cstheme="minorHAnsi"/>
                <w:i/>
                <w:iCs/>
                <w:color w:val="000000"/>
                <w:sz w:val="22"/>
                <w:szCs w:val="22"/>
                <w:lang w:val="en-US"/>
              </w:rPr>
              <w:t>Hammamet</w:t>
            </w:r>
            <w:proofErr w:type="spellEnd"/>
            <w:r w:rsidRPr="00124223">
              <w:rPr>
                <w:rFonts w:asciiTheme="minorHAnsi" w:hAnsiTheme="minorHAnsi" w:cstheme="minorHAnsi"/>
                <w:i/>
                <w:iCs/>
                <w:color w:val="000000"/>
                <w:sz w:val="22"/>
                <w:szCs w:val="22"/>
                <w:lang w:val="en-US"/>
              </w:rPr>
              <w:t xml:space="preserve">, 2016), </w:t>
            </w:r>
            <w:hyperlink r:id="rId24" w:history="1">
              <w:r w:rsidRPr="00124223">
                <w:rPr>
                  <w:rStyle w:val="Hyperlink"/>
                  <w:rFonts w:asciiTheme="minorHAnsi" w:hAnsiTheme="minorHAnsi" w:cstheme="minorHAnsi"/>
                  <w:i/>
                  <w:iCs/>
                  <w:sz w:val="22"/>
                  <w:szCs w:val="22"/>
                  <w:lang w:val="en-US"/>
                </w:rPr>
                <w:t>58</w:t>
              </w:r>
            </w:hyperlink>
            <w:r w:rsidRPr="00124223">
              <w:rPr>
                <w:rFonts w:asciiTheme="minorHAnsi" w:hAnsiTheme="minorHAnsi" w:cstheme="minorHAnsi"/>
                <w:i/>
                <w:iCs/>
                <w:color w:val="000000"/>
                <w:sz w:val="22"/>
                <w:szCs w:val="22"/>
                <w:lang w:val="en-US"/>
              </w:rPr>
              <w:t xml:space="preserve"> (Rev. Dubai, 2012)</w:t>
            </w:r>
            <w:r w:rsidRPr="00124223">
              <w:rPr>
                <w:rFonts w:asciiTheme="minorHAnsi" w:hAnsiTheme="minorHAnsi" w:cstheme="minorHAnsi"/>
                <w:i/>
                <w:iCs/>
                <w:color w:val="000000"/>
                <w:sz w:val="22"/>
                <w:szCs w:val="22"/>
              </w:rPr>
              <w:t xml:space="preserve">, </w:t>
            </w:r>
            <w:r w:rsidR="0075278C">
              <w:rPr>
                <w:rFonts w:asciiTheme="minorHAnsi" w:hAnsiTheme="minorHAnsi" w:cstheme="minorHAnsi"/>
                <w:i/>
                <w:iCs/>
                <w:color w:val="000000"/>
                <w:sz w:val="22"/>
                <w:szCs w:val="22"/>
              </w:rPr>
              <w:t xml:space="preserve">Recent </w:t>
            </w:r>
            <w:r w:rsidRPr="00124223">
              <w:rPr>
                <w:rFonts w:asciiTheme="minorHAnsi" w:hAnsiTheme="minorHAnsi" w:cstheme="minorHAnsi"/>
                <w:i/>
                <w:iCs/>
                <w:color w:val="000000"/>
                <w:sz w:val="22"/>
                <w:szCs w:val="22"/>
              </w:rPr>
              <w:t xml:space="preserve">Council Documents </w:t>
            </w:r>
            <w:hyperlink r:id="rId25" w:history="1">
              <w:r w:rsidRPr="00124223">
                <w:rPr>
                  <w:rStyle w:val="Hyperlink"/>
                  <w:rFonts w:asciiTheme="minorHAnsi" w:hAnsiTheme="minorHAnsi" w:cstheme="minorHAnsi"/>
                  <w:i/>
                  <w:iCs/>
                  <w:sz w:val="22"/>
                  <w:szCs w:val="22"/>
                </w:rPr>
                <w:t>C15/18</w:t>
              </w:r>
            </w:hyperlink>
            <w:r w:rsidRPr="00124223">
              <w:rPr>
                <w:rStyle w:val="Hyperlink"/>
                <w:rFonts w:asciiTheme="minorHAnsi" w:hAnsiTheme="minorHAnsi" w:cstheme="minorHAnsi"/>
                <w:i/>
                <w:iCs/>
                <w:color w:val="auto"/>
                <w:sz w:val="22"/>
                <w:szCs w:val="22"/>
                <w:u w:val="none"/>
              </w:rPr>
              <w:t xml:space="preserve"> ,</w:t>
            </w:r>
            <w:hyperlink r:id="rId26" w:history="1">
              <w:r w:rsidRPr="00124223">
                <w:rPr>
                  <w:rStyle w:val="Hyperlink"/>
                  <w:rFonts w:asciiTheme="minorHAnsi" w:hAnsiTheme="minorHAnsi" w:cstheme="minorHAnsi"/>
                  <w:i/>
                  <w:iCs/>
                  <w:sz w:val="22"/>
                  <w:szCs w:val="22"/>
                </w:rPr>
                <w:t>C16/18</w:t>
              </w:r>
            </w:hyperlink>
            <w:r w:rsidRPr="00124223">
              <w:rPr>
                <w:rStyle w:val="Hyperlink"/>
                <w:rFonts w:asciiTheme="minorHAnsi" w:hAnsiTheme="minorHAnsi" w:cstheme="minorHAnsi"/>
                <w:sz w:val="22"/>
                <w:szCs w:val="22"/>
                <w:u w:val="none"/>
              </w:rPr>
              <w:t xml:space="preserve">, </w:t>
            </w:r>
            <w:hyperlink r:id="rId27" w:history="1">
              <w:r w:rsidRPr="00124223">
                <w:rPr>
                  <w:rStyle w:val="Hyperlink"/>
                  <w:rFonts w:asciiTheme="minorHAnsi" w:hAnsiTheme="minorHAnsi" w:cstheme="minorHAnsi"/>
                  <w:i/>
                  <w:iCs/>
                  <w:sz w:val="22"/>
                  <w:szCs w:val="22"/>
                </w:rPr>
                <w:t>C17/18</w:t>
              </w:r>
            </w:hyperlink>
            <w:r w:rsidRPr="00124223">
              <w:rPr>
                <w:rStyle w:val="Hyperlink"/>
                <w:rFonts w:asciiTheme="minorHAnsi" w:hAnsiTheme="minorHAnsi" w:cstheme="minorHAnsi"/>
                <w:i/>
                <w:iCs/>
                <w:color w:val="auto"/>
                <w:sz w:val="22"/>
                <w:szCs w:val="22"/>
                <w:u w:val="none"/>
              </w:rPr>
              <w:t xml:space="preserve">, </w:t>
            </w:r>
            <w:hyperlink r:id="rId28" w:history="1">
              <w:r w:rsidRPr="00124223">
                <w:rPr>
                  <w:rStyle w:val="Hyperlink"/>
                  <w:rFonts w:asciiTheme="minorHAnsi" w:hAnsiTheme="minorHAnsi" w:cstheme="minorHAnsi"/>
                  <w:i/>
                  <w:iCs/>
                  <w:sz w:val="22"/>
                  <w:szCs w:val="22"/>
                </w:rPr>
                <w:t>C18/18</w:t>
              </w:r>
            </w:hyperlink>
            <w:r w:rsidR="007708D3">
              <w:rPr>
                <w:rStyle w:val="Hyperlink"/>
                <w:rFonts w:asciiTheme="minorHAnsi" w:hAnsiTheme="minorHAnsi" w:cstheme="minorHAnsi"/>
                <w:i/>
                <w:iCs/>
                <w:sz w:val="22"/>
                <w:szCs w:val="22"/>
                <w:u w:val="none"/>
              </w:rPr>
              <w:t xml:space="preserve">, </w:t>
            </w:r>
            <w:hyperlink r:id="rId29" w:history="1">
              <w:r w:rsidR="007708D3" w:rsidRPr="007708D3">
                <w:rPr>
                  <w:rStyle w:val="Hyperlink"/>
                  <w:rFonts w:asciiTheme="minorHAnsi" w:hAnsiTheme="minorHAnsi" w:cstheme="minorHAnsi"/>
                  <w:i/>
                  <w:iCs/>
                  <w:sz w:val="22"/>
                  <w:szCs w:val="22"/>
                </w:rPr>
                <w:t>C19/18</w:t>
              </w:r>
            </w:hyperlink>
          </w:p>
        </w:tc>
      </w:tr>
    </w:tbl>
    <w:p w14:paraId="37E0DECB" w14:textId="77777777" w:rsidR="0084574D" w:rsidRPr="00B60E11" w:rsidRDefault="0084574D" w:rsidP="0084574D">
      <w:pPr>
        <w:pStyle w:val="Heading2"/>
        <w:keepNext w:val="0"/>
        <w:keepLines w:val="0"/>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color w:val="000000"/>
          <w:sz w:val="22"/>
          <w:szCs w:val="22"/>
        </w:rPr>
      </w:pPr>
      <w:bookmarkStart w:id="9" w:name="dstart"/>
      <w:bookmarkStart w:id="10" w:name="dbreak"/>
      <w:bookmarkEnd w:id="9"/>
      <w:bookmarkEnd w:id="10"/>
      <w:r w:rsidRPr="00B60E11">
        <w:rPr>
          <w:rFonts w:asciiTheme="minorHAnsi" w:hAnsiTheme="minorHAnsi" w:cstheme="minorHAnsi"/>
          <w:color w:val="000000"/>
          <w:sz w:val="22"/>
          <w:szCs w:val="22"/>
        </w:rPr>
        <w:t>Cybersecurity and Countering Spam Activities</w:t>
      </w:r>
    </w:p>
    <w:p w14:paraId="48CFE49E" w14:textId="77777777" w:rsidR="0084574D" w:rsidRPr="00B60E11" w:rsidRDefault="0084574D" w:rsidP="0084574D">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2"/>
          <w:szCs w:val="22"/>
        </w:rPr>
      </w:pPr>
      <w:r w:rsidRPr="00B60E11">
        <w:rPr>
          <w:rFonts w:asciiTheme="minorHAnsi" w:hAnsiTheme="minorHAnsi" w:cstheme="minorHAnsi"/>
          <w:color w:val="000000"/>
          <w:sz w:val="22"/>
          <w:szCs w:val="22"/>
        </w:rPr>
        <w:t>1.1</w:t>
      </w:r>
      <w:r w:rsidRPr="00B60E11">
        <w:rPr>
          <w:rFonts w:asciiTheme="minorHAnsi" w:hAnsiTheme="minorHAnsi" w:cstheme="minorHAnsi"/>
          <w:color w:val="000000"/>
          <w:sz w:val="22"/>
          <w:szCs w:val="22"/>
        </w:rPr>
        <w:tab/>
        <w:t xml:space="preserve">The development of ICTs, underpinned by security and trust, is recognized as essential for sustainable development. </w:t>
      </w:r>
      <w:r w:rsidRPr="00B60E11">
        <w:rPr>
          <w:rFonts w:asciiTheme="minorHAnsi" w:hAnsiTheme="minorHAnsi" w:cstheme="minorHAnsi"/>
          <w:sz w:val="22"/>
          <w:szCs w:val="22"/>
        </w:rPr>
        <w:t xml:space="preserve">This report, organized around the five pillars of </w:t>
      </w:r>
      <w:r w:rsidRPr="00B60E11">
        <w:rPr>
          <w:rFonts w:asciiTheme="minorHAnsi" w:hAnsiTheme="minorHAnsi" w:cstheme="minorHAnsi"/>
          <w:color w:val="000000"/>
          <w:sz w:val="22"/>
          <w:szCs w:val="22"/>
        </w:rPr>
        <w:t>the Global Cybersecurity Agenda (GCA), shows the complementary nature of</w:t>
      </w:r>
      <w:r w:rsidRPr="00B60E11">
        <w:rPr>
          <w:rFonts w:asciiTheme="minorHAnsi" w:hAnsiTheme="minorHAnsi" w:cstheme="minorHAnsi"/>
          <w:sz w:val="22"/>
          <w:szCs w:val="22"/>
        </w:rPr>
        <w:t xml:space="preserve"> existing ITU work programmes and facilitates the implementation of BDT, TSB, and BR activities in this domain.</w:t>
      </w:r>
    </w:p>
    <w:p w14:paraId="2557CBD1" w14:textId="77777777" w:rsidR="0084574D" w:rsidRPr="00B60E11" w:rsidRDefault="0084574D" w:rsidP="00124223">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cstheme="minorHAnsi"/>
          <w:b/>
          <w:bCs/>
          <w:sz w:val="22"/>
          <w:szCs w:val="22"/>
        </w:rPr>
      </w:pPr>
      <w:r w:rsidRPr="00B60E11">
        <w:rPr>
          <w:rFonts w:asciiTheme="minorHAnsi" w:hAnsiTheme="minorHAnsi" w:cstheme="minorHAnsi"/>
          <w:b/>
          <w:bCs/>
          <w:sz w:val="22"/>
          <w:szCs w:val="22"/>
        </w:rPr>
        <w:t>2.</w:t>
      </w:r>
      <w:r w:rsidRPr="00B60E11">
        <w:rPr>
          <w:rFonts w:asciiTheme="minorHAnsi" w:hAnsiTheme="minorHAnsi" w:cstheme="minorHAnsi"/>
          <w:b/>
          <w:bCs/>
          <w:sz w:val="22"/>
          <w:szCs w:val="22"/>
        </w:rPr>
        <w:tab/>
        <w:t>Legal Measures</w:t>
      </w:r>
    </w:p>
    <w:p w14:paraId="3432E2AC" w14:textId="16C5C076" w:rsidR="002901FF" w:rsidRPr="00B60E11" w:rsidRDefault="0084574D" w:rsidP="00EB13CE">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lang w:val="en-GB"/>
        </w:rPr>
        <w:t>2.1</w:t>
      </w:r>
      <w:r w:rsidRPr="00B60E11">
        <w:rPr>
          <w:rFonts w:asciiTheme="minorHAnsi" w:hAnsiTheme="minorHAnsi" w:cstheme="minorHAnsi"/>
          <w:lang w:val="en-GB"/>
        </w:rPr>
        <w:tab/>
        <w:t xml:space="preserve">As part of Objective </w:t>
      </w:r>
      <w:r w:rsidR="00F84D66">
        <w:rPr>
          <w:rFonts w:asciiTheme="minorHAnsi" w:hAnsiTheme="minorHAnsi" w:cstheme="minorHAnsi"/>
          <w:lang w:val="en-GB"/>
        </w:rPr>
        <w:t xml:space="preserve">2/outcome </w:t>
      </w:r>
      <w:r w:rsidRPr="00B60E11">
        <w:rPr>
          <w:rFonts w:asciiTheme="minorHAnsi" w:hAnsiTheme="minorHAnsi" w:cstheme="minorHAnsi"/>
          <w:lang w:val="en-GB"/>
        </w:rPr>
        <w:t xml:space="preserve">2.2 of the Buenos Action Plan, and taking into account ITU-D </w:t>
      </w:r>
      <w:r w:rsidR="00F84D66">
        <w:rPr>
          <w:rFonts w:asciiTheme="minorHAnsi" w:hAnsiTheme="minorHAnsi" w:cstheme="minorHAnsi"/>
          <w:lang w:val="en-GB"/>
        </w:rPr>
        <w:t xml:space="preserve">SG2 Question </w:t>
      </w:r>
      <w:r w:rsidRPr="00B60E11">
        <w:rPr>
          <w:rFonts w:asciiTheme="minorHAnsi" w:hAnsiTheme="minorHAnsi" w:cstheme="minorHAnsi"/>
          <w:lang w:val="en-GB"/>
        </w:rPr>
        <w:t xml:space="preserve">3/2 (former Q22/1), ITU is assisting Member States in understanding the legal aspects of cybersecurity through its </w:t>
      </w:r>
      <w:hyperlink r:id="rId30" w:history="1">
        <w:r w:rsidRPr="00B60E11">
          <w:rPr>
            <w:rStyle w:val="Hyperlink"/>
            <w:rFonts w:asciiTheme="minorHAnsi" w:hAnsiTheme="minorHAnsi" w:cstheme="minorHAnsi"/>
            <w:lang w:val="en-GB"/>
          </w:rPr>
          <w:t>ITU Cybercrime Legislation Resources</w:t>
        </w:r>
      </w:hyperlink>
      <w:r w:rsidRPr="00B60E11">
        <w:rPr>
          <w:rFonts w:asciiTheme="minorHAnsi" w:hAnsiTheme="minorHAnsi" w:cstheme="minorHAnsi"/>
          <w:lang w:val="en-GB"/>
        </w:rPr>
        <w:t xml:space="preserve"> in order to help harmonize their legal frameworks.</w:t>
      </w:r>
      <w:r w:rsidR="00E50943" w:rsidRPr="00B60E11">
        <w:rPr>
          <w:rFonts w:asciiTheme="minorHAnsi" w:hAnsiTheme="minorHAnsi" w:cstheme="minorHAnsi"/>
          <w:lang w:val="en-GB"/>
        </w:rPr>
        <w:t xml:space="preserve"> </w:t>
      </w:r>
      <w:r w:rsidR="005128B2" w:rsidRPr="00B60E11">
        <w:rPr>
          <w:rFonts w:asciiTheme="minorHAnsi" w:hAnsiTheme="minorHAnsi" w:cstheme="minorHAnsi"/>
        </w:rPr>
        <w:t xml:space="preserve">In </w:t>
      </w:r>
      <w:r w:rsidR="00E50943" w:rsidRPr="00B60E11">
        <w:rPr>
          <w:rFonts w:asciiTheme="minorHAnsi" w:hAnsiTheme="minorHAnsi" w:cstheme="minorHAnsi"/>
        </w:rPr>
        <w:t xml:space="preserve">the </w:t>
      </w:r>
      <w:r w:rsidR="005128B2" w:rsidRPr="00B60E11">
        <w:rPr>
          <w:rFonts w:asciiTheme="minorHAnsi" w:hAnsiTheme="minorHAnsi" w:cstheme="minorHAnsi"/>
        </w:rPr>
        <w:t>area</w:t>
      </w:r>
      <w:r w:rsidR="00E50943" w:rsidRPr="00B60E11">
        <w:rPr>
          <w:rFonts w:asciiTheme="minorHAnsi" w:hAnsiTheme="minorHAnsi" w:cstheme="minorHAnsi"/>
        </w:rPr>
        <w:t xml:space="preserve"> of Legal Measures</w:t>
      </w:r>
      <w:r w:rsidR="005128B2" w:rsidRPr="00B60E11">
        <w:rPr>
          <w:rFonts w:asciiTheme="minorHAnsi" w:hAnsiTheme="minorHAnsi" w:cstheme="minorHAnsi"/>
        </w:rPr>
        <w:t xml:space="preserve">, </w:t>
      </w:r>
      <w:r w:rsidR="002901FF" w:rsidRPr="00B60E11">
        <w:rPr>
          <w:rFonts w:asciiTheme="minorHAnsi" w:hAnsiTheme="minorHAnsi" w:cstheme="minorHAnsi"/>
        </w:rPr>
        <w:t>ITU collaborates closely with partners such as UNODC and</w:t>
      </w:r>
      <w:r w:rsidR="005128B2" w:rsidRPr="00B60E11">
        <w:rPr>
          <w:rFonts w:asciiTheme="minorHAnsi" w:hAnsiTheme="minorHAnsi" w:cstheme="minorHAnsi"/>
        </w:rPr>
        <w:t xml:space="preserve"> other experts</w:t>
      </w:r>
      <w:r w:rsidR="002901FF" w:rsidRPr="00B60E11">
        <w:rPr>
          <w:rFonts w:asciiTheme="minorHAnsi" w:hAnsiTheme="minorHAnsi" w:cstheme="minorHAnsi"/>
        </w:rPr>
        <w:t>.</w:t>
      </w:r>
    </w:p>
    <w:p w14:paraId="1F2EC0D8" w14:textId="77777777" w:rsidR="002901FF" w:rsidRPr="00B60E11" w:rsidRDefault="002901FF" w:rsidP="000D0F40">
      <w:pPr>
        <w:keepNext/>
        <w:keepLines/>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lastRenderedPageBreak/>
        <w:t>3.</w:t>
      </w:r>
      <w:r w:rsidRPr="00B60E11">
        <w:rPr>
          <w:rFonts w:asciiTheme="minorHAnsi" w:hAnsiTheme="minorHAnsi" w:cstheme="minorHAnsi"/>
          <w:b/>
          <w:bCs/>
          <w:sz w:val="22"/>
          <w:szCs w:val="22"/>
        </w:rPr>
        <w:tab/>
        <w:t>Technical and Procedural Measures</w:t>
      </w:r>
    </w:p>
    <w:p w14:paraId="5FA8E892" w14:textId="042273D5" w:rsidR="002901FF" w:rsidRPr="00B60E11" w:rsidRDefault="002901FF" w:rsidP="000D0F40">
      <w:pPr>
        <w:keepNext/>
        <w:keepLines/>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sz w:val="22"/>
          <w:szCs w:val="22"/>
          <w:lang w:eastAsia="zh-CN"/>
        </w:rPr>
        <w:t>3.1</w:t>
      </w:r>
      <w:r w:rsidRPr="00B60E11">
        <w:rPr>
          <w:rFonts w:asciiTheme="minorHAnsi" w:eastAsia="SimSun" w:hAnsiTheme="minorHAnsi" w:cstheme="minorHAnsi"/>
          <w:sz w:val="22"/>
          <w:szCs w:val="22"/>
          <w:lang w:eastAsia="zh-CN"/>
        </w:rPr>
        <w:tab/>
      </w:r>
      <w:hyperlink r:id="rId31" w:history="1">
        <w:r w:rsidRPr="00B60E11">
          <w:rPr>
            <w:rFonts w:asciiTheme="minorHAnsi" w:eastAsia="SimSun" w:hAnsiTheme="minorHAnsi" w:cstheme="minorHAnsi"/>
            <w:color w:val="0000FF"/>
            <w:sz w:val="22"/>
            <w:szCs w:val="22"/>
            <w:u w:val="single"/>
            <w:lang w:eastAsia="zh-CN"/>
          </w:rPr>
          <w:t>ITU-T SG-17</w:t>
        </w:r>
      </w:hyperlink>
      <w:r w:rsidRPr="00B60E11">
        <w:rPr>
          <w:rFonts w:asciiTheme="minorHAnsi" w:eastAsia="SimSun" w:hAnsiTheme="minorHAnsi" w:cstheme="minorHAnsi"/>
          <w:color w:val="0000FF"/>
          <w:sz w:val="22"/>
          <w:szCs w:val="22"/>
          <w:u w:val="single"/>
          <w:lang w:eastAsia="zh-CN"/>
        </w:rPr>
        <w:t>,</w:t>
      </w:r>
      <w:r w:rsidRPr="00B60E11">
        <w:rPr>
          <w:rFonts w:asciiTheme="minorHAnsi" w:eastAsia="SimSun" w:hAnsiTheme="minorHAnsi" w:cstheme="minorHAnsi"/>
          <w:sz w:val="22"/>
          <w:szCs w:val="22"/>
          <w:lang w:eastAsia="zh-CN"/>
        </w:rPr>
        <w:t xml:space="preserve"> the lead study group on security and identity management (</w:t>
      </w:r>
      <w:proofErr w:type="spellStart"/>
      <w:r w:rsidRPr="00B60E11">
        <w:rPr>
          <w:rFonts w:asciiTheme="minorHAnsi" w:eastAsia="SimSun" w:hAnsiTheme="minorHAnsi" w:cstheme="minorHAnsi"/>
          <w:sz w:val="22"/>
          <w:szCs w:val="22"/>
          <w:lang w:eastAsia="zh-CN"/>
        </w:rPr>
        <w:t>IdM</w:t>
      </w:r>
      <w:proofErr w:type="spellEnd"/>
      <w:r w:rsidRPr="00B60E11">
        <w:rPr>
          <w:rFonts w:asciiTheme="minorHAnsi" w:eastAsia="SimSun" w:hAnsiTheme="minorHAnsi" w:cstheme="minorHAnsi"/>
          <w:sz w:val="22"/>
          <w:szCs w:val="22"/>
          <w:lang w:eastAsia="zh-CN"/>
        </w:rPr>
        <w:t xml:space="preserve">), </w:t>
      </w:r>
      <w:r w:rsidRPr="00B60E11">
        <w:rPr>
          <w:rFonts w:asciiTheme="minorHAnsi" w:eastAsia="SimSun" w:hAnsiTheme="minorHAnsi" w:cstheme="minorHAnsi"/>
          <w:bCs/>
          <w:spacing w:val="2"/>
          <w:sz w:val="22"/>
          <w:szCs w:val="22"/>
          <w:lang w:eastAsia="zh-CN"/>
        </w:rPr>
        <w:t xml:space="preserve">continues to be instrumental in </w:t>
      </w:r>
      <w:r w:rsidR="00254E46" w:rsidRPr="00B60E11">
        <w:rPr>
          <w:rFonts w:asciiTheme="minorHAnsi" w:eastAsia="SimSun" w:hAnsiTheme="minorHAnsi" w:cstheme="minorHAnsi"/>
          <w:bCs/>
          <w:spacing w:val="2"/>
          <w:sz w:val="22"/>
          <w:szCs w:val="22"/>
          <w:lang w:eastAsia="zh-CN"/>
        </w:rPr>
        <w:t xml:space="preserve">the </w:t>
      </w:r>
      <w:r w:rsidRPr="00B60E11">
        <w:rPr>
          <w:rFonts w:asciiTheme="minorHAnsi" w:eastAsia="SimSun" w:hAnsiTheme="minorHAnsi" w:cstheme="minorHAnsi"/>
          <w:bCs/>
          <w:spacing w:val="2"/>
          <w:sz w:val="22"/>
          <w:szCs w:val="22"/>
          <w:lang w:eastAsia="zh-CN"/>
        </w:rPr>
        <w:t xml:space="preserve">study and standardization of cybersecurity, anti-spam, </w:t>
      </w:r>
      <w:proofErr w:type="spellStart"/>
      <w:r w:rsidRPr="00B60E11">
        <w:rPr>
          <w:rFonts w:asciiTheme="minorHAnsi" w:eastAsia="SimSun" w:hAnsiTheme="minorHAnsi" w:cstheme="minorHAnsi"/>
          <w:bCs/>
          <w:spacing w:val="2"/>
          <w:sz w:val="22"/>
          <w:szCs w:val="22"/>
          <w:lang w:eastAsia="zh-CN"/>
        </w:rPr>
        <w:t>IdM</w:t>
      </w:r>
      <w:proofErr w:type="spellEnd"/>
      <w:r w:rsidRPr="00B60E11">
        <w:rPr>
          <w:rFonts w:asciiTheme="minorHAnsi" w:eastAsia="SimSun" w:hAnsiTheme="minorHAnsi" w:cstheme="minorHAnsi"/>
          <w:bCs/>
          <w:sz w:val="22"/>
          <w:szCs w:val="22"/>
          <w:lang w:eastAsia="zh-CN"/>
        </w:rPr>
        <w:t xml:space="preserve">, ITU-T X.509 certificates, information security management, ubiquitous sensors networks, </w:t>
      </w:r>
      <w:proofErr w:type="spellStart"/>
      <w:r w:rsidRPr="00B60E11">
        <w:rPr>
          <w:rFonts w:asciiTheme="minorHAnsi" w:eastAsia="SimSun" w:hAnsiTheme="minorHAnsi" w:cstheme="minorHAnsi"/>
          <w:bCs/>
          <w:sz w:val="22"/>
          <w:szCs w:val="22"/>
          <w:lang w:eastAsia="zh-CN"/>
        </w:rPr>
        <w:t>telebiometrics</w:t>
      </w:r>
      <w:proofErr w:type="spellEnd"/>
      <w:r w:rsidRPr="00B60E11">
        <w:rPr>
          <w:rFonts w:asciiTheme="minorHAnsi" w:eastAsia="SimSun" w:hAnsiTheme="minorHAnsi" w:cstheme="minorHAnsi"/>
          <w:bCs/>
          <w:sz w:val="22"/>
          <w:szCs w:val="22"/>
          <w:lang w:eastAsia="zh-CN"/>
        </w:rPr>
        <w:t xml:space="preserve">, mobile security, virtualization security towards cloud computing security, </w:t>
      </w:r>
      <w:r w:rsidRPr="00B60E11">
        <w:rPr>
          <w:rFonts w:asciiTheme="minorHAnsi" w:hAnsiTheme="minorHAnsi" w:cstheme="minorHAnsi"/>
          <w:sz w:val="22"/>
          <w:szCs w:val="22"/>
        </w:rPr>
        <w:t xml:space="preserve">personally identifiable information protection </w:t>
      </w:r>
      <w:r w:rsidRPr="00B60E11">
        <w:rPr>
          <w:rFonts w:asciiTheme="minorHAnsi" w:eastAsia="SimSun" w:hAnsiTheme="minorHAnsi" w:cstheme="minorHAnsi"/>
          <w:bCs/>
          <w:sz w:val="22"/>
          <w:szCs w:val="22"/>
          <w:lang w:eastAsia="zh-CN"/>
        </w:rPr>
        <w:t xml:space="preserve">and security architecture and application security, </w:t>
      </w:r>
      <w:r w:rsidR="0088670E" w:rsidRPr="00B60E11">
        <w:rPr>
          <w:rFonts w:asciiTheme="minorHAnsi" w:eastAsia="SimSun" w:hAnsiTheme="minorHAnsi" w:cstheme="minorHAnsi"/>
          <w:bCs/>
          <w:sz w:val="22"/>
          <w:szCs w:val="22"/>
          <w:lang w:eastAsia="zh-CN"/>
        </w:rPr>
        <w:t>together</w:t>
      </w:r>
      <w:r w:rsidR="00FD0102" w:rsidRPr="00B60E11">
        <w:rPr>
          <w:rFonts w:asciiTheme="minorHAnsi" w:eastAsia="SimSun" w:hAnsiTheme="minorHAnsi" w:cstheme="minorHAnsi"/>
          <w:bCs/>
          <w:sz w:val="22"/>
          <w:szCs w:val="22"/>
          <w:lang w:eastAsia="zh-CN"/>
        </w:rPr>
        <w:t xml:space="preserve"> </w:t>
      </w:r>
      <w:r w:rsidRPr="00B60E11">
        <w:rPr>
          <w:rFonts w:asciiTheme="minorHAnsi" w:eastAsia="SimSun" w:hAnsiTheme="minorHAnsi" w:cstheme="minorHAnsi"/>
          <w:bCs/>
          <w:sz w:val="22"/>
          <w:szCs w:val="22"/>
          <w:lang w:eastAsia="zh-CN"/>
        </w:rPr>
        <w:t>with external Standards Developing Organizations</w:t>
      </w:r>
      <w:r w:rsidR="00FD0102" w:rsidRPr="00B60E11">
        <w:rPr>
          <w:rFonts w:asciiTheme="minorHAnsi" w:eastAsia="SimSun" w:hAnsiTheme="minorHAnsi" w:cstheme="minorHAnsi"/>
          <w:bCs/>
          <w:sz w:val="22"/>
          <w:szCs w:val="22"/>
          <w:lang w:eastAsia="zh-CN"/>
        </w:rPr>
        <w:t>.</w:t>
      </w:r>
      <w:r w:rsidRPr="00B60E11">
        <w:rPr>
          <w:rFonts w:asciiTheme="minorHAnsi" w:eastAsia="SimSun" w:hAnsiTheme="minorHAnsi" w:cstheme="minorHAnsi"/>
          <w:bCs/>
          <w:sz w:val="22"/>
          <w:szCs w:val="22"/>
          <w:lang w:eastAsia="zh-CN"/>
        </w:rPr>
        <w:t xml:space="preserve"> </w:t>
      </w:r>
    </w:p>
    <w:p w14:paraId="6DEF1B87" w14:textId="0CBA1048" w:rsidR="002901FF" w:rsidRPr="00B60E11" w:rsidRDefault="002901FF" w:rsidP="00CB51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B60E11">
        <w:rPr>
          <w:rFonts w:asciiTheme="minorHAnsi" w:eastAsia="SimSun" w:hAnsiTheme="minorHAnsi" w:cstheme="minorHAnsi"/>
          <w:bCs/>
          <w:sz w:val="22"/>
          <w:szCs w:val="22"/>
          <w:lang w:eastAsia="zh-CN"/>
        </w:rPr>
        <w:t>3.2</w:t>
      </w:r>
      <w:r w:rsidRPr="00B60E11">
        <w:rPr>
          <w:rFonts w:asciiTheme="minorHAnsi" w:eastAsia="SimSun" w:hAnsiTheme="minorHAnsi" w:cstheme="minorHAnsi"/>
          <w:bCs/>
          <w:sz w:val="22"/>
          <w:szCs w:val="22"/>
          <w:lang w:eastAsia="zh-CN"/>
        </w:rPr>
        <w:tab/>
      </w:r>
      <w:r w:rsidRPr="00B60E11">
        <w:rPr>
          <w:rFonts w:asciiTheme="minorHAnsi" w:hAnsiTheme="minorHAnsi" w:cstheme="minorHAnsi"/>
          <w:bCs/>
          <w:sz w:val="22"/>
          <w:szCs w:val="22"/>
        </w:rPr>
        <w:t xml:space="preserve">Since the last report to </w:t>
      </w:r>
      <w:r w:rsidR="00C67614" w:rsidRPr="00B60E11">
        <w:rPr>
          <w:rFonts w:asciiTheme="minorHAnsi" w:hAnsiTheme="minorHAnsi" w:cstheme="minorHAnsi"/>
          <w:bCs/>
          <w:sz w:val="22"/>
          <w:szCs w:val="22"/>
        </w:rPr>
        <w:t xml:space="preserve">the </w:t>
      </w:r>
      <w:r w:rsidRPr="00B60E11">
        <w:rPr>
          <w:rFonts w:asciiTheme="minorHAnsi" w:hAnsiTheme="minorHAnsi" w:cstheme="minorHAnsi"/>
          <w:bCs/>
          <w:sz w:val="22"/>
          <w:szCs w:val="22"/>
        </w:rPr>
        <w:t xml:space="preserve">Council, SG17 held </w:t>
      </w:r>
      <w:r w:rsidR="00EA1B59" w:rsidRPr="00B60E11">
        <w:rPr>
          <w:rFonts w:asciiTheme="minorHAnsi" w:hAnsiTheme="minorHAnsi" w:cstheme="minorHAnsi"/>
          <w:bCs/>
          <w:sz w:val="22"/>
          <w:szCs w:val="22"/>
        </w:rPr>
        <w:t>one</w:t>
      </w:r>
      <w:r w:rsidR="00422BCE" w:rsidRPr="00B60E11">
        <w:rPr>
          <w:rFonts w:asciiTheme="minorHAnsi" w:hAnsiTheme="minorHAnsi" w:cstheme="minorHAnsi"/>
          <w:bCs/>
          <w:sz w:val="22"/>
          <w:szCs w:val="22"/>
        </w:rPr>
        <w:t xml:space="preserve"> </w:t>
      </w:r>
      <w:r w:rsidRPr="00B60E11">
        <w:rPr>
          <w:rFonts w:asciiTheme="minorHAnsi" w:hAnsiTheme="minorHAnsi" w:cstheme="minorHAnsi"/>
          <w:bCs/>
          <w:sz w:val="22"/>
          <w:szCs w:val="22"/>
        </w:rPr>
        <w:t>meetin</w:t>
      </w:r>
      <w:r w:rsidR="006D6E6D" w:rsidRPr="00B60E11">
        <w:rPr>
          <w:rFonts w:asciiTheme="minorHAnsi" w:hAnsiTheme="minorHAnsi" w:cstheme="minorHAnsi"/>
          <w:bCs/>
          <w:sz w:val="22"/>
          <w:szCs w:val="22"/>
        </w:rPr>
        <w:t>g</w:t>
      </w:r>
      <w:r w:rsidR="001E2D15" w:rsidRPr="00B60E11">
        <w:rPr>
          <w:rFonts w:asciiTheme="minorHAnsi" w:hAnsiTheme="minorHAnsi" w:cstheme="minorHAnsi"/>
          <w:bCs/>
          <w:sz w:val="22"/>
          <w:szCs w:val="22"/>
        </w:rPr>
        <w:t xml:space="preserve"> in</w:t>
      </w:r>
      <w:r w:rsidR="006D6E6D" w:rsidRPr="00B60E11">
        <w:rPr>
          <w:rFonts w:asciiTheme="minorHAnsi" w:hAnsiTheme="minorHAnsi" w:cstheme="minorHAnsi"/>
          <w:bCs/>
          <w:sz w:val="22"/>
          <w:szCs w:val="22"/>
        </w:rPr>
        <w:t xml:space="preserve"> </w:t>
      </w:r>
      <w:r w:rsidR="00422BCE" w:rsidRPr="00B60E11">
        <w:rPr>
          <w:rFonts w:asciiTheme="minorHAnsi" w:hAnsiTheme="minorHAnsi" w:cstheme="minorHAnsi"/>
          <w:bCs/>
          <w:sz w:val="22"/>
          <w:szCs w:val="22"/>
        </w:rPr>
        <w:t xml:space="preserve">September 2019 </w:t>
      </w:r>
      <w:r w:rsidR="00EA1B59" w:rsidRPr="00B60E11">
        <w:rPr>
          <w:rFonts w:asciiTheme="minorHAnsi" w:hAnsiTheme="minorHAnsi" w:cstheme="minorHAnsi"/>
          <w:bCs/>
          <w:sz w:val="22"/>
          <w:szCs w:val="22"/>
        </w:rPr>
        <w:t>where</w:t>
      </w:r>
      <w:r w:rsidRPr="00B60E11">
        <w:rPr>
          <w:rFonts w:asciiTheme="minorHAnsi" w:hAnsiTheme="minorHAnsi" w:cstheme="minorHAnsi"/>
          <w:bCs/>
          <w:sz w:val="22"/>
          <w:szCs w:val="22"/>
        </w:rPr>
        <w:t xml:space="preserve"> </w:t>
      </w:r>
      <w:r w:rsidR="00A51E79" w:rsidRPr="00B60E11">
        <w:rPr>
          <w:rFonts w:asciiTheme="minorHAnsi" w:hAnsiTheme="minorHAnsi" w:cstheme="minorHAnsi"/>
          <w:sz w:val="22"/>
          <w:szCs w:val="22"/>
        </w:rPr>
        <w:t xml:space="preserve">SG17 established </w:t>
      </w:r>
      <w:hyperlink r:id="rId32" w:history="1">
        <w:r w:rsidR="00EA1B59" w:rsidRPr="00B60E11">
          <w:rPr>
            <w:rStyle w:val="Hyperlink"/>
            <w:rFonts w:asciiTheme="minorHAnsi" w:hAnsiTheme="minorHAnsi" w:cstheme="minorHAnsi"/>
            <w:sz w:val="22"/>
            <w:szCs w:val="22"/>
          </w:rPr>
          <w:t>25 new standardization work items</w:t>
        </w:r>
      </w:hyperlink>
      <w:r w:rsidR="00A51E79" w:rsidRPr="00B60E11">
        <w:rPr>
          <w:rFonts w:asciiTheme="minorHAnsi" w:hAnsiTheme="minorHAnsi" w:cstheme="minorHAnsi"/>
          <w:sz w:val="22"/>
          <w:szCs w:val="22"/>
        </w:rPr>
        <w:t xml:space="preserve">. </w:t>
      </w:r>
      <w:r w:rsidRPr="00B60E11">
        <w:rPr>
          <w:rFonts w:asciiTheme="minorHAnsi" w:hAnsiTheme="minorHAnsi" w:cstheme="minorHAnsi"/>
          <w:sz w:val="22"/>
          <w:szCs w:val="22"/>
          <w:lang w:val="en-US"/>
        </w:rPr>
        <w:t xml:space="preserve">SG17 approved </w:t>
      </w:r>
      <w:r w:rsidR="00172C14" w:rsidRPr="00B60E11">
        <w:rPr>
          <w:rFonts w:asciiTheme="minorHAnsi" w:hAnsiTheme="minorHAnsi" w:cstheme="minorHAnsi"/>
          <w:sz w:val="22"/>
          <w:szCs w:val="22"/>
          <w:lang w:val="en-US"/>
        </w:rPr>
        <w:t xml:space="preserve">30+ </w:t>
      </w:r>
      <w:r w:rsidRPr="00B60E11">
        <w:rPr>
          <w:rFonts w:asciiTheme="minorHAnsi" w:hAnsiTheme="minorHAnsi" w:cstheme="minorHAnsi"/>
          <w:sz w:val="22"/>
          <w:szCs w:val="22"/>
          <w:lang w:val="en-US"/>
        </w:rPr>
        <w:t xml:space="preserve">new or revised ITU-T Recommendations on ICT security, namely: </w:t>
      </w:r>
      <w:r w:rsidR="00172C14" w:rsidRPr="00B60E11">
        <w:rPr>
          <w:rFonts w:asciiTheme="minorHAnsi" w:hAnsiTheme="minorHAnsi" w:cstheme="minorHAnsi"/>
          <w:sz w:val="22"/>
          <w:szCs w:val="22"/>
          <w:lang w:val="en-US"/>
        </w:rPr>
        <w:t>9</w:t>
      </w:r>
      <w:r w:rsidR="00172C14" w:rsidRPr="000D0F40">
        <w:rPr>
          <w:rFonts w:asciiTheme="minorHAnsi" w:hAnsiTheme="minorHAnsi" w:cstheme="minorHAnsi"/>
          <w:sz w:val="22"/>
          <w:szCs w:val="22"/>
          <w:lang w:val="en-US"/>
        </w:rPr>
        <w:t>th</w:t>
      </w:r>
      <w:r w:rsidR="00172C14" w:rsidRPr="00B60E11">
        <w:rPr>
          <w:rFonts w:asciiTheme="minorHAnsi" w:hAnsiTheme="minorHAnsi" w:cstheme="minorHAnsi"/>
          <w:sz w:val="22"/>
          <w:szCs w:val="22"/>
          <w:lang w:val="en-US"/>
        </w:rPr>
        <w:t xml:space="preserve"> edition of </w:t>
      </w:r>
      <w:r w:rsidR="00CB51C5" w:rsidRPr="00B60E11">
        <w:rPr>
          <w:rFonts w:asciiTheme="minorHAnsi" w:hAnsiTheme="minorHAnsi" w:cstheme="minorHAnsi"/>
          <w:sz w:val="22"/>
          <w:szCs w:val="22"/>
          <w:lang w:val="en-US"/>
        </w:rPr>
        <w:t xml:space="preserve">the cornerstone standards for cybersecurity X.500-series Recommendations on public key infrastructure, </w:t>
      </w:r>
      <w:r w:rsidR="00DC22DE" w:rsidRPr="00B60E11">
        <w:rPr>
          <w:rFonts w:asciiTheme="minorHAnsi" w:hAnsiTheme="minorHAnsi" w:cstheme="minorHAnsi"/>
          <w:sz w:val="22"/>
          <w:szCs w:val="22"/>
          <w:lang w:val="en-US"/>
        </w:rPr>
        <w:t>X.1044 “</w:t>
      </w:r>
      <w:r w:rsidR="00CB51C5" w:rsidRPr="00B60E11">
        <w:rPr>
          <w:rFonts w:asciiTheme="minorHAnsi" w:hAnsiTheme="minorHAnsi" w:cstheme="minorHAnsi"/>
          <w:sz w:val="22"/>
          <w:szCs w:val="22"/>
          <w:lang w:val="en-US"/>
        </w:rPr>
        <w:t>Security requirements of network virtualization</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X.1045 ”</w:t>
      </w:r>
      <w:r w:rsidR="00CB51C5" w:rsidRPr="00B60E11">
        <w:rPr>
          <w:rFonts w:asciiTheme="minorHAnsi" w:hAnsiTheme="minorHAnsi" w:cstheme="minorHAnsi"/>
          <w:sz w:val="22"/>
          <w:szCs w:val="22"/>
          <w:lang w:val="en-US"/>
        </w:rPr>
        <w:t>Security service chain architecture for networks and applications</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X.1059 “</w:t>
      </w:r>
      <w:r w:rsidR="00CB51C5" w:rsidRPr="00B60E11">
        <w:rPr>
          <w:rFonts w:asciiTheme="minorHAnsi" w:hAnsiTheme="minorHAnsi" w:cstheme="minorHAnsi"/>
          <w:sz w:val="22"/>
          <w:szCs w:val="22"/>
          <w:lang w:val="en-US"/>
        </w:rPr>
        <w:t>Implementation guidance for telecommunications organizations on risk management of their assets globally accessible in IP-based networks</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X.1702 “</w:t>
      </w:r>
      <w:r w:rsidR="00CB51C5" w:rsidRPr="00B60E11">
        <w:rPr>
          <w:rFonts w:asciiTheme="minorHAnsi" w:hAnsiTheme="minorHAnsi" w:cstheme="minorHAnsi"/>
          <w:sz w:val="22"/>
          <w:szCs w:val="22"/>
          <w:lang w:val="en-US"/>
        </w:rPr>
        <w:t>Quantum noise random number generator architecture</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X.1232 “</w:t>
      </w:r>
      <w:r w:rsidR="00CB51C5" w:rsidRPr="00B60E11">
        <w:rPr>
          <w:rFonts w:asciiTheme="minorHAnsi" w:hAnsiTheme="minorHAnsi" w:cstheme="minorHAnsi"/>
          <w:sz w:val="22"/>
          <w:szCs w:val="22"/>
          <w:lang w:val="en-US"/>
        </w:rPr>
        <w:t>Technical framework for countering advertising spam in user generated information</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w:t>
      </w:r>
      <w:r w:rsidR="00DC22DE" w:rsidRPr="00B60E11">
        <w:rPr>
          <w:rFonts w:asciiTheme="minorHAnsi" w:hAnsiTheme="minorHAnsi" w:cstheme="minorHAnsi"/>
          <w:sz w:val="22"/>
          <w:szCs w:val="22"/>
          <w:lang w:val="en-US"/>
        </w:rPr>
        <w:t xml:space="preserve"> X.677  “</w:t>
      </w:r>
      <w:r w:rsidR="00CB51C5" w:rsidRPr="00B60E11">
        <w:rPr>
          <w:rFonts w:asciiTheme="minorHAnsi" w:hAnsiTheme="minorHAnsi" w:cstheme="minorHAnsi"/>
          <w:sz w:val="22"/>
          <w:szCs w:val="22"/>
          <w:lang w:val="en-US"/>
        </w:rPr>
        <w:t>Identification mechanism for unmanned aerial vehicles using object identifiers</w:t>
      </w:r>
      <w:r w:rsidR="00DC22DE" w:rsidRPr="00B60E11">
        <w:rPr>
          <w:rFonts w:asciiTheme="minorHAnsi" w:hAnsiTheme="minorHAnsi" w:cstheme="minorHAnsi"/>
          <w:sz w:val="22"/>
          <w:szCs w:val="22"/>
          <w:lang w:val="en-US"/>
        </w:rPr>
        <w:t>”</w:t>
      </w:r>
      <w:r w:rsidR="00CB51C5"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X.1402 “</w:t>
      </w:r>
      <w:r w:rsidR="00CB51C5" w:rsidRPr="00B60E11">
        <w:rPr>
          <w:rFonts w:asciiTheme="minorHAnsi" w:hAnsiTheme="minorHAnsi" w:cstheme="minorHAnsi"/>
          <w:sz w:val="22"/>
          <w:szCs w:val="22"/>
          <w:lang w:val="en-US"/>
        </w:rPr>
        <w:t>Security threats to distributed ledger technology</w:t>
      </w:r>
      <w:r w:rsidR="00DC22DE" w:rsidRPr="00B60E11">
        <w:rPr>
          <w:rFonts w:asciiTheme="minorHAnsi" w:hAnsiTheme="minorHAnsi" w:cstheme="minorHAnsi"/>
          <w:sz w:val="22"/>
          <w:szCs w:val="22"/>
          <w:lang w:val="en-US"/>
        </w:rPr>
        <w:t>”</w:t>
      </w:r>
      <w:r w:rsidR="00EA1B59" w:rsidRPr="00B60E11">
        <w:rPr>
          <w:rFonts w:asciiTheme="minorHAnsi" w:hAnsiTheme="minorHAnsi" w:cstheme="minorHAnsi"/>
          <w:sz w:val="22"/>
          <w:szCs w:val="22"/>
          <w:lang w:val="en-US"/>
        </w:rPr>
        <w:t xml:space="preserve">, </w:t>
      </w:r>
      <w:r w:rsidR="00DC22DE" w:rsidRPr="00B60E11">
        <w:rPr>
          <w:rFonts w:asciiTheme="minorHAnsi" w:hAnsiTheme="minorHAnsi" w:cstheme="minorHAnsi"/>
          <w:sz w:val="22"/>
          <w:szCs w:val="22"/>
          <w:lang w:val="en-US"/>
        </w:rPr>
        <w:t>X.1197 A</w:t>
      </w:r>
      <w:r w:rsidR="00F84D66">
        <w:rPr>
          <w:rFonts w:asciiTheme="minorHAnsi" w:hAnsiTheme="minorHAnsi" w:cstheme="minorHAnsi"/>
          <w:sz w:val="22"/>
          <w:szCs w:val="22"/>
          <w:lang w:val="en-US"/>
        </w:rPr>
        <w:t xml:space="preserve">mendment </w:t>
      </w:r>
      <w:r w:rsidR="00DC22DE" w:rsidRPr="00B60E11">
        <w:rPr>
          <w:rFonts w:asciiTheme="minorHAnsi" w:hAnsiTheme="minorHAnsi" w:cstheme="minorHAnsi"/>
          <w:sz w:val="22"/>
          <w:szCs w:val="22"/>
          <w:lang w:val="en-US"/>
        </w:rPr>
        <w:t>1 “</w:t>
      </w:r>
      <w:r w:rsidR="00656BCA" w:rsidRPr="00B60E11">
        <w:rPr>
          <w:rFonts w:asciiTheme="minorHAnsi" w:hAnsiTheme="minorHAnsi" w:cstheme="minorHAnsi"/>
          <w:sz w:val="22"/>
          <w:szCs w:val="22"/>
        </w:rPr>
        <w:t>Revised guidelines on criteria for selecting cryptographic algorithms for IPTV service and content protection</w:t>
      </w:r>
      <w:r w:rsidR="00DC22DE" w:rsidRPr="00B60E11">
        <w:rPr>
          <w:rFonts w:asciiTheme="minorHAnsi" w:hAnsiTheme="minorHAnsi" w:cstheme="minorHAnsi"/>
          <w:sz w:val="22"/>
          <w:szCs w:val="22"/>
        </w:rPr>
        <w:t>”</w:t>
      </w:r>
      <w:r w:rsidR="00656BCA" w:rsidRPr="00B60E11">
        <w:rPr>
          <w:rFonts w:asciiTheme="minorHAnsi" w:hAnsiTheme="minorHAnsi" w:cstheme="minorHAnsi"/>
          <w:sz w:val="22"/>
          <w:szCs w:val="22"/>
        </w:rPr>
        <w:t xml:space="preserve">, </w:t>
      </w:r>
      <w:r w:rsidR="00DC22DE" w:rsidRPr="00B60E11">
        <w:rPr>
          <w:rFonts w:asciiTheme="minorHAnsi" w:hAnsiTheme="minorHAnsi" w:cstheme="minorHAnsi"/>
          <w:sz w:val="22"/>
          <w:szCs w:val="22"/>
        </w:rPr>
        <w:t>X.694</w:t>
      </w:r>
      <w:r w:rsidR="00656BCA" w:rsidRPr="00B60E11">
        <w:rPr>
          <w:rFonts w:asciiTheme="minorHAnsi" w:hAnsiTheme="minorHAnsi" w:cstheme="minorHAnsi"/>
          <w:sz w:val="22"/>
          <w:szCs w:val="22"/>
        </w:rPr>
        <w:t xml:space="preserve"> </w:t>
      </w:r>
      <w:r w:rsidR="00DC22DE" w:rsidRPr="00B60E11">
        <w:rPr>
          <w:rFonts w:asciiTheme="minorHAnsi" w:hAnsiTheme="minorHAnsi" w:cstheme="minorHAnsi"/>
          <w:sz w:val="22"/>
          <w:szCs w:val="22"/>
        </w:rPr>
        <w:t xml:space="preserve">Cor.1 and X.893 Cor.1 on </w:t>
      </w:r>
      <w:r w:rsidR="00656BCA" w:rsidRPr="00B60E11">
        <w:rPr>
          <w:rFonts w:asciiTheme="minorHAnsi" w:hAnsiTheme="minorHAnsi" w:cstheme="minorHAnsi"/>
          <w:sz w:val="22"/>
          <w:szCs w:val="22"/>
        </w:rPr>
        <w:t xml:space="preserve">ASN.1, </w:t>
      </w:r>
      <w:r w:rsidR="00DC22DE" w:rsidRPr="00B60E11">
        <w:rPr>
          <w:rFonts w:asciiTheme="minorHAnsi" w:hAnsiTheme="minorHAnsi" w:cstheme="minorHAnsi"/>
          <w:sz w:val="22"/>
          <w:szCs w:val="22"/>
        </w:rPr>
        <w:t xml:space="preserve">revised Z.100-series on </w:t>
      </w:r>
      <w:r w:rsidR="00656BCA" w:rsidRPr="00B60E11">
        <w:rPr>
          <w:rFonts w:asciiTheme="minorHAnsi" w:hAnsiTheme="minorHAnsi" w:cstheme="minorHAnsi"/>
          <w:sz w:val="22"/>
          <w:szCs w:val="22"/>
        </w:rPr>
        <w:t>SDL and</w:t>
      </w:r>
      <w:r w:rsidR="00DC22DE" w:rsidRPr="00B60E11">
        <w:rPr>
          <w:rFonts w:asciiTheme="minorHAnsi" w:hAnsiTheme="minorHAnsi" w:cstheme="minorHAnsi"/>
          <w:sz w:val="22"/>
          <w:szCs w:val="22"/>
        </w:rPr>
        <w:t xml:space="preserve"> revised Z.160-series on</w:t>
      </w:r>
      <w:r w:rsidR="00656BCA" w:rsidRPr="00B60E11">
        <w:rPr>
          <w:rFonts w:asciiTheme="minorHAnsi" w:hAnsiTheme="minorHAnsi" w:cstheme="minorHAnsi"/>
          <w:sz w:val="22"/>
          <w:szCs w:val="22"/>
        </w:rPr>
        <w:t xml:space="preserve"> T</w:t>
      </w:r>
      <w:r w:rsidR="00F84D66">
        <w:rPr>
          <w:rFonts w:asciiTheme="minorHAnsi" w:hAnsiTheme="minorHAnsi" w:cstheme="minorHAnsi"/>
          <w:sz w:val="22"/>
          <w:szCs w:val="22"/>
        </w:rPr>
        <w:t>esting and Test Control Notation Version 3 (T</w:t>
      </w:r>
      <w:r w:rsidR="00656BCA" w:rsidRPr="00B60E11">
        <w:rPr>
          <w:rFonts w:asciiTheme="minorHAnsi" w:hAnsiTheme="minorHAnsi" w:cstheme="minorHAnsi"/>
          <w:sz w:val="22"/>
          <w:szCs w:val="22"/>
        </w:rPr>
        <w:t>TCN-3</w:t>
      </w:r>
      <w:r w:rsidR="00F84D66">
        <w:rPr>
          <w:rFonts w:asciiTheme="minorHAnsi" w:hAnsiTheme="minorHAnsi" w:cstheme="minorHAnsi"/>
          <w:sz w:val="22"/>
          <w:szCs w:val="22"/>
        </w:rPr>
        <w:t>)</w:t>
      </w:r>
      <w:r w:rsidR="00DC22DE" w:rsidRPr="00B60E11">
        <w:rPr>
          <w:rFonts w:asciiTheme="minorHAnsi" w:hAnsiTheme="minorHAnsi" w:cstheme="minorHAnsi"/>
          <w:sz w:val="22"/>
          <w:szCs w:val="22"/>
        </w:rPr>
        <w:t>. SG17 also approved</w:t>
      </w:r>
      <w:r w:rsidR="00656BCA" w:rsidRPr="00B60E11">
        <w:rPr>
          <w:rFonts w:asciiTheme="minorHAnsi" w:hAnsiTheme="minorHAnsi" w:cstheme="minorHAnsi"/>
          <w:sz w:val="22"/>
          <w:szCs w:val="22"/>
        </w:rPr>
        <w:t xml:space="preserve"> </w:t>
      </w:r>
      <w:r w:rsidRPr="00B60E11">
        <w:rPr>
          <w:rFonts w:asciiTheme="minorHAnsi" w:hAnsiTheme="minorHAnsi" w:cstheme="minorHAnsi"/>
          <w:sz w:val="22"/>
          <w:szCs w:val="22"/>
          <w:lang w:val="en-US"/>
        </w:rPr>
        <w:t xml:space="preserve">a </w:t>
      </w:r>
      <w:r w:rsidR="00EA1B59" w:rsidRPr="00B60E11">
        <w:rPr>
          <w:rFonts w:asciiTheme="minorHAnsi" w:hAnsiTheme="minorHAnsi" w:cstheme="minorHAnsi"/>
          <w:sz w:val="22"/>
          <w:szCs w:val="22"/>
        </w:rPr>
        <w:t xml:space="preserve">new </w:t>
      </w:r>
      <w:r w:rsidR="00EA1B59" w:rsidRPr="00B60E11">
        <w:rPr>
          <w:rFonts w:asciiTheme="minorHAnsi" w:hAnsiTheme="minorHAnsi" w:cstheme="minorHAnsi"/>
          <w:sz w:val="22"/>
          <w:szCs w:val="22"/>
          <w:lang w:val="en-US"/>
        </w:rPr>
        <w:t xml:space="preserve">Supplement on use cases of </w:t>
      </w:r>
      <w:r w:rsidR="00F84D66">
        <w:rPr>
          <w:rFonts w:asciiTheme="minorHAnsi" w:hAnsiTheme="minorHAnsi" w:cstheme="minorHAnsi"/>
          <w:sz w:val="22"/>
          <w:szCs w:val="22"/>
          <w:lang w:val="en-US"/>
        </w:rPr>
        <w:t>E</w:t>
      </w:r>
      <w:r w:rsidR="00EA1B59" w:rsidRPr="00B60E11">
        <w:rPr>
          <w:rFonts w:asciiTheme="minorHAnsi" w:hAnsiTheme="minorHAnsi" w:cstheme="minorHAnsi"/>
          <w:sz w:val="22"/>
          <w:szCs w:val="22"/>
          <w:lang w:val="en-US"/>
        </w:rPr>
        <w:t xml:space="preserve">ntity </w:t>
      </w:r>
      <w:r w:rsidR="00F84D66">
        <w:rPr>
          <w:rFonts w:asciiTheme="minorHAnsi" w:hAnsiTheme="minorHAnsi" w:cstheme="minorHAnsi"/>
          <w:sz w:val="22"/>
          <w:szCs w:val="22"/>
          <w:lang w:val="en-US"/>
        </w:rPr>
        <w:t>A</w:t>
      </w:r>
      <w:r w:rsidR="00EA1B59" w:rsidRPr="00B60E11">
        <w:rPr>
          <w:rFonts w:asciiTheme="minorHAnsi" w:hAnsiTheme="minorHAnsi" w:cstheme="minorHAnsi"/>
          <w:sz w:val="22"/>
          <w:szCs w:val="22"/>
          <w:lang w:val="en-US"/>
        </w:rPr>
        <w:t xml:space="preserve">uthentication </w:t>
      </w:r>
      <w:r w:rsidR="00F84D66">
        <w:rPr>
          <w:rFonts w:asciiTheme="minorHAnsi" w:hAnsiTheme="minorHAnsi" w:cstheme="minorHAnsi"/>
          <w:sz w:val="22"/>
          <w:szCs w:val="22"/>
          <w:lang w:val="en-US"/>
        </w:rPr>
        <w:t>A</w:t>
      </w:r>
      <w:r w:rsidR="00EA1B59" w:rsidRPr="00B60E11">
        <w:rPr>
          <w:rFonts w:asciiTheme="minorHAnsi" w:hAnsiTheme="minorHAnsi" w:cstheme="minorHAnsi"/>
          <w:sz w:val="22"/>
          <w:szCs w:val="22"/>
          <w:lang w:val="en-US"/>
        </w:rPr>
        <w:t>ssurance (EAA) framework</w:t>
      </w:r>
      <w:r w:rsidR="00DC22DE" w:rsidRPr="00B60E11">
        <w:rPr>
          <w:rFonts w:asciiTheme="minorHAnsi" w:hAnsiTheme="minorHAnsi" w:cstheme="minorHAnsi"/>
          <w:sz w:val="22"/>
          <w:szCs w:val="22"/>
          <w:lang w:val="en-US"/>
        </w:rPr>
        <w:t xml:space="preserve"> and </w:t>
      </w:r>
      <w:r w:rsidR="00EE3269" w:rsidRPr="00B60E11">
        <w:rPr>
          <w:rFonts w:asciiTheme="minorHAnsi" w:hAnsiTheme="minorHAnsi" w:cstheme="minorHAnsi"/>
          <w:sz w:val="22"/>
          <w:szCs w:val="22"/>
          <w:lang w:val="en-US"/>
        </w:rPr>
        <w:t>revised Z-series implementor’s guide.</w:t>
      </w:r>
    </w:p>
    <w:p w14:paraId="49B36C68" w14:textId="3617984D" w:rsidR="00B539DA" w:rsidRPr="00B60E11" w:rsidRDefault="00B2046E" w:rsidP="0043732C">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Cs/>
          <w:sz w:val="22"/>
          <w:szCs w:val="22"/>
        </w:rPr>
      </w:pPr>
      <w:r w:rsidRPr="00B60E11">
        <w:rPr>
          <w:rFonts w:asciiTheme="minorHAnsi" w:hAnsiTheme="minorHAnsi" w:cstheme="minorHAnsi"/>
          <w:sz w:val="22"/>
          <w:szCs w:val="22"/>
        </w:rPr>
        <w:t>3.3</w:t>
      </w:r>
      <w:r w:rsidRPr="00B60E11">
        <w:rPr>
          <w:rFonts w:asciiTheme="minorHAnsi" w:hAnsiTheme="minorHAnsi" w:cstheme="minorHAnsi"/>
          <w:sz w:val="22"/>
          <w:szCs w:val="22"/>
        </w:rPr>
        <w:tab/>
      </w:r>
      <w:r w:rsidR="00B539DA" w:rsidRPr="00B60E11">
        <w:rPr>
          <w:rFonts w:asciiTheme="minorHAnsi" w:hAnsiTheme="minorHAnsi" w:cstheme="minorHAnsi"/>
          <w:bCs/>
          <w:sz w:val="22"/>
          <w:szCs w:val="22"/>
        </w:rPr>
        <w:t xml:space="preserve">SG17 organized a one-day </w:t>
      </w:r>
      <w:hyperlink r:id="rId33" w:history="1">
        <w:r w:rsidR="00B539DA" w:rsidRPr="00B60E11">
          <w:rPr>
            <w:rStyle w:val="Hyperlink"/>
            <w:rFonts w:asciiTheme="minorHAnsi" w:hAnsiTheme="minorHAnsi" w:cstheme="minorHAnsi"/>
            <w:bCs/>
            <w:sz w:val="22"/>
            <w:szCs w:val="22"/>
          </w:rPr>
          <w:t>ITU workshop on Fintech Security</w:t>
        </w:r>
      </w:hyperlink>
      <w:r w:rsidR="00B539DA" w:rsidRPr="00B60E11">
        <w:rPr>
          <w:rFonts w:asciiTheme="minorHAnsi" w:hAnsiTheme="minorHAnsi" w:cstheme="minorHAnsi"/>
          <w:bCs/>
          <w:sz w:val="22"/>
          <w:szCs w:val="22"/>
        </w:rPr>
        <w:t xml:space="preserve"> on 26 August 2019 which came out with</w:t>
      </w:r>
      <w:r w:rsidR="00B539DA" w:rsidRPr="00B60E11">
        <w:rPr>
          <w:rFonts w:asciiTheme="minorHAnsi" w:hAnsiTheme="minorHAnsi" w:cstheme="minorHAnsi"/>
          <w:sz w:val="22"/>
          <w:szCs w:val="22"/>
        </w:rPr>
        <w:t xml:space="preserve"> suggestions on SG17 follow-up activities in collaboration with </w:t>
      </w:r>
      <w:r w:rsidR="00B539DA" w:rsidRPr="00B60E11">
        <w:rPr>
          <w:rFonts w:asciiTheme="minorHAnsi" w:hAnsiTheme="minorHAnsi" w:cstheme="minorHAnsi"/>
          <w:sz w:val="22"/>
          <w:szCs w:val="22"/>
          <w:lang w:val="en-US"/>
        </w:rPr>
        <w:t xml:space="preserve">other </w:t>
      </w:r>
      <w:r w:rsidR="00AD58C9" w:rsidRPr="00B60E11">
        <w:rPr>
          <w:rFonts w:asciiTheme="minorHAnsi" w:hAnsiTheme="minorHAnsi" w:cstheme="minorHAnsi"/>
          <w:sz w:val="22"/>
          <w:szCs w:val="22"/>
          <w:lang w:val="en-US"/>
        </w:rPr>
        <w:t xml:space="preserve">identified </w:t>
      </w:r>
      <w:r w:rsidR="00B539DA" w:rsidRPr="00B60E11">
        <w:rPr>
          <w:rFonts w:asciiTheme="minorHAnsi" w:hAnsiTheme="minorHAnsi" w:cstheme="minorHAnsi"/>
          <w:sz w:val="22"/>
          <w:szCs w:val="22"/>
          <w:lang w:val="en-US"/>
        </w:rPr>
        <w:t>Fintech security</w:t>
      </w:r>
      <w:r w:rsidR="00AD58C9" w:rsidRPr="00B60E11">
        <w:rPr>
          <w:rFonts w:asciiTheme="minorHAnsi" w:hAnsiTheme="minorHAnsi" w:cstheme="minorHAnsi"/>
          <w:sz w:val="22"/>
          <w:szCs w:val="22"/>
          <w:lang w:val="en-US"/>
        </w:rPr>
        <w:t>-</w:t>
      </w:r>
      <w:r w:rsidR="00B539DA" w:rsidRPr="00B60E11">
        <w:rPr>
          <w:rFonts w:asciiTheme="minorHAnsi" w:hAnsiTheme="minorHAnsi" w:cstheme="minorHAnsi"/>
          <w:sz w:val="22"/>
          <w:szCs w:val="22"/>
          <w:lang w:val="en-US"/>
        </w:rPr>
        <w:t>related SDOs, i.e., FG-DLT, FG-DFC, ISO TC 307, W3C on DLT</w:t>
      </w:r>
      <w:r w:rsidR="00B539DA" w:rsidRPr="00B60E11">
        <w:rPr>
          <w:rFonts w:asciiTheme="minorHAnsi" w:hAnsiTheme="minorHAnsi" w:cstheme="minorHAnsi"/>
          <w:sz w:val="22"/>
          <w:szCs w:val="22"/>
        </w:rPr>
        <w:t xml:space="preserve">. SG17 also organized a </w:t>
      </w:r>
      <w:hyperlink r:id="rId34" w:history="1">
        <w:r w:rsidR="00B539DA" w:rsidRPr="00B60E11">
          <w:rPr>
            <w:rStyle w:val="Hyperlink"/>
            <w:rFonts w:asciiTheme="minorHAnsi" w:hAnsiTheme="minorHAnsi" w:cstheme="minorHAnsi"/>
            <w:sz w:val="22"/>
            <w:szCs w:val="22"/>
          </w:rPr>
          <w:t>m</w:t>
        </w:r>
        <w:r w:rsidR="00B539DA" w:rsidRPr="00B60E11">
          <w:rPr>
            <w:rStyle w:val="Hyperlink"/>
            <w:rFonts w:asciiTheme="minorHAnsi" w:hAnsiTheme="minorHAnsi" w:cstheme="minorHAnsi"/>
            <w:bCs/>
            <w:sz w:val="22"/>
            <w:szCs w:val="22"/>
          </w:rPr>
          <w:t>ini workshop on cybersecurity challenges in automated driving</w:t>
        </w:r>
      </w:hyperlink>
      <w:r w:rsidR="00B539DA" w:rsidRPr="00B60E11">
        <w:rPr>
          <w:rFonts w:asciiTheme="minorHAnsi" w:hAnsiTheme="minorHAnsi" w:cstheme="minorHAnsi"/>
          <w:bCs/>
          <w:sz w:val="22"/>
          <w:szCs w:val="22"/>
        </w:rPr>
        <w:t xml:space="preserve"> on 26 August 2019 in cooperation with ITU </w:t>
      </w:r>
      <w:r w:rsidR="00F84D66">
        <w:rPr>
          <w:rFonts w:asciiTheme="minorHAnsi" w:hAnsiTheme="minorHAnsi" w:cstheme="minorHAnsi"/>
          <w:bCs/>
          <w:sz w:val="22"/>
          <w:szCs w:val="22"/>
        </w:rPr>
        <w:t>Collaboration on ITS (</w:t>
      </w:r>
      <w:r w:rsidR="00B539DA" w:rsidRPr="00B60E11">
        <w:rPr>
          <w:rFonts w:asciiTheme="minorHAnsi" w:hAnsiTheme="minorHAnsi" w:cstheme="minorHAnsi"/>
          <w:bCs/>
          <w:sz w:val="22"/>
          <w:szCs w:val="22"/>
        </w:rPr>
        <w:t>CITS</w:t>
      </w:r>
      <w:r w:rsidR="00F84D66">
        <w:rPr>
          <w:rFonts w:asciiTheme="minorHAnsi" w:hAnsiTheme="minorHAnsi" w:cstheme="minorHAnsi"/>
          <w:bCs/>
          <w:sz w:val="22"/>
          <w:szCs w:val="22"/>
        </w:rPr>
        <w:t>)</w:t>
      </w:r>
      <w:r w:rsidR="00B539DA" w:rsidRPr="00B60E11">
        <w:rPr>
          <w:rFonts w:asciiTheme="minorHAnsi" w:hAnsiTheme="minorHAnsi" w:cstheme="minorHAnsi"/>
          <w:bCs/>
          <w:sz w:val="22"/>
          <w:szCs w:val="22"/>
        </w:rPr>
        <w:t xml:space="preserve"> and UNECE WP29.</w:t>
      </w:r>
    </w:p>
    <w:p w14:paraId="5EA10493" w14:textId="423A8C3A" w:rsidR="002901FF" w:rsidRPr="00B60E11" w:rsidRDefault="00B539DA"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Cs/>
          <w:sz w:val="22"/>
          <w:szCs w:val="22"/>
        </w:rPr>
      </w:pPr>
      <w:r w:rsidRPr="00B60E11">
        <w:rPr>
          <w:rFonts w:asciiTheme="minorHAnsi" w:hAnsiTheme="minorHAnsi" w:cstheme="minorHAnsi"/>
          <w:bCs/>
          <w:sz w:val="22"/>
          <w:szCs w:val="22"/>
        </w:rPr>
        <w:t>3.4</w:t>
      </w:r>
      <w:r w:rsidRPr="00B60E11">
        <w:rPr>
          <w:rFonts w:asciiTheme="minorHAnsi" w:hAnsiTheme="minorHAnsi" w:cstheme="minorHAnsi"/>
          <w:bCs/>
          <w:sz w:val="22"/>
          <w:szCs w:val="22"/>
        </w:rPr>
        <w:tab/>
      </w:r>
      <w:r w:rsidR="00EA1B59" w:rsidRPr="00B60E11">
        <w:rPr>
          <w:rFonts w:asciiTheme="minorHAnsi" w:hAnsiTheme="minorHAnsi" w:cstheme="minorHAnsi"/>
          <w:sz w:val="22"/>
          <w:szCs w:val="22"/>
        </w:rPr>
        <w:t xml:space="preserve">Due to </w:t>
      </w:r>
      <w:r w:rsidR="00AD58C9" w:rsidRPr="00B60E11">
        <w:rPr>
          <w:rFonts w:asciiTheme="minorHAnsi" w:hAnsiTheme="minorHAnsi" w:cstheme="minorHAnsi"/>
          <w:sz w:val="22"/>
          <w:szCs w:val="22"/>
        </w:rPr>
        <w:t xml:space="preserve">the </w:t>
      </w:r>
      <w:r w:rsidR="00EA1B59" w:rsidRPr="00B60E11">
        <w:rPr>
          <w:rFonts w:asciiTheme="minorHAnsi" w:hAnsiTheme="minorHAnsi" w:cstheme="minorHAnsi"/>
          <w:sz w:val="22"/>
          <w:szCs w:val="22"/>
        </w:rPr>
        <w:t xml:space="preserve">worldwide outbreak of coronavirus, </w:t>
      </w:r>
      <w:r w:rsidR="002901FF" w:rsidRPr="00B60E11">
        <w:rPr>
          <w:rFonts w:asciiTheme="minorHAnsi" w:hAnsiTheme="minorHAnsi" w:cstheme="minorHAnsi"/>
          <w:sz w:val="22"/>
          <w:szCs w:val="22"/>
        </w:rPr>
        <w:t xml:space="preserve">SG17 </w:t>
      </w:r>
      <w:r w:rsidR="00EA1B59" w:rsidRPr="00B60E11">
        <w:rPr>
          <w:rFonts w:asciiTheme="minorHAnsi" w:hAnsiTheme="minorHAnsi" w:cstheme="minorHAnsi"/>
          <w:sz w:val="22"/>
          <w:szCs w:val="22"/>
        </w:rPr>
        <w:t xml:space="preserve">meeting </w:t>
      </w:r>
      <w:r w:rsidR="00EA1B59" w:rsidRPr="00B60E11">
        <w:rPr>
          <w:rFonts w:asciiTheme="minorHAnsi" w:hAnsiTheme="minorHAnsi" w:cstheme="minorHAnsi"/>
          <w:bCs/>
          <w:sz w:val="22"/>
          <w:szCs w:val="22"/>
        </w:rPr>
        <w:t>on 17-26</w:t>
      </w:r>
      <w:r w:rsidRPr="00B60E11">
        <w:rPr>
          <w:rFonts w:asciiTheme="minorHAnsi" w:hAnsiTheme="minorHAnsi" w:cstheme="minorHAnsi"/>
          <w:bCs/>
          <w:sz w:val="22"/>
          <w:szCs w:val="22"/>
        </w:rPr>
        <w:t xml:space="preserve"> </w:t>
      </w:r>
      <w:r w:rsidR="00EA1B59" w:rsidRPr="00B60E11">
        <w:rPr>
          <w:rFonts w:asciiTheme="minorHAnsi" w:hAnsiTheme="minorHAnsi" w:cstheme="minorHAnsi"/>
          <w:bCs/>
          <w:sz w:val="22"/>
          <w:szCs w:val="22"/>
        </w:rPr>
        <w:t>March 2020 became the first fully virtual ITU-T study group meeting</w:t>
      </w:r>
      <w:r w:rsidR="002901FF" w:rsidRPr="00B60E11">
        <w:rPr>
          <w:rFonts w:asciiTheme="minorHAnsi" w:hAnsiTheme="minorHAnsi" w:cstheme="minorHAnsi"/>
          <w:sz w:val="22"/>
          <w:szCs w:val="22"/>
        </w:rPr>
        <w:t>.</w:t>
      </w:r>
      <w:r w:rsidR="00EA1B59" w:rsidRPr="00B60E11">
        <w:rPr>
          <w:rFonts w:asciiTheme="minorHAnsi" w:hAnsiTheme="minorHAnsi" w:cstheme="minorHAnsi"/>
          <w:sz w:val="22"/>
          <w:szCs w:val="22"/>
        </w:rPr>
        <w:t xml:space="preserve"> Also </w:t>
      </w:r>
      <w:r w:rsidR="002901FF" w:rsidRPr="00B60E11">
        <w:rPr>
          <w:rFonts w:asciiTheme="minorHAnsi" w:hAnsiTheme="minorHAnsi" w:cstheme="minorHAnsi"/>
          <w:sz w:val="22"/>
          <w:szCs w:val="22"/>
        </w:rPr>
        <w:t xml:space="preserve">SG17 </w:t>
      </w:r>
      <w:r w:rsidR="00EA1B59" w:rsidRPr="00B60E11">
        <w:rPr>
          <w:rFonts w:asciiTheme="minorHAnsi" w:hAnsiTheme="minorHAnsi" w:cstheme="minorHAnsi"/>
          <w:sz w:val="22"/>
          <w:szCs w:val="22"/>
        </w:rPr>
        <w:t xml:space="preserve">had to postpone its </w:t>
      </w:r>
      <w:hyperlink r:id="rId35" w:history="1">
        <w:r w:rsidR="00EA1B59" w:rsidRPr="00B60E11">
          <w:rPr>
            <w:rStyle w:val="Hyperlink"/>
            <w:rFonts w:asciiTheme="minorHAnsi" w:hAnsiTheme="minorHAnsi" w:cstheme="minorHAnsi"/>
            <w:sz w:val="22"/>
            <w:szCs w:val="22"/>
          </w:rPr>
          <w:t>joint ITU-T SG17/ISO TC 307 Workshop on “DLT security, identity management and privacy”</w:t>
        </w:r>
      </w:hyperlink>
      <w:r w:rsidR="00EA1B59" w:rsidRPr="00B60E11">
        <w:rPr>
          <w:rFonts w:asciiTheme="minorHAnsi" w:hAnsiTheme="minorHAnsi" w:cstheme="minorHAnsi"/>
          <w:sz w:val="22"/>
          <w:szCs w:val="22"/>
        </w:rPr>
        <w:t xml:space="preserve"> planned on 16 March 2020</w:t>
      </w:r>
      <w:r w:rsidR="002901FF" w:rsidRPr="00B60E11">
        <w:rPr>
          <w:rFonts w:asciiTheme="minorHAnsi" w:hAnsiTheme="minorHAnsi" w:cstheme="minorHAnsi"/>
          <w:sz w:val="22"/>
          <w:szCs w:val="22"/>
        </w:rPr>
        <w:t xml:space="preserve">. </w:t>
      </w:r>
    </w:p>
    <w:p w14:paraId="623961AD" w14:textId="42437EED" w:rsidR="002901FF" w:rsidRPr="00B60E11" w:rsidRDefault="002901FF"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923E32" w:rsidRPr="00B60E11">
        <w:rPr>
          <w:rFonts w:asciiTheme="minorHAnsi" w:eastAsia="SimSun" w:hAnsiTheme="minorHAnsi" w:cstheme="minorHAnsi"/>
          <w:bCs/>
          <w:sz w:val="22"/>
          <w:szCs w:val="22"/>
          <w:lang w:eastAsia="zh-CN"/>
        </w:rPr>
        <w:t>5</w:t>
      </w:r>
      <w:r w:rsidRPr="00B60E11">
        <w:rPr>
          <w:rFonts w:asciiTheme="minorHAnsi" w:eastAsia="SimSun" w:hAnsiTheme="minorHAnsi" w:cstheme="minorHAnsi"/>
          <w:bCs/>
          <w:sz w:val="22"/>
          <w:szCs w:val="22"/>
          <w:lang w:eastAsia="zh-CN"/>
        </w:rPr>
        <w:tab/>
        <w:t>SG17 continued working on IoT security and coordinating with ITU-T SG20 “IoT and its applications including smart cities and communities (SC&amp;C)”.</w:t>
      </w:r>
    </w:p>
    <w:p w14:paraId="4E6527BA" w14:textId="3269195F" w:rsidR="002901FF" w:rsidRPr="00B60E11" w:rsidRDefault="002901FF"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923E32" w:rsidRPr="00B60E11">
        <w:rPr>
          <w:rFonts w:asciiTheme="minorHAnsi" w:eastAsia="SimSun" w:hAnsiTheme="minorHAnsi" w:cstheme="minorHAnsi"/>
          <w:bCs/>
          <w:sz w:val="22"/>
          <w:szCs w:val="22"/>
          <w:lang w:eastAsia="zh-CN"/>
        </w:rPr>
        <w:t>6</w:t>
      </w:r>
      <w:r w:rsidRPr="00B60E11">
        <w:rPr>
          <w:rFonts w:asciiTheme="minorHAnsi" w:eastAsia="SimSun" w:hAnsiTheme="minorHAnsi" w:cstheme="minorHAnsi"/>
          <w:bCs/>
          <w:sz w:val="22"/>
          <w:szCs w:val="22"/>
          <w:lang w:eastAsia="zh-CN"/>
        </w:rPr>
        <w:tab/>
        <w:t>ITU-T SG9 determined five draft Recommendations ITU-T J.1012 J.1013, J.1014, J.1015, and J.1015.1 on Embedded common interface for exchangeable CA/DRM solutions.</w:t>
      </w:r>
    </w:p>
    <w:p w14:paraId="19B1EA68" w14:textId="3EE9AA5D" w:rsidR="002901FF" w:rsidRPr="00B60E11" w:rsidRDefault="002901FF"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923E32" w:rsidRPr="00B60E11">
        <w:rPr>
          <w:rFonts w:asciiTheme="minorHAnsi" w:eastAsia="SimSun" w:hAnsiTheme="minorHAnsi" w:cstheme="minorHAnsi"/>
          <w:bCs/>
          <w:sz w:val="22"/>
          <w:szCs w:val="22"/>
          <w:lang w:eastAsia="zh-CN"/>
        </w:rPr>
        <w:t>7</w:t>
      </w:r>
      <w:r w:rsidRPr="00B60E11">
        <w:rPr>
          <w:rFonts w:asciiTheme="minorHAnsi" w:eastAsia="SimSun" w:hAnsiTheme="minorHAnsi" w:cstheme="minorHAnsi"/>
          <w:bCs/>
          <w:sz w:val="22"/>
          <w:szCs w:val="22"/>
          <w:lang w:eastAsia="zh-CN"/>
        </w:rPr>
        <w:tab/>
        <w:t>ITU-T SG13 approved Re</w:t>
      </w:r>
      <w:r w:rsidR="00F84D66">
        <w:rPr>
          <w:rFonts w:asciiTheme="minorHAnsi" w:eastAsia="SimSun" w:hAnsiTheme="minorHAnsi" w:cstheme="minorHAnsi"/>
          <w:bCs/>
          <w:sz w:val="22"/>
          <w:szCs w:val="22"/>
          <w:lang w:eastAsia="zh-CN"/>
        </w:rPr>
        <w:t>commendation</w:t>
      </w:r>
      <w:r w:rsidRPr="00B60E11">
        <w:rPr>
          <w:rFonts w:asciiTheme="minorHAnsi" w:eastAsia="SimSun" w:hAnsiTheme="minorHAnsi" w:cstheme="minorHAnsi"/>
          <w:bCs/>
          <w:sz w:val="22"/>
          <w:szCs w:val="22"/>
          <w:lang w:eastAsia="zh-CN"/>
        </w:rPr>
        <w:t xml:space="preserve"> ITU-T Y.3053 (</w:t>
      </w:r>
      <w:r w:rsidR="00F84D66">
        <w:rPr>
          <w:rFonts w:asciiTheme="minorHAnsi" w:eastAsia="SimSun" w:hAnsiTheme="minorHAnsi" w:cstheme="minorHAnsi"/>
          <w:bCs/>
          <w:sz w:val="22"/>
          <w:szCs w:val="22"/>
          <w:lang w:eastAsia="zh-CN"/>
        </w:rPr>
        <w:t>2</w:t>
      </w:r>
      <w:r w:rsidRPr="00B60E11">
        <w:rPr>
          <w:rFonts w:asciiTheme="minorHAnsi" w:eastAsia="SimSun" w:hAnsiTheme="minorHAnsi" w:cstheme="minorHAnsi"/>
          <w:bCs/>
          <w:sz w:val="22"/>
          <w:szCs w:val="22"/>
          <w:lang w:eastAsia="zh-CN"/>
        </w:rPr>
        <w:t>018) Am</w:t>
      </w:r>
      <w:r w:rsidR="00F84D66">
        <w:rPr>
          <w:rFonts w:asciiTheme="minorHAnsi" w:eastAsia="SimSun" w:hAnsiTheme="minorHAnsi" w:cstheme="minorHAnsi"/>
          <w:bCs/>
          <w:sz w:val="22"/>
          <w:szCs w:val="22"/>
          <w:lang w:eastAsia="zh-CN"/>
        </w:rPr>
        <w:t xml:space="preserve">endment </w:t>
      </w:r>
      <w:r w:rsidRPr="00B60E11">
        <w:rPr>
          <w:rFonts w:asciiTheme="minorHAnsi" w:eastAsia="SimSun" w:hAnsiTheme="minorHAnsi" w:cstheme="minorHAnsi"/>
          <w:bCs/>
          <w:sz w:val="22"/>
          <w:szCs w:val="22"/>
          <w:lang w:eastAsia="zh-CN"/>
        </w:rPr>
        <w:t>1 “Framework of trustworthy networking with trust-centric network domains: Amendment 1 - Trustworthy networking deployment architecture and procedures”.</w:t>
      </w:r>
      <w:r w:rsidR="009462FA" w:rsidRPr="00B60E11">
        <w:rPr>
          <w:rFonts w:asciiTheme="minorHAnsi" w:eastAsia="SimSun" w:hAnsiTheme="minorHAnsi" w:cstheme="minorHAnsi"/>
          <w:bCs/>
          <w:sz w:val="22"/>
          <w:szCs w:val="22"/>
          <w:lang w:eastAsia="zh-CN"/>
        </w:rPr>
        <w:t xml:space="preserve"> </w:t>
      </w:r>
      <w:r w:rsidR="00DC22DE" w:rsidRPr="00B60E11">
        <w:rPr>
          <w:rFonts w:asciiTheme="minorHAnsi" w:eastAsia="SimSun" w:hAnsiTheme="minorHAnsi" w:cstheme="minorHAnsi"/>
          <w:bCs/>
          <w:sz w:val="22"/>
          <w:szCs w:val="22"/>
          <w:lang w:eastAsia="zh-CN"/>
        </w:rPr>
        <w:t>Y.3514 Cor.1 “Cloud computing - Trusted inter-cloud computing framework and requirements” and Y.3517 “Cloud computing - Overview of inter-cloud trust management”.</w:t>
      </w:r>
    </w:p>
    <w:p w14:paraId="597A5778" w14:textId="53C9E51E" w:rsidR="002901FF" w:rsidRPr="00B60E11" w:rsidRDefault="002901FF"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923E32" w:rsidRPr="00B60E11">
        <w:rPr>
          <w:rFonts w:asciiTheme="minorHAnsi" w:eastAsia="SimSun" w:hAnsiTheme="minorHAnsi" w:cstheme="minorHAnsi"/>
          <w:bCs/>
          <w:sz w:val="22"/>
          <w:szCs w:val="22"/>
          <w:lang w:eastAsia="zh-CN"/>
        </w:rPr>
        <w:t>8</w:t>
      </w:r>
      <w:r w:rsidRPr="00B60E11">
        <w:rPr>
          <w:rFonts w:asciiTheme="minorHAnsi" w:eastAsia="SimSun" w:hAnsiTheme="minorHAnsi" w:cstheme="minorHAnsi"/>
          <w:bCs/>
          <w:sz w:val="22"/>
          <w:szCs w:val="22"/>
          <w:lang w:eastAsia="zh-CN"/>
        </w:rPr>
        <w:tab/>
        <w:t xml:space="preserve">ITU-T SG15 </w:t>
      </w:r>
      <w:r w:rsidR="00EE3269" w:rsidRPr="00B60E11">
        <w:rPr>
          <w:rFonts w:asciiTheme="minorHAnsi" w:eastAsia="SimSun" w:hAnsiTheme="minorHAnsi" w:cstheme="minorHAnsi"/>
          <w:bCs/>
          <w:sz w:val="22"/>
          <w:szCs w:val="22"/>
          <w:lang w:eastAsia="zh-CN"/>
        </w:rPr>
        <w:t>is working on Supplement (</w:t>
      </w:r>
      <w:proofErr w:type="spellStart"/>
      <w:r w:rsidR="00EE3269" w:rsidRPr="00B60E11">
        <w:rPr>
          <w:rFonts w:asciiTheme="minorHAnsi" w:eastAsia="SimSun" w:hAnsiTheme="minorHAnsi" w:cstheme="minorHAnsi"/>
          <w:bCs/>
          <w:sz w:val="22"/>
          <w:szCs w:val="22"/>
          <w:lang w:eastAsia="zh-CN"/>
        </w:rPr>
        <w:t>G.</w:t>
      </w:r>
      <w:r w:rsidR="00F84D66">
        <w:rPr>
          <w:rFonts w:asciiTheme="minorHAnsi" w:eastAsia="SimSun" w:hAnsiTheme="minorHAnsi" w:cstheme="minorHAnsi"/>
          <w:bCs/>
          <w:sz w:val="22"/>
          <w:szCs w:val="22"/>
          <w:lang w:eastAsia="zh-CN"/>
        </w:rPr>
        <w:t>S</w:t>
      </w:r>
      <w:r w:rsidR="00EE3269" w:rsidRPr="00B60E11">
        <w:rPr>
          <w:rFonts w:asciiTheme="minorHAnsi" w:eastAsia="SimSun" w:hAnsiTheme="minorHAnsi" w:cstheme="minorHAnsi"/>
          <w:bCs/>
          <w:sz w:val="22"/>
          <w:szCs w:val="22"/>
          <w:lang w:eastAsia="zh-CN"/>
        </w:rPr>
        <w:t>up.otnsec</w:t>
      </w:r>
      <w:proofErr w:type="spellEnd"/>
      <w:r w:rsidR="00EE3269" w:rsidRPr="00B60E11">
        <w:rPr>
          <w:rFonts w:asciiTheme="minorHAnsi" w:eastAsia="SimSun" w:hAnsiTheme="minorHAnsi" w:cstheme="minorHAnsi"/>
          <w:bCs/>
          <w:sz w:val="22"/>
          <w:szCs w:val="22"/>
          <w:lang w:eastAsia="zh-CN"/>
        </w:rPr>
        <w:t xml:space="preserve">) which describes language and a common data infrastructure in existing </w:t>
      </w:r>
      <w:r w:rsidR="00F84D66">
        <w:rPr>
          <w:rFonts w:asciiTheme="minorHAnsi" w:eastAsia="SimSun" w:hAnsiTheme="minorHAnsi" w:cstheme="minorHAnsi"/>
          <w:bCs/>
          <w:sz w:val="22"/>
          <w:szCs w:val="22"/>
          <w:lang w:eastAsia="zh-CN"/>
        </w:rPr>
        <w:t>Optical Transport Network (</w:t>
      </w:r>
      <w:r w:rsidR="00EE3269" w:rsidRPr="00B60E11">
        <w:rPr>
          <w:rFonts w:asciiTheme="minorHAnsi" w:eastAsia="SimSun" w:hAnsiTheme="minorHAnsi" w:cstheme="minorHAnsi"/>
          <w:bCs/>
          <w:sz w:val="22"/>
          <w:szCs w:val="22"/>
          <w:lang w:eastAsia="zh-CN"/>
        </w:rPr>
        <w:t>OTN</w:t>
      </w:r>
      <w:r w:rsidR="00F84D66">
        <w:rPr>
          <w:rFonts w:asciiTheme="minorHAnsi" w:eastAsia="SimSun" w:hAnsiTheme="minorHAnsi" w:cstheme="minorHAnsi"/>
          <w:bCs/>
          <w:sz w:val="22"/>
          <w:szCs w:val="22"/>
          <w:lang w:eastAsia="zh-CN"/>
        </w:rPr>
        <w:t>)</w:t>
      </w:r>
      <w:r w:rsidR="00EE3269" w:rsidRPr="00B60E11">
        <w:rPr>
          <w:rFonts w:asciiTheme="minorHAnsi" w:eastAsia="SimSun" w:hAnsiTheme="minorHAnsi" w:cstheme="minorHAnsi"/>
          <w:bCs/>
          <w:sz w:val="22"/>
          <w:szCs w:val="22"/>
          <w:lang w:eastAsia="zh-CN"/>
        </w:rPr>
        <w:t xml:space="preserve"> protocol layers that is needed to use independently proposed cryptographic protocols for creating secure transport solutions on selected OTN layers. </w:t>
      </w:r>
    </w:p>
    <w:p w14:paraId="457A7F91" w14:textId="680BC1FA" w:rsidR="002901FF" w:rsidRPr="00B60E11" w:rsidRDefault="002901FF" w:rsidP="00B60E11">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923E32" w:rsidRPr="00B60E11">
        <w:rPr>
          <w:rFonts w:asciiTheme="minorHAnsi" w:eastAsia="SimSun" w:hAnsiTheme="minorHAnsi" w:cstheme="minorHAnsi"/>
          <w:bCs/>
          <w:sz w:val="22"/>
          <w:szCs w:val="22"/>
          <w:lang w:eastAsia="zh-CN"/>
        </w:rPr>
        <w:t xml:space="preserve">9 </w:t>
      </w:r>
      <w:r w:rsidR="00B919C6" w:rsidRPr="00B60E11">
        <w:rPr>
          <w:rFonts w:asciiTheme="minorHAnsi" w:eastAsia="SimSun" w:hAnsiTheme="minorHAnsi" w:cstheme="minorHAnsi"/>
          <w:bCs/>
          <w:sz w:val="22"/>
          <w:szCs w:val="22"/>
          <w:lang w:eastAsia="zh-CN"/>
        </w:rPr>
        <w:tab/>
      </w:r>
      <w:r w:rsidRPr="00B60E11">
        <w:rPr>
          <w:rFonts w:asciiTheme="minorHAnsi" w:eastAsia="SimSun" w:hAnsiTheme="minorHAnsi" w:cstheme="minorHAnsi"/>
          <w:bCs/>
          <w:sz w:val="22"/>
          <w:szCs w:val="22"/>
          <w:lang w:eastAsia="zh-CN"/>
        </w:rPr>
        <w:t>ITU-T SG20 approved Rec. ITU-T Y.</w:t>
      </w:r>
      <w:r w:rsidR="00B919C6" w:rsidRPr="00B60E11">
        <w:rPr>
          <w:rFonts w:asciiTheme="minorHAnsi" w:eastAsia="SimSun" w:hAnsiTheme="minorHAnsi" w:cstheme="minorHAnsi"/>
          <w:bCs/>
          <w:sz w:val="22"/>
          <w:szCs w:val="22"/>
          <w:lang w:eastAsia="zh-CN"/>
        </w:rPr>
        <w:t xml:space="preserve">4807 </w:t>
      </w:r>
      <w:r w:rsidRPr="00B60E11">
        <w:rPr>
          <w:rFonts w:asciiTheme="minorHAnsi" w:eastAsia="SimSun" w:hAnsiTheme="minorHAnsi" w:cstheme="minorHAnsi"/>
          <w:bCs/>
          <w:sz w:val="22"/>
          <w:szCs w:val="22"/>
          <w:lang w:eastAsia="zh-CN"/>
        </w:rPr>
        <w:t>“</w:t>
      </w:r>
      <w:r w:rsidR="00B919C6" w:rsidRPr="00B60E11">
        <w:rPr>
          <w:rFonts w:asciiTheme="minorHAnsi" w:eastAsia="SimSun" w:hAnsiTheme="minorHAnsi" w:cstheme="minorHAnsi"/>
          <w:bCs/>
          <w:sz w:val="22"/>
          <w:szCs w:val="22"/>
          <w:lang w:eastAsia="zh-CN"/>
        </w:rPr>
        <w:t>Agility by design for Telecommunications/ICT Systems Security used in the Internet of Things</w:t>
      </w:r>
      <w:r w:rsidRPr="00B60E11">
        <w:rPr>
          <w:rFonts w:asciiTheme="minorHAnsi" w:eastAsia="SimSun" w:hAnsiTheme="minorHAnsi" w:cstheme="minorHAnsi"/>
          <w:bCs/>
          <w:sz w:val="22"/>
          <w:szCs w:val="22"/>
          <w:lang w:eastAsia="zh-CN"/>
        </w:rPr>
        <w:t>”.</w:t>
      </w:r>
    </w:p>
    <w:p w14:paraId="5E2844E8" w14:textId="3C3BC4DA" w:rsidR="008F0921" w:rsidRPr="000D0F40" w:rsidRDefault="008F0921" w:rsidP="00B60E11">
      <w:pPr>
        <w:tabs>
          <w:tab w:val="clear" w:pos="567"/>
          <w:tab w:val="clear" w:pos="1134"/>
          <w:tab w:val="clear" w:pos="1701"/>
          <w:tab w:val="clear" w:pos="2268"/>
          <w:tab w:val="clear" w:pos="2835"/>
        </w:tabs>
        <w:overflowPunct/>
        <w:autoSpaceDE/>
        <w:autoSpaceDN/>
        <w:adjustRightInd/>
        <w:spacing w:after="120"/>
        <w:jc w:val="both"/>
        <w:textAlignment w:val="auto"/>
        <w:rPr>
          <w:rStyle w:val="Hyperlink"/>
          <w:rFonts w:asciiTheme="minorHAnsi" w:hAnsiTheme="minorHAnsi" w:cstheme="minorHAnsi"/>
          <w:i/>
          <w:color w:val="auto"/>
          <w:sz w:val="22"/>
          <w:szCs w:val="22"/>
          <w:bdr w:val="none" w:sz="0" w:space="0" w:color="auto" w:frame="1"/>
          <w:shd w:val="clear" w:color="auto" w:fill="FFFFFF"/>
        </w:rPr>
      </w:pPr>
      <w:r w:rsidRPr="00B60E11">
        <w:rPr>
          <w:rFonts w:asciiTheme="minorHAnsi" w:eastAsia="SimSun" w:hAnsiTheme="minorHAnsi" w:cstheme="minorHAnsi"/>
          <w:bCs/>
          <w:sz w:val="22"/>
          <w:szCs w:val="22"/>
          <w:lang w:eastAsia="zh-CN"/>
        </w:rPr>
        <w:t>3.1</w:t>
      </w:r>
      <w:r w:rsidR="00923E32" w:rsidRPr="00B60E11">
        <w:rPr>
          <w:rFonts w:asciiTheme="minorHAnsi" w:eastAsia="SimSun" w:hAnsiTheme="minorHAnsi" w:cstheme="minorHAnsi"/>
          <w:bCs/>
          <w:sz w:val="22"/>
          <w:szCs w:val="22"/>
          <w:lang w:eastAsia="zh-CN"/>
        </w:rPr>
        <w:t>0</w:t>
      </w:r>
      <w:r w:rsidRPr="00B60E11">
        <w:rPr>
          <w:rFonts w:asciiTheme="minorHAnsi" w:eastAsia="SimSun" w:hAnsiTheme="minorHAnsi" w:cstheme="minorHAnsi"/>
          <w:bCs/>
          <w:sz w:val="22"/>
          <w:szCs w:val="22"/>
          <w:lang w:eastAsia="zh-CN"/>
        </w:rPr>
        <w:tab/>
      </w:r>
      <w:r w:rsidRPr="00B60E11">
        <w:rPr>
          <w:rFonts w:asciiTheme="minorHAnsi" w:hAnsiTheme="minorHAnsi" w:cstheme="minorHAnsi"/>
          <w:bCs/>
          <w:sz w:val="22"/>
          <w:szCs w:val="22"/>
        </w:rPr>
        <w:t xml:space="preserve">Several ITU-T Focus Groups are exploring trust aspect of various emerging technologies as part of their work. These include </w:t>
      </w:r>
      <w:r w:rsidRPr="00B60E11">
        <w:rPr>
          <w:rFonts w:asciiTheme="minorHAnsi" w:hAnsiTheme="minorHAnsi" w:cstheme="minorHAnsi"/>
          <w:sz w:val="22"/>
          <w:szCs w:val="22"/>
        </w:rPr>
        <w:t xml:space="preserve">(1) The </w:t>
      </w:r>
      <w:hyperlink r:id="rId36" w:history="1">
        <w:r w:rsidRPr="000D0F40">
          <w:rPr>
            <w:rStyle w:val="Hyperlink"/>
            <w:rFonts w:cstheme="minorHAnsi"/>
            <w:i/>
            <w:spacing w:val="2"/>
            <w:sz w:val="22"/>
            <w:szCs w:val="22"/>
          </w:rPr>
          <w:t>ITU-T Focus Group on Machine Learning for Future Networks including 5G (FG ML5G)</w:t>
        </w:r>
      </w:hyperlink>
      <w:r w:rsidRPr="000D0F40" w:rsidDel="008B3228">
        <w:rPr>
          <w:rFonts w:cstheme="minorHAnsi"/>
          <w:spacing w:val="2"/>
          <w:sz w:val="22"/>
          <w:szCs w:val="22"/>
        </w:rPr>
        <w:t xml:space="preserve"> </w:t>
      </w:r>
      <w:r w:rsidRPr="000D0F40">
        <w:rPr>
          <w:rFonts w:cstheme="minorHAnsi"/>
          <w:spacing w:val="2"/>
          <w:sz w:val="22"/>
          <w:szCs w:val="22"/>
        </w:rPr>
        <w:t xml:space="preserve">(2) </w:t>
      </w:r>
      <w:hyperlink r:id="rId37" w:history="1">
        <w:r w:rsidRPr="000D0F40">
          <w:rPr>
            <w:rStyle w:val="Hyperlink"/>
            <w:rFonts w:cstheme="minorHAnsi"/>
            <w:i/>
            <w:spacing w:val="2"/>
            <w:sz w:val="22"/>
            <w:szCs w:val="22"/>
          </w:rPr>
          <w:t>ITU-T Focus Group on Technologies for Network 2030 (FG NET-2030)</w:t>
        </w:r>
      </w:hyperlink>
      <w:r w:rsidRPr="000D0F40">
        <w:rPr>
          <w:rFonts w:cstheme="minorHAnsi"/>
          <w:spacing w:val="2"/>
          <w:sz w:val="22"/>
          <w:szCs w:val="22"/>
        </w:rPr>
        <w:t xml:space="preserve"> (3) </w:t>
      </w:r>
      <w:hyperlink r:id="rId38" w:history="1">
        <w:r w:rsidRPr="000D0F40">
          <w:rPr>
            <w:rStyle w:val="Hyperlink"/>
            <w:rFonts w:cstheme="minorHAnsi"/>
            <w:i/>
            <w:spacing w:val="4"/>
            <w:sz w:val="22"/>
            <w:szCs w:val="22"/>
          </w:rPr>
          <w:t>ITU-T Focus Group on Artificial Intelligence for Health (FG AI4H)</w:t>
        </w:r>
      </w:hyperlink>
      <w:r w:rsidRPr="000D0F40" w:rsidDel="008B3228">
        <w:rPr>
          <w:rFonts w:cstheme="minorHAnsi"/>
          <w:spacing w:val="2"/>
          <w:sz w:val="22"/>
          <w:szCs w:val="22"/>
        </w:rPr>
        <w:t xml:space="preserve"> </w:t>
      </w:r>
      <w:r w:rsidRPr="000D0F40">
        <w:rPr>
          <w:rFonts w:cstheme="minorHAnsi"/>
          <w:spacing w:val="2"/>
          <w:sz w:val="22"/>
          <w:szCs w:val="22"/>
        </w:rPr>
        <w:t xml:space="preserve">(4) </w:t>
      </w:r>
      <w:hyperlink r:id="rId39" w:history="1">
        <w:r w:rsidRPr="000D0F40">
          <w:rPr>
            <w:rStyle w:val="Hyperlink"/>
            <w:rFonts w:cstheme="minorHAnsi"/>
            <w:i/>
            <w:spacing w:val="4"/>
            <w:sz w:val="22"/>
            <w:szCs w:val="22"/>
          </w:rPr>
          <w:t>ITU-T Focus Group on Vehicular Multimedia (FG VM</w:t>
        </w:r>
      </w:hyperlink>
      <w:r w:rsidRPr="000D0F40">
        <w:rPr>
          <w:rFonts w:cstheme="minorHAnsi"/>
          <w:i/>
          <w:spacing w:val="4"/>
          <w:sz w:val="22"/>
          <w:szCs w:val="22"/>
        </w:rPr>
        <w:t>)</w:t>
      </w:r>
      <w:r w:rsidRPr="00B60E11">
        <w:rPr>
          <w:rFonts w:asciiTheme="minorHAnsi" w:hAnsiTheme="minorHAnsi" w:cstheme="minorHAnsi"/>
          <w:sz w:val="22"/>
          <w:szCs w:val="22"/>
        </w:rPr>
        <w:t xml:space="preserve"> </w:t>
      </w:r>
      <w:r w:rsidRPr="00B60E11">
        <w:rPr>
          <w:rFonts w:asciiTheme="minorHAnsi" w:hAnsiTheme="minorHAnsi" w:cstheme="minorHAnsi"/>
          <w:sz w:val="22"/>
          <w:szCs w:val="22"/>
        </w:rPr>
        <w:lastRenderedPageBreak/>
        <w:t>(5)</w:t>
      </w:r>
      <w:r w:rsidR="000D0F40">
        <w:rPr>
          <w:rFonts w:asciiTheme="minorHAnsi" w:hAnsiTheme="minorHAnsi" w:cstheme="minorHAnsi"/>
          <w:sz w:val="22"/>
          <w:szCs w:val="22"/>
        </w:rPr>
        <w:t> </w:t>
      </w:r>
      <w:hyperlink r:id="rId40" w:history="1">
        <w:r w:rsidRPr="00B60E11">
          <w:rPr>
            <w:rStyle w:val="Hyperlink"/>
            <w:rFonts w:asciiTheme="minorHAnsi" w:hAnsiTheme="minorHAnsi" w:cstheme="minorHAnsi"/>
            <w:i/>
            <w:sz w:val="22"/>
            <w:szCs w:val="22"/>
          </w:rPr>
          <w:t>ITU-T Focus Group on “AI for autonomous and assisted driving”</w:t>
        </w:r>
      </w:hyperlink>
      <w:r w:rsidRPr="00B60E11">
        <w:rPr>
          <w:rFonts w:asciiTheme="minorHAnsi" w:hAnsiTheme="minorHAnsi" w:cstheme="minorHAnsi"/>
          <w:sz w:val="22"/>
          <w:szCs w:val="22"/>
        </w:rPr>
        <w:t xml:space="preserve"> (FG-AI4AD) (6) </w:t>
      </w:r>
      <w:hyperlink r:id="rId41" w:history="1">
        <w:r w:rsidRPr="000D0F40">
          <w:rPr>
            <w:rStyle w:val="Hyperlink"/>
            <w:rFonts w:asciiTheme="minorHAnsi" w:hAnsiTheme="minorHAnsi" w:cstheme="minorHAnsi"/>
            <w:i/>
            <w:sz w:val="22"/>
            <w:szCs w:val="22"/>
          </w:rPr>
          <w:t>ITU-T Focus Group on "Quantum Information Technology for Networks" (FG-QIT4N)</w:t>
        </w:r>
      </w:hyperlink>
      <w:r w:rsidRPr="000D0F40">
        <w:rPr>
          <w:rStyle w:val="Hyperlink"/>
          <w:rFonts w:asciiTheme="minorHAnsi" w:hAnsiTheme="minorHAnsi" w:cstheme="minorHAnsi"/>
          <w:i/>
          <w:sz w:val="22"/>
          <w:szCs w:val="22"/>
        </w:rPr>
        <w:t>.</w:t>
      </w:r>
    </w:p>
    <w:p w14:paraId="032B4E5E" w14:textId="577F7EF4" w:rsidR="008F0921" w:rsidRPr="00B60E11" w:rsidRDefault="008F0921" w:rsidP="00B60E1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iCs/>
          <w:color w:val="444444"/>
          <w:sz w:val="22"/>
          <w:szCs w:val="22"/>
          <w:bdr w:val="none" w:sz="0" w:space="0" w:color="auto" w:frame="1"/>
          <w:shd w:val="clear" w:color="auto" w:fill="FFFFFF"/>
        </w:rPr>
      </w:pPr>
      <w:r w:rsidRPr="00B60E11">
        <w:rPr>
          <w:rStyle w:val="Hyperlink"/>
          <w:rFonts w:asciiTheme="minorHAnsi" w:hAnsiTheme="minorHAnsi" w:cstheme="minorHAnsi"/>
          <w:iCs/>
          <w:color w:val="auto"/>
          <w:sz w:val="22"/>
          <w:szCs w:val="22"/>
          <w:u w:val="none"/>
          <w:bdr w:val="none" w:sz="0" w:space="0" w:color="auto" w:frame="1"/>
          <w:shd w:val="clear" w:color="auto" w:fill="FFFFFF"/>
        </w:rPr>
        <w:t>3.1</w:t>
      </w:r>
      <w:r w:rsidR="00923E32" w:rsidRPr="00B60E11">
        <w:rPr>
          <w:rStyle w:val="Hyperlink"/>
          <w:rFonts w:asciiTheme="minorHAnsi" w:hAnsiTheme="minorHAnsi" w:cstheme="minorHAnsi"/>
          <w:iCs/>
          <w:color w:val="auto"/>
          <w:sz w:val="22"/>
          <w:szCs w:val="22"/>
          <w:u w:val="none"/>
          <w:bdr w:val="none" w:sz="0" w:space="0" w:color="auto" w:frame="1"/>
          <w:shd w:val="clear" w:color="auto" w:fill="FFFFFF"/>
        </w:rPr>
        <w:t>1</w:t>
      </w:r>
      <w:r w:rsidRPr="00B60E11">
        <w:rPr>
          <w:rStyle w:val="Hyperlink"/>
          <w:rFonts w:asciiTheme="minorHAnsi" w:hAnsiTheme="minorHAnsi" w:cstheme="minorHAnsi"/>
          <w:iCs/>
          <w:color w:val="auto"/>
          <w:sz w:val="22"/>
          <w:szCs w:val="22"/>
          <w:u w:val="none"/>
          <w:bdr w:val="none" w:sz="0" w:space="0" w:color="auto" w:frame="1"/>
          <w:shd w:val="clear" w:color="auto" w:fill="FFFFFF"/>
        </w:rPr>
        <w:tab/>
        <w:t>ITU in joint collaboration with the Bill &amp; Melinda Gates Foundation, the World Bank Group, and the Bank for International Settlements, organized a</w:t>
      </w:r>
      <w:r w:rsidRPr="00B60E11">
        <w:rPr>
          <w:rStyle w:val="Hyperlink"/>
          <w:rFonts w:asciiTheme="minorHAnsi" w:hAnsiTheme="minorHAnsi" w:cstheme="minorHAnsi"/>
          <w:iCs/>
          <w:color w:val="auto"/>
          <w:sz w:val="22"/>
          <w:szCs w:val="22"/>
          <w:bdr w:val="none" w:sz="0" w:space="0" w:color="auto" w:frame="1"/>
          <w:shd w:val="clear" w:color="auto" w:fill="FFFFFF"/>
        </w:rPr>
        <w:t xml:space="preserve"> </w:t>
      </w:r>
      <w:hyperlink r:id="rId42" w:history="1">
        <w:r w:rsidRPr="00B60E11">
          <w:rPr>
            <w:rStyle w:val="Hyperlink"/>
            <w:rFonts w:asciiTheme="minorHAnsi" w:hAnsiTheme="minorHAnsi" w:cstheme="minorHAnsi"/>
            <w:iCs/>
            <w:sz w:val="22"/>
            <w:szCs w:val="22"/>
            <w:bdr w:val="none" w:sz="0" w:space="0" w:color="auto" w:frame="1"/>
            <w:shd w:val="clear" w:color="auto" w:fill="FFFFFF"/>
          </w:rPr>
          <w:t>workshop on Security, Infrastructure and Trust for Digital Financial Services</w:t>
        </w:r>
      </w:hyperlink>
      <w:r w:rsidRPr="00B60E11">
        <w:rPr>
          <w:rStyle w:val="Hyperlink"/>
          <w:rFonts w:asciiTheme="minorHAnsi" w:hAnsiTheme="minorHAnsi" w:cstheme="minorHAnsi"/>
          <w:iCs/>
          <w:color w:val="3789BD"/>
          <w:sz w:val="22"/>
          <w:szCs w:val="22"/>
          <w:bdr w:val="none" w:sz="0" w:space="0" w:color="auto" w:frame="1"/>
          <w:shd w:val="clear" w:color="auto" w:fill="FFFFFF"/>
        </w:rPr>
        <w:t xml:space="preserve"> </w:t>
      </w:r>
      <w:r w:rsidRPr="00B60E11">
        <w:rPr>
          <w:rStyle w:val="Hyperlink"/>
          <w:rFonts w:asciiTheme="minorHAnsi" w:hAnsiTheme="minorHAnsi" w:cstheme="minorHAnsi"/>
          <w:iCs/>
          <w:color w:val="auto"/>
          <w:sz w:val="22"/>
          <w:szCs w:val="22"/>
          <w:u w:val="none"/>
          <w:bdr w:val="none" w:sz="0" w:space="0" w:color="auto" w:frame="1"/>
          <w:shd w:val="clear" w:color="auto" w:fill="FFFFFF"/>
        </w:rPr>
        <w:t xml:space="preserve">which took place from 4-5 December 2019 at ITU Headquarters, </w:t>
      </w:r>
      <w:r w:rsidR="004065CF" w:rsidRPr="00B60E11">
        <w:rPr>
          <w:rStyle w:val="Hyperlink"/>
          <w:rFonts w:asciiTheme="minorHAnsi" w:hAnsiTheme="minorHAnsi" w:cstheme="minorHAnsi"/>
          <w:iCs/>
          <w:color w:val="auto"/>
          <w:sz w:val="22"/>
          <w:szCs w:val="22"/>
          <w:u w:val="none"/>
          <w:bdr w:val="none" w:sz="0" w:space="0" w:color="auto" w:frame="1"/>
          <w:shd w:val="clear" w:color="auto" w:fill="FFFFFF"/>
        </w:rPr>
        <w:t>G</w:t>
      </w:r>
      <w:r w:rsidRPr="00B60E11">
        <w:rPr>
          <w:rStyle w:val="Hyperlink"/>
          <w:rFonts w:asciiTheme="minorHAnsi" w:hAnsiTheme="minorHAnsi" w:cstheme="minorHAnsi"/>
          <w:iCs/>
          <w:color w:val="auto"/>
          <w:sz w:val="22"/>
          <w:szCs w:val="22"/>
          <w:u w:val="none"/>
          <w:bdr w:val="none" w:sz="0" w:space="0" w:color="auto" w:frame="1"/>
          <w:shd w:val="clear" w:color="auto" w:fill="FFFFFF"/>
        </w:rPr>
        <w:t>eneva, Switzerland.</w:t>
      </w:r>
    </w:p>
    <w:p w14:paraId="077CC9E0" w14:textId="2A304ADA" w:rsidR="002901FF" w:rsidRPr="00B60E11" w:rsidRDefault="002901FF" w:rsidP="00B60E11">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t>3.</w:t>
      </w:r>
      <w:r w:rsidR="00A51E79" w:rsidRPr="00B60E11">
        <w:rPr>
          <w:rFonts w:asciiTheme="minorHAnsi" w:hAnsiTheme="minorHAnsi" w:cstheme="minorHAnsi"/>
          <w:lang w:val="en-GB"/>
        </w:rPr>
        <w:t>1</w:t>
      </w:r>
      <w:r w:rsidR="00923E32" w:rsidRPr="00B60E11">
        <w:rPr>
          <w:rFonts w:asciiTheme="minorHAnsi" w:hAnsiTheme="minorHAnsi" w:cstheme="minorHAnsi"/>
          <w:lang w:val="en-GB"/>
        </w:rPr>
        <w:t>2</w:t>
      </w:r>
      <w:r w:rsidRPr="00B60E11">
        <w:rPr>
          <w:rFonts w:asciiTheme="minorHAnsi" w:hAnsiTheme="minorHAnsi" w:cstheme="minorHAnsi"/>
          <w:lang w:val="en-GB"/>
        </w:rPr>
        <w:tab/>
        <w:t xml:space="preserve">ITU-R’s work in radiocommunication standardization continues, matching the constant evolution in modern telecommunication networks. ITU-R established clear security principles for IMT (3G, 4G and 5G) </w:t>
      </w:r>
      <w:r w:rsidRPr="00B60E11">
        <w:rPr>
          <w:rFonts w:asciiTheme="minorHAnsi" w:hAnsiTheme="minorHAnsi" w:cstheme="minorHAnsi"/>
          <w:spacing w:val="-4"/>
          <w:lang w:val="en-GB"/>
        </w:rPr>
        <w:t>networks (Rec. ITU-R M.1078, M.1223, M.1457, M.1645, M.2012 and M.2083). It has also issued</w:t>
      </w:r>
      <w:r w:rsidRPr="00B60E11">
        <w:rPr>
          <w:rFonts w:asciiTheme="minorHAnsi" w:hAnsiTheme="minorHAnsi" w:cstheme="minorHAnsi"/>
          <w:lang w:val="en-GB"/>
        </w:rPr>
        <w:t xml:space="preserve"> </w:t>
      </w:r>
      <w:r w:rsidRPr="00B60E11">
        <w:rPr>
          <w:rFonts w:asciiTheme="minorHAnsi" w:hAnsiTheme="minorHAnsi" w:cstheme="minorHAnsi"/>
          <w:spacing w:val="2"/>
          <w:lang w:val="en-GB"/>
        </w:rPr>
        <w:t xml:space="preserve">Recommendations on security issues in network management architecture for digital satellite systems </w:t>
      </w:r>
      <w:r w:rsidRPr="00B60E11">
        <w:rPr>
          <w:rFonts w:asciiTheme="minorHAnsi" w:hAnsiTheme="minorHAnsi" w:cstheme="minorHAnsi"/>
          <w:lang w:val="en-GB"/>
        </w:rPr>
        <w:t>(Rec. ITU-R S.1250) and performance enhancements of transmission control protocol over satellite networks (Rec. ITU-R S.1711).</w:t>
      </w:r>
    </w:p>
    <w:p w14:paraId="595954F0" w14:textId="77777777" w:rsidR="002901FF" w:rsidRPr="00B60E11" w:rsidRDefault="002901FF" w:rsidP="00B2046E">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t>4.</w:t>
      </w:r>
      <w:r w:rsidRPr="00B60E11">
        <w:rPr>
          <w:rFonts w:asciiTheme="minorHAnsi" w:hAnsiTheme="minorHAnsi" w:cstheme="minorHAnsi"/>
          <w:b/>
          <w:bCs/>
          <w:sz w:val="22"/>
          <w:szCs w:val="22"/>
        </w:rPr>
        <w:tab/>
        <w:t>Organizational Structures</w:t>
      </w:r>
    </w:p>
    <w:p w14:paraId="531C6EBA" w14:textId="0B76DD89" w:rsidR="002901FF" w:rsidRPr="00B60E11" w:rsidRDefault="002901FF" w:rsidP="00EB13CE">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lang w:val="en-GB"/>
        </w:rPr>
        <w:t>4.1</w:t>
      </w:r>
      <w:r w:rsidRPr="00B60E11">
        <w:rPr>
          <w:rFonts w:asciiTheme="minorHAnsi" w:hAnsiTheme="minorHAnsi" w:cstheme="minorHAnsi"/>
          <w:lang w:val="en-GB"/>
        </w:rPr>
        <w:tab/>
        <w:t>ITU</w:t>
      </w:r>
      <w:r w:rsidR="00A463AC" w:rsidRPr="00B60E11">
        <w:rPr>
          <w:rFonts w:asciiTheme="minorHAnsi" w:hAnsiTheme="minorHAnsi" w:cstheme="minorHAnsi"/>
          <w:lang w:val="en-GB"/>
        </w:rPr>
        <w:t xml:space="preserve"> conducted </w:t>
      </w:r>
      <w:r w:rsidRPr="00B60E11">
        <w:rPr>
          <w:rFonts w:asciiTheme="minorHAnsi" w:hAnsiTheme="minorHAnsi" w:cstheme="minorHAnsi"/>
        </w:rPr>
        <w:t xml:space="preserve">technical assessments to evaluate the preparedness for the </w:t>
      </w:r>
      <w:r w:rsidRPr="00B60E11">
        <w:rPr>
          <w:rStyle w:val="Hyperlink"/>
          <w:rFonts w:asciiTheme="minorHAnsi" w:hAnsiTheme="minorHAnsi" w:cstheme="minorHAnsi"/>
          <w:color w:val="auto"/>
          <w:u w:val="none"/>
        </w:rPr>
        <w:t>establishment of Computer Incident Response Teams (CIRTs)</w:t>
      </w:r>
      <w:r w:rsidRPr="00B60E11">
        <w:rPr>
          <w:rFonts w:asciiTheme="minorHAnsi" w:hAnsiTheme="minorHAnsi" w:cstheme="minorHAnsi"/>
        </w:rPr>
        <w:t xml:space="preserve"> in 7</w:t>
      </w:r>
      <w:r w:rsidR="00422BCE" w:rsidRPr="00B60E11">
        <w:rPr>
          <w:rFonts w:asciiTheme="minorHAnsi" w:hAnsiTheme="minorHAnsi" w:cstheme="minorHAnsi"/>
        </w:rPr>
        <w:t>6</w:t>
      </w:r>
      <w:r w:rsidRPr="00B60E11">
        <w:rPr>
          <w:rFonts w:asciiTheme="minorHAnsi" w:hAnsiTheme="minorHAnsi" w:cstheme="minorHAnsi"/>
        </w:rPr>
        <w:t xml:space="preserve"> countries and </w:t>
      </w:r>
      <w:r w:rsidR="00421C13" w:rsidRPr="00B60E11">
        <w:rPr>
          <w:rFonts w:asciiTheme="minorHAnsi" w:hAnsiTheme="minorHAnsi" w:cstheme="minorHAnsi"/>
        </w:rPr>
        <w:t xml:space="preserve">is </w:t>
      </w:r>
      <w:r w:rsidR="00087B43" w:rsidRPr="00B60E11">
        <w:rPr>
          <w:rFonts w:asciiTheme="minorHAnsi" w:hAnsiTheme="minorHAnsi" w:cstheme="minorHAnsi"/>
        </w:rPr>
        <w:t>t</w:t>
      </w:r>
      <w:r w:rsidR="00421C13" w:rsidRPr="00B60E11">
        <w:rPr>
          <w:rFonts w:asciiTheme="minorHAnsi" w:hAnsiTheme="minorHAnsi" w:cstheme="minorHAnsi"/>
        </w:rPr>
        <w:t>aking</w:t>
      </w:r>
      <w:r w:rsidR="00087B43" w:rsidRPr="00B60E11">
        <w:rPr>
          <w:rFonts w:asciiTheme="minorHAnsi" w:hAnsiTheme="minorHAnsi" w:cstheme="minorHAnsi"/>
        </w:rPr>
        <w:t xml:space="preserve"> </w:t>
      </w:r>
      <w:r w:rsidRPr="00B60E11">
        <w:rPr>
          <w:rFonts w:asciiTheme="minorHAnsi" w:hAnsiTheme="minorHAnsi" w:cstheme="minorHAnsi"/>
        </w:rPr>
        <w:t xml:space="preserve">the necessary follow-up actions. </w:t>
      </w:r>
      <w:r w:rsidR="00E35AA2" w:rsidRPr="00B60E11">
        <w:rPr>
          <w:rFonts w:asciiTheme="minorHAnsi" w:hAnsiTheme="minorHAnsi" w:cstheme="minorHAnsi"/>
        </w:rPr>
        <w:t>D</w:t>
      </w:r>
      <w:r w:rsidRPr="00B60E11">
        <w:rPr>
          <w:rFonts w:asciiTheme="minorHAnsi" w:hAnsiTheme="minorHAnsi" w:cstheme="minorHAnsi"/>
        </w:rPr>
        <w:t xml:space="preserve">irect engagement in 14 </w:t>
      </w:r>
      <w:r w:rsidR="00E35AA2" w:rsidRPr="00B60E11">
        <w:rPr>
          <w:rFonts w:asciiTheme="minorHAnsi" w:hAnsiTheme="minorHAnsi" w:cstheme="minorHAnsi"/>
        </w:rPr>
        <w:t xml:space="preserve">such </w:t>
      </w:r>
      <w:r w:rsidRPr="00B60E11">
        <w:rPr>
          <w:rFonts w:asciiTheme="minorHAnsi" w:hAnsiTheme="minorHAnsi" w:cstheme="minorHAnsi"/>
        </w:rPr>
        <w:t xml:space="preserve">activities </w:t>
      </w:r>
      <w:r w:rsidR="00E35AA2" w:rsidRPr="00B60E11">
        <w:rPr>
          <w:rFonts w:asciiTheme="minorHAnsi" w:hAnsiTheme="minorHAnsi" w:cstheme="minorHAnsi"/>
        </w:rPr>
        <w:t>have been completed</w:t>
      </w:r>
      <w:r w:rsidRPr="00B60E11">
        <w:rPr>
          <w:rFonts w:asciiTheme="minorHAnsi" w:hAnsiTheme="minorHAnsi" w:cstheme="minorHAnsi"/>
        </w:rPr>
        <w:t>.</w:t>
      </w:r>
      <w:r w:rsidR="00AD020A" w:rsidRPr="00B60E11">
        <w:rPr>
          <w:rFonts w:asciiTheme="minorHAnsi" w:hAnsiTheme="minorHAnsi" w:cstheme="minorHAnsi"/>
        </w:rPr>
        <w:t xml:space="preserve"> Through the implementation of CIRT services and related capabilities project, the State of Palestine was assisted in building and deploying the technical capabilities and related trainings for CIRT operations. Kiribati and Solomon Islands received assistance to develop their national cybersecurity strategies. Capacity development on CIRT was provided to Papua New Guinea and Vanuatu through the </w:t>
      </w:r>
      <w:hyperlink r:id="rId43" w:history="1">
        <w:r w:rsidR="00AD020A" w:rsidRPr="00B60E11">
          <w:rPr>
            <w:rStyle w:val="Hyperlink"/>
            <w:rFonts w:asciiTheme="minorHAnsi" w:hAnsiTheme="minorHAnsi" w:cstheme="minorHAnsi"/>
          </w:rPr>
          <w:t>ITU-</w:t>
        </w:r>
        <w:r w:rsidR="00F84D66">
          <w:rPr>
            <w:rStyle w:val="Hyperlink"/>
            <w:rFonts w:asciiTheme="minorHAnsi" w:hAnsiTheme="minorHAnsi" w:cstheme="minorHAnsi"/>
          </w:rPr>
          <w:t>Department Communications and the Arts, Australia (</w:t>
        </w:r>
        <w:proofErr w:type="spellStart"/>
        <w:r w:rsidR="00AD020A" w:rsidRPr="00B60E11">
          <w:rPr>
            <w:rStyle w:val="Hyperlink"/>
            <w:rFonts w:asciiTheme="minorHAnsi" w:hAnsiTheme="minorHAnsi" w:cstheme="minorHAnsi"/>
          </w:rPr>
          <w:t>DoCA</w:t>
        </w:r>
        <w:proofErr w:type="spellEnd"/>
        <w:r w:rsidR="00F84D66">
          <w:rPr>
            <w:rStyle w:val="Hyperlink"/>
            <w:rFonts w:asciiTheme="minorHAnsi" w:hAnsiTheme="minorHAnsi" w:cstheme="minorHAnsi"/>
          </w:rPr>
          <w:t>)</w:t>
        </w:r>
        <w:r w:rsidR="00AD020A" w:rsidRPr="00B60E11">
          <w:rPr>
            <w:rStyle w:val="Hyperlink"/>
            <w:rFonts w:asciiTheme="minorHAnsi" w:hAnsiTheme="minorHAnsi" w:cstheme="minorHAnsi"/>
          </w:rPr>
          <w:t xml:space="preserve"> project</w:t>
        </w:r>
      </w:hyperlink>
      <w:r w:rsidR="00AD020A" w:rsidRPr="00B60E11">
        <w:rPr>
          <w:rFonts w:asciiTheme="minorHAnsi" w:hAnsiTheme="minorHAnsi" w:cstheme="minorHAnsi"/>
        </w:rPr>
        <w:t>. CIRT readiness assessment workshops were conducted in Chad and Liberia. The national CIRT stakeholders of Gambia were trained on CIRT operations. 4 CIRT projects were initiated and implementation is still ongoing in Botswana, Burundi, Gambia, and Malawi. In Kenya, the existing CIRT enhancement is ongoing (to be completed in 2020).</w:t>
      </w:r>
    </w:p>
    <w:p w14:paraId="7CD9C2E0" w14:textId="5A45A33C" w:rsidR="00AD020A" w:rsidRPr="00B60E11" w:rsidRDefault="002901FF" w:rsidP="00AD020A">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4.</w:t>
      </w:r>
      <w:r w:rsidR="00AD020A" w:rsidRPr="00B60E11">
        <w:rPr>
          <w:rFonts w:asciiTheme="minorHAnsi" w:hAnsiTheme="minorHAnsi" w:cstheme="minorHAnsi"/>
        </w:rPr>
        <w:t>2</w:t>
      </w:r>
      <w:r w:rsidRPr="00B60E11">
        <w:rPr>
          <w:rFonts w:asciiTheme="minorHAnsi" w:hAnsiTheme="minorHAnsi" w:cstheme="minorHAnsi"/>
        </w:rPr>
        <w:tab/>
      </w:r>
      <w:r w:rsidR="00B149BF" w:rsidRPr="00B60E11">
        <w:rPr>
          <w:rFonts w:asciiTheme="minorHAnsi" w:hAnsiTheme="minorHAnsi" w:cstheme="minorHAnsi"/>
          <w:spacing w:val="2"/>
        </w:rPr>
        <w:t xml:space="preserve">ITU </w:t>
      </w:r>
      <w:r w:rsidRPr="00B60E11">
        <w:rPr>
          <w:rFonts w:asciiTheme="minorHAnsi" w:hAnsiTheme="minorHAnsi" w:cstheme="minorHAnsi"/>
          <w:spacing w:val="2"/>
        </w:rPr>
        <w:t>has conducted 2</w:t>
      </w:r>
      <w:r w:rsidR="00422BCE" w:rsidRPr="00B60E11">
        <w:rPr>
          <w:rFonts w:asciiTheme="minorHAnsi" w:hAnsiTheme="minorHAnsi" w:cstheme="minorHAnsi"/>
          <w:spacing w:val="2"/>
        </w:rPr>
        <w:t>8</w:t>
      </w:r>
      <w:r w:rsidRPr="00B60E11">
        <w:rPr>
          <w:rFonts w:asciiTheme="minorHAnsi" w:hAnsiTheme="minorHAnsi" w:cstheme="minorHAnsi"/>
          <w:spacing w:val="2"/>
        </w:rPr>
        <w:t xml:space="preserve"> </w:t>
      </w:r>
      <w:hyperlink r:id="rId44" w:history="1">
        <w:r w:rsidRPr="00B60E11">
          <w:rPr>
            <w:rStyle w:val="Hyperlink"/>
            <w:rFonts w:asciiTheme="minorHAnsi" w:hAnsiTheme="minorHAnsi" w:cstheme="minorHAnsi"/>
            <w:spacing w:val="2"/>
          </w:rPr>
          <w:t xml:space="preserve">Cyber </w:t>
        </w:r>
        <w:r w:rsidRPr="00B60E11">
          <w:rPr>
            <w:rStyle w:val="Hyperlink"/>
            <w:rFonts w:asciiTheme="minorHAnsi" w:hAnsiTheme="minorHAnsi" w:cstheme="minorHAnsi"/>
          </w:rPr>
          <w:t>Drills</w:t>
        </w:r>
      </w:hyperlink>
      <w:r w:rsidRPr="00B60E11">
        <w:rPr>
          <w:rFonts w:asciiTheme="minorHAnsi" w:hAnsiTheme="minorHAnsi" w:cstheme="minorHAnsi"/>
        </w:rPr>
        <w:t xml:space="preserve"> involving more than 100 countries. Cyber Drills were held</w:t>
      </w:r>
      <w:r w:rsidRPr="00B60E11">
        <w:rPr>
          <w:rFonts w:asciiTheme="minorHAnsi" w:hAnsiTheme="minorHAnsi" w:cstheme="minorHAnsi"/>
          <w:spacing w:val="2"/>
        </w:rPr>
        <w:t xml:space="preserve"> </w:t>
      </w:r>
      <w:r w:rsidRPr="00B60E11">
        <w:rPr>
          <w:rFonts w:asciiTheme="minorHAnsi" w:hAnsiTheme="minorHAnsi" w:cstheme="minorHAnsi"/>
          <w:spacing w:val="2"/>
          <w:lang w:val="en-GB"/>
        </w:rPr>
        <w:t>in</w:t>
      </w:r>
      <w:r w:rsidR="00273924" w:rsidRPr="00B60E11">
        <w:rPr>
          <w:rFonts w:asciiTheme="minorHAnsi" w:hAnsiTheme="minorHAnsi" w:cstheme="minorHAnsi"/>
          <w:spacing w:val="2"/>
          <w:lang w:val="en-GB"/>
        </w:rPr>
        <w:t>:</w:t>
      </w:r>
      <w:r w:rsidRPr="00B60E11">
        <w:rPr>
          <w:rFonts w:asciiTheme="minorHAnsi" w:hAnsiTheme="minorHAnsi" w:cstheme="minorHAnsi"/>
          <w:spacing w:val="2"/>
          <w:lang w:val="en-GB"/>
        </w:rPr>
        <w:t xml:space="preserve"> </w:t>
      </w:r>
      <w:hyperlink r:id="rId45" w:history="1">
        <w:r w:rsidR="00AD020A" w:rsidRPr="00B60E11">
          <w:rPr>
            <w:rStyle w:val="Hyperlink"/>
            <w:rFonts w:asciiTheme="minorHAnsi" w:hAnsiTheme="minorHAnsi" w:cstheme="minorHAnsi"/>
            <w:spacing w:val="2"/>
            <w:lang w:val="en-GB"/>
          </w:rPr>
          <w:t>Uganda</w:t>
        </w:r>
      </w:hyperlink>
      <w:r w:rsidR="00AD020A" w:rsidRPr="00B60E11">
        <w:rPr>
          <w:rFonts w:asciiTheme="minorHAnsi" w:hAnsiTheme="minorHAnsi" w:cstheme="minorHAnsi"/>
          <w:spacing w:val="2"/>
          <w:lang w:val="en-GB"/>
        </w:rPr>
        <w:t xml:space="preserve"> </w:t>
      </w:r>
      <w:r w:rsidR="00273924" w:rsidRPr="00B60E11">
        <w:rPr>
          <w:rFonts w:asciiTheme="minorHAnsi" w:hAnsiTheme="minorHAnsi" w:cstheme="minorHAnsi"/>
          <w:spacing w:val="2"/>
          <w:lang w:val="en-GB"/>
        </w:rPr>
        <w:t>(</w:t>
      </w:r>
      <w:r w:rsidRPr="00B60E11">
        <w:rPr>
          <w:rFonts w:asciiTheme="minorHAnsi" w:hAnsiTheme="minorHAnsi" w:cstheme="minorHAnsi"/>
          <w:spacing w:val="2"/>
          <w:lang w:val="en-GB"/>
        </w:rPr>
        <w:t>Africa region</w:t>
      </w:r>
      <w:r w:rsidR="00E07C63" w:rsidRPr="00B60E11">
        <w:rPr>
          <w:rFonts w:asciiTheme="minorHAnsi" w:hAnsiTheme="minorHAnsi" w:cstheme="minorHAnsi"/>
          <w:spacing w:val="2"/>
          <w:lang w:val="en-GB"/>
        </w:rPr>
        <w:t>,</w:t>
      </w:r>
      <w:r w:rsidR="007046D5" w:rsidRPr="00B60E11">
        <w:rPr>
          <w:rFonts w:asciiTheme="minorHAnsi" w:hAnsiTheme="minorHAnsi" w:cstheme="minorHAnsi"/>
          <w:spacing w:val="2"/>
          <w:lang w:val="en-GB"/>
        </w:rPr>
        <w:t xml:space="preserve"> </w:t>
      </w:r>
      <w:r w:rsidR="00422BCE" w:rsidRPr="00B60E11">
        <w:rPr>
          <w:rFonts w:asciiTheme="minorHAnsi" w:hAnsiTheme="minorHAnsi" w:cstheme="minorHAnsi"/>
          <w:spacing w:val="2"/>
          <w:lang w:val="en-GB"/>
        </w:rPr>
        <w:t>Nov</w:t>
      </w:r>
      <w:r w:rsidR="000D0F40">
        <w:rPr>
          <w:rFonts w:asciiTheme="minorHAnsi" w:hAnsiTheme="minorHAnsi" w:cstheme="minorHAnsi"/>
          <w:spacing w:val="2"/>
          <w:lang w:val="en-GB"/>
        </w:rPr>
        <w:t>ember</w:t>
      </w:r>
      <w:r w:rsidR="00422BCE" w:rsidRPr="00B60E11">
        <w:rPr>
          <w:rFonts w:asciiTheme="minorHAnsi" w:hAnsiTheme="minorHAnsi" w:cstheme="minorHAnsi"/>
          <w:spacing w:val="2"/>
          <w:lang w:val="en-GB"/>
        </w:rPr>
        <w:t xml:space="preserve"> </w:t>
      </w:r>
      <w:r w:rsidR="00A44874" w:rsidRPr="00B60E11">
        <w:rPr>
          <w:rFonts w:asciiTheme="minorHAnsi" w:hAnsiTheme="minorHAnsi" w:cstheme="minorHAnsi"/>
          <w:spacing w:val="2"/>
          <w:lang w:val="en-GB"/>
        </w:rPr>
        <w:t>201</w:t>
      </w:r>
      <w:r w:rsidR="00422BCE" w:rsidRPr="00B60E11">
        <w:rPr>
          <w:rFonts w:asciiTheme="minorHAnsi" w:hAnsiTheme="minorHAnsi" w:cstheme="minorHAnsi"/>
          <w:spacing w:val="2"/>
          <w:lang w:val="en-GB"/>
        </w:rPr>
        <w:t>9</w:t>
      </w:r>
      <w:r w:rsidRPr="00B60E11">
        <w:rPr>
          <w:rFonts w:asciiTheme="minorHAnsi" w:hAnsiTheme="minorHAnsi" w:cstheme="minorHAnsi"/>
          <w:spacing w:val="2"/>
          <w:lang w:val="en-GB"/>
        </w:rPr>
        <w:t>)</w:t>
      </w:r>
      <w:r w:rsidR="00A44874" w:rsidRPr="00B60E11">
        <w:rPr>
          <w:rFonts w:asciiTheme="minorHAnsi" w:hAnsiTheme="minorHAnsi" w:cstheme="minorHAnsi"/>
          <w:spacing w:val="2"/>
          <w:lang w:val="en-GB"/>
        </w:rPr>
        <w:t>;</w:t>
      </w:r>
      <w:r w:rsidRPr="00B60E11">
        <w:rPr>
          <w:rFonts w:asciiTheme="minorHAnsi" w:hAnsiTheme="minorHAnsi" w:cstheme="minorHAnsi"/>
          <w:spacing w:val="6"/>
          <w:lang w:val="en-GB"/>
        </w:rPr>
        <w:t xml:space="preserve"> </w:t>
      </w:r>
      <w:hyperlink r:id="rId46" w:history="1">
        <w:r w:rsidR="00422BCE" w:rsidRPr="00B60E11">
          <w:rPr>
            <w:rStyle w:val="Hyperlink"/>
            <w:rFonts w:asciiTheme="minorHAnsi" w:hAnsiTheme="minorHAnsi" w:cstheme="minorHAnsi"/>
            <w:lang w:val="en-GB"/>
          </w:rPr>
          <w:t>Oman</w:t>
        </w:r>
      </w:hyperlink>
      <w:r w:rsidRPr="00B60E11">
        <w:rPr>
          <w:rFonts w:asciiTheme="minorHAnsi" w:hAnsiTheme="minorHAnsi" w:cstheme="minorHAnsi"/>
          <w:b/>
          <w:bCs/>
          <w:lang w:val="en-GB"/>
        </w:rPr>
        <w:t xml:space="preserve"> </w:t>
      </w:r>
      <w:r w:rsidR="00657D84" w:rsidRPr="00B60E11">
        <w:rPr>
          <w:rFonts w:asciiTheme="minorHAnsi" w:hAnsiTheme="minorHAnsi" w:cstheme="minorHAnsi"/>
          <w:bCs/>
          <w:lang w:val="en-GB"/>
        </w:rPr>
        <w:t>(</w:t>
      </w:r>
      <w:r w:rsidRPr="00B60E11">
        <w:rPr>
          <w:rFonts w:asciiTheme="minorHAnsi" w:hAnsiTheme="minorHAnsi" w:cstheme="minorHAnsi"/>
        </w:rPr>
        <w:t>Arab Region</w:t>
      </w:r>
      <w:r w:rsidR="00E07C63" w:rsidRPr="00B60E11">
        <w:rPr>
          <w:rFonts w:asciiTheme="minorHAnsi" w:hAnsiTheme="minorHAnsi" w:cstheme="minorHAnsi"/>
        </w:rPr>
        <w:t>,</w:t>
      </w:r>
      <w:r w:rsidR="00657D84" w:rsidRPr="00B60E11">
        <w:rPr>
          <w:rFonts w:asciiTheme="minorHAnsi" w:hAnsiTheme="minorHAnsi" w:cstheme="minorHAnsi"/>
        </w:rPr>
        <w:t xml:space="preserve"> Oct</w:t>
      </w:r>
      <w:r w:rsidR="000D0F40">
        <w:rPr>
          <w:rFonts w:asciiTheme="minorHAnsi" w:hAnsiTheme="minorHAnsi" w:cstheme="minorHAnsi"/>
        </w:rPr>
        <w:t xml:space="preserve">ober </w:t>
      </w:r>
      <w:r w:rsidR="00657D84" w:rsidRPr="00B60E11">
        <w:rPr>
          <w:rFonts w:asciiTheme="minorHAnsi" w:hAnsiTheme="minorHAnsi" w:cstheme="minorHAnsi"/>
        </w:rPr>
        <w:t>201</w:t>
      </w:r>
      <w:r w:rsidR="00422BCE" w:rsidRPr="00B60E11">
        <w:rPr>
          <w:rFonts w:asciiTheme="minorHAnsi" w:hAnsiTheme="minorHAnsi" w:cstheme="minorHAnsi"/>
        </w:rPr>
        <w:t>9</w:t>
      </w:r>
      <w:r w:rsidR="00657D84" w:rsidRPr="00B60E11">
        <w:rPr>
          <w:rFonts w:asciiTheme="minorHAnsi" w:hAnsiTheme="minorHAnsi" w:cstheme="minorHAnsi"/>
        </w:rPr>
        <w:t>);</w:t>
      </w:r>
      <w:r w:rsidRPr="00B60E11">
        <w:rPr>
          <w:rFonts w:asciiTheme="minorHAnsi" w:hAnsiTheme="minorHAnsi" w:cstheme="minorHAnsi"/>
        </w:rPr>
        <w:t xml:space="preserve"> </w:t>
      </w:r>
      <w:hyperlink r:id="rId47" w:history="1">
        <w:r w:rsidR="00AD020A" w:rsidRPr="00B60E11">
          <w:rPr>
            <w:rStyle w:val="Hyperlink"/>
            <w:rFonts w:asciiTheme="minorHAnsi" w:hAnsiTheme="minorHAnsi" w:cstheme="minorHAnsi"/>
          </w:rPr>
          <w:t>Malaysia</w:t>
        </w:r>
      </w:hyperlink>
      <w:r w:rsidR="00422BCE" w:rsidRPr="00B60E11">
        <w:rPr>
          <w:rFonts w:asciiTheme="minorHAnsi" w:hAnsiTheme="minorHAnsi" w:cstheme="minorHAnsi"/>
        </w:rPr>
        <w:t xml:space="preserve"> </w:t>
      </w:r>
      <w:r w:rsidR="00AE7295" w:rsidRPr="00B60E11">
        <w:rPr>
          <w:rFonts w:asciiTheme="minorHAnsi" w:hAnsiTheme="minorHAnsi" w:cstheme="minorHAnsi"/>
          <w:lang w:val="en-GB"/>
        </w:rPr>
        <w:t>(</w:t>
      </w:r>
      <w:r w:rsidR="00422BCE" w:rsidRPr="00B60E11">
        <w:rPr>
          <w:rFonts w:asciiTheme="minorHAnsi" w:hAnsiTheme="minorHAnsi" w:cstheme="minorHAnsi"/>
          <w:lang w:val="en-GB"/>
        </w:rPr>
        <w:t xml:space="preserve">Asia &amp; the Pacific </w:t>
      </w:r>
      <w:r w:rsidRPr="00B60E11">
        <w:rPr>
          <w:rFonts w:asciiTheme="minorHAnsi" w:hAnsiTheme="minorHAnsi" w:cstheme="minorHAnsi"/>
          <w:lang w:val="en-GB"/>
        </w:rPr>
        <w:t>region</w:t>
      </w:r>
      <w:r w:rsidR="00E07C63" w:rsidRPr="00B60E11">
        <w:rPr>
          <w:rFonts w:asciiTheme="minorHAnsi" w:hAnsiTheme="minorHAnsi" w:cstheme="minorHAnsi"/>
          <w:lang w:val="en-GB"/>
        </w:rPr>
        <w:t>,</w:t>
      </w:r>
      <w:r w:rsidR="00AE7295" w:rsidRPr="00B60E11">
        <w:rPr>
          <w:rFonts w:asciiTheme="minorHAnsi" w:hAnsiTheme="minorHAnsi" w:cstheme="minorHAnsi"/>
          <w:lang w:val="en-GB"/>
        </w:rPr>
        <w:t xml:space="preserve"> </w:t>
      </w:r>
      <w:r w:rsidR="00422BCE" w:rsidRPr="00B60E11">
        <w:rPr>
          <w:rFonts w:asciiTheme="minorHAnsi" w:hAnsiTheme="minorHAnsi" w:cstheme="minorHAnsi"/>
          <w:lang w:val="en-GB"/>
        </w:rPr>
        <w:t>Sept</w:t>
      </w:r>
      <w:r w:rsidR="000D0F40">
        <w:rPr>
          <w:rFonts w:asciiTheme="minorHAnsi" w:hAnsiTheme="minorHAnsi" w:cstheme="minorHAnsi"/>
          <w:lang w:val="en-GB"/>
        </w:rPr>
        <w:t>ember</w:t>
      </w:r>
      <w:r w:rsidR="00422BCE" w:rsidRPr="00B60E11">
        <w:rPr>
          <w:rFonts w:asciiTheme="minorHAnsi" w:hAnsiTheme="minorHAnsi" w:cstheme="minorHAnsi"/>
          <w:lang w:val="en-GB"/>
        </w:rPr>
        <w:t xml:space="preserve"> 2019</w:t>
      </w:r>
      <w:r w:rsidR="00AE7295" w:rsidRPr="00B60E11">
        <w:rPr>
          <w:rFonts w:asciiTheme="minorHAnsi" w:hAnsiTheme="minorHAnsi" w:cstheme="minorHAnsi"/>
          <w:lang w:val="en-GB"/>
        </w:rPr>
        <w:t>)</w:t>
      </w:r>
      <w:r w:rsidRPr="00B60E11">
        <w:rPr>
          <w:rFonts w:asciiTheme="minorHAnsi" w:hAnsiTheme="minorHAnsi" w:cstheme="minorHAnsi"/>
          <w:lang w:val="en-GB"/>
        </w:rPr>
        <w:t xml:space="preserve"> and </w:t>
      </w:r>
      <w:r w:rsidR="00422BCE" w:rsidRPr="00B60E11">
        <w:rPr>
          <w:rFonts w:asciiTheme="minorHAnsi" w:hAnsiTheme="minorHAnsi" w:cstheme="minorHAnsi"/>
          <w:lang w:val="en-GB"/>
        </w:rPr>
        <w:t xml:space="preserve">Romania </w:t>
      </w:r>
      <w:r w:rsidR="006D5BD5" w:rsidRPr="00B60E11">
        <w:rPr>
          <w:rFonts w:asciiTheme="minorHAnsi" w:hAnsiTheme="minorHAnsi" w:cstheme="minorHAnsi"/>
          <w:lang w:val="en-GB"/>
        </w:rPr>
        <w:t>(</w:t>
      </w:r>
      <w:r w:rsidR="00422BCE" w:rsidRPr="00B60E11">
        <w:rPr>
          <w:rFonts w:asciiTheme="minorHAnsi" w:hAnsiTheme="minorHAnsi" w:cstheme="minorHAnsi"/>
          <w:lang w:val="en-GB"/>
        </w:rPr>
        <w:t xml:space="preserve">Europe &amp; </w:t>
      </w:r>
      <w:r w:rsidRPr="00B60E11">
        <w:rPr>
          <w:rFonts w:asciiTheme="minorHAnsi" w:hAnsiTheme="minorHAnsi" w:cstheme="minorHAnsi"/>
          <w:lang w:val="en-GB"/>
        </w:rPr>
        <w:t>CIS region</w:t>
      </w:r>
      <w:r w:rsidR="006D5BD5" w:rsidRPr="00B60E11">
        <w:rPr>
          <w:rFonts w:asciiTheme="minorHAnsi" w:hAnsiTheme="minorHAnsi" w:cstheme="minorHAnsi"/>
          <w:lang w:val="en-GB"/>
        </w:rPr>
        <w:t xml:space="preserve">, </w:t>
      </w:r>
      <w:r w:rsidR="00422BCE" w:rsidRPr="00B60E11">
        <w:rPr>
          <w:rFonts w:asciiTheme="minorHAnsi" w:hAnsiTheme="minorHAnsi" w:cstheme="minorHAnsi"/>
          <w:lang w:val="en-GB"/>
        </w:rPr>
        <w:t>May 2019</w:t>
      </w:r>
      <w:r w:rsidR="006D5BD5" w:rsidRPr="00B60E11">
        <w:rPr>
          <w:rFonts w:asciiTheme="minorHAnsi" w:hAnsiTheme="minorHAnsi" w:cstheme="minorHAnsi"/>
          <w:lang w:val="en-GB"/>
        </w:rPr>
        <w:t>)</w:t>
      </w:r>
      <w:r w:rsidRPr="00B60E11">
        <w:rPr>
          <w:rFonts w:asciiTheme="minorHAnsi" w:hAnsiTheme="minorHAnsi" w:cstheme="minorHAnsi"/>
        </w:rPr>
        <w:t xml:space="preserve">. </w:t>
      </w:r>
      <w:r w:rsidR="00AD020A" w:rsidRPr="00B60E11">
        <w:rPr>
          <w:rFonts w:asciiTheme="minorHAnsi" w:hAnsiTheme="minorHAnsi" w:cstheme="minorHAnsi"/>
        </w:rPr>
        <w:t xml:space="preserve">Five Cyber Drills are planned to be conducted in 2020. </w:t>
      </w:r>
    </w:p>
    <w:p w14:paraId="0E8C19FB" w14:textId="77777777" w:rsidR="002901FF" w:rsidRPr="00B60E11" w:rsidRDefault="002901FF" w:rsidP="000D0F4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t>5.</w:t>
      </w:r>
      <w:r w:rsidRPr="00B60E11">
        <w:rPr>
          <w:rFonts w:asciiTheme="minorHAnsi" w:hAnsiTheme="minorHAnsi" w:cstheme="minorHAnsi"/>
          <w:b/>
          <w:bCs/>
          <w:sz w:val="22"/>
          <w:szCs w:val="22"/>
        </w:rPr>
        <w:tab/>
        <w:t>Capacity Building</w:t>
      </w:r>
    </w:p>
    <w:p w14:paraId="2FCD758C" w14:textId="10576CF6" w:rsidR="002901FF" w:rsidRPr="00B60E11" w:rsidRDefault="002901FF" w:rsidP="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t>5.1</w:t>
      </w:r>
      <w:r w:rsidRPr="00B60E11">
        <w:rPr>
          <w:rFonts w:asciiTheme="minorHAnsi" w:hAnsiTheme="minorHAnsi" w:cstheme="minorHAnsi"/>
          <w:lang w:val="en-GB"/>
        </w:rPr>
        <w:tab/>
        <w:t xml:space="preserve">ITU </w:t>
      </w:r>
      <w:r w:rsidR="00421C13" w:rsidRPr="00B60E11">
        <w:rPr>
          <w:rFonts w:asciiTheme="minorHAnsi" w:hAnsiTheme="minorHAnsi" w:cstheme="minorHAnsi"/>
          <w:lang w:val="en-GB"/>
        </w:rPr>
        <w:t xml:space="preserve">has </w:t>
      </w:r>
      <w:r w:rsidRPr="00B60E11">
        <w:rPr>
          <w:rFonts w:asciiTheme="minorHAnsi" w:hAnsiTheme="minorHAnsi" w:cstheme="minorHAnsi"/>
          <w:lang w:val="en-GB"/>
        </w:rPr>
        <w:t>organize</w:t>
      </w:r>
      <w:r w:rsidR="00BF7066" w:rsidRPr="00B60E11">
        <w:rPr>
          <w:rFonts w:asciiTheme="minorHAnsi" w:hAnsiTheme="minorHAnsi" w:cstheme="minorHAnsi"/>
          <w:lang w:val="en-GB"/>
        </w:rPr>
        <w:t>d</w:t>
      </w:r>
      <w:r w:rsidRPr="00B60E11">
        <w:rPr>
          <w:rFonts w:asciiTheme="minorHAnsi" w:hAnsiTheme="minorHAnsi" w:cstheme="minorHAnsi"/>
          <w:lang w:val="en-GB"/>
        </w:rPr>
        <w:t xml:space="preserve"> </w:t>
      </w:r>
      <w:hyperlink r:id="rId48" w:history="1">
        <w:r w:rsidRPr="00B60E11">
          <w:rPr>
            <w:rStyle w:val="Hyperlink"/>
            <w:rFonts w:asciiTheme="minorHAnsi" w:hAnsiTheme="minorHAnsi" w:cstheme="minorHAnsi"/>
            <w:lang w:val="en-GB"/>
          </w:rPr>
          <w:t>regional cybersecurity forums</w:t>
        </w:r>
      </w:hyperlink>
      <w:r w:rsidRPr="00B60E11">
        <w:rPr>
          <w:rFonts w:asciiTheme="minorHAnsi" w:hAnsiTheme="minorHAnsi" w:cstheme="minorHAnsi"/>
          <w:lang w:val="en-GB"/>
        </w:rPr>
        <w:t xml:space="preserve"> for all ITU regions</w:t>
      </w:r>
      <w:r w:rsidR="005661A5" w:rsidRPr="00B60E11">
        <w:rPr>
          <w:rFonts w:asciiTheme="minorHAnsi" w:hAnsiTheme="minorHAnsi" w:cstheme="minorHAnsi"/>
          <w:lang w:val="en-GB"/>
        </w:rPr>
        <w:t xml:space="preserve"> </w:t>
      </w:r>
      <w:r w:rsidR="007C4704" w:rsidRPr="00B60E11">
        <w:rPr>
          <w:rFonts w:asciiTheme="minorHAnsi" w:hAnsiTheme="minorHAnsi" w:cstheme="minorHAnsi"/>
          <w:lang w:val="en-GB"/>
        </w:rPr>
        <w:t xml:space="preserve">in order </w:t>
      </w:r>
      <w:r w:rsidR="005661A5" w:rsidRPr="00B60E11">
        <w:rPr>
          <w:rFonts w:asciiTheme="minorHAnsi" w:hAnsiTheme="minorHAnsi" w:cstheme="minorHAnsi"/>
          <w:lang w:val="en-GB"/>
        </w:rPr>
        <w:t xml:space="preserve">to build capacity </w:t>
      </w:r>
      <w:r w:rsidRPr="00B60E11">
        <w:rPr>
          <w:rFonts w:asciiTheme="minorHAnsi" w:hAnsiTheme="minorHAnsi" w:cstheme="minorHAnsi"/>
          <w:lang w:val="en-GB"/>
        </w:rPr>
        <w:t>for different BDT programmes</w:t>
      </w:r>
      <w:r w:rsidR="00B77E3E" w:rsidRPr="00B60E11">
        <w:rPr>
          <w:rFonts w:asciiTheme="minorHAnsi" w:hAnsiTheme="minorHAnsi" w:cstheme="minorHAnsi"/>
          <w:lang w:val="en-GB"/>
        </w:rPr>
        <w:t>/</w:t>
      </w:r>
      <w:r w:rsidRPr="00B60E11">
        <w:rPr>
          <w:rFonts w:asciiTheme="minorHAnsi" w:hAnsiTheme="minorHAnsi" w:cstheme="minorHAnsi"/>
          <w:lang w:val="en-GB"/>
        </w:rPr>
        <w:t xml:space="preserve">activities </w:t>
      </w:r>
      <w:r w:rsidR="0030320C" w:rsidRPr="00B60E11">
        <w:rPr>
          <w:rFonts w:asciiTheme="minorHAnsi" w:hAnsiTheme="minorHAnsi" w:cstheme="minorHAnsi"/>
          <w:lang w:val="en-GB"/>
        </w:rPr>
        <w:t xml:space="preserve">and </w:t>
      </w:r>
      <w:r w:rsidR="00264F43" w:rsidRPr="00B60E11">
        <w:rPr>
          <w:rFonts w:asciiTheme="minorHAnsi" w:hAnsiTheme="minorHAnsi" w:cstheme="minorHAnsi"/>
          <w:lang w:val="en-GB"/>
        </w:rPr>
        <w:t xml:space="preserve">provide </w:t>
      </w:r>
      <w:r w:rsidRPr="00B60E11">
        <w:rPr>
          <w:rFonts w:asciiTheme="minorHAnsi" w:hAnsiTheme="minorHAnsi" w:cstheme="minorHAnsi"/>
          <w:lang w:val="en-GB"/>
        </w:rPr>
        <w:t xml:space="preserve">an operational platform for </w:t>
      </w:r>
      <w:r w:rsidR="00AA182D" w:rsidRPr="00B60E11">
        <w:rPr>
          <w:rFonts w:asciiTheme="minorHAnsi" w:hAnsiTheme="minorHAnsi" w:cstheme="minorHAnsi"/>
          <w:lang w:val="en-GB"/>
        </w:rPr>
        <w:t>regional</w:t>
      </w:r>
      <w:r w:rsidR="00902DB7" w:rsidRPr="00B60E11">
        <w:rPr>
          <w:rFonts w:asciiTheme="minorHAnsi" w:hAnsiTheme="minorHAnsi" w:cstheme="minorHAnsi"/>
          <w:lang w:val="en-GB"/>
        </w:rPr>
        <w:t xml:space="preserve"> and </w:t>
      </w:r>
      <w:r w:rsidR="00AA182D" w:rsidRPr="00B60E11">
        <w:rPr>
          <w:rFonts w:asciiTheme="minorHAnsi" w:hAnsiTheme="minorHAnsi" w:cstheme="minorHAnsi"/>
          <w:lang w:val="en-GB"/>
        </w:rPr>
        <w:t xml:space="preserve">international </w:t>
      </w:r>
      <w:r w:rsidRPr="00B60E11">
        <w:rPr>
          <w:rFonts w:asciiTheme="minorHAnsi" w:hAnsiTheme="minorHAnsi" w:cstheme="minorHAnsi"/>
          <w:lang w:val="en-GB"/>
        </w:rPr>
        <w:t>cooperation.</w:t>
      </w:r>
      <w:r w:rsidR="009456C8" w:rsidRPr="00B60E11">
        <w:rPr>
          <w:rFonts w:asciiTheme="minorHAnsi" w:hAnsiTheme="minorHAnsi" w:cstheme="minorHAnsi"/>
          <w:lang w:val="en-GB"/>
        </w:rPr>
        <w:t xml:space="preserve"> </w:t>
      </w:r>
    </w:p>
    <w:p w14:paraId="3E1A43C1" w14:textId="6D2EAB0B" w:rsidR="009456C8" w:rsidRPr="00B60E11" w:rsidRDefault="009456C8" w:rsidP="009456C8">
      <w:pPr>
        <w:pStyle w:val="normalWSIS"/>
        <w:numPr>
          <w:ilvl w:val="0"/>
          <w:numId w:val="0"/>
        </w:numPr>
        <w:tabs>
          <w:tab w:val="clear" w:pos="426"/>
        </w:tabs>
        <w:adjustRightInd w:val="0"/>
        <w:snapToGrid w:val="0"/>
        <w:spacing w:after="120"/>
        <w:rPr>
          <w:rFonts w:asciiTheme="minorHAnsi" w:hAnsiTheme="minorHAnsi" w:cstheme="minorHAnsi"/>
          <w:spacing w:val="-2"/>
        </w:rPr>
      </w:pPr>
      <w:r w:rsidRPr="00B60E11">
        <w:rPr>
          <w:rFonts w:asciiTheme="minorHAnsi" w:hAnsiTheme="minorHAnsi" w:cstheme="minorHAnsi"/>
          <w:spacing w:val="-2"/>
        </w:rPr>
        <w:t>5.2</w:t>
      </w:r>
      <w:r w:rsidRPr="00B60E11">
        <w:rPr>
          <w:rFonts w:asciiTheme="minorHAnsi" w:hAnsiTheme="minorHAnsi" w:cstheme="minorHAnsi"/>
          <w:spacing w:val="-2"/>
        </w:rPr>
        <w:tab/>
        <w:t xml:space="preserve">Following WTDC 2017, </w:t>
      </w:r>
      <w:r w:rsidR="00F84D66">
        <w:rPr>
          <w:rFonts w:asciiTheme="minorHAnsi" w:hAnsiTheme="minorHAnsi" w:cstheme="minorHAnsi"/>
          <w:spacing w:val="-2"/>
        </w:rPr>
        <w:t xml:space="preserve">ITU-D SG2 </w:t>
      </w:r>
      <w:r w:rsidRPr="00B60E11">
        <w:rPr>
          <w:rFonts w:asciiTheme="minorHAnsi" w:hAnsiTheme="minorHAnsi" w:cstheme="minorHAnsi"/>
          <w:spacing w:val="-2"/>
        </w:rPr>
        <w:t>Question 3/2 (</w:t>
      </w:r>
      <w:hyperlink r:id="rId49" w:history="1">
        <w:r w:rsidRPr="00B60E11">
          <w:rPr>
            <w:rStyle w:val="Hyperlink"/>
            <w:rFonts w:asciiTheme="minorHAnsi" w:hAnsiTheme="minorHAnsi" w:cstheme="minorHAnsi"/>
            <w:spacing w:val="-2"/>
          </w:rPr>
          <w:t>Securing information and communication networks: Best practices for developing a culture of cybersecurity</w:t>
        </w:r>
      </w:hyperlink>
      <w:r w:rsidRPr="00B60E11">
        <w:rPr>
          <w:rFonts w:asciiTheme="minorHAnsi" w:hAnsiTheme="minorHAnsi" w:cstheme="minorHAnsi"/>
          <w:spacing w:val="-2"/>
        </w:rPr>
        <w:t>) continues its work during study period 2018-2021.</w:t>
      </w:r>
    </w:p>
    <w:p w14:paraId="0273CA75" w14:textId="5D3A8AD4" w:rsidR="00112FDA" w:rsidRPr="00B60E11" w:rsidRDefault="009456C8" w:rsidP="00B60E11">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5.3</w:t>
      </w:r>
      <w:r w:rsidRPr="00B60E11">
        <w:rPr>
          <w:rFonts w:asciiTheme="minorHAnsi" w:hAnsiTheme="minorHAnsi" w:cstheme="minorHAnsi"/>
        </w:rPr>
        <w:tab/>
      </w:r>
      <w:r w:rsidR="00112FDA" w:rsidRPr="00B60E11">
        <w:rPr>
          <w:rFonts w:asciiTheme="minorHAnsi" w:hAnsiTheme="minorHAnsi" w:cstheme="minorHAnsi"/>
        </w:rPr>
        <w:t>The ITU Guide to Developing a National Cybersecurity Strategy (NCS) constitutes a good practice guide that has been used by countries in all regions. The following workshops were organized in 2019:</w:t>
      </w:r>
      <w:r w:rsidRPr="00B60E11">
        <w:rPr>
          <w:rFonts w:asciiTheme="minorHAnsi" w:hAnsiTheme="minorHAnsi" w:cstheme="minorHAnsi"/>
        </w:rPr>
        <w:t xml:space="preserve"> (a) </w:t>
      </w:r>
      <w:r w:rsidR="00112FDA" w:rsidRPr="00B60E11">
        <w:rPr>
          <w:rFonts w:asciiTheme="minorHAnsi" w:hAnsiTheme="minorHAnsi" w:cstheme="minorHAnsi"/>
        </w:rPr>
        <w:t xml:space="preserve">A regional workshop, hosted by the Ministry of Informatics and Cyber Security Agency of Indonesia in Jakarta, </w:t>
      </w:r>
      <w:r w:rsidR="00CB608F" w:rsidRPr="00B60E11">
        <w:rPr>
          <w:rFonts w:asciiTheme="minorHAnsi" w:hAnsiTheme="minorHAnsi" w:cstheme="minorHAnsi"/>
        </w:rPr>
        <w:t>on</w:t>
      </w:r>
      <w:r w:rsidR="00112FDA" w:rsidRPr="00B60E11">
        <w:rPr>
          <w:rFonts w:asciiTheme="minorHAnsi" w:hAnsiTheme="minorHAnsi" w:cstheme="minorHAnsi"/>
        </w:rPr>
        <w:t xml:space="preserve"> cybersecurity strategies</w:t>
      </w:r>
      <w:r w:rsidR="00CB608F" w:rsidRPr="00B60E11">
        <w:rPr>
          <w:rFonts w:asciiTheme="minorHAnsi" w:hAnsiTheme="minorHAnsi" w:cstheme="minorHAnsi"/>
        </w:rPr>
        <w:t xml:space="preserve"> (</w:t>
      </w:r>
      <w:r w:rsidR="00112FDA" w:rsidRPr="00B60E11">
        <w:rPr>
          <w:rFonts w:asciiTheme="minorHAnsi" w:hAnsiTheme="minorHAnsi" w:cstheme="minorHAnsi"/>
        </w:rPr>
        <w:t>discuss</w:t>
      </w:r>
      <w:r w:rsidR="00CB608F" w:rsidRPr="00B60E11">
        <w:rPr>
          <w:rFonts w:asciiTheme="minorHAnsi" w:hAnsiTheme="minorHAnsi" w:cstheme="minorHAnsi"/>
        </w:rPr>
        <w:t>ions included</w:t>
      </w:r>
      <w:r w:rsidR="00112FDA" w:rsidRPr="00B60E11">
        <w:rPr>
          <w:rFonts w:asciiTheme="minorHAnsi" w:hAnsiTheme="minorHAnsi" w:cstheme="minorHAnsi"/>
        </w:rPr>
        <w:t xml:space="preserve"> general data protection regulations</w:t>
      </w:r>
      <w:r w:rsidR="00CB608F" w:rsidRPr="00B60E11">
        <w:rPr>
          <w:rFonts w:asciiTheme="minorHAnsi" w:hAnsiTheme="minorHAnsi" w:cstheme="minorHAnsi"/>
        </w:rPr>
        <w:t>)</w:t>
      </w:r>
      <w:r w:rsidR="00112FDA" w:rsidRPr="00B60E11">
        <w:rPr>
          <w:rFonts w:asciiTheme="minorHAnsi" w:hAnsiTheme="minorHAnsi" w:cstheme="minorHAnsi"/>
        </w:rPr>
        <w:t xml:space="preserve"> </w:t>
      </w:r>
      <w:r w:rsidRPr="00B60E11">
        <w:rPr>
          <w:rFonts w:asciiTheme="minorHAnsi" w:hAnsiTheme="minorHAnsi" w:cstheme="minorHAnsi"/>
        </w:rPr>
        <w:t xml:space="preserve">(b) </w:t>
      </w:r>
      <w:r w:rsidR="00112FDA" w:rsidRPr="00B60E11">
        <w:rPr>
          <w:rFonts w:asciiTheme="minorHAnsi" w:hAnsiTheme="minorHAnsi" w:cstheme="minorHAnsi"/>
        </w:rPr>
        <w:t xml:space="preserve">A regional workshop, hosted by Macedonia, </w:t>
      </w:r>
      <w:r w:rsidR="00CB608F" w:rsidRPr="00B60E11">
        <w:rPr>
          <w:rFonts w:asciiTheme="minorHAnsi" w:hAnsiTheme="minorHAnsi" w:cstheme="minorHAnsi"/>
        </w:rPr>
        <w:t>on</w:t>
      </w:r>
      <w:r w:rsidR="00112FDA" w:rsidRPr="00B60E11">
        <w:rPr>
          <w:rFonts w:asciiTheme="minorHAnsi" w:hAnsiTheme="minorHAnsi" w:cstheme="minorHAnsi"/>
        </w:rPr>
        <w:t xml:space="preserve"> improving national strategies for five Balkan states</w:t>
      </w:r>
      <w:r w:rsidRPr="00B60E11">
        <w:rPr>
          <w:rFonts w:asciiTheme="minorHAnsi" w:hAnsiTheme="minorHAnsi" w:cstheme="minorHAnsi"/>
        </w:rPr>
        <w:t xml:space="preserve"> (c) </w:t>
      </w:r>
      <w:r w:rsidR="00112FDA" w:rsidRPr="00B60E11">
        <w:rPr>
          <w:rFonts w:asciiTheme="minorHAnsi" w:hAnsiTheme="minorHAnsi" w:cstheme="minorHAnsi"/>
        </w:rPr>
        <w:t xml:space="preserve">A regional workshop, hosted by Tunisia, </w:t>
      </w:r>
      <w:r w:rsidR="00CB608F" w:rsidRPr="00B60E11">
        <w:rPr>
          <w:rFonts w:asciiTheme="minorHAnsi" w:hAnsiTheme="minorHAnsi" w:cstheme="minorHAnsi"/>
        </w:rPr>
        <w:t>on</w:t>
      </w:r>
      <w:r w:rsidR="00112FDA" w:rsidRPr="00B60E11">
        <w:rPr>
          <w:rFonts w:asciiTheme="minorHAnsi" w:hAnsiTheme="minorHAnsi" w:cstheme="minorHAnsi"/>
        </w:rPr>
        <w:t xml:space="preserve"> improving national strategies of countries from the Africa and Arab States regions. Twenty countries actively participated. </w:t>
      </w:r>
      <w:r w:rsidR="00497BF3">
        <w:rPr>
          <w:rFonts w:asciiTheme="minorHAnsi" w:hAnsiTheme="minorHAnsi" w:cstheme="minorHAnsi"/>
        </w:rPr>
        <w:t xml:space="preserve"> </w:t>
      </w:r>
      <w:r w:rsidR="00112FDA" w:rsidRPr="00B60E11">
        <w:rPr>
          <w:rFonts w:asciiTheme="minorHAnsi" w:hAnsiTheme="minorHAnsi" w:cstheme="minorHAnsi"/>
        </w:rPr>
        <w:t>Three countries received direct assistance to develop and revise national cybersecurity strategies using the guide.</w:t>
      </w:r>
    </w:p>
    <w:p w14:paraId="7A8DD462" w14:textId="0F85854E" w:rsidR="002901FF" w:rsidRPr="00B60E11" w:rsidRDefault="002901FF" w:rsidP="0043732C">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5.</w:t>
      </w:r>
      <w:r w:rsidR="00112FDA" w:rsidRPr="00B60E11">
        <w:rPr>
          <w:rFonts w:asciiTheme="minorHAnsi" w:hAnsiTheme="minorHAnsi" w:cstheme="minorHAnsi"/>
        </w:rPr>
        <w:t>4</w:t>
      </w:r>
      <w:r w:rsidRPr="00B60E11">
        <w:rPr>
          <w:rFonts w:asciiTheme="minorHAnsi" w:hAnsiTheme="minorHAnsi" w:cstheme="minorHAnsi"/>
        </w:rPr>
        <w:tab/>
      </w:r>
      <w:r w:rsidR="007A33E9" w:rsidRPr="00B60E11">
        <w:rPr>
          <w:rFonts w:asciiTheme="minorHAnsi" w:hAnsiTheme="minorHAnsi" w:cstheme="minorHAnsi"/>
        </w:rPr>
        <w:t>Capacity development and technical assistance was provided to Sudan to improve its strategy on critical information infrastructure protection.</w:t>
      </w:r>
    </w:p>
    <w:p w14:paraId="2E19AAF7" w14:textId="5515FAFB" w:rsidR="002901FF" w:rsidRPr="00B60E11" w:rsidRDefault="002901FF" w:rsidP="005D616E">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rPr>
        <w:t>5.</w:t>
      </w:r>
      <w:r w:rsidR="00112FDA" w:rsidRPr="00B60E11">
        <w:rPr>
          <w:rFonts w:asciiTheme="minorHAnsi" w:hAnsiTheme="minorHAnsi" w:cstheme="minorHAnsi"/>
        </w:rPr>
        <w:t>5</w:t>
      </w:r>
      <w:r w:rsidRPr="00B60E11">
        <w:rPr>
          <w:rFonts w:asciiTheme="minorHAnsi" w:hAnsiTheme="minorHAnsi" w:cstheme="minorHAnsi"/>
        </w:rPr>
        <w:tab/>
      </w:r>
      <w:r w:rsidR="007A33E9" w:rsidRPr="00B60E11">
        <w:rPr>
          <w:rFonts w:asciiTheme="minorHAnsi" w:hAnsiTheme="minorHAnsi" w:cstheme="minorHAnsi"/>
        </w:rPr>
        <w:t xml:space="preserve">During the Regional Cyber Security Week for the Arab States region the ITU Arab Regional Cyber Security Centre (ITU-ARCC) fostered information sharing and capacity building in the field of cybersecurity. </w:t>
      </w:r>
      <w:r w:rsidR="007A33E9" w:rsidRPr="00B60E11">
        <w:rPr>
          <w:rFonts w:asciiTheme="minorHAnsi" w:hAnsiTheme="minorHAnsi" w:cstheme="minorHAnsi"/>
        </w:rPr>
        <w:lastRenderedPageBreak/>
        <w:t>The week provided a platform for senior ICT and cybersecurity officials from the region to meet with relevant stakeholders and discuss threats, evolution, opportunities and cybersecurity challenges.</w:t>
      </w:r>
    </w:p>
    <w:p w14:paraId="29C086D8" w14:textId="29ECCE6B" w:rsidR="002901FF" w:rsidRPr="00B60E11" w:rsidRDefault="002901FF" w:rsidP="0075278C">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rPr>
        <w:t>5.</w:t>
      </w:r>
      <w:r w:rsidR="00112FDA" w:rsidRPr="00B60E11">
        <w:rPr>
          <w:rFonts w:asciiTheme="minorHAnsi" w:hAnsiTheme="minorHAnsi" w:cstheme="minorHAnsi"/>
        </w:rPr>
        <w:t>6</w:t>
      </w:r>
      <w:r w:rsidRPr="00B60E11">
        <w:rPr>
          <w:rFonts w:asciiTheme="minorHAnsi" w:hAnsiTheme="minorHAnsi" w:cstheme="minorHAnsi"/>
        </w:rPr>
        <w:tab/>
      </w:r>
      <w:r w:rsidR="007A33E9" w:rsidRPr="000D0F40">
        <w:rPr>
          <w:rFonts w:asciiTheme="minorHAnsi" w:hAnsiTheme="minorHAnsi" w:cstheme="minorHAnsi"/>
          <w:spacing w:val="-4"/>
        </w:rPr>
        <w:t>The Moldova Cybersecurity Week was held in Chisinau, Moldova, and supported by ITU.</w:t>
      </w:r>
      <w:r w:rsidR="007A33E9" w:rsidRPr="00B60E11">
        <w:rPr>
          <w:rFonts w:asciiTheme="minorHAnsi" w:hAnsiTheme="minorHAnsi" w:cstheme="minorHAnsi"/>
        </w:rPr>
        <w:t xml:space="preserve"> The conference offered networking opportunities and a platform to exchange ideas, discuss and collaborate to drive, through innovation, global cybersecurity strategies and solutions.</w:t>
      </w:r>
      <w:r w:rsidRPr="00B60E11">
        <w:rPr>
          <w:rFonts w:asciiTheme="minorHAnsi" w:hAnsiTheme="minorHAnsi" w:cstheme="minorHAnsi"/>
          <w:lang w:val="en-GB"/>
        </w:rPr>
        <w:t xml:space="preserve"> </w:t>
      </w:r>
    </w:p>
    <w:p w14:paraId="5A01E063" w14:textId="2BEDCCBB" w:rsidR="002901FF" w:rsidRPr="00B60E11" w:rsidRDefault="002901FF" w:rsidP="00B60E11">
      <w:pPr>
        <w:pStyle w:val="normalWSIS"/>
        <w:numPr>
          <w:ilvl w:val="0"/>
          <w:numId w:val="0"/>
        </w:numPr>
        <w:tabs>
          <w:tab w:val="clear" w:pos="426"/>
        </w:tabs>
        <w:snapToGrid w:val="0"/>
        <w:spacing w:after="120"/>
        <w:rPr>
          <w:rFonts w:asciiTheme="minorHAnsi" w:hAnsiTheme="minorHAnsi" w:cstheme="minorHAnsi"/>
          <w:lang w:val="en-GB"/>
        </w:rPr>
      </w:pPr>
      <w:r w:rsidRPr="00B60E11">
        <w:rPr>
          <w:rFonts w:asciiTheme="minorHAnsi" w:hAnsiTheme="minorHAnsi" w:cstheme="minorHAnsi"/>
        </w:rPr>
        <w:t>5.</w:t>
      </w:r>
      <w:r w:rsidR="00112FDA" w:rsidRPr="00B60E11">
        <w:rPr>
          <w:rFonts w:asciiTheme="minorHAnsi" w:hAnsiTheme="minorHAnsi" w:cstheme="minorHAnsi"/>
        </w:rPr>
        <w:t>7</w:t>
      </w:r>
      <w:r w:rsidRPr="00B60E11">
        <w:rPr>
          <w:rFonts w:asciiTheme="minorHAnsi" w:hAnsiTheme="minorHAnsi" w:cstheme="minorHAnsi"/>
        </w:rPr>
        <w:tab/>
      </w:r>
      <w:r w:rsidR="00AE2C9E" w:rsidRPr="00B60E11">
        <w:rPr>
          <w:rFonts w:asciiTheme="minorHAnsi" w:hAnsiTheme="minorHAnsi" w:cstheme="minorHAnsi"/>
          <w:lang w:val="en-GB"/>
        </w:rPr>
        <w:t>The Cyber Shield 2019 was held in Ankara, Turkey, and was supported by ITU. The main objectives were to increase incident response capabilities and readiness levels, to increase mutual understanding of cyber risks and associated impacts, and to ensure a continued collaborative effort among international cybersecurity stakeholders especially national CIRTs in order to mitigate cyber threats.</w:t>
      </w:r>
      <w:r w:rsidR="0035732D" w:rsidRPr="00B60E11">
        <w:rPr>
          <w:rFonts w:asciiTheme="minorHAnsi" w:hAnsiTheme="minorHAnsi" w:cstheme="minorHAnsi"/>
        </w:rPr>
        <w:t xml:space="preserve"> </w:t>
      </w:r>
      <w:r w:rsidR="0035732D" w:rsidRPr="00B60E11">
        <w:rPr>
          <w:rFonts w:asciiTheme="minorHAnsi" w:hAnsiTheme="minorHAnsi" w:cstheme="minorHAnsi"/>
          <w:lang w:val="en-GB"/>
        </w:rPr>
        <w:t xml:space="preserve">ITU also organized a training session for Kyrgyzstan on how to set up a cybersecurity operations </w:t>
      </w:r>
      <w:proofErr w:type="spellStart"/>
      <w:r w:rsidR="0035732D" w:rsidRPr="00B60E11">
        <w:rPr>
          <w:rFonts w:asciiTheme="minorHAnsi" w:hAnsiTheme="minorHAnsi" w:cstheme="minorHAnsi"/>
          <w:lang w:val="en-GB"/>
        </w:rPr>
        <w:t>center</w:t>
      </w:r>
      <w:proofErr w:type="spellEnd"/>
      <w:r w:rsidR="0035732D" w:rsidRPr="00B60E11">
        <w:rPr>
          <w:rFonts w:asciiTheme="minorHAnsi" w:hAnsiTheme="minorHAnsi" w:cstheme="minorHAnsi"/>
          <w:lang w:val="en-GB"/>
        </w:rPr>
        <w:t>.</w:t>
      </w:r>
    </w:p>
    <w:p w14:paraId="4C847C13" w14:textId="334E65D8" w:rsidR="006053DC" w:rsidRPr="00B60E11" w:rsidRDefault="002901FF" w:rsidP="0075278C">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rPr>
        <w:t>5.</w:t>
      </w:r>
      <w:r w:rsidR="00112FDA" w:rsidRPr="00B60E11">
        <w:rPr>
          <w:rFonts w:asciiTheme="minorHAnsi" w:hAnsiTheme="minorHAnsi" w:cstheme="minorHAnsi"/>
        </w:rPr>
        <w:t xml:space="preserve">8 </w:t>
      </w:r>
      <w:r w:rsidRPr="00B60E11">
        <w:rPr>
          <w:rFonts w:asciiTheme="minorHAnsi" w:hAnsiTheme="minorHAnsi" w:cstheme="minorHAnsi"/>
        </w:rPr>
        <w:tab/>
      </w:r>
      <w:r w:rsidR="006053DC" w:rsidRPr="00B60E11">
        <w:rPr>
          <w:rFonts w:asciiTheme="minorHAnsi" w:hAnsiTheme="minorHAnsi" w:cstheme="minorHAnsi"/>
        </w:rPr>
        <w:t xml:space="preserve">ITU, the </w:t>
      </w:r>
      <w:r w:rsidR="006053DC" w:rsidRPr="00B60E11">
        <w:rPr>
          <w:rFonts w:asciiTheme="minorHAnsi" w:hAnsiTheme="minorHAnsi" w:cstheme="minorHAnsi"/>
          <w:lang w:val="en-GB"/>
        </w:rPr>
        <w:t>Advanced Level Telecom Training Centre and Faculty of Applied Science of Post and Telecommunication (ICT Faculty, I.R. Iran)</w:t>
      </w:r>
      <w:r w:rsidR="006053DC" w:rsidRPr="00B60E11">
        <w:rPr>
          <w:rFonts w:asciiTheme="minorHAnsi" w:hAnsiTheme="minorHAnsi" w:cstheme="minorHAnsi"/>
        </w:rPr>
        <w:t xml:space="preserve">, organized an </w:t>
      </w:r>
      <w:hyperlink r:id="rId50" w:history="1">
        <w:r w:rsidR="006053DC" w:rsidRPr="00B60E11">
          <w:rPr>
            <w:rStyle w:val="Hyperlink"/>
            <w:rFonts w:asciiTheme="minorHAnsi" w:hAnsiTheme="minorHAnsi" w:cstheme="minorHAnsi"/>
          </w:rPr>
          <w:t xml:space="preserve">ITU ASP </w:t>
        </w:r>
        <w:proofErr w:type="spellStart"/>
        <w:r w:rsidR="006053DC" w:rsidRPr="00B60E11">
          <w:rPr>
            <w:rStyle w:val="Hyperlink"/>
            <w:rFonts w:asciiTheme="minorHAnsi" w:hAnsiTheme="minorHAnsi" w:cstheme="minorHAnsi"/>
          </w:rPr>
          <w:t>CoE</w:t>
        </w:r>
        <w:proofErr w:type="spellEnd"/>
        <w:r w:rsidR="006053DC" w:rsidRPr="00B60E11">
          <w:rPr>
            <w:rStyle w:val="Hyperlink"/>
            <w:rFonts w:asciiTheme="minorHAnsi" w:hAnsiTheme="minorHAnsi" w:cstheme="minorHAnsi"/>
          </w:rPr>
          <w:t xml:space="preserve"> Cybersecurity Training</w:t>
        </w:r>
      </w:hyperlink>
      <w:r w:rsidR="006053DC" w:rsidRPr="00B60E11">
        <w:rPr>
          <w:rStyle w:val="Hyperlink"/>
          <w:rFonts w:asciiTheme="minorHAnsi" w:hAnsiTheme="minorHAnsi" w:cstheme="minorHAnsi"/>
        </w:rPr>
        <w:t xml:space="preserve"> (Tehran, Iran – Dec</w:t>
      </w:r>
      <w:r w:rsidR="000D0F40">
        <w:rPr>
          <w:rStyle w:val="Hyperlink"/>
          <w:rFonts w:asciiTheme="minorHAnsi" w:hAnsiTheme="minorHAnsi" w:cstheme="minorHAnsi"/>
        </w:rPr>
        <w:t>ember</w:t>
      </w:r>
      <w:r w:rsidR="006053DC" w:rsidRPr="00B60E11">
        <w:rPr>
          <w:rStyle w:val="Hyperlink"/>
          <w:rFonts w:asciiTheme="minorHAnsi" w:hAnsiTheme="minorHAnsi" w:cstheme="minorHAnsi"/>
        </w:rPr>
        <w:t xml:space="preserve"> 2018)</w:t>
      </w:r>
      <w:r w:rsidR="006053DC" w:rsidRPr="00B60E11">
        <w:rPr>
          <w:rFonts w:asciiTheme="minorHAnsi" w:hAnsiTheme="minorHAnsi" w:cstheme="minorHAnsi"/>
          <w:lang w:val="en-GB"/>
        </w:rPr>
        <w:t xml:space="preserve">. </w:t>
      </w:r>
    </w:p>
    <w:p w14:paraId="37D1C4C5" w14:textId="04D30CA0" w:rsidR="00953919" w:rsidRPr="00B60E11" w:rsidRDefault="006053DC" w:rsidP="0075278C">
      <w:pPr>
        <w:pStyle w:val="normalWSIS"/>
        <w:numPr>
          <w:ilvl w:val="0"/>
          <w:numId w:val="0"/>
        </w:numPr>
        <w:tabs>
          <w:tab w:val="clear" w:pos="426"/>
        </w:tabs>
        <w:snapToGrid w:val="0"/>
        <w:spacing w:after="120"/>
        <w:rPr>
          <w:rFonts w:asciiTheme="minorHAnsi" w:hAnsiTheme="minorHAnsi" w:cstheme="minorHAnsi"/>
        </w:rPr>
      </w:pPr>
      <w:r w:rsidRPr="00B60E11">
        <w:rPr>
          <w:rFonts w:asciiTheme="minorHAnsi" w:hAnsiTheme="minorHAnsi" w:cstheme="minorHAnsi"/>
          <w:lang w:val="en-GB"/>
        </w:rPr>
        <w:t>5.</w:t>
      </w:r>
      <w:r w:rsidR="00112FDA" w:rsidRPr="00B60E11">
        <w:rPr>
          <w:rFonts w:asciiTheme="minorHAnsi" w:hAnsiTheme="minorHAnsi" w:cstheme="minorHAnsi"/>
          <w:lang w:val="en-GB"/>
        </w:rPr>
        <w:t>9</w:t>
      </w:r>
      <w:r w:rsidRPr="00B60E11">
        <w:rPr>
          <w:rFonts w:asciiTheme="minorHAnsi" w:hAnsiTheme="minorHAnsi" w:cstheme="minorHAnsi"/>
          <w:lang w:val="en-GB"/>
        </w:rPr>
        <w:tab/>
      </w:r>
      <w:r w:rsidR="00953919" w:rsidRPr="00B60E11">
        <w:rPr>
          <w:rFonts w:asciiTheme="minorHAnsi" w:hAnsiTheme="minorHAnsi" w:cstheme="minorHAnsi"/>
        </w:rPr>
        <w:t xml:space="preserve">The third </w:t>
      </w:r>
      <w:hyperlink r:id="rId51" w:history="1">
        <w:r w:rsidR="00953919" w:rsidRPr="00B60E11">
          <w:rPr>
            <w:rStyle w:val="Hyperlink"/>
            <w:rFonts w:asciiTheme="minorHAnsi" w:hAnsiTheme="minorHAnsi" w:cstheme="minorHAnsi"/>
          </w:rPr>
          <w:t>ITU Global Cybersecurity Index</w:t>
        </w:r>
      </w:hyperlink>
      <w:r w:rsidR="00953919" w:rsidRPr="00B60E11">
        <w:rPr>
          <w:rFonts w:asciiTheme="minorHAnsi" w:hAnsiTheme="minorHAnsi" w:cstheme="minorHAnsi"/>
        </w:rPr>
        <w:t xml:space="preserve"> (GCI) shows considerable improvement in commitment to cybersecurity worldwide. The fourth version of the Global Cybersecurity Index survey, with an improved questionnaire and methodology, has been launched. In partnership with Deloitte, a cybersecurity landscape review was conducted for Cote d’Ivoire, including on the </w:t>
      </w:r>
      <w:r w:rsidR="00E61029" w:rsidRPr="00B60E11">
        <w:rPr>
          <w:rFonts w:asciiTheme="minorHAnsi" w:hAnsiTheme="minorHAnsi" w:cstheme="minorHAnsi"/>
        </w:rPr>
        <w:t xml:space="preserve">GCI </w:t>
      </w:r>
      <w:r w:rsidR="00953919" w:rsidRPr="00B60E11">
        <w:rPr>
          <w:rFonts w:asciiTheme="minorHAnsi" w:hAnsiTheme="minorHAnsi" w:cstheme="minorHAnsi"/>
        </w:rPr>
        <w:t>findings. The review helped the country to identify cybersecurity priority initiatives to improve its cybersecurity posture.</w:t>
      </w:r>
    </w:p>
    <w:p w14:paraId="4091068A" w14:textId="77777777" w:rsidR="002901FF" w:rsidRPr="00B60E11" w:rsidRDefault="002901FF" w:rsidP="000D0F40">
      <w:pPr>
        <w:pStyle w:val="normalWSIS"/>
        <w:numPr>
          <w:ilvl w:val="0"/>
          <w:numId w:val="0"/>
        </w:numPr>
        <w:tabs>
          <w:tab w:val="clear" w:pos="426"/>
        </w:tabs>
        <w:adjustRightInd w:val="0"/>
        <w:snapToGrid w:val="0"/>
        <w:spacing w:before="360" w:after="120"/>
        <w:rPr>
          <w:rFonts w:asciiTheme="minorHAnsi" w:hAnsiTheme="minorHAnsi" w:cstheme="minorHAnsi"/>
          <w:b/>
          <w:bCs/>
        </w:rPr>
      </w:pPr>
      <w:r w:rsidRPr="00B60E11">
        <w:rPr>
          <w:rFonts w:asciiTheme="minorHAnsi" w:hAnsiTheme="minorHAnsi" w:cstheme="minorHAnsi"/>
          <w:b/>
          <w:bCs/>
        </w:rPr>
        <w:t>6.</w:t>
      </w:r>
      <w:r w:rsidRPr="00B60E11">
        <w:rPr>
          <w:rFonts w:asciiTheme="minorHAnsi" w:hAnsiTheme="minorHAnsi" w:cstheme="minorHAnsi"/>
          <w:b/>
          <w:bCs/>
        </w:rPr>
        <w:tab/>
        <w:t>International Cooperation</w:t>
      </w:r>
    </w:p>
    <w:p w14:paraId="16B4B321" w14:textId="41355063" w:rsidR="002901FF" w:rsidRPr="00B60E11"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6.1</w:t>
      </w:r>
      <w:r w:rsidRPr="00B60E11">
        <w:rPr>
          <w:rFonts w:asciiTheme="minorHAnsi" w:hAnsiTheme="minorHAnsi" w:cstheme="minorHAnsi"/>
        </w:rPr>
        <w:tab/>
        <w:t xml:space="preserve">ITU </w:t>
      </w:r>
      <w:r w:rsidR="00BB52A9" w:rsidRPr="00B60E11">
        <w:rPr>
          <w:rFonts w:asciiTheme="minorHAnsi" w:hAnsiTheme="minorHAnsi" w:cstheme="minorHAnsi"/>
        </w:rPr>
        <w:t xml:space="preserve">is </w:t>
      </w:r>
      <w:r w:rsidRPr="00B60E11">
        <w:rPr>
          <w:rFonts w:asciiTheme="minorHAnsi" w:hAnsiTheme="minorHAnsi" w:cstheme="minorHAnsi"/>
        </w:rPr>
        <w:t>develop</w:t>
      </w:r>
      <w:r w:rsidR="00BB52A9" w:rsidRPr="00B60E11">
        <w:rPr>
          <w:rFonts w:asciiTheme="minorHAnsi" w:hAnsiTheme="minorHAnsi" w:cstheme="minorHAnsi"/>
        </w:rPr>
        <w:t>ing</w:t>
      </w:r>
      <w:r w:rsidRPr="00B60E11">
        <w:rPr>
          <w:rFonts w:asciiTheme="minorHAnsi" w:hAnsiTheme="minorHAnsi" w:cstheme="minorHAnsi"/>
        </w:rPr>
        <w:t xml:space="preserve"> relationships and </w:t>
      </w:r>
      <w:hyperlink r:id="rId52" w:history="1">
        <w:r w:rsidRPr="00B60E11">
          <w:rPr>
            <w:rStyle w:val="Hyperlink"/>
            <w:rFonts w:asciiTheme="minorHAnsi" w:hAnsiTheme="minorHAnsi" w:cstheme="minorHAnsi"/>
          </w:rPr>
          <w:t>partnerships</w:t>
        </w:r>
      </w:hyperlink>
      <w:r w:rsidRPr="00B60E11">
        <w:rPr>
          <w:rFonts w:asciiTheme="minorHAnsi" w:hAnsiTheme="minorHAnsi" w:cstheme="minorHAnsi"/>
        </w:rPr>
        <w:t xml:space="preserve"> with various regional</w:t>
      </w:r>
      <w:r w:rsidR="00BB52A9" w:rsidRPr="00B60E11">
        <w:rPr>
          <w:rFonts w:asciiTheme="minorHAnsi" w:hAnsiTheme="minorHAnsi" w:cstheme="minorHAnsi"/>
        </w:rPr>
        <w:t>/</w:t>
      </w:r>
      <w:r w:rsidRPr="00B60E11">
        <w:rPr>
          <w:rFonts w:asciiTheme="minorHAnsi" w:hAnsiTheme="minorHAnsi" w:cstheme="minorHAnsi"/>
        </w:rPr>
        <w:t>international organizations and initiatives</w:t>
      </w:r>
      <w:r w:rsidR="00BB52A9" w:rsidRPr="00B60E11">
        <w:rPr>
          <w:rFonts w:asciiTheme="minorHAnsi" w:hAnsiTheme="minorHAnsi" w:cstheme="minorHAnsi"/>
        </w:rPr>
        <w:t xml:space="preserve">, including </w:t>
      </w:r>
      <w:r w:rsidRPr="00B60E11">
        <w:rPr>
          <w:rFonts w:asciiTheme="minorHAnsi" w:hAnsiTheme="minorHAnsi" w:cstheme="minorHAnsi"/>
        </w:rPr>
        <w:t>Commonwealth Cybercrime Initiative, ENISA, INTERPOL, ECOWAS, the World Bank, FIRST, and regional CSIRT/CERT associations, such as AP CERT, A</w:t>
      </w:r>
      <w:r w:rsidR="00F84D66">
        <w:rPr>
          <w:rFonts w:asciiTheme="minorHAnsi" w:hAnsiTheme="minorHAnsi" w:cstheme="minorHAnsi"/>
        </w:rPr>
        <w:t>frica</w:t>
      </w:r>
      <w:r w:rsidRPr="00B60E11">
        <w:rPr>
          <w:rFonts w:asciiTheme="minorHAnsi" w:hAnsiTheme="minorHAnsi" w:cstheme="minorHAnsi"/>
        </w:rPr>
        <w:t xml:space="preserve"> CERT, and OIC CERT.</w:t>
      </w:r>
    </w:p>
    <w:p w14:paraId="54DACAAE" w14:textId="460AD909" w:rsidR="00924B5A" w:rsidRPr="00B60E11" w:rsidRDefault="00924B5A" w:rsidP="00B60E11">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t>6.2</w:t>
      </w:r>
      <w:r w:rsidRPr="00B60E11">
        <w:rPr>
          <w:rFonts w:asciiTheme="minorHAnsi" w:hAnsiTheme="minorHAnsi" w:cstheme="minorHAnsi"/>
          <w:lang w:val="en-GB"/>
        </w:rPr>
        <w:tab/>
        <w:t>ITU is supporting the 2020 G20 Presidency (Saudi Arabia)</w:t>
      </w:r>
      <w:r w:rsidR="002A4893">
        <w:rPr>
          <w:rFonts w:asciiTheme="minorHAnsi" w:hAnsiTheme="minorHAnsi" w:cstheme="minorHAnsi"/>
          <w:lang w:val="en-GB"/>
        </w:rPr>
        <w:t>,</w:t>
      </w:r>
      <w:r w:rsidRPr="00B60E11">
        <w:rPr>
          <w:rFonts w:asciiTheme="minorHAnsi" w:hAnsiTheme="minorHAnsi" w:cstheme="minorHAnsi"/>
          <w:lang w:val="en-GB"/>
        </w:rPr>
        <w:t xml:space="preserve"> </w:t>
      </w:r>
      <w:r w:rsidR="002A4893">
        <w:rPr>
          <w:rFonts w:asciiTheme="minorHAnsi" w:hAnsiTheme="minorHAnsi" w:cstheme="minorHAnsi"/>
          <w:lang w:val="en-GB"/>
        </w:rPr>
        <w:t xml:space="preserve">upon their request, </w:t>
      </w:r>
      <w:r w:rsidRPr="00B60E11">
        <w:rPr>
          <w:rFonts w:asciiTheme="minorHAnsi" w:hAnsiTheme="minorHAnsi" w:cstheme="minorHAnsi"/>
          <w:lang w:val="en-GB"/>
        </w:rPr>
        <w:t>as a knowledge partner on various tracks including the Security in the Digital Economy priority, as part of the multistakeholder effort undertaken by the G20 Secretariat in engaging relevant international organizations.</w:t>
      </w:r>
    </w:p>
    <w:p w14:paraId="57638A88" w14:textId="11309929" w:rsidR="002901FF" w:rsidRPr="00B60E11" w:rsidRDefault="002901FF" w:rsidP="00B60E11">
      <w:pPr>
        <w:pStyle w:val="normalWSIS"/>
        <w:numPr>
          <w:ilvl w:val="0"/>
          <w:numId w:val="0"/>
        </w:numPr>
        <w:tabs>
          <w:tab w:val="clear" w:pos="426"/>
        </w:tabs>
        <w:adjustRightInd w:val="0"/>
        <w:snapToGrid w:val="0"/>
        <w:spacing w:after="120"/>
        <w:rPr>
          <w:rFonts w:asciiTheme="minorHAnsi" w:hAnsiTheme="minorHAnsi" w:cstheme="minorHAnsi"/>
          <w:spacing w:val="-2"/>
        </w:rPr>
      </w:pPr>
      <w:r w:rsidRPr="00B60E11">
        <w:rPr>
          <w:rFonts w:asciiTheme="minorHAnsi" w:hAnsiTheme="minorHAnsi" w:cstheme="minorHAnsi"/>
        </w:rPr>
        <w:t>6.</w:t>
      </w:r>
      <w:r w:rsidR="00924B5A" w:rsidRPr="00B60E11">
        <w:rPr>
          <w:rFonts w:asciiTheme="minorHAnsi" w:hAnsiTheme="minorHAnsi" w:cstheme="minorHAnsi"/>
        </w:rPr>
        <w:t>3</w:t>
      </w:r>
      <w:r w:rsidRPr="00B60E11">
        <w:rPr>
          <w:rFonts w:asciiTheme="minorHAnsi" w:hAnsiTheme="minorHAnsi" w:cstheme="minorHAnsi"/>
        </w:rPr>
        <w:tab/>
      </w:r>
      <w:r w:rsidR="00D541A2" w:rsidRPr="00B60E11">
        <w:rPr>
          <w:rFonts w:asciiTheme="minorHAnsi" w:hAnsiTheme="minorHAnsi" w:cstheme="minorHAnsi"/>
        </w:rPr>
        <w:t>A</w:t>
      </w:r>
      <w:r w:rsidRPr="00B60E11">
        <w:rPr>
          <w:rFonts w:asciiTheme="minorHAnsi" w:hAnsiTheme="minorHAnsi" w:cstheme="minorHAnsi"/>
        </w:rPr>
        <w:t xml:space="preserve">s the lead facilitator for WSIS Action Line C5, ITU organized several </w:t>
      </w:r>
      <w:r w:rsidR="00A66E51" w:rsidRPr="00B60E11">
        <w:rPr>
          <w:rFonts w:asciiTheme="minorHAnsi" w:hAnsiTheme="minorHAnsi" w:cstheme="minorHAnsi"/>
        </w:rPr>
        <w:t xml:space="preserve">sessions </w:t>
      </w:r>
      <w:r w:rsidRPr="00B60E11">
        <w:rPr>
          <w:rFonts w:asciiTheme="minorHAnsi" w:hAnsiTheme="minorHAnsi" w:cstheme="minorHAnsi"/>
        </w:rPr>
        <w:t xml:space="preserve">at the </w:t>
      </w:r>
      <w:hyperlink r:id="rId53" w:history="1">
        <w:r w:rsidRPr="00B60E11">
          <w:rPr>
            <w:rStyle w:val="Hyperlink"/>
            <w:rFonts w:asciiTheme="minorHAnsi" w:hAnsiTheme="minorHAnsi" w:cstheme="minorHAnsi"/>
          </w:rPr>
          <w:t xml:space="preserve">WSIS Forum </w:t>
        </w:r>
        <w:r w:rsidR="005D616E" w:rsidRPr="00B60E11">
          <w:rPr>
            <w:rStyle w:val="Hyperlink"/>
            <w:rFonts w:asciiTheme="minorHAnsi" w:hAnsiTheme="minorHAnsi" w:cstheme="minorHAnsi"/>
          </w:rPr>
          <w:t>2019</w:t>
        </w:r>
        <w:r w:rsidRPr="00B60E11">
          <w:rPr>
            <w:rStyle w:val="Hyperlink"/>
            <w:rFonts w:asciiTheme="minorHAnsi" w:hAnsiTheme="minorHAnsi" w:cstheme="minorHAnsi"/>
          </w:rPr>
          <w:t>,</w:t>
        </w:r>
      </w:hyperlink>
      <w:r w:rsidRPr="00B60E11">
        <w:rPr>
          <w:rFonts w:asciiTheme="minorHAnsi" w:hAnsiTheme="minorHAnsi" w:cstheme="minorHAnsi"/>
          <w:spacing w:val="-2"/>
        </w:rPr>
        <w:t xml:space="preserve"> </w:t>
      </w:r>
      <w:r w:rsidR="005D616E" w:rsidRPr="00B60E11">
        <w:rPr>
          <w:rFonts w:asciiTheme="minorHAnsi" w:hAnsiTheme="minorHAnsi" w:cstheme="minorHAnsi"/>
          <w:spacing w:val="-2"/>
        </w:rPr>
        <w:t xml:space="preserve">including a </w:t>
      </w:r>
      <w:r w:rsidR="00EA232E" w:rsidRPr="00B60E11">
        <w:rPr>
          <w:rFonts w:asciiTheme="minorHAnsi" w:hAnsiTheme="minorHAnsi" w:cstheme="minorHAnsi"/>
          <w:spacing w:val="-2"/>
        </w:rPr>
        <w:t>H</w:t>
      </w:r>
      <w:r w:rsidRPr="00B60E11">
        <w:rPr>
          <w:rFonts w:asciiTheme="minorHAnsi" w:hAnsiTheme="minorHAnsi" w:cstheme="minorHAnsi"/>
          <w:spacing w:val="-2"/>
        </w:rPr>
        <w:t xml:space="preserve">igh-level </w:t>
      </w:r>
      <w:r w:rsidR="005D616E" w:rsidRPr="00B60E11">
        <w:rPr>
          <w:rFonts w:asciiTheme="minorHAnsi" w:hAnsiTheme="minorHAnsi" w:cstheme="minorHAnsi"/>
          <w:spacing w:val="-2"/>
        </w:rPr>
        <w:t>session on AI and Trust, as well as a session on the importance of measurement in cybersecurity</w:t>
      </w:r>
      <w:r w:rsidRPr="00B60E11">
        <w:rPr>
          <w:rFonts w:asciiTheme="minorHAnsi" w:hAnsiTheme="minorHAnsi" w:cstheme="minorHAnsi"/>
          <w:spacing w:val="-2"/>
        </w:rPr>
        <w:t>.</w:t>
      </w:r>
    </w:p>
    <w:p w14:paraId="422655EC" w14:textId="10706F79" w:rsidR="003B0B33" w:rsidRPr="00B60E11" w:rsidRDefault="003B0B33" w:rsidP="002901FF">
      <w:pPr>
        <w:pStyle w:val="normalWSIS"/>
        <w:numPr>
          <w:ilvl w:val="0"/>
          <w:numId w:val="0"/>
        </w:numPr>
        <w:tabs>
          <w:tab w:val="clear" w:pos="426"/>
        </w:tabs>
        <w:adjustRightInd w:val="0"/>
        <w:snapToGrid w:val="0"/>
        <w:spacing w:after="120"/>
        <w:rPr>
          <w:rFonts w:asciiTheme="minorHAnsi" w:hAnsiTheme="minorHAnsi" w:cstheme="minorHAnsi"/>
          <w:spacing w:val="-2"/>
          <w:lang w:val="en-GB"/>
        </w:rPr>
      </w:pPr>
      <w:r w:rsidRPr="00B60E11">
        <w:rPr>
          <w:rFonts w:asciiTheme="minorHAnsi" w:hAnsiTheme="minorHAnsi" w:cstheme="minorHAnsi"/>
          <w:spacing w:val="-2"/>
          <w:lang w:val="en-GB"/>
        </w:rPr>
        <w:t>6.</w:t>
      </w:r>
      <w:r w:rsidR="00B174C7" w:rsidRPr="00B60E11">
        <w:rPr>
          <w:rFonts w:asciiTheme="minorHAnsi" w:hAnsiTheme="minorHAnsi" w:cstheme="minorHAnsi"/>
          <w:spacing w:val="-2"/>
          <w:lang w:val="en-GB"/>
        </w:rPr>
        <w:t>4</w:t>
      </w:r>
      <w:r w:rsidRPr="00B60E11">
        <w:rPr>
          <w:rFonts w:asciiTheme="minorHAnsi" w:hAnsiTheme="minorHAnsi" w:cstheme="minorHAnsi"/>
          <w:spacing w:val="-2"/>
          <w:lang w:val="en-GB"/>
        </w:rPr>
        <w:tab/>
        <w:t xml:space="preserve">Following the instructions of the 2019 session of Council, the Secretary-General has submitted to the 2020 session of Council (1) a report explaining how the ITU is currently utilizing the GCA framework and (2) with the involvement of Member States, appropriate guidelines developed for utilization of the GCA by the ITU for Council's consideration and approval. </w:t>
      </w:r>
    </w:p>
    <w:p w14:paraId="00BA2195" w14:textId="26939E91" w:rsidR="00924B5A" w:rsidRPr="00B60E11" w:rsidRDefault="002901FF" w:rsidP="000D0F40">
      <w:pPr>
        <w:tabs>
          <w:tab w:val="clear" w:pos="567"/>
          <w:tab w:val="clear" w:pos="1134"/>
          <w:tab w:val="clear" w:pos="1701"/>
          <w:tab w:val="clear" w:pos="2268"/>
          <w:tab w:val="clear" w:pos="2835"/>
        </w:tabs>
        <w:overflowPunct/>
        <w:autoSpaceDE/>
        <w:autoSpaceDN/>
        <w:snapToGrid w:val="0"/>
        <w:spacing w:before="360" w:after="120"/>
        <w:jc w:val="both"/>
        <w:textAlignment w:val="auto"/>
        <w:rPr>
          <w:rFonts w:asciiTheme="minorHAnsi" w:hAnsiTheme="minorHAnsi" w:cstheme="minorHAnsi"/>
          <w:sz w:val="22"/>
          <w:szCs w:val="22"/>
          <w:lang w:val="en-US" w:eastAsia="zh-CN"/>
        </w:rPr>
      </w:pPr>
      <w:r w:rsidRPr="00B60E11">
        <w:rPr>
          <w:rFonts w:asciiTheme="minorHAnsi" w:eastAsia="SimSun" w:hAnsiTheme="minorHAnsi" w:cstheme="minorHAnsi"/>
          <w:b/>
          <w:bCs/>
          <w:sz w:val="22"/>
          <w:szCs w:val="22"/>
          <w:lang w:val="en-US" w:eastAsia="zh-CN"/>
        </w:rPr>
        <w:t>7.</w:t>
      </w:r>
      <w:r w:rsidRPr="00B60E11">
        <w:rPr>
          <w:rFonts w:asciiTheme="minorHAnsi" w:eastAsia="SimSun" w:hAnsiTheme="minorHAnsi" w:cstheme="minorHAnsi"/>
          <w:b/>
          <w:bCs/>
          <w:sz w:val="22"/>
          <w:szCs w:val="22"/>
          <w:lang w:val="en-US" w:eastAsia="zh-CN"/>
        </w:rPr>
        <w:tab/>
      </w:r>
      <w:r w:rsidR="00924B5A" w:rsidRPr="00B60E11">
        <w:rPr>
          <w:rFonts w:asciiTheme="minorHAnsi" w:hAnsiTheme="minorHAnsi" w:cstheme="minorHAnsi"/>
          <w:b/>
          <w:bCs/>
          <w:sz w:val="22"/>
          <w:szCs w:val="22"/>
          <w:lang w:val="en-US" w:eastAsia="zh-CN"/>
        </w:rPr>
        <w:t>Child Online Protection (COP)</w:t>
      </w:r>
    </w:p>
    <w:p w14:paraId="7FA70700" w14:textId="34339B35" w:rsidR="00924B5A" w:rsidRPr="00B60E11" w:rsidRDefault="00924B5A" w:rsidP="00285E8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7.1 </w:t>
      </w:r>
      <w:r w:rsidR="00285E88">
        <w:rPr>
          <w:rFonts w:asciiTheme="minorHAnsi" w:hAnsiTheme="minorHAnsi" w:cstheme="minorHAnsi"/>
          <w:sz w:val="22"/>
          <w:szCs w:val="22"/>
        </w:rPr>
        <w:tab/>
      </w:r>
      <w:r w:rsidRPr="00B60E11">
        <w:rPr>
          <w:rFonts w:asciiTheme="minorHAnsi" w:hAnsiTheme="minorHAnsi" w:cstheme="minorHAnsi"/>
          <w:sz w:val="22"/>
          <w:szCs w:val="22"/>
        </w:rPr>
        <w:t>A multi-stakeholder expert working group, consisting of more than 50 organi</w:t>
      </w:r>
      <w:r w:rsidR="00740394">
        <w:rPr>
          <w:rFonts w:asciiTheme="minorHAnsi" w:hAnsiTheme="minorHAnsi" w:cstheme="minorHAnsi"/>
          <w:sz w:val="22"/>
          <w:szCs w:val="22"/>
        </w:rPr>
        <w:t>z</w:t>
      </w:r>
      <w:r w:rsidRPr="00B60E11">
        <w:rPr>
          <w:rFonts w:asciiTheme="minorHAnsi" w:hAnsiTheme="minorHAnsi" w:cstheme="minorHAnsi"/>
          <w:sz w:val="22"/>
          <w:szCs w:val="22"/>
        </w:rPr>
        <w:t xml:space="preserve">ations and individual experts, started the review of the </w:t>
      </w:r>
      <w:hyperlink r:id="rId54" w:history="1">
        <w:r w:rsidRPr="00B60E11">
          <w:rPr>
            <w:rStyle w:val="Hyperlink"/>
            <w:rFonts w:asciiTheme="minorHAnsi" w:hAnsiTheme="minorHAnsi" w:cstheme="minorHAnsi"/>
            <w:sz w:val="22"/>
            <w:szCs w:val="22"/>
          </w:rPr>
          <w:t>Child Online Protection Guidelines</w:t>
        </w:r>
      </w:hyperlink>
      <w:r w:rsidRPr="00B60E11">
        <w:rPr>
          <w:rFonts w:asciiTheme="minorHAnsi" w:hAnsiTheme="minorHAnsi" w:cstheme="minorHAnsi"/>
          <w:sz w:val="22"/>
          <w:szCs w:val="22"/>
        </w:rPr>
        <w:t>, which were first issued in 2009.</w:t>
      </w:r>
    </w:p>
    <w:p w14:paraId="45C47BD8" w14:textId="61A5EC9A" w:rsidR="00924B5A" w:rsidRPr="00B60E11" w:rsidRDefault="00924B5A" w:rsidP="00285E8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7.2</w:t>
      </w:r>
      <w:r w:rsidR="00285E88">
        <w:rPr>
          <w:rFonts w:asciiTheme="minorHAnsi" w:hAnsiTheme="minorHAnsi" w:cstheme="minorHAnsi"/>
          <w:sz w:val="22"/>
          <w:szCs w:val="22"/>
        </w:rPr>
        <w:tab/>
      </w:r>
      <w:r w:rsidRPr="00B60E11">
        <w:rPr>
          <w:rFonts w:asciiTheme="minorHAnsi" w:hAnsiTheme="minorHAnsi" w:cstheme="minorHAnsi"/>
          <w:sz w:val="22"/>
          <w:szCs w:val="22"/>
        </w:rPr>
        <w:t>In Africa, discussions started with Chad, Kenya, Malawi, and Rwanda on the implementation of national strategy frameworks. In particular, the COP Regional Forum held in Ghana brought together a wide range of experts to analyse solutions and possible measures to be undertaken. In the Asia-Pacific region, assistance was provided for the development of the ASEAN Regional Framework on Child Online Protection</w:t>
      </w:r>
      <w:r w:rsidR="00140F0F">
        <w:rPr>
          <w:rFonts w:asciiTheme="minorHAnsi" w:hAnsiTheme="minorHAnsi" w:cstheme="minorHAnsi"/>
          <w:sz w:val="22"/>
          <w:szCs w:val="22"/>
        </w:rPr>
        <w:t xml:space="preserve">, </w:t>
      </w:r>
      <w:r w:rsidR="00140F0F" w:rsidRPr="007F2D15">
        <w:rPr>
          <w:rFonts w:asciiTheme="minorHAnsi" w:hAnsiTheme="minorHAnsi" w:cstheme="minorHAnsi"/>
          <w:sz w:val="22"/>
          <w:szCs w:val="22"/>
        </w:rPr>
        <w:t>build</w:t>
      </w:r>
      <w:r w:rsidR="00140F0F">
        <w:rPr>
          <w:rFonts w:asciiTheme="minorHAnsi" w:hAnsiTheme="minorHAnsi" w:cstheme="minorHAnsi"/>
          <w:sz w:val="22"/>
          <w:szCs w:val="22"/>
        </w:rPr>
        <w:t>ing</w:t>
      </w:r>
      <w:r w:rsidR="00140F0F" w:rsidRPr="007F2D15">
        <w:rPr>
          <w:rFonts w:asciiTheme="minorHAnsi" w:hAnsiTheme="minorHAnsi" w:cstheme="minorHAnsi"/>
          <w:sz w:val="22"/>
          <w:szCs w:val="22"/>
        </w:rPr>
        <w:t xml:space="preserve"> upon the COP Guidelines</w:t>
      </w:r>
      <w:r w:rsidR="00140F0F">
        <w:rPr>
          <w:rFonts w:asciiTheme="minorHAnsi" w:hAnsiTheme="minorHAnsi" w:cstheme="minorHAnsi"/>
          <w:sz w:val="22"/>
          <w:szCs w:val="22"/>
        </w:rPr>
        <w:t>,</w:t>
      </w:r>
      <w:r w:rsidRPr="00B60E11">
        <w:rPr>
          <w:rFonts w:asciiTheme="minorHAnsi" w:hAnsiTheme="minorHAnsi" w:cstheme="minorHAnsi"/>
          <w:sz w:val="22"/>
          <w:szCs w:val="22"/>
        </w:rPr>
        <w:t xml:space="preserve"> in coordination with other partners, including such as TELSOM/TELMIN. Other activities took place in Europe, as part of the regional initiative on enhancing trust and confidence in the use of ICTs.</w:t>
      </w:r>
    </w:p>
    <w:p w14:paraId="1DCFE19E" w14:textId="45A1799E" w:rsidR="00924B5A" w:rsidRPr="00B60E11" w:rsidRDefault="00924B5A" w:rsidP="00285E8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7.3</w:t>
      </w:r>
      <w:r w:rsidR="00285E88">
        <w:rPr>
          <w:rFonts w:asciiTheme="minorHAnsi" w:hAnsiTheme="minorHAnsi" w:cstheme="minorHAnsi"/>
          <w:sz w:val="22"/>
          <w:szCs w:val="22"/>
        </w:rPr>
        <w:tab/>
      </w:r>
      <w:r w:rsidRPr="00B60E11">
        <w:rPr>
          <w:rFonts w:asciiTheme="minorHAnsi" w:hAnsiTheme="minorHAnsi" w:cstheme="minorHAnsi"/>
          <w:sz w:val="22"/>
          <w:szCs w:val="22"/>
        </w:rPr>
        <w:t xml:space="preserve">ITU serves as the Secretariat of the Broadband Commission for Sustainable Development. The Working Group on Child Online Safety, led by the World Childhood Foundation and Zain, released its </w:t>
      </w:r>
      <w:r w:rsidRPr="00B60E11">
        <w:rPr>
          <w:rFonts w:asciiTheme="minorHAnsi" w:hAnsiTheme="minorHAnsi" w:cstheme="minorHAnsi"/>
          <w:sz w:val="22"/>
          <w:szCs w:val="22"/>
        </w:rPr>
        <w:lastRenderedPageBreak/>
        <w:t xml:space="preserve">comprehensive </w:t>
      </w:r>
      <w:hyperlink r:id="rId55" w:history="1">
        <w:r w:rsidRPr="00B60E11">
          <w:rPr>
            <w:rStyle w:val="Hyperlink"/>
            <w:rFonts w:asciiTheme="minorHAnsi" w:hAnsiTheme="minorHAnsi" w:cstheme="minorHAnsi"/>
            <w:sz w:val="22"/>
            <w:szCs w:val="22"/>
          </w:rPr>
          <w:t>report</w:t>
        </w:r>
      </w:hyperlink>
      <w:r w:rsidRPr="00B60E11">
        <w:rPr>
          <w:rFonts w:asciiTheme="minorHAnsi" w:hAnsiTheme="minorHAnsi" w:cstheme="minorHAnsi"/>
          <w:sz w:val="22"/>
          <w:szCs w:val="22"/>
        </w:rPr>
        <w:t xml:space="preserve"> in New York in October 2019. The COP Guidelines were included as a reference and taken as the basis to implement the recommendations of the report.</w:t>
      </w:r>
    </w:p>
    <w:p w14:paraId="4B0F1D33" w14:textId="6971362F" w:rsidR="00924B5A" w:rsidRPr="00B60E11" w:rsidRDefault="00924B5A" w:rsidP="00285E8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7.4</w:t>
      </w:r>
      <w:r w:rsidR="00285E88">
        <w:rPr>
          <w:rFonts w:asciiTheme="minorHAnsi" w:hAnsiTheme="minorHAnsi" w:cstheme="minorHAnsi"/>
          <w:sz w:val="22"/>
          <w:szCs w:val="22"/>
        </w:rPr>
        <w:tab/>
      </w:r>
      <w:r w:rsidRPr="00B60E11">
        <w:rPr>
          <w:rFonts w:asciiTheme="minorHAnsi" w:hAnsiTheme="minorHAnsi" w:cstheme="minorHAnsi"/>
          <w:sz w:val="22"/>
          <w:szCs w:val="22"/>
        </w:rPr>
        <w:t xml:space="preserve">A regional study on national approaches for keeping young people and children safe online was drafted for review and opened for consultations with the countries. Also, assistance was provided to Georgia and Ukraine in the development of a national strategy on child online protection.  </w:t>
      </w:r>
    </w:p>
    <w:p w14:paraId="7B39AD30" w14:textId="0AC17168" w:rsidR="008B7314" w:rsidRDefault="00924B5A" w:rsidP="00285E88">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B60E11">
        <w:rPr>
          <w:rFonts w:asciiTheme="minorHAnsi" w:hAnsiTheme="minorHAnsi" w:cstheme="minorHAnsi"/>
          <w:sz w:val="22"/>
          <w:szCs w:val="22"/>
        </w:rPr>
        <w:t>7.5</w:t>
      </w:r>
      <w:r w:rsidR="00285E88">
        <w:rPr>
          <w:rFonts w:asciiTheme="minorHAnsi" w:hAnsiTheme="minorHAnsi" w:cstheme="minorHAnsi"/>
          <w:sz w:val="22"/>
          <w:szCs w:val="22"/>
        </w:rPr>
        <w:tab/>
      </w:r>
      <w:r w:rsidRPr="00B60E11">
        <w:rPr>
          <w:rFonts w:asciiTheme="minorHAnsi" w:hAnsiTheme="minorHAnsi" w:cstheme="minorHAnsi"/>
          <w:sz w:val="22"/>
          <w:szCs w:val="22"/>
        </w:rPr>
        <w:t>ITU celebrated Safer INTERNET day 2020 with various activities, including promoting protection of children online.</w:t>
      </w:r>
      <w:r w:rsidR="00B174C7" w:rsidRPr="00B60E11">
        <w:rPr>
          <w:rFonts w:asciiTheme="minorHAnsi" w:hAnsiTheme="minorHAnsi" w:cstheme="minorHAnsi"/>
          <w:sz w:val="22"/>
          <w:szCs w:val="22"/>
        </w:rPr>
        <w:t xml:space="preserve"> The new COP Mascot was launched on Safer Internet Day 2020. The </w:t>
      </w:r>
      <w:hyperlink r:id="rId56" w:history="1">
        <w:r w:rsidR="00B174C7" w:rsidRPr="00B60E11">
          <w:rPr>
            <w:rStyle w:val="Hyperlink"/>
            <w:rFonts w:asciiTheme="minorHAnsi" w:hAnsiTheme="minorHAnsi" w:cstheme="minorHAnsi"/>
            <w:sz w:val="22"/>
            <w:szCs w:val="22"/>
          </w:rPr>
          <w:t>story and background</w:t>
        </w:r>
      </w:hyperlink>
      <w:r w:rsidR="00B174C7" w:rsidRPr="00B60E11">
        <w:rPr>
          <w:rFonts w:asciiTheme="minorHAnsi" w:hAnsiTheme="minorHAnsi" w:cstheme="minorHAnsi"/>
          <w:color w:val="000000"/>
          <w:sz w:val="22"/>
          <w:szCs w:val="22"/>
        </w:rPr>
        <w:t xml:space="preserve"> </w:t>
      </w:r>
      <w:r w:rsidR="00B174C7" w:rsidRPr="00B60E11">
        <w:rPr>
          <w:rFonts w:asciiTheme="minorHAnsi" w:hAnsiTheme="minorHAnsi" w:cstheme="minorHAnsi"/>
          <w:sz w:val="22"/>
          <w:szCs w:val="22"/>
        </w:rPr>
        <w:t>was designed and created by children at the beginning of January 2020.</w:t>
      </w:r>
    </w:p>
    <w:p w14:paraId="0F634218" w14:textId="04820333" w:rsidR="000D0F40" w:rsidRDefault="000D0F40" w:rsidP="000D0F40">
      <w:pPr>
        <w:tabs>
          <w:tab w:val="clear" w:pos="567"/>
          <w:tab w:val="clear" w:pos="1134"/>
          <w:tab w:val="clear" w:pos="1701"/>
          <w:tab w:val="clear" w:pos="2268"/>
          <w:tab w:val="clear" w:pos="2835"/>
        </w:tabs>
        <w:snapToGrid w:val="0"/>
        <w:spacing w:before="840"/>
        <w:jc w:val="center"/>
        <w:rPr>
          <w:rFonts w:asciiTheme="minorHAnsi" w:hAnsiTheme="minorHAnsi" w:cstheme="minorHAnsi"/>
          <w:sz w:val="22"/>
          <w:szCs w:val="22"/>
        </w:rPr>
      </w:pPr>
      <w:r>
        <w:rPr>
          <w:rFonts w:asciiTheme="minorHAnsi" w:hAnsiTheme="minorHAnsi" w:cstheme="minorHAnsi"/>
          <w:sz w:val="22"/>
          <w:szCs w:val="22"/>
        </w:rPr>
        <w:t>______________</w:t>
      </w:r>
    </w:p>
    <w:sectPr w:rsidR="000D0F40" w:rsidSect="004D1851">
      <w:head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F62B" w14:textId="77777777" w:rsidR="00D6097A" w:rsidRDefault="00D6097A">
      <w:r>
        <w:separator/>
      </w:r>
    </w:p>
  </w:endnote>
  <w:endnote w:type="continuationSeparator" w:id="0">
    <w:p w14:paraId="3CCCB6DF" w14:textId="77777777" w:rsidR="00D6097A" w:rsidRDefault="00D6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012" w14:textId="77777777" w:rsidR="003A6768" w:rsidRPr="00E50AAE" w:rsidRDefault="003A6768" w:rsidP="00E50AAE">
    <w:pPr>
      <w:spacing w:after="120"/>
      <w:jc w:val="center"/>
      <w:rPr>
        <w:sz w:val="22"/>
        <w:szCs w:val="22"/>
      </w:rPr>
    </w:pPr>
    <w:r w:rsidRPr="00124223">
      <w:rPr>
        <w:sz w:val="22"/>
        <w:szCs w:val="22"/>
      </w:rPr>
      <w:t xml:space="preserve">• </w:t>
    </w:r>
    <w:hyperlink r:id="rId1" w:history="1">
      <w:r w:rsidRPr="00124223">
        <w:rPr>
          <w:rStyle w:val="Hyperlink"/>
          <w:sz w:val="22"/>
          <w:szCs w:val="22"/>
        </w:rPr>
        <w:t>http://www.itu.int/council</w:t>
      </w:r>
    </w:hyperlink>
    <w:r w:rsidRPr="00124223">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DA8F" w14:textId="77777777" w:rsidR="00D6097A" w:rsidRDefault="00D6097A">
      <w:r>
        <w:t>____________________</w:t>
      </w:r>
    </w:p>
  </w:footnote>
  <w:footnote w:type="continuationSeparator" w:id="0">
    <w:p w14:paraId="6AC38325" w14:textId="77777777" w:rsidR="00D6097A" w:rsidRDefault="00D6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40F3" w14:textId="77777777" w:rsidR="003A6768" w:rsidRDefault="003A6768" w:rsidP="00CE433C">
    <w:pPr>
      <w:pStyle w:val="Header"/>
    </w:pPr>
    <w:r>
      <w:fldChar w:fldCharType="begin"/>
    </w:r>
    <w:r>
      <w:instrText>PAGE</w:instrText>
    </w:r>
    <w:r>
      <w:fldChar w:fldCharType="separate"/>
    </w:r>
    <w:r w:rsidR="00B60E11">
      <w:rPr>
        <w:noProof/>
      </w:rPr>
      <w:t>4</w:t>
    </w:r>
    <w:r>
      <w:rPr>
        <w:noProof/>
      </w:rPr>
      <w:fldChar w:fldCharType="end"/>
    </w:r>
  </w:p>
  <w:p w14:paraId="4CCBA3E3" w14:textId="2C93D994" w:rsidR="003A6768" w:rsidRPr="00623AE3" w:rsidRDefault="003A6768" w:rsidP="005243FF">
    <w:pPr>
      <w:pStyle w:val="Header"/>
      <w:rPr>
        <w:bCs/>
      </w:rPr>
    </w:pPr>
    <w:r>
      <w:rPr>
        <w:bCs/>
      </w:rPr>
      <w:t>C</w:t>
    </w:r>
    <w:r w:rsidR="00285E88">
      <w:rPr>
        <w:bCs/>
      </w:rPr>
      <w:t>20</w:t>
    </w:r>
    <w:r>
      <w:rPr>
        <w:bCs/>
      </w:rPr>
      <w:t>/18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495D9A"/>
    <w:multiLevelType w:val="multilevel"/>
    <w:tmpl w:val="61BC08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E05B7"/>
    <w:multiLevelType w:val="multilevel"/>
    <w:tmpl w:val="F21E1C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62CF5CC2"/>
    <w:multiLevelType w:val="hybridMultilevel"/>
    <w:tmpl w:val="105E66D4"/>
    <w:lvl w:ilvl="0" w:tplc="13167710">
      <w:start w:val="1"/>
      <w:numFmt w:val="decimal"/>
      <w:lvlText w:val="%1."/>
      <w:lvlJc w:val="left"/>
      <w:pPr>
        <w:tabs>
          <w:tab w:val="num" w:pos="720"/>
        </w:tabs>
        <w:ind w:left="720" w:hanging="360"/>
      </w:pPr>
    </w:lvl>
    <w:lvl w:ilvl="1" w:tplc="4D7C00C4">
      <w:start w:val="1"/>
      <w:numFmt w:val="lowerLetter"/>
      <w:lvlText w:val="%2)"/>
      <w:lvlJc w:val="left"/>
      <w:pPr>
        <w:ind w:left="1506" w:hanging="426"/>
      </w:pPr>
    </w:lvl>
    <w:lvl w:ilvl="2" w:tplc="150CD61E">
      <w:start w:val="1"/>
      <w:numFmt w:val="decimal"/>
      <w:lvlText w:val="%3."/>
      <w:lvlJc w:val="left"/>
      <w:pPr>
        <w:tabs>
          <w:tab w:val="num" w:pos="2160"/>
        </w:tabs>
        <w:ind w:left="2160" w:hanging="360"/>
      </w:pPr>
    </w:lvl>
    <w:lvl w:ilvl="3" w:tplc="E41A7CB0">
      <w:start w:val="1"/>
      <w:numFmt w:val="decimal"/>
      <w:lvlText w:val="%4."/>
      <w:lvlJc w:val="left"/>
      <w:pPr>
        <w:tabs>
          <w:tab w:val="num" w:pos="2880"/>
        </w:tabs>
        <w:ind w:left="2880" w:hanging="360"/>
      </w:pPr>
    </w:lvl>
    <w:lvl w:ilvl="4" w:tplc="1192929A">
      <w:start w:val="1"/>
      <w:numFmt w:val="decimal"/>
      <w:lvlText w:val="%5."/>
      <w:lvlJc w:val="left"/>
      <w:pPr>
        <w:tabs>
          <w:tab w:val="num" w:pos="3600"/>
        </w:tabs>
        <w:ind w:left="3600" w:hanging="360"/>
      </w:pPr>
    </w:lvl>
    <w:lvl w:ilvl="5" w:tplc="908CCA4A">
      <w:start w:val="1"/>
      <w:numFmt w:val="decimal"/>
      <w:lvlText w:val="%6."/>
      <w:lvlJc w:val="left"/>
      <w:pPr>
        <w:tabs>
          <w:tab w:val="num" w:pos="4320"/>
        </w:tabs>
        <w:ind w:left="4320" w:hanging="360"/>
      </w:pPr>
    </w:lvl>
    <w:lvl w:ilvl="6" w:tplc="F09C3F2E">
      <w:start w:val="1"/>
      <w:numFmt w:val="decimal"/>
      <w:lvlText w:val="%7."/>
      <w:lvlJc w:val="left"/>
      <w:pPr>
        <w:tabs>
          <w:tab w:val="num" w:pos="5040"/>
        </w:tabs>
        <w:ind w:left="5040" w:hanging="360"/>
      </w:pPr>
    </w:lvl>
    <w:lvl w:ilvl="7" w:tplc="14567F32">
      <w:start w:val="1"/>
      <w:numFmt w:val="decimal"/>
      <w:lvlText w:val="%8."/>
      <w:lvlJc w:val="left"/>
      <w:pPr>
        <w:tabs>
          <w:tab w:val="num" w:pos="5760"/>
        </w:tabs>
        <w:ind w:left="5760" w:hanging="360"/>
      </w:pPr>
    </w:lvl>
    <w:lvl w:ilvl="8" w:tplc="3B84A632">
      <w:start w:val="1"/>
      <w:numFmt w:val="decimal"/>
      <w:lvlText w:val="%9."/>
      <w:lvlJc w:val="left"/>
      <w:pPr>
        <w:tabs>
          <w:tab w:val="num" w:pos="6480"/>
        </w:tabs>
        <w:ind w:left="6480" w:hanging="360"/>
      </w:pPr>
    </w:lvl>
  </w:abstractNum>
  <w:abstractNum w:abstractNumId="5"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33631C4"/>
    <w:multiLevelType w:val="hybridMultilevel"/>
    <w:tmpl w:val="DD76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246F"/>
    <w:rsid w:val="00017A6F"/>
    <w:rsid w:val="000210D4"/>
    <w:rsid w:val="00022CCD"/>
    <w:rsid w:val="000254CF"/>
    <w:rsid w:val="0003298A"/>
    <w:rsid w:val="00032D12"/>
    <w:rsid w:val="00032DB0"/>
    <w:rsid w:val="000330AC"/>
    <w:rsid w:val="00034C3A"/>
    <w:rsid w:val="00050A13"/>
    <w:rsid w:val="00052F0C"/>
    <w:rsid w:val="00057FC2"/>
    <w:rsid w:val="0006212D"/>
    <w:rsid w:val="000626EB"/>
    <w:rsid w:val="00063016"/>
    <w:rsid w:val="00066795"/>
    <w:rsid w:val="00073075"/>
    <w:rsid w:val="00076AF6"/>
    <w:rsid w:val="00076E25"/>
    <w:rsid w:val="000774B4"/>
    <w:rsid w:val="00081104"/>
    <w:rsid w:val="00085CF2"/>
    <w:rsid w:val="000868CF"/>
    <w:rsid w:val="00087B43"/>
    <w:rsid w:val="000A19F4"/>
    <w:rsid w:val="000A25A0"/>
    <w:rsid w:val="000B1705"/>
    <w:rsid w:val="000D0F40"/>
    <w:rsid w:val="000D3928"/>
    <w:rsid w:val="000D75B2"/>
    <w:rsid w:val="000E5F31"/>
    <w:rsid w:val="000E645E"/>
    <w:rsid w:val="000F1CD0"/>
    <w:rsid w:val="000F5C3E"/>
    <w:rsid w:val="001026D6"/>
    <w:rsid w:val="001121F5"/>
    <w:rsid w:val="00112D3D"/>
    <w:rsid w:val="00112FDA"/>
    <w:rsid w:val="00124223"/>
    <w:rsid w:val="00136C1A"/>
    <w:rsid w:val="001400DC"/>
    <w:rsid w:val="00140A37"/>
    <w:rsid w:val="00140CE1"/>
    <w:rsid w:val="00140F0F"/>
    <w:rsid w:val="001439D9"/>
    <w:rsid w:val="0016219C"/>
    <w:rsid w:val="00162688"/>
    <w:rsid w:val="00163EF4"/>
    <w:rsid w:val="001647CC"/>
    <w:rsid w:val="00172C14"/>
    <w:rsid w:val="0017539C"/>
    <w:rsid w:val="00175AC2"/>
    <w:rsid w:val="0017609F"/>
    <w:rsid w:val="001842DF"/>
    <w:rsid w:val="001859E0"/>
    <w:rsid w:val="00196B4D"/>
    <w:rsid w:val="001C1529"/>
    <w:rsid w:val="001C628E"/>
    <w:rsid w:val="001C64C2"/>
    <w:rsid w:val="001D26D6"/>
    <w:rsid w:val="001E0F7B"/>
    <w:rsid w:val="001E2D15"/>
    <w:rsid w:val="001E5EDA"/>
    <w:rsid w:val="001F0676"/>
    <w:rsid w:val="001F538D"/>
    <w:rsid w:val="00202492"/>
    <w:rsid w:val="002043E2"/>
    <w:rsid w:val="002119FD"/>
    <w:rsid w:val="002130E0"/>
    <w:rsid w:val="00226F1D"/>
    <w:rsid w:val="00232C09"/>
    <w:rsid w:val="002372E6"/>
    <w:rsid w:val="002424B7"/>
    <w:rsid w:val="00254E46"/>
    <w:rsid w:val="00264425"/>
    <w:rsid w:val="00264F43"/>
    <w:rsid w:val="00265875"/>
    <w:rsid w:val="0027303B"/>
    <w:rsid w:val="00273924"/>
    <w:rsid w:val="0028109B"/>
    <w:rsid w:val="00285E88"/>
    <w:rsid w:val="002901FF"/>
    <w:rsid w:val="002A2188"/>
    <w:rsid w:val="002A2EA1"/>
    <w:rsid w:val="002A4893"/>
    <w:rsid w:val="002A770B"/>
    <w:rsid w:val="002B1F58"/>
    <w:rsid w:val="002B6C59"/>
    <w:rsid w:val="002C1C7A"/>
    <w:rsid w:val="002E29CC"/>
    <w:rsid w:val="002E4804"/>
    <w:rsid w:val="002F2015"/>
    <w:rsid w:val="002F612D"/>
    <w:rsid w:val="0030160F"/>
    <w:rsid w:val="0030320C"/>
    <w:rsid w:val="00311158"/>
    <w:rsid w:val="00317B51"/>
    <w:rsid w:val="00322D0D"/>
    <w:rsid w:val="00323887"/>
    <w:rsid w:val="0033180B"/>
    <w:rsid w:val="00333BA8"/>
    <w:rsid w:val="00337B4E"/>
    <w:rsid w:val="00340ECE"/>
    <w:rsid w:val="0034184D"/>
    <w:rsid w:val="00341AA7"/>
    <w:rsid w:val="0035004E"/>
    <w:rsid w:val="00356448"/>
    <w:rsid w:val="0035732D"/>
    <w:rsid w:val="00361CCE"/>
    <w:rsid w:val="00362498"/>
    <w:rsid w:val="00362CC0"/>
    <w:rsid w:val="00366193"/>
    <w:rsid w:val="003748C6"/>
    <w:rsid w:val="0037494A"/>
    <w:rsid w:val="00377563"/>
    <w:rsid w:val="00382363"/>
    <w:rsid w:val="00392CCD"/>
    <w:rsid w:val="00393744"/>
    <w:rsid w:val="003942D4"/>
    <w:rsid w:val="003958A8"/>
    <w:rsid w:val="00397F16"/>
    <w:rsid w:val="003A6768"/>
    <w:rsid w:val="003B0B33"/>
    <w:rsid w:val="003C048B"/>
    <w:rsid w:val="003C2533"/>
    <w:rsid w:val="003C38DD"/>
    <w:rsid w:val="003C604E"/>
    <w:rsid w:val="003C6929"/>
    <w:rsid w:val="003C704F"/>
    <w:rsid w:val="003E624C"/>
    <w:rsid w:val="003F300C"/>
    <w:rsid w:val="003F419A"/>
    <w:rsid w:val="003F5105"/>
    <w:rsid w:val="0040435A"/>
    <w:rsid w:val="004065CF"/>
    <w:rsid w:val="004157E0"/>
    <w:rsid w:val="00416A24"/>
    <w:rsid w:val="00421C13"/>
    <w:rsid w:val="00422BCE"/>
    <w:rsid w:val="00424C11"/>
    <w:rsid w:val="00426CEB"/>
    <w:rsid w:val="00431D9E"/>
    <w:rsid w:val="00433B77"/>
    <w:rsid w:val="00433CE8"/>
    <w:rsid w:val="00434A5C"/>
    <w:rsid w:val="0043549D"/>
    <w:rsid w:val="00437323"/>
    <w:rsid w:val="0043732C"/>
    <w:rsid w:val="004544D9"/>
    <w:rsid w:val="00457297"/>
    <w:rsid w:val="00457D7E"/>
    <w:rsid w:val="00462F60"/>
    <w:rsid w:val="0046409F"/>
    <w:rsid w:val="00477451"/>
    <w:rsid w:val="0048200E"/>
    <w:rsid w:val="0048346B"/>
    <w:rsid w:val="00490E72"/>
    <w:rsid w:val="00491001"/>
    <w:rsid w:val="00491157"/>
    <w:rsid w:val="004921C8"/>
    <w:rsid w:val="00492DE1"/>
    <w:rsid w:val="004942FF"/>
    <w:rsid w:val="00497796"/>
    <w:rsid w:val="00497BF3"/>
    <w:rsid w:val="004A4D3F"/>
    <w:rsid w:val="004A6CA9"/>
    <w:rsid w:val="004B136B"/>
    <w:rsid w:val="004B136E"/>
    <w:rsid w:val="004B2D11"/>
    <w:rsid w:val="004B3C39"/>
    <w:rsid w:val="004B5132"/>
    <w:rsid w:val="004D1851"/>
    <w:rsid w:val="004D599D"/>
    <w:rsid w:val="004E0673"/>
    <w:rsid w:val="004E2EA5"/>
    <w:rsid w:val="004E3AEB"/>
    <w:rsid w:val="004E6A43"/>
    <w:rsid w:val="004F02BE"/>
    <w:rsid w:val="0050223C"/>
    <w:rsid w:val="005058F5"/>
    <w:rsid w:val="00510239"/>
    <w:rsid w:val="00510E49"/>
    <w:rsid w:val="005128B2"/>
    <w:rsid w:val="00512B48"/>
    <w:rsid w:val="0051318F"/>
    <w:rsid w:val="00521C88"/>
    <w:rsid w:val="00523FAF"/>
    <w:rsid w:val="005243FF"/>
    <w:rsid w:val="00527AAE"/>
    <w:rsid w:val="005336CB"/>
    <w:rsid w:val="005373B4"/>
    <w:rsid w:val="0054715E"/>
    <w:rsid w:val="00553118"/>
    <w:rsid w:val="00564FBC"/>
    <w:rsid w:val="0056603C"/>
    <w:rsid w:val="005661A5"/>
    <w:rsid w:val="00573FF1"/>
    <w:rsid w:val="00576986"/>
    <w:rsid w:val="0057720C"/>
    <w:rsid w:val="00582442"/>
    <w:rsid w:val="005845FB"/>
    <w:rsid w:val="00584EDF"/>
    <w:rsid w:val="005A092A"/>
    <w:rsid w:val="005C10A5"/>
    <w:rsid w:val="005C143E"/>
    <w:rsid w:val="005C2826"/>
    <w:rsid w:val="005C37A9"/>
    <w:rsid w:val="005C5221"/>
    <w:rsid w:val="005D434F"/>
    <w:rsid w:val="005D4DEE"/>
    <w:rsid w:val="005D616E"/>
    <w:rsid w:val="005D7783"/>
    <w:rsid w:val="005D7D06"/>
    <w:rsid w:val="005F31C8"/>
    <w:rsid w:val="005F3269"/>
    <w:rsid w:val="005F52D2"/>
    <w:rsid w:val="005F584E"/>
    <w:rsid w:val="006053DC"/>
    <w:rsid w:val="00606AE5"/>
    <w:rsid w:val="00614E2C"/>
    <w:rsid w:val="00623AE3"/>
    <w:rsid w:val="00625D9F"/>
    <w:rsid w:val="0063353F"/>
    <w:rsid w:val="0064737F"/>
    <w:rsid w:val="00647F8F"/>
    <w:rsid w:val="006535F1"/>
    <w:rsid w:val="0065523C"/>
    <w:rsid w:val="0065557D"/>
    <w:rsid w:val="00656BCA"/>
    <w:rsid w:val="00657D84"/>
    <w:rsid w:val="00662984"/>
    <w:rsid w:val="00666143"/>
    <w:rsid w:val="006716BB"/>
    <w:rsid w:val="00673D93"/>
    <w:rsid w:val="00684CF5"/>
    <w:rsid w:val="006856D8"/>
    <w:rsid w:val="00692D89"/>
    <w:rsid w:val="00695EE4"/>
    <w:rsid w:val="006A0D06"/>
    <w:rsid w:val="006A2948"/>
    <w:rsid w:val="006A45B5"/>
    <w:rsid w:val="006A66B5"/>
    <w:rsid w:val="006B17A7"/>
    <w:rsid w:val="006B6680"/>
    <w:rsid w:val="006B6DCC"/>
    <w:rsid w:val="006B7FB8"/>
    <w:rsid w:val="006C196D"/>
    <w:rsid w:val="006D26F7"/>
    <w:rsid w:val="006D5BD5"/>
    <w:rsid w:val="006D6E6D"/>
    <w:rsid w:val="006E5845"/>
    <w:rsid w:val="006F1CB8"/>
    <w:rsid w:val="006F324D"/>
    <w:rsid w:val="006F37B4"/>
    <w:rsid w:val="00702DEF"/>
    <w:rsid w:val="007046D5"/>
    <w:rsid w:val="00706861"/>
    <w:rsid w:val="00721C77"/>
    <w:rsid w:val="0072280B"/>
    <w:rsid w:val="00726CDD"/>
    <w:rsid w:val="00740394"/>
    <w:rsid w:val="0074651F"/>
    <w:rsid w:val="0075051B"/>
    <w:rsid w:val="0075278C"/>
    <w:rsid w:val="00761EFC"/>
    <w:rsid w:val="00762545"/>
    <w:rsid w:val="007638C1"/>
    <w:rsid w:val="00763EB3"/>
    <w:rsid w:val="00764E8A"/>
    <w:rsid w:val="007708D3"/>
    <w:rsid w:val="00774A89"/>
    <w:rsid w:val="00782E3F"/>
    <w:rsid w:val="00793188"/>
    <w:rsid w:val="00794D34"/>
    <w:rsid w:val="007971FE"/>
    <w:rsid w:val="007A1398"/>
    <w:rsid w:val="007A33E9"/>
    <w:rsid w:val="007A7B77"/>
    <w:rsid w:val="007B26C3"/>
    <w:rsid w:val="007B2CC5"/>
    <w:rsid w:val="007B56F8"/>
    <w:rsid w:val="007C19ED"/>
    <w:rsid w:val="007C1DFC"/>
    <w:rsid w:val="007C2F02"/>
    <w:rsid w:val="007C4704"/>
    <w:rsid w:val="007D0964"/>
    <w:rsid w:val="007D2F91"/>
    <w:rsid w:val="007D3846"/>
    <w:rsid w:val="007D3A3F"/>
    <w:rsid w:val="007E68F8"/>
    <w:rsid w:val="007F1915"/>
    <w:rsid w:val="007F6E90"/>
    <w:rsid w:val="0080778A"/>
    <w:rsid w:val="0081127C"/>
    <w:rsid w:val="00813E5E"/>
    <w:rsid w:val="00830A6F"/>
    <w:rsid w:val="0083581B"/>
    <w:rsid w:val="00842C54"/>
    <w:rsid w:val="0084574D"/>
    <w:rsid w:val="008478FE"/>
    <w:rsid w:val="008550C8"/>
    <w:rsid w:val="00862A15"/>
    <w:rsid w:val="00864AFF"/>
    <w:rsid w:val="00865439"/>
    <w:rsid w:val="00870F4A"/>
    <w:rsid w:val="00875A8D"/>
    <w:rsid w:val="00876E2C"/>
    <w:rsid w:val="008776FE"/>
    <w:rsid w:val="00882B7E"/>
    <w:rsid w:val="0088670E"/>
    <w:rsid w:val="00894591"/>
    <w:rsid w:val="00895770"/>
    <w:rsid w:val="008A08BA"/>
    <w:rsid w:val="008A1B2E"/>
    <w:rsid w:val="008A4AAA"/>
    <w:rsid w:val="008A5FBA"/>
    <w:rsid w:val="008B0127"/>
    <w:rsid w:val="008B03B3"/>
    <w:rsid w:val="008B38FF"/>
    <w:rsid w:val="008B4A6A"/>
    <w:rsid w:val="008B7314"/>
    <w:rsid w:val="008C7E27"/>
    <w:rsid w:val="008D5C7A"/>
    <w:rsid w:val="008D7D71"/>
    <w:rsid w:val="008E0FBA"/>
    <w:rsid w:val="008E17B8"/>
    <w:rsid w:val="008E2339"/>
    <w:rsid w:val="008E7D83"/>
    <w:rsid w:val="008F022B"/>
    <w:rsid w:val="008F0921"/>
    <w:rsid w:val="008F720D"/>
    <w:rsid w:val="00902DB7"/>
    <w:rsid w:val="00905DF9"/>
    <w:rsid w:val="00907DDE"/>
    <w:rsid w:val="0091139A"/>
    <w:rsid w:val="009135F7"/>
    <w:rsid w:val="009173EF"/>
    <w:rsid w:val="00923E32"/>
    <w:rsid w:val="00924B5A"/>
    <w:rsid w:val="0092542D"/>
    <w:rsid w:val="00932906"/>
    <w:rsid w:val="00934D23"/>
    <w:rsid w:val="009438DC"/>
    <w:rsid w:val="0094431A"/>
    <w:rsid w:val="009456C8"/>
    <w:rsid w:val="009462FA"/>
    <w:rsid w:val="0094672B"/>
    <w:rsid w:val="009530CD"/>
    <w:rsid w:val="00953919"/>
    <w:rsid w:val="00961B0B"/>
    <w:rsid w:val="0097239D"/>
    <w:rsid w:val="009851A0"/>
    <w:rsid w:val="00985417"/>
    <w:rsid w:val="009903A9"/>
    <w:rsid w:val="0099292A"/>
    <w:rsid w:val="0099794D"/>
    <w:rsid w:val="009A3188"/>
    <w:rsid w:val="009B38C3"/>
    <w:rsid w:val="009E0802"/>
    <w:rsid w:val="009E17BD"/>
    <w:rsid w:val="009E485A"/>
    <w:rsid w:val="009E6BB9"/>
    <w:rsid w:val="009F42E9"/>
    <w:rsid w:val="009F7F4C"/>
    <w:rsid w:val="00A04CEC"/>
    <w:rsid w:val="00A12BCC"/>
    <w:rsid w:val="00A133E4"/>
    <w:rsid w:val="00A27F92"/>
    <w:rsid w:val="00A32257"/>
    <w:rsid w:val="00A36D20"/>
    <w:rsid w:val="00A43599"/>
    <w:rsid w:val="00A44874"/>
    <w:rsid w:val="00A463AC"/>
    <w:rsid w:val="00A46823"/>
    <w:rsid w:val="00A46E65"/>
    <w:rsid w:val="00A51E79"/>
    <w:rsid w:val="00A55622"/>
    <w:rsid w:val="00A57D89"/>
    <w:rsid w:val="00A63FD9"/>
    <w:rsid w:val="00A66E51"/>
    <w:rsid w:val="00A772A5"/>
    <w:rsid w:val="00A83502"/>
    <w:rsid w:val="00A83610"/>
    <w:rsid w:val="00A92937"/>
    <w:rsid w:val="00A94B7D"/>
    <w:rsid w:val="00A96DCD"/>
    <w:rsid w:val="00AA182D"/>
    <w:rsid w:val="00AA6F50"/>
    <w:rsid w:val="00AB094D"/>
    <w:rsid w:val="00AB419C"/>
    <w:rsid w:val="00AC0FFC"/>
    <w:rsid w:val="00AD020A"/>
    <w:rsid w:val="00AD15B3"/>
    <w:rsid w:val="00AD58C9"/>
    <w:rsid w:val="00AE1B06"/>
    <w:rsid w:val="00AE2894"/>
    <w:rsid w:val="00AE2C9E"/>
    <w:rsid w:val="00AE7295"/>
    <w:rsid w:val="00AF50C5"/>
    <w:rsid w:val="00AF6E49"/>
    <w:rsid w:val="00B0077D"/>
    <w:rsid w:val="00B04A67"/>
    <w:rsid w:val="00B0583C"/>
    <w:rsid w:val="00B149BF"/>
    <w:rsid w:val="00B16486"/>
    <w:rsid w:val="00B174C7"/>
    <w:rsid w:val="00B2046E"/>
    <w:rsid w:val="00B23A67"/>
    <w:rsid w:val="00B3121E"/>
    <w:rsid w:val="00B34B90"/>
    <w:rsid w:val="00B40A81"/>
    <w:rsid w:val="00B44910"/>
    <w:rsid w:val="00B46122"/>
    <w:rsid w:val="00B51D0D"/>
    <w:rsid w:val="00B539DA"/>
    <w:rsid w:val="00B60E11"/>
    <w:rsid w:val="00B72267"/>
    <w:rsid w:val="00B76EB6"/>
    <w:rsid w:val="00B7737B"/>
    <w:rsid w:val="00B773F0"/>
    <w:rsid w:val="00B77E3E"/>
    <w:rsid w:val="00B80ACE"/>
    <w:rsid w:val="00B824C8"/>
    <w:rsid w:val="00B90684"/>
    <w:rsid w:val="00B919C6"/>
    <w:rsid w:val="00B94BE6"/>
    <w:rsid w:val="00BA738A"/>
    <w:rsid w:val="00BB0E72"/>
    <w:rsid w:val="00BB52A9"/>
    <w:rsid w:val="00BC251A"/>
    <w:rsid w:val="00BC5461"/>
    <w:rsid w:val="00BC7148"/>
    <w:rsid w:val="00BD032B"/>
    <w:rsid w:val="00BD5285"/>
    <w:rsid w:val="00BD664D"/>
    <w:rsid w:val="00BE2640"/>
    <w:rsid w:val="00BF446E"/>
    <w:rsid w:val="00BF497E"/>
    <w:rsid w:val="00BF664A"/>
    <w:rsid w:val="00BF7066"/>
    <w:rsid w:val="00C01189"/>
    <w:rsid w:val="00C03815"/>
    <w:rsid w:val="00C04BF2"/>
    <w:rsid w:val="00C05C8B"/>
    <w:rsid w:val="00C066BC"/>
    <w:rsid w:val="00C315E0"/>
    <w:rsid w:val="00C374DE"/>
    <w:rsid w:val="00C3770B"/>
    <w:rsid w:val="00C409BE"/>
    <w:rsid w:val="00C420E1"/>
    <w:rsid w:val="00C43F4C"/>
    <w:rsid w:val="00C46E40"/>
    <w:rsid w:val="00C473C8"/>
    <w:rsid w:val="00C47AD4"/>
    <w:rsid w:val="00C51492"/>
    <w:rsid w:val="00C52D81"/>
    <w:rsid w:val="00C549FB"/>
    <w:rsid w:val="00C55198"/>
    <w:rsid w:val="00C651FC"/>
    <w:rsid w:val="00C67614"/>
    <w:rsid w:val="00C746EC"/>
    <w:rsid w:val="00C77370"/>
    <w:rsid w:val="00C8072D"/>
    <w:rsid w:val="00C83262"/>
    <w:rsid w:val="00C94123"/>
    <w:rsid w:val="00C95806"/>
    <w:rsid w:val="00CA38BD"/>
    <w:rsid w:val="00CA4963"/>
    <w:rsid w:val="00CA4F5B"/>
    <w:rsid w:val="00CA504A"/>
    <w:rsid w:val="00CA6393"/>
    <w:rsid w:val="00CB18FF"/>
    <w:rsid w:val="00CB2617"/>
    <w:rsid w:val="00CB3C8F"/>
    <w:rsid w:val="00CB51C5"/>
    <w:rsid w:val="00CB5A80"/>
    <w:rsid w:val="00CB608F"/>
    <w:rsid w:val="00CD0C08"/>
    <w:rsid w:val="00CD1EC5"/>
    <w:rsid w:val="00CD1F38"/>
    <w:rsid w:val="00CD7AFE"/>
    <w:rsid w:val="00CE03FB"/>
    <w:rsid w:val="00CE433C"/>
    <w:rsid w:val="00CE4492"/>
    <w:rsid w:val="00CE6005"/>
    <w:rsid w:val="00CF0462"/>
    <w:rsid w:val="00CF0708"/>
    <w:rsid w:val="00CF33F3"/>
    <w:rsid w:val="00D018DD"/>
    <w:rsid w:val="00D04E39"/>
    <w:rsid w:val="00D06183"/>
    <w:rsid w:val="00D20750"/>
    <w:rsid w:val="00D22C42"/>
    <w:rsid w:val="00D247A7"/>
    <w:rsid w:val="00D2790A"/>
    <w:rsid w:val="00D35E4C"/>
    <w:rsid w:val="00D42A92"/>
    <w:rsid w:val="00D541A2"/>
    <w:rsid w:val="00D54C1B"/>
    <w:rsid w:val="00D55EC2"/>
    <w:rsid w:val="00D6097A"/>
    <w:rsid w:val="00D61DD7"/>
    <w:rsid w:val="00D62272"/>
    <w:rsid w:val="00D65041"/>
    <w:rsid w:val="00D711ED"/>
    <w:rsid w:val="00D715CC"/>
    <w:rsid w:val="00D76BA3"/>
    <w:rsid w:val="00D8121D"/>
    <w:rsid w:val="00DA45B8"/>
    <w:rsid w:val="00DB384B"/>
    <w:rsid w:val="00DB3EA9"/>
    <w:rsid w:val="00DB3F85"/>
    <w:rsid w:val="00DC22DE"/>
    <w:rsid w:val="00DC419C"/>
    <w:rsid w:val="00DC70A7"/>
    <w:rsid w:val="00E07C63"/>
    <w:rsid w:val="00E07E72"/>
    <w:rsid w:val="00E10AF9"/>
    <w:rsid w:val="00E10E80"/>
    <w:rsid w:val="00E124F0"/>
    <w:rsid w:val="00E222D8"/>
    <w:rsid w:val="00E270FF"/>
    <w:rsid w:val="00E35AA2"/>
    <w:rsid w:val="00E40FD0"/>
    <w:rsid w:val="00E437A8"/>
    <w:rsid w:val="00E502C1"/>
    <w:rsid w:val="00E50867"/>
    <w:rsid w:val="00E50943"/>
    <w:rsid w:val="00E50AAE"/>
    <w:rsid w:val="00E5113F"/>
    <w:rsid w:val="00E51AF5"/>
    <w:rsid w:val="00E52A97"/>
    <w:rsid w:val="00E5316A"/>
    <w:rsid w:val="00E56FFA"/>
    <w:rsid w:val="00E60146"/>
    <w:rsid w:val="00E60F04"/>
    <w:rsid w:val="00E61029"/>
    <w:rsid w:val="00E671A9"/>
    <w:rsid w:val="00E721E2"/>
    <w:rsid w:val="00E76D8B"/>
    <w:rsid w:val="00E854E4"/>
    <w:rsid w:val="00E85FC3"/>
    <w:rsid w:val="00E8632F"/>
    <w:rsid w:val="00E86350"/>
    <w:rsid w:val="00E93A16"/>
    <w:rsid w:val="00EA1B59"/>
    <w:rsid w:val="00EA232E"/>
    <w:rsid w:val="00EB0D6F"/>
    <w:rsid w:val="00EB13CE"/>
    <w:rsid w:val="00EB2232"/>
    <w:rsid w:val="00EB666B"/>
    <w:rsid w:val="00EC3C31"/>
    <w:rsid w:val="00EC5337"/>
    <w:rsid w:val="00ED019B"/>
    <w:rsid w:val="00ED1EA8"/>
    <w:rsid w:val="00ED3EE8"/>
    <w:rsid w:val="00EE3269"/>
    <w:rsid w:val="00F13381"/>
    <w:rsid w:val="00F16597"/>
    <w:rsid w:val="00F2150A"/>
    <w:rsid w:val="00F231D8"/>
    <w:rsid w:val="00F2627F"/>
    <w:rsid w:val="00F263E2"/>
    <w:rsid w:val="00F268D7"/>
    <w:rsid w:val="00F27FA1"/>
    <w:rsid w:val="00F355E3"/>
    <w:rsid w:val="00F46C5F"/>
    <w:rsid w:val="00F52B80"/>
    <w:rsid w:val="00F64C0C"/>
    <w:rsid w:val="00F711D4"/>
    <w:rsid w:val="00F842D7"/>
    <w:rsid w:val="00F8453D"/>
    <w:rsid w:val="00F84D66"/>
    <w:rsid w:val="00F917EE"/>
    <w:rsid w:val="00F94A63"/>
    <w:rsid w:val="00FA1C28"/>
    <w:rsid w:val="00FA4575"/>
    <w:rsid w:val="00FB5DF2"/>
    <w:rsid w:val="00FB7596"/>
    <w:rsid w:val="00FC55A1"/>
    <w:rsid w:val="00FD0102"/>
    <w:rsid w:val="00FD7F3A"/>
    <w:rsid w:val="00FE365F"/>
    <w:rsid w:val="00FE4077"/>
    <w:rsid w:val="00FE77D2"/>
    <w:rsid w:val="00FF1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FF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84574D"/>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84574D"/>
    <w:rPr>
      <w:rFonts w:ascii="Calibri" w:eastAsia="SimSun" w:hAnsi="Calibri" w:cs="Arial"/>
      <w:sz w:val="22"/>
      <w:szCs w:val="22"/>
    </w:rPr>
  </w:style>
  <w:style w:type="character" w:customStyle="1" w:styleId="enumlev1Char">
    <w:name w:val="enumlev1 Char"/>
    <w:basedOn w:val="DefaultParagraphFont"/>
    <w:link w:val="enumlev1"/>
    <w:rsid w:val="0084574D"/>
    <w:rPr>
      <w:rFonts w:ascii="Calibri" w:hAnsi="Calibri"/>
      <w:sz w:val="24"/>
      <w:lang w:val="en-GB" w:eastAsia="en-US"/>
    </w:rPr>
  </w:style>
  <w:style w:type="paragraph" w:styleId="ListParagraph">
    <w:name w:val="List Paragraph"/>
    <w:basedOn w:val="Normal"/>
    <w:uiPriority w:val="34"/>
    <w:qFormat/>
    <w:rsid w:val="0084574D"/>
    <w:pPr>
      <w:ind w:left="720"/>
      <w:contextualSpacing/>
    </w:pPr>
  </w:style>
  <w:style w:type="paragraph" w:styleId="BalloonText">
    <w:name w:val="Balloon Text"/>
    <w:basedOn w:val="Normal"/>
    <w:link w:val="BalloonTextChar"/>
    <w:semiHidden/>
    <w:unhideWhenUsed/>
    <w:rsid w:val="00E50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0AAE"/>
    <w:rPr>
      <w:rFonts w:ascii="Segoe UI" w:hAnsi="Segoe UI" w:cs="Segoe UI"/>
      <w:sz w:val="18"/>
      <w:szCs w:val="18"/>
      <w:lang w:val="en-GB" w:eastAsia="en-US"/>
    </w:rPr>
  </w:style>
  <w:style w:type="character" w:styleId="CommentReference">
    <w:name w:val="annotation reference"/>
    <w:basedOn w:val="DefaultParagraphFont"/>
    <w:semiHidden/>
    <w:unhideWhenUsed/>
    <w:rsid w:val="003B0B33"/>
    <w:rPr>
      <w:sz w:val="16"/>
      <w:szCs w:val="16"/>
    </w:rPr>
  </w:style>
  <w:style w:type="paragraph" w:styleId="CommentText">
    <w:name w:val="annotation text"/>
    <w:basedOn w:val="Normal"/>
    <w:link w:val="CommentTextChar"/>
    <w:semiHidden/>
    <w:unhideWhenUsed/>
    <w:rsid w:val="003B0B33"/>
    <w:rPr>
      <w:sz w:val="20"/>
    </w:rPr>
  </w:style>
  <w:style w:type="character" w:customStyle="1" w:styleId="CommentTextChar">
    <w:name w:val="Comment Text Char"/>
    <w:basedOn w:val="DefaultParagraphFont"/>
    <w:link w:val="CommentText"/>
    <w:semiHidden/>
    <w:rsid w:val="003B0B33"/>
    <w:rPr>
      <w:rFonts w:ascii="Calibri" w:hAnsi="Calibri"/>
      <w:lang w:val="en-GB" w:eastAsia="en-US"/>
    </w:rPr>
  </w:style>
  <w:style w:type="paragraph" w:styleId="CommentSubject">
    <w:name w:val="annotation subject"/>
    <w:basedOn w:val="CommentText"/>
    <w:next w:val="CommentText"/>
    <w:link w:val="CommentSubjectChar"/>
    <w:semiHidden/>
    <w:unhideWhenUsed/>
    <w:rsid w:val="003B0B33"/>
    <w:rPr>
      <w:b/>
      <w:bCs/>
    </w:rPr>
  </w:style>
  <w:style w:type="character" w:customStyle="1" w:styleId="CommentSubjectChar">
    <w:name w:val="Comment Subject Char"/>
    <w:basedOn w:val="CommentTextChar"/>
    <w:link w:val="CommentSubject"/>
    <w:semiHidden/>
    <w:rsid w:val="003B0B33"/>
    <w:rPr>
      <w:rFonts w:ascii="Calibri" w:hAnsi="Calibri"/>
      <w:b/>
      <w:bCs/>
      <w:lang w:val="en-GB" w:eastAsia="en-US"/>
    </w:rPr>
  </w:style>
  <w:style w:type="character" w:customStyle="1" w:styleId="UnresolvedMention1">
    <w:name w:val="Unresolved Mention1"/>
    <w:basedOn w:val="DefaultParagraphFont"/>
    <w:uiPriority w:val="99"/>
    <w:semiHidden/>
    <w:unhideWhenUsed/>
    <w:rsid w:val="00EA1B59"/>
    <w:rPr>
      <w:color w:val="605E5C"/>
      <w:shd w:val="clear" w:color="auto" w:fill="E1DFDD"/>
    </w:rPr>
  </w:style>
  <w:style w:type="paragraph" w:styleId="Revision">
    <w:name w:val="Revision"/>
    <w:hidden/>
    <w:uiPriority w:val="99"/>
    <w:semiHidden/>
    <w:rsid w:val="0075278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79-E.pdf" TargetMode="External"/><Relationship Id="rId18" Type="http://schemas.openxmlformats.org/officeDocument/2006/relationships/hyperlink" Target="https://www.itu.int/md/D14-WTDC17-C-0115/en" TargetMode="External"/><Relationship Id="rId26" Type="http://schemas.openxmlformats.org/officeDocument/2006/relationships/hyperlink" Target="https://www.itu.int/md/S16-CL-C-0018/en" TargetMode="External"/><Relationship Id="rId39" Type="http://schemas.openxmlformats.org/officeDocument/2006/relationships/hyperlink" Target="https://www.itu.int/en/ITU-T/focusgroups/vm/Pages/default.aspx" TargetMode="External"/><Relationship Id="rId21" Type="http://schemas.openxmlformats.org/officeDocument/2006/relationships/hyperlink" Target="https://www.itu.int/pub/T-RES-T.50-2016" TargetMode="External"/><Relationship Id="rId34" Type="http://schemas.openxmlformats.org/officeDocument/2006/relationships/hyperlink" Target="https://www.itu.int/en/ITU-T/studygroups/2017-2020/17/Pages/mini-workshop_ITS.aspx" TargetMode="External"/><Relationship Id="rId42" Type="http://schemas.openxmlformats.org/officeDocument/2006/relationships/hyperlink" Target="https://www.itu.int/en/ITU-T/Workshops-and-Seminars/201912/Pages/default.aspx" TargetMode="External"/><Relationship Id="rId47" Type="http://schemas.openxmlformats.org/officeDocument/2006/relationships/hyperlink" Target="https://www.itu.int/en/ITU-D/Cybersecurity/Pages/ASP-CIS-Cyberdrill-2019.aspx" TargetMode="External"/><Relationship Id="rId50" Type="http://schemas.openxmlformats.org/officeDocument/2006/relationships/hyperlink" Target="https://www.itu.int/en/ITU-D/Regional-Presence/AsiaPacific/Pages/Events/2018/CybersecurityASPCOE/cybersecurity.aspx" TargetMode="External"/><Relationship Id="rId55" Type="http://schemas.openxmlformats.org/officeDocument/2006/relationships/hyperlink" Target="https://www.broadbandcommission.org/Documents/working-groups/ChildOnlineSafety_Declaratio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5-CL-C-0109/en" TargetMode="External"/><Relationship Id="rId29" Type="http://schemas.openxmlformats.org/officeDocument/2006/relationships/hyperlink" Target="https://www.itu.int/md/S19-CL-C-0018/en" TargetMode="External"/><Relationship Id="rId11" Type="http://schemas.openxmlformats.org/officeDocument/2006/relationships/hyperlink" Target="https://www.itu.int/en/council/Documents/basic-texts/RES-140-E.pdf" TargetMode="External"/><Relationship Id="rId24" Type="http://schemas.openxmlformats.org/officeDocument/2006/relationships/hyperlink" Target="https://www.itu.int/pub/T-RES-T.58-2016" TargetMode="External"/><Relationship Id="rId32" Type="http://schemas.openxmlformats.org/officeDocument/2006/relationships/hyperlink" Target="https://www.itu.int/itu-t/workprog/wp_search.aspx?sg=17" TargetMode="External"/><Relationship Id="rId37" Type="http://schemas.openxmlformats.org/officeDocument/2006/relationships/hyperlink" Target="https://www.itu.int/en/ITU-T/focusgroups/net2030/Pages/default.aspx" TargetMode="External"/><Relationship Id="rId40" Type="http://schemas.openxmlformats.org/officeDocument/2006/relationships/hyperlink" Target="https://www.itu.int/en/ITU-T/focusgroups/ai4ad/Pages/default.aspx" TargetMode="External"/><Relationship Id="rId45" Type="http://schemas.openxmlformats.org/officeDocument/2006/relationships/hyperlink" Target="https://www.itu.int/en/ITU-D/Cybersecurity/Pages/Africa-Cyberdrill-2019.aspx" TargetMode="External"/><Relationship Id="rId53" Type="http://schemas.openxmlformats.org/officeDocument/2006/relationships/hyperlink" Target="https://www.itu.int/net4/wsis/forum/2019/"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itu.int/md/D14-WTDC17-C-0115/en" TargetMode="External"/><Relationship Id="rId4" Type="http://schemas.openxmlformats.org/officeDocument/2006/relationships/settings" Target="settings.xml"/><Relationship Id="rId9" Type="http://schemas.openxmlformats.org/officeDocument/2006/relationships/hyperlink" Target="https://www.itu.int/en/council/Documents/basic-texts/RES-071-E.pdf" TargetMode="External"/><Relationship Id="rId14" Type="http://schemas.openxmlformats.org/officeDocument/2006/relationships/hyperlink" Target="https://www.itu.int/en/council/Documents/basic-texts/RES-181-E.pdf" TargetMode="External"/><Relationship Id="rId22" Type="http://schemas.openxmlformats.org/officeDocument/2006/relationships/hyperlink" Target="https://www.itu.int/pub/T-RES-T.52-2016" TargetMode="External"/><Relationship Id="rId27" Type="http://schemas.openxmlformats.org/officeDocument/2006/relationships/hyperlink" Target="https://www.itu.int/md/S17-CL-C-0018/en"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T/Workshops-and-Seminars/20200316/Pages/default.aspx" TargetMode="External"/><Relationship Id="rId43" Type="http://schemas.openxmlformats.org/officeDocument/2006/relationships/hyperlink" Target="https://www.itu.int/net4/ITU-D/CDS/projects/display.asp?ProjectNo=9RAS18061" TargetMode="External"/><Relationship Id="rId48" Type="http://schemas.openxmlformats.org/officeDocument/2006/relationships/hyperlink" Target="http://www.itu.int/en/ITU-D/Cybersecurity/Pages/Events.aspx" TargetMode="External"/><Relationship Id="rId56" Type="http://schemas.openxmlformats.org/officeDocument/2006/relationships/hyperlink" Target="https://www.itu.int/en/ITU-D/Cybersecurity/Pages/COP.aspx" TargetMode="External"/><Relationship Id="rId8" Type="http://schemas.openxmlformats.org/officeDocument/2006/relationships/image" Target="media/image1.jpeg"/><Relationship Id="rId51" Type="http://schemas.openxmlformats.org/officeDocument/2006/relationships/hyperlink" Target="https://www.itu.int/en/ITU-D/Cybersecurity/Pages/global-cybersecurity-index.aspx" TargetMode="External"/><Relationship Id="rId3" Type="http://schemas.openxmlformats.org/officeDocument/2006/relationships/styles" Target="styles.xml"/><Relationship Id="rId12" Type="http://schemas.openxmlformats.org/officeDocument/2006/relationships/hyperlink" Target="https://www.itu.int/en/council/Documents/basic-texts/RES-174-E.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www.itu.int/md/S15-CL-C-0018/en" TargetMode="External"/><Relationship Id="rId33" Type="http://schemas.openxmlformats.org/officeDocument/2006/relationships/hyperlink" Target="https://www.itu.int/en/ITU-T/Workshops-and-Seminars/20190826/Pages/default.aspx" TargetMode="External"/><Relationship Id="rId38" Type="http://schemas.openxmlformats.org/officeDocument/2006/relationships/hyperlink" Target="https://www.itu.int/en/ITU-T/focusgroups/ai4h" TargetMode="External"/><Relationship Id="rId46" Type="http://schemas.openxmlformats.org/officeDocument/2006/relationships/hyperlink" Target="https://www.itu.int/en/ITU-D/Regional-Presence/ArabStates/Pages/Events/2018/Cyber/Cyber.aspx" TargetMode="External"/><Relationship Id="rId59" Type="http://schemas.openxmlformats.org/officeDocument/2006/relationships/fontTable" Target="fontTable.xml"/><Relationship Id="rId20" Type="http://schemas.openxmlformats.org/officeDocument/2006/relationships/hyperlink" Target="http://www.itu.int/osg/csd/intgov/resoultions_2010/programme2.pdf" TargetMode="External"/><Relationship Id="rId41" Type="http://schemas.openxmlformats.org/officeDocument/2006/relationships/hyperlink" Target="https://www.itu.int/en/ITU-T/focusgroups/qit4n/Pages/default.aspx" TargetMode="External"/><Relationship Id="rId54" Type="http://schemas.openxmlformats.org/officeDocument/2006/relationships/hyperlink" Target="https://www.itu.int/en/cop/Pages/guideline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S-CONF-WCIT-2012/en" TargetMode="External"/><Relationship Id="rId23" Type="http://schemas.openxmlformats.org/officeDocument/2006/relationships/hyperlink" Target="https://www.itu.int/pub/T-RES-T.75-2016" TargetMode="External"/><Relationship Id="rId28" Type="http://schemas.openxmlformats.org/officeDocument/2006/relationships/hyperlink" Target="https://www.itu.int/md/S18-CL-C-0018/en" TargetMode="External"/><Relationship Id="rId36" Type="http://schemas.openxmlformats.org/officeDocument/2006/relationships/hyperlink" Target="https://www.itu.int/en/ITU-T/focusgroups/ml5g/Pages/default.aspx" TargetMode="External"/><Relationship Id="rId49" Type="http://schemas.openxmlformats.org/officeDocument/2006/relationships/hyperlink" Target="http://www.itu.int/net4/ITU-D/CDS/sg/rgqlist.asp?lg=1&amp;sp=2014&amp;rgq=D14-SG02-RGQ03.2&amp;stg=2" TargetMode="External"/><Relationship Id="rId57" Type="http://schemas.openxmlformats.org/officeDocument/2006/relationships/header" Target="header1.xml"/><Relationship Id="rId10" Type="http://schemas.openxmlformats.org/officeDocument/2006/relationships/hyperlink" Target="https://www.itu.int/en/council/Documents/basic-texts/RES-130-E.pdf" TargetMode="External"/><Relationship Id="rId31" Type="http://schemas.openxmlformats.org/officeDocument/2006/relationships/hyperlink" Target="http://www.itu.int/ITU-T/studygroups/com17/" TargetMode="External"/><Relationship Id="rId44" Type="http://schemas.openxmlformats.org/officeDocument/2006/relationships/hyperlink" Target="https://www.itu.int/en/ITU-D/Cybersecurity/Pages/cyberdrills.aspx" TargetMode="External"/><Relationship Id="rId52" Type="http://schemas.openxmlformats.org/officeDocument/2006/relationships/hyperlink" Target="http://www.itu.int/en/ITU-D/Cybersecurity/Pages/partnership.aspx"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C433-26AF-407F-9C76-72F6F47D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16498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ITU activities on strengthening the role of ITU in building confidence and security in the use of ICTs</vt:lpstr>
    </vt:vector>
  </TitlesOfParts>
  <Manager/>
  <Company/>
  <LinksUpToDate>false</LinksUpToDate>
  <CharactersWithSpaces>18594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2020</dc:subject>
  <dc:creator/>
  <cp:keywords>C2020, C20</cp:keywords>
  <dc:description/>
  <cp:lastModifiedBy/>
  <cp:revision>1</cp:revision>
  <dcterms:created xsi:type="dcterms:W3CDTF">2020-03-26T16:18:00Z</dcterms:created>
  <dcterms:modified xsi:type="dcterms:W3CDTF">2020-03-30T13:24:00Z</dcterms:modified>
  <cp:category/>
</cp:coreProperties>
</file>